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EF6115" w14:paraId="2E72CA36" w14:textId="30B7783F">
      <w:pPr>
        <w:jc w:val="center"/>
        <w:rPr>
          <w:b/>
          <w:szCs w:val="22"/>
        </w:rPr>
      </w:pPr>
      <w:r w:rsidRPr="00EF6115">
        <w:rPr>
          <w:b/>
          <w:kern w:val="0"/>
          <w:szCs w:val="22"/>
        </w:rPr>
        <w:t xml:space="preserve"> </w:t>
      </w:r>
      <w:r w:rsidRPr="00EF6115">
        <w:rPr>
          <w:b/>
          <w:kern w:val="0"/>
          <w:szCs w:val="22"/>
        </w:rPr>
        <w:t>Before</w:t>
      </w:r>
      <w:r w:rsidRPr="00EF6115">
        <w:rPr>
          <w:b/>
          <w:szCs w:val="22"/>
        </w:rPr>
        <w:t xml:space="preserve"> the</w:t>
      </w:r>
    </w:p>
    <w:p w:rsidR="00921803" w:rsidRPr="00EF6115" w:rsidP="00921803" w14:paraId="04C44A3E" w14:textId="77777777">
      <w:pPr>
        <w:pStyle w:val="StyleBoldCentered"/>
        <w:rPr>
          <w:rFonts w:ascii="Times New Roman" w:hAnsi="Times New Roman"/>
        </w:rPr>
      </w:pPr>
      <w:r w:rsidRPr="00EF6115">
        <w:rPr>
          <w:rFonts w:ascii="Times New Roman" w:hAnsi="Times New Roman"/>
        </w:rPr>
        <w:t>F</w:t>
      </w:r>
      <w:r w:rsidRPr="00EF6115">
        <w:rPr>
          <w:rFonts w:ascii="Times New Roman" w:hAnsi="Times New Roman"/>
          <w:caps w:val="0"/>
        </w:rPr>
        <w:t>ederal Communications Commission</w:t>
      </w:r>
    </w:p>
    <w:p w:rsidR="004C2EE3" w:rsidRPr="00EF6115" w:rsidP="00096D8C" w14:paraId="7960F114" w14:textId="77777777">
      <w:pPr>
        <w:pStyle w:val="StyleBoldCentered"/>
        <w:rPr>
          <w:rFonts w:ascii="Times New Roman" w:hAnsi="Times New Roman"/>
        </w:rPr>
      </w:pPr>
      <w:r w:rsidRPr="00EF6115">
        <w:rPr>
          <w:rFonts w:ascii="Times New Roman" w:hAnsi="Times New Roman"/>
          <w:caps w:val="0"/>
        </w:rPr>
        <w:t>Washington, D.C. 20554</w:t>
      </w:r>
    </w:p>
    <w:p w:rsidR="004C2EE3" w:rsidRPr="00EF6115" w:rsidP="0070224F" w14:paraId="170D9430" w14:textId="77777777">
      <w:pPr>
        <w:rPr>
          <w:szCs w:val="22"/>
        </w:rPr>
      </w:pPr>
    </w:p>
    <w:p w:rsidR="004C2EE3" w:rsidRPr="00EF6115" w:rsidP="0070224F" w14:paraId="7EFABC17" w14:textId="77777777">
      <w:pPr>
        <w:rPr>
          <w:szCs w:val="22"/>
        </w:rPr>
      </w:pPr>
    </w:p>
    <w:tbl>
      <w:tblPr>
        <w:tblW w:w="0" w:type="auto"/>
        <w:tblLayout w:type="fixed"/>
        <w:tblLook w:val="0000"/>
      </w:tblPr>
      <w:tblGrid>
        <w:gridCol w:w="4698"/>
        <w:gridCol w:w="630"/>
        <w:gridCol w:w="4248"/>
      </w:tblGrid>
      <w:tr w14:paraId="5EC62F20" w14:textId="77777777">
        <w:tblPrEx>
          <w:tblW w:w="0" w:type="auto"/>
          <w:tblLayout w:type="fixed"/>
          <w:tblLook w:val="0000"/>
        </w:tblPrEx>
        <w:tc>
          <w:tcPr>
            <w:tcW w:w="4698" w:type="dxa"/>
          </w:tcPr>
          <w:p w:rsidR="004C2EE3" w:rsidRPr="00EF6115" w14:paraId="740EC992" w14:textId="77777777">
            <w:pPr>
              <w:tabs>
                <w:tab w:val="center" w:pos="4680"/>
              </w:tabs>
              <w:suppressAutoHyphens/>
              <w:rPr>
                <w:spacing w:val="-2"/>
                <w:szCs w:val="22"/>
              </w:rPr>
            </w:pPr>
            <w:r w:rsidRPr="00EF6115">
              <w:rPr>
                <w:spacing w:val="-2"/>
                <w:szCs w:val="22"/>
              </w:rPr>
              <w:t>In the Matter of</w:t>
            </w:r>
          </w:p>
          <w:p w:rsidR="004C2EE3" w:rsidRPr="00EF6115" w14:paraId="7657D2C2" w14:textId="77777777">
            <w:pPr>
              <w:tabs>
                <w:tab w:val="center" w:pos="4680"/>
              </w:tabs>
              <w:suppressAutoHyphens/>
              <w:rPr>
                <w:spacing w:val="-2"/>
                <w:szCs w:val="22"/>
              </w:rPr>
            </w:pPr>
          </w:p>
          <w:p w:rsidR="00D248AE" w:rsidRPr="00EF6115" w:rsidP="007115F7" w14:paraId="3B01DCA5" w14:textId="0E74CFAC">
            <w:pPr>
              <w:tabs>
                <w:tab w:val="center" w:pos="4680"/>
              </w:tabs>
              <w:suppressAutoHyphens/>
              <w:rPr>
                <w:spacing w:val="-2"/>
                <w:szCs w:val="22"/>
              </w:rPr>
            </w:pPr>
            <w:r w:rsidRPr="00EF6115">
              <w:rPr>
                <w:spacing w:val="-2"/>
                <w:szCs w:val="22"/>
              </w:rPr>
              <w:t>Connect America Fund</w:t>
            </w:r>
          </w:p>
          <w:p w:rsidR="00D248AE" w:rsidRPr="00EF6115" w:rsidP="007115F7" w14:paraId="789C3CEA" w14:textId="77777777">
            <w:pPr>
              <w:tabs>
                <w:tab w:val="center" w:pos="4680"/>
              </w:tabs>
              <w:suppressAutoHyphens/>
              <w:rPr>
                <w:spacing w:val="-2"/>
                <w:szCs w:val="22"/>
              </w:rPr>
            </w:pPr>
          </w:p>
          <w:p w:rsidR="00833544" w:rsidRPr="00EF6115" w:rsidP="007115F7" w14:paraId="28705BA5" w14:textId="71417E6E">
            <w:pPr>
              <w:tabs>
                <w:tab w:val="center" w:pos="4680"/>
              </w:tabs>
              <w:suppressAutoHyphens/>
              <w:rPr>
                <w:spacing w:val="-2"/>
                <w:szCs w:val="22"/>
              </w:rPr>
            </w:pPr>
            <w:r w:rsidRPr="00EF6115">
              <w:rPr>
                <w:spacing w:val="-2"/>
                <w:szCs w:val="22"/>
              </w:rPr>
              <w:t>ETC Annual Reports and Certifications</w:t>
            </w:r>
          </w:p>
          <w:p w:rsidR="00833544" w:rsidRPr="00EF6115" w:rsidP="007115F7" w14:paraId="23C4A76F" w14:textId="77777777">
            <w:pPr>
              <w:tabs>
                <w:tab w:val="center" w:pos="4680"/>
              </w:tabs>
              <w:suppressAutoHyphens/>
              <w:rPr>
                <w:spacing w:val="-2"/>
                <w:szCs w:val="22"/>
              </w:rPr>
            </w:pPr>
          </w:p>
          <w:p w:rsidR="00833544" w:rsidRPr="00EF6115" w:rsidP="007115F7" w14:paraId="77345933" w14:textId="77777777">
            <w:pPr>
              <w:tabs>
                <w:tab w:val="center" w:pos="4680"/>
              </w:tabs>
              <w:suppressAutoHyphens/>
              <w:rPr>
                <w:spacing w:val="-2"/>
                <w:szCs w:val="22"/>
              </w:rPr>
            </w:pPr>
            <w:r w:rsidRPr="00EF6115">
              <w:rPr>
                <w:spacing w:val="-2"/>
                <w:szCs w:val="22"/>
              </w:rPr>
              <w:t>Bloomingdale Telephone Company Application for Review</w:t>
            </w:r>
          </w:p>
          <w:p w:rsidR="00833544" w:rsidRPr="00EF6115" w:rsidP="007115F7" w14:paraId="2708CA18" w14:textId="77777777">
            <w:pPr>
              <w:tabs>
                <w:tab w:val="center" w:pos="4680"/>
              </w:tabs>
              <w:suppressAutoHyphens/>
              <w:rPr>
                <w:spacing w:val="-2"/>
                <w:szCs w:val="22"/>
              </w:rPr>
            </w:pPr>
          </w:p>
          <w:p w:rsidR="00833544" w:rsidRPr="00EF6115" w:rsidP="007115F7" w14:paraId="7E525365" w14:textId="77777777">
            <w:pPr>
              <w:tabs>
                <w:tab w:val="center" w:pos="4680"/>
              </w:tabs>
              <w:suppressAutoHyphens/>
              <w:rPr>
                <w:spacing w:val="-2"/>
                <w:szCs w:val="22"/>
              </w:rPr>
            </w:pPr>
            <w:r w:rsidRPr="00EF6115">
              <w:rPr>
                <w:spacing w:val="-2"/>
                <w:szCs w:val="22"/>
              </w:rPr>
              <w:t>State Telephone Company Application for Review</w:t>
            </w:r>
          </w:p>
          <w:p w:rsidR="00C16C13" w:rsidRPr="00EF6115" w:rsidP="007115F7" w14:paraId="017AE941" w14:textId="77777777">
            <w:pPr>
              <w:tabs>
                <w:tab w:val="center" w:pos="4680"/>
              </w:tabs>
              <w:suppressAutoHyphens/>
              <w:rPr>
                <w:spacing w:val="-2"/>
                <w:szCs w:val="22"/>
              </w:rPr>
            </w:pPr>
          </w:p>
          <w:p w:rsidR="00833544" w:rsidRPr="00EF6115" w:rsidP="007115F7" w14:paraId="223D4BE6" w14:textId="623D65DB">
            <w:pPr>
              <w:tabs>
                <w:tab w:val="center" w:pos="4680"/>
              </w:tabs>
              <w:suppressAutoHyphens/>
              <w:rPr>
                <w:spacing w:val="-2"/>
                <w:szCs w:val="22"/>
              </w:rPr>
            </w:pPr>
          </w:p>
        </w:tc>
        <w:tc>
          <w:tcPr>
            <w:tcW w:w="630" w:type="dxa"/>
          </w:tcPr>
          <w:p w:rsidR="004C2EE3" w:rsidRPr="00EF6115" w14:paraId="24956DEE" w14:textId="77777777">
            <w:pPr>
              <w:tabs>
                <w:tab w:val="center" w:pos="4680"/>
              </w:tabs>
              <w:suppressAutoHyphens/>
              <w:rPr>
                <w:b/>
                <w:spacing w:val="-2"/>
                <w:szCs w:val="22"/>
              </w:rPr>
            </w:pPr>
            <w:r w:rsidRPr="00EF6115">
              <w:rPr>
                <w:b/>
                <w:spacing w:val="-2"/>
                <w:szCs w:val="22"/>
              </w:rPr>
              <w:t>)</w:t>
            </w:r>
          </w:p>
          <w:p w:rsidR="004C2EE3" w:rsidRPr="00EF6115" w14:paraId="13A6FFDB" w14:textId="77777777">
            <w:pPr>
              <w:tabs>
                <w:tab w:val="center" w:pos="4680"/>
              </w:tabs>
              <w:suppressAutoHyphens/>
              <w:rPr>
                <w:b/>
                <w:spacing w:val="-2"/>
                <w:szCs w:val="22"/>
              </w:rPr>
            </w:pPr>
            <w:r w:rsidRPr="00EF6115">
              <w:rPr>
                <w:b/>
                <w:spacing w:val="-2"/>
                <w:szCs w:val="22"/>
              </w:rPr>
              <w:t>)</w:t>
            </w:r>
          </w:p>
          <w:p w:rsidR="004C2EE3" w:rsidRPr="00EF6115" w14:paraId="08B23779" w14:textId="77777777">
            <w:pPr>
              <w:tabs>
                <w:tab w:val="center" w:pos="4680"/>
              </w:tabs>
              <w:suppressAutoHyphens/>
              <w:rPr>
                <w:b/>
                <w:spacing w:val="-2"/>
                <w:szCs w:val="22"/>
              </w:rPr>
            </w:pPr>
            <w:r w:rsidRPr="00EF6115">
              <w:rPr>
                <w:b/>
                <w:spacing w:val="-2"/>
                <w:szCs w:val="22"/>
              </w:rPr>
              <w:t>)</w:t>
            </w:r>
          </w:p>
          <w:p w:rsidR="004C2EE3" w:rsidRPr="00EF6115" w14:paraId="3806D84D" w14:textId="77777777">
            <w:pPr>
              <w:tabs>
                <w:tab w:val="center" w:pos="4680"/>
              </w:tabs>
              <w:suppressAutoHyphens/>
              <w:rPr>
                <w:b/>
                <w:spacing w:val="-2"/>
                <w:szCs w:val="22"/>
              </w:rPr>
            </w:pPr>
            <w:r w:rsidRPr="00EF6115">
              <w:rPr>
                <w:b/>
                <w:spacing w:val="-2"/>
                <w:szCs w:val="22"/>
              </w:rPr>
              <w:t>)</w:t>
            </w:r>
          </w:p>
          <w:p w:rsidR="004C2EE3" w:rsidRPr="00EF6115" w14:paraId="79A4D66A" w14:textId="77777777">
            <w:pPr>
              <w:tabs>
                <w:tab w:val="center" w:pos="4680"/>
              </w:tabs>
              <w:suppressAutoHyphens/>
              <w:rPr>
                <w:b/>
                <w:spacing w:val="-2"/>
                <w:szCs w:val="22"/>
              </w:rPr>
            </w:pPr>
            <w:r w:rsidRPr="00EF6115">
              <w:rPr>
                <w:b/>
                <w:spacing w:val="-2"/>
                <w:szCs w:val="22"/>
              </w:rPr>
              <w:t>)</w:t>
            </w:r>
          </w:p>
          <w:p w:rsidR="004C2EE3" w:rsidRPr="00EF6115" w14:paraId="43C2958C" w14:textId="77777777">
            <w:pPr>
              <w:tabs>
                <w:tab w:val="center" w:pos="4680"/>
              </w:tabs>
              <w:suppressAutoHyphens/>
              <w:rPr>
                <w:b/>
                <w:spacing w:val="-2"/>
                <w:szCs w:val="22"/>
              </w:rPr>
            </w:pPr>
            <w:r w:rsidRPr="00EF6115">
              <w:rPr>
                <w:b/>
                <w:spacing w:val="-2"/>
                <w:szCs w:val="22"/>
              </w:rPr>
              <w:t>)</w:t>
            </w:r>
          </w:p>
          <w:p w:rsidR="004C2EE3" w:rsidRPr="00EF6115" w14:paraId="1AEFEB36" w14:textId="77777777">
            <w:pPr>
              <w:tabs>
                <w:tab w:val="center" w:pos="4680"/>
              </w:tabs>
              <w:suppressAutoHyphens/>
              <w:rPr>
                <w:b/>
                <w:spacing w:val="-2"/>
                <w:szCs w:val="22"/>
              </w:rPr>
            </w:pPr>
            <w:r w:rsidRPr="00EF6115">
              <w:rPr>
                <w:b/>
                <w:spacing w:val="-2"/>
                <w:szCs w:val="22"/>
              </w:rPr>
              <w:t>)</w:t>
            </w:r>
          </w:p>
          <w:p w:rsidR="004C2EE3" w:rsidRPr="00EF6115" w14:paraId="011F37CF" w14:textId="77777777">
            <w:pPr>
              <w:tabs>
                <w:tab w:val="center" w:pos="4680"/>
              </w:tabs>
              <w:suppressAutoHyphens/>
              <w:rPr>
                <w:b/>
                <w:spacing w:val="-2"/>
                <w:szCs w:val="22"/>
              </w:rPr>
            </w:pPr>
            <w:r w:rsidRPr="00EF6115">
              <w:rPr>
                <w:b/>
                <w:spacing w:val="-2"/>
                <w:szCs w:val="22"/>
              </w:rPr>
              <w:t>)</w:t>
            </w:r>
          </w:p>
          <w:p w:rsidR="004C2EE3" w:rsidRPr="00EF6115" w14:paraId="011D7E35" w14:textId="77777777">
            <w:pPr>
              <w:tabs>
                <w:tab w:val="center" w:pos="4680"/>
              </w:tabs>
              <w:suppressAutoHyphens/>
              <w:rPr>
                <w:b/>
                <w:spacing w:val="-2"/>
                <w:szCs w:val="22"/>
              </w:rPr>
            </w:pPr>
            <w:r w:rsidRPr="00EF6115">
              <w:rPr>
                <w:b/>
                <w:spacing w:val="-2"/>
                <w:szCs w:val="22"/>
              </w:rPr>
              <w:t>)</w:t>
            </w:r>
          </w:p>
          <w:p w:rsidR="004C2EE3" w:rsidRPr="00EF6115" w14:paraId="25ACB4BA" w14:textId="637F7452">
            <w:pPr>
              <w:tabs>
                <w:tab w:val="center" w:pos="4680"/>
              </w:tabs>
              <w:suppressAutoHyphens/>
              <w:rPr>
                <w:spacing w:val="-2"/>
                <w:szCs w:val="22"/>
              </w:rPr>
            </w:pPr>
            <w:r w:rsidRPr="00EF6115">
              <w:rPr>
                <w:b/>
                <w:spacing w:val="-2"/>
                <w:szCs w:val="22"/>
              </w:rPr>
              <w:t>)</w:t>
            </w:r>
          </w:p>
        </w:tc>
        <w:tc>
          <w:tcPr>
            <w:tcW w:w="4248" w:type="dxa"/>
          </w:tcPr>
          <w:p w:rsidR="004C2EE3" w:rsidRPr="00EF6115" w14:paraId="6D9E03B5" w14:textId="77777777">
            <w:pPr>
              <w:tabs>
                <w:tab w:val="center" w:pos="4680"/>
              </w:tabs>
              <w:suppressAutoHyphens/>
              <w:rPr>
                <w:spacing w:val="-2"/>
                <w:szCs w:val="22"/>
              </w:rPr>
            </w:pPr>
          </w:p>
          <w:p w:rsidR="004C2EE3" w:rsidRPr="00EF6115" w14:paraId="62012EAD" w14:textId="77777777">
            <w:pPr>
              <w:pStyle w:val="TOAHeading"/>
              <w:tabs>
                <w:tab w:val="center" w:pos="4680"/>
                <w:tab w:val="clear" w:pos="9360"/>
              </w:tabs>
              <w:rPr>
                <w:spacing w:val="-2"/>
                <w:szCs w:val="22"/>
              </w:rPr>
            </w:pPr>
          </w:p>
          <w:p w:rsidR="00D248AE" w:rsidRPr="00EF6115" w14:paraId="412DD09B" w14:textId="5E28578C">
            <w:pPr>
              <w:tabs>
                <w:tab w:val="center" w:pos="4680"/>
              </w:tabs>
              <w:suppressAutoHyphens/>
              <w:rPr>
                <w:spacing w:val="-2"/>
                <w:szCs w:val="22"/>
              </w:rPr>
            </w:pPr>
            <w:r w:rsidRPr="00EF6115">
              <w:rPr>
                <w:spacing w:val="-2"/>
                <w:szCs w:val="22"/>
              </w:rPr>
              <w:t xml:space="preserve">WC Docket No. </w:t>
            </w:r>
            <w:r w:rsidRPr="00EF6115">
              <w:rPr>
                <w:spacing w:val="-2"/>
                <w:szCs w:val="22"/>
              </w:rPr>
              <w:t>10-90</w:t>
            </w:r>
          </w:p>
          <w:p w:rsidR="00D248AE" w:rsidRPr="00EF6115" w14:paraId="6FD25752" w14:textId="77777777">
            <w:pPr>
              <w:tabs>
                <w:tab w:val="center" w:pos="4680"/>
              </w:tabs>
              <w:suppressAutoHyphens/>
              <w:rPr>
                <w:spacing w:val="-2"/>
                <w:szCs w:val="22"/>
              </w:rPr>
            </w:pPr>
          </w:p>
          <w:p w:rsidR="004C2EE3" w:rsidRPr="00EF6115" w14:paraId="62688514" w14:textId="1E098F7C">
            <w:pPr>
              <w:tabs>
                <w:tab w:val="center" w:pos="4680"/>
              </w:tabs>
              <w:suppressAutoHyphens/>
              <w:rPr>
                <w:spacing w:val="-2"/>
                <w:szCs w:val="22"/>
              </w:rPr>
            </w:pPr>
            <w:r w:rsidRPr="00EF6115">
              <w:rPr>
                <w:spacing w:val="-2"/>
                <w:szCs w:val="22"/>
              </w:rPr>
              <w:t>WC Docket No. 14-58</w:t>
            </w:r>
          </w:p>
        </w:tc>
      </w:tr>
    </w:tbl>
    <w:p w:rsidR="004C2EE3" w:rsidRPr="00EF6115" w:rsidP="0070224F" w14:paraId="740AB6D0" w14:textId="77777777">
      <w:pPr>
        <w:rPr>
          <w:szCs w:val="22"/>
        </w:rPr>
      </w:pPr>
    </w:p>
    <w:p w:rsidR="00841AB1" w:rsidRPr="00EF6115" w:rsidP="00F021FA" w14:paraId="5A1441BF" w14:textId="5EE0BB25">
      <w:pPr>
        <w:pStyle w:val="StyleBoldCentered"/>
        <w:rPr>
          <w:rFonts w:ascii="Times New Roman" w:hAnsi="Times New Roman"/>
        </w:rPr>
      </w:pPr>
      <w:r w:rsidRPr="00EF6115">
        <w:rPr>
          <w:rFonts w:ascii="Times New Roman" w:hAnsi="Times New Roman"/>
        </w:rPr>
        <w:t>ORDER ON REVIEW</w:t>
      </w:r>
    </w:p>
    <w:p w:rsidR="004C2EE3" w:rsidRPr="00EF6115" w14:paraId="562B23B6" w14:textId="77777777">
      <w:pPr>
        <w:tabs>
          <w:tab w:val="left" w:pos="-720"/>
        </w:tabs>
        <w:suppressAutoHyphens/>
        <w:spacing w:line="227" w:lineRule="auto"/>
        <w:rPr>
          <w:spacing w:val="-2"/>
          <w:szCs w:val="22"/>
        </w:rPr>
      </w:pPr>
    </w:p>
    <w:p w:rsidR="004C2EE3" w:rsidRPr="00EF6115" w:rsidP="00133F79" w14:paraId="5005E976" w14:textId="5063550D">
      <w:pPr>
        <w:tabs>
          <w:tab w:val="left" w:pos="720"/>
          <w:tab w:val="right" w:pos="9360"/>
        </w:tabs>
        <w:suppressAutoHyphens/>
        <w:spacing w:line="227" w:lineRule="auto"/>
        <w:rPr>
          <w:spacing w:val="-2"/>
          <w:szCs w:val="22"/>
        </w:rPr>
      </w:pPr>
      <w:r w:rsidRPr="00EF6115">
        <w:rPr>
          <w:b/>
          <w:spacing w:val="-2"/>
          <w:szCs w:val="22"/>
        </w:rPr>
        <w:t xml:space="preserve">Adopted:  </w:t>
      </w:r>
      <w:r w:rsidR="00BB2AB4">
        <w:rPr>
          <w:b/>
          <w:spacing w:val="-2"/>
          <w:szCs w:val="22"/>
        </w:rPr>
        <w:t>November 27, 2023</w:t>
      </w:r>
      <w:r w:rsidR="00FB2959">
        <w:rPr>
          <w:b/>
          <w:spacing w:val="-2"/>
          <w:szCs w:val="22"/>
        </w:rPr>
        <w:t xml:space="preserve"> </w:t>
      </w:r>
      <w:r w:rsidRPr="00EF6115" w:rsidR="00833544">
        <w:rPr>
          <w:b/>
          <w:spacing w:val="-2"/>
          <w:szCs w:val="22"/>
        </w:rPr>
        <w:tab/>
        <w:t xml:space="preserve">Released: </w:t>
      </w:r>
      <w:r w:rsidR="00BB2AB4">
        <w:rPr>
          <w:b/>
          <w:spacing w:val="-2"/>
          <w:szCs w:val="22"/>
        </w:rPr>
        <w:t>November 28, 2023</w:t>
      </w:r>
    </w:p>
    <w:p w:rsidR="00822CE0" w:rsidRPr="00EF6115" w14:paraId="0DDA46BC" w14:textId="77777777">
      <w:pPr>
        <w:rPr>
          <w:szCs w:val="22"/>
        </w:rPr>
      </w:pPr>
    </w:p>
    <w:p w:rsidR="00822CE0" w:rsidRPr="00EF6115" w14:paraId="4CCA3878" w14:textId="02F4B3D8">
      <w:pPr>
        <w:rPr>
          <w:spacing w:val="-2"/>
          <w:szCs w:val="22"/>
        </w:rPr>
      </w:pPr>
      <w:r w:rsidRPr="00EF6115">
        <w:rPr>
          <w:szCs w:val="22"/>
        </w:rPr>
        <w:t xml:space="preserve">By </w:t>
      </w:r>
      <w:r w:rsidRPr="00EF6115" w:rsidR="004E4A22">
        <w:rPr>
          <w:szCs w:val="22"/>
        </w:rPr>
        <w:t>the</w:t>
      </w:r>
      <w:r w:rsidRPr="00EF6115" w:rsidR="002A2D2E">
        <w:rPr>
          <w:szCs w:val="22"/>
        </w:rPr>
        <w:t xml:space="preserve"> </w:t>
      </w:r>
      <w:r w:rsidRPr="00EF6115" w:rsidR="00833544">
        <w:rPr>
          <w:spacing w:val="-2"/>
          <w:szCs w:val="22"/>
        </w:rPr>
        <w:t>Commission:</w:t>
      </w:r>
    </w:p>
    <w:p w:rsidR="00833544" w:rsidRPr="00EF6115" w14:paraId="00A4125B" w14:textId="77777777">
      <w:pPr>
        <w:rPr>
          <w:spacing w:val="-2"/>
          <w:szCs w:val="22"/>
        </w:rPr>
      </w:pPr>
    </w:p>
    <w:p w:rsidR="00412FC5" w:rsidRPr="00EF6115" w:rsidP="00C36B4C" w14:paraId="04E52BDD" w14:textId="28080395">
      <w:pPr>
        <w:pStyle w:val="Heading1"/>
        <w:rPr>
          <w:rFonts w:ascii="Times New Roman" w:hAnsi="Times New Roman"/>
          <w:szCs w:val="22"/>
        </w:rPr>
      </w:pPr>
      <w:r w:rsidRPr="00EF6115">
        <w:rPr>
          <w:rFonts w:ascii="Times New Roman" w:hAnsi="Times New Roman"/>
          <w:szCs w:val="22"/>
        </w:rPr>
        <w:t>Introduction</w:t>
      </w:r>
    </w:p>
    <w:p w:rsidR="005B4069" w:rsidRPr="00EF6115" w:rsidP="00206977" w14:paraId="656F0817" w14:textId="1E96E693">
      <w:pPr>
        <w:pStyle w:val="ParaNum"/>
        <w:rPr>
          <w:szCs w:val="22"/>
        </w:rPr>
      </w:pPr>
      <w:r w:rsidRPr="00EF6115">
        <w:rPr>
          <w:szCs w:val="22"/>
        </w:rPr>
        <w:t>One of the Commission’s central missions is to make “available . . . to all the people of the United States . . . a rapid, efficient, Nation-wide, and world-wide wire and radio communication service with adequate facilities at reasonable charges.”</w:t>
      </w:r>
      <w:r>
        <w:rPr>
          <w:rStyle w:val="FootnoteReference"/>
          <w:sz w:val="22"/>
          <w:szCs w:val="22"/>
        </w:rPr>
        <w:footnoteReference w:id="3"/>
      </w:r>
      <w:r w:rsidRPr="00EF6115">
        <w:rPr>
          <w:szCs w:val="22"/>
        </w:rPr>
        <w:t xml:space="preserve"> </w:t>
      </w:r>
      <w:r w:rsidRPr="00EF6115" w:rsidR="006E1C2E">
        <w:rPr>
          <w:szCs w:val="22"/>
        </w:rPr>
        <w:t xml:space="preserve"> </w:t>
      </w:r>
      <w:r w:rsidRPr="00EF6115">
        <w:rPr>
          <w:szCs w:val="22"/>
        </w:rPr>
        <w:t xml:space="preserve">This principle of “universal service” ensures affordable telecommunications services </w:t>
      </w:r>
      <w:r w:rsidRPr="00EF6115" w:rsidR="00184AB3">
        <w:rPr>
          <w:szCs w:val="22"/>
        </w:rPr>
        <w:t xml:space="preserve">across </w:t>
      </w:r>
      <w:r w:rsidRPr="00EF6115">
        <w:rPr>
          <w:szCs w:val="22"/>
        </w:rPr>
        <w:t>America, including</w:t>
      </w:r>
      <w:r w:rsidR="009C134E">
        <w:rPr>
          <w:szCs w:val="22"/>
        </w:rPr>
        <w:t xml:space="preserve"> to</w:t>
      </w:r>
      <w:r w:rsidRPr="00EF6115">
        <w:rPr>
          <w:szCs w:val="22"/>
        </w:rPr>
        <w:t xml:space="preserve"> consumers living in high-cost areas. </w:t>
      </w:r>
      <w:r w:rsidRPr="00EF6115" w:rsidR="00F94D6B">
        <w:rPr>
          <w:szCs w:val="22"/>
        </w:rPr>
        <w:t xml:space="preserve">The </w:t>
      </w:r>
      <w:r w:rsidRPr="00EF6115" w:rsidR="019B2D27">
        <w:rPr>
          <w:szCs w:val="22"/>
        </w:rPr>
        <w:t xml:space="preserve">Commission’s </w:t>
      </w:r>
      <w:r w:rsidRPr="00EF6115" w:rsidR="00F94D6B">
        <w:rPr>
          <w:szCs w:val="22"/>
        </w:rPr>
        <w:t>High</w:t>
      </w:r>
      <w:r w:rsidRPr="00EF6115" w:rsidR="009212C0">
        <w:rPr>
          <w:szCs w:val="22"/>
        </w:rPr>
        <w:t>-</w:t>
      </w:r>
      <w:r w:rsidRPr="00EF6115" w:rsidR="00F94D6B">
        <w:rPr>
          <w:szCs w:val="22"/>
        </w:rPr>
        <w:t>Cost program</w:t>
      </w:r>
      <w:r w:rsidRPr="00EF6115" w:rsidR="00BC69A5">
        <w:rPr>
          <w:szCs w:val="22"/>
        </w:rPr>
        <w:t>—</w:t>
      </w:r>
      <w:r w:rsidRPr="00EF6115" w:rsidR="11AC68E1">
        <w:rPr>
          <w:szCs w:val="22"/>
        </w:rPr>
        <w:t xml:space="preserve">one of four </w:t>
      </w:r>
      <w:r w:rsidRPr="00EF6115" w:rsidR="0DC9E80C">
        <w:rPr>
          <w:szCs w:val="22"/>
        </w:rPr>
        <w:t xml:space="preserve">Universal Service Fund </w:t>
      </w:r>
      <w:r w:rsidRPr="00EF6115" w:rsidR="11AC68E1">
        <w:rPr>
          <w:szCs w:val="22"/>
        </w:rPr>
        <w:t>programs</w:t>
      </w:r>
      <w:r w:rsidRPr="00EF6115" w:rsidR="00BC69A5">
        <w:rPr>
          <w:szCs w:val="22"/>
        </w:rPr>
        <w:t>—</w:t>
      </w:r>
      <w:r w:rsidRPr="00EF6115" w:rsidR="009A06F3">
        <w:rPr>
          <w:szCs w:val="22"/>
        </w:rPr>
        <w:t xml:space="preserve">authorizes </w:t>
      </w:r>
      <w:r w:rsidRPr="00EF6115" w:rsidR="008938C5">
        <w:rPr>
          <w:szCs w:val="22"/>
        </w:rPr>
        <w:t xml:space="preserve"> universal service</w:t>
      </w:r>
      <w:r w:rsidRPr="00EF6115" w:rsidR="00F94D6B">
        <w:rPr>
          <w:szCs w:val="22"/>
        </w:rPr>
        <w:t xml:space="preserve"> support</w:t>
      </w:r>
      <w:r w:rsidRPr="00EF6115" w:rsidR="00EB5247">
        <w:rPr>
          <w:szCs w:val="22"/>
        </w:rPr>
        <w:t xml:space="preserve"> to</w:t>
      </w:r>
      <w:r w:rsidRPr="00EF6115" w:rsidR="00D83640">
        <w:rPr>
          <w:szCs w:val="22"/>
        </w:rPr>
        <w:t xml:space="preserve"> </w:t>
      </w:r>
      <w:r w:rsidRPr="00EF6115" w:rsidR="009A06F3">
        <w:rPr>
          <w:szCs w:val="22"/>
        </w:rPr>
        <w:t>Eligible Telecommunications Carriers</w:t>
      </w:r>
      <w:r w:rsidRPr="00EF6115" w:rsidR="00B47B62">
        <w:rPr>
          <w:szCs w:val="22"/>
        </w:rPr>
        <w:t xml:space="preserve"> to </w:t>
      </w:r>
      <w:r w:rsidRPr="00EF6115" w:rsidR="00CC5935">
        <w:rPr>
          <w:szCs w:val="22"/>
        </w:rPr>
        <w:t xml:space="preserve">bring </w:t>
      </w:r>
      <w:r w:rsidRPr="00EF6115" w:rsidR="009A06F3">
        <w:rPr>
          <w:szCs w:val="22"/>
        </w:rPr>
        <w:t xml:space="preserve">broadband capable voice networks </w:t>
      </w:r>
      <w:r w:rsidRPr="00EF6115" w:rsidR="00CC5935">
        <w:rPr>
          <w:szCs w:val="22"/>
        </w:rPr>
        <w:t>to consumers</w:t>
      </w:r>
      <w:r w:rsidRPr="00EF6115" w:rsidR="004E7ECD">
        <w:rPr>
          <w:szCs w:val="22"/>
        </w:rPr>
        <w:t xml:space="preserve"> </w:t>
      </w:r>
      <w:r w:rsidRPr="00EF6115" w:rsidR="00677F5E">
        <w:rPr>
          <w:szCs w:val="22"/>
        </w:rPr>
        <w:t xml:space="preserve">living </w:t>
      </w:r>
      <w:r w:rsidRPr="00EF6115" w:rsidR="004E7ECD">
        <w:rPr>
          <w:szCs w:val="22"/>
        </w:rPr>
        <w:t>in rural, insular and high</w:t>
      </w:r>
      <w:r w:rsidRPr="00EF6115" w:rsidR="000630EC">
        <w:rPr>
          <w:szCs w:val="22"/>
        </w:rPr>
        <w:t>-cost areas</w:t>
      </w:r>
      <w:r w:rsidRPr="00EF6115" w:rsidR="00EB5247">
        <w:rPr>
          <w:szCs w:val="22"/>
        </w:rPr>
        <w:t>.</w:t>
      </w:r>
      <w:r w:rsidRPr="00EF6115" w:rsidR="009A06F3">
        <w:rPr>
          <w:szCs w:val="22"/>
        </w:rPr>
        <w:t xml:space="preserve">  Receipt of support is conditioned on</w:t>
      </w:r>
      <w:r w:rsidRPr="00EF6115" w:rsidR="008D40C6">
        <w:rPr>
          <w:szCs w:val="22"/>
        </w:rPr>
        <w:t>, in part,</w:t>
      </w:r>
      <w:r w:rsidRPr="00EF6115" w:rsidR="009A06F3">
        <w:rPr>
          <w:szCs w:val="22"/>
        </w:rPr>
        <w:t xml:space="preserve"> carriers </w:t>
      </w:r>
      <w:r w:rsidRPr="00EF6115" w:rsidR="008A7458">
        <w:rPr>
          <w:szCs w:val="22"/>
        </w:rPr>
        <w:t>satisf</w:t>
      </w:r>
      <w:r w:rsidRPr="00EF6115" w:rsidR="009A06F3">
        <w:rPr>
          <w:szCs w:val="22"/>
        </w:rPr>
        <w:t>ying</w:t>
      </w:r>
      <w:r w:rsidRPr="00EF6115" w:rsidR="008A7458">
        <w:rPr>
          <w:szCs w:val="22"/>
        </w:rPr>
        <w:t xml:space="preserve"> deployment </w:t>
      </w:r>
      <w:r w:rsidRPr="00EF6115" w:rsidR="00EA3F3A">
        <w:rPr>
          <w:szCs w:val="22"/>
        </w:rPr>
        <w:t>obligations</w:t>
      </w:r>
      <w:r w:rsidRPr="00EF6115" w:rsidR="008A7458">
        <w:rPr>
          <w:szCs w:val="22"/>
        </w:rPr>
        <w:t xml:space="preserve"> and </w:t>
      </w:r>
      <w:r w:rsidRPr="00EF6115" w:rsidR="00EA3F3A">
        <w:rPr>
          <w:szCs w:val="22"/>
        </w:rPr>
        <w:t xml:space="preserve">annually </w:t>
      </w:r>
      <w:r w:rsidRPr="00EF6115" w:rsidR="008A7458">
        <w:rPr>
          <w:szCs w:val="22"/>
        </w:rPr>
        <w:t>report</w:t>
      </w:r>
      <w:r w:rsidRPr="00EF6115" w:rsidR="009A06F3">
        <w:rPr>
          <w:szCs w:val="22"/>
        </w:rPr>
        <w:t>ing</w:t>
      </w:r>
      <w:r w:rsidRPr="00EF6115" w:rsidR="008A7458">
        <w:rPr>
          <w:szCs w:val="22"/>
        </w:rPr>
        <w:t xml:space="preserve"> their deployment through the High-Cost Universal Broadband (HUBB) portal. </w:t>
      </w:r>
      <w:r w:rsidRPr="00EF6115" w:rsidR="001E5405">
        <w:rPr>
          <w:szCs w:val="22"/>
        </w:rPr>
        <w:t xml:space="preserve"> </w:t>
      </w:r>
      <w:r w:rsidRPr="00EF6115" w:rsidR="00EA3F3A">
        <w:rPr>
          <w:szCs w:val="22"/>
        </w:rPr>
        <w:t>Our reporting</w:t>
      </w:r>
      <w:r w:rsidRPr="00EF6115" w:rsidR="00D0358A">
        <w:rPr>
          <w:szCs w:val="22"/>
        </w:rPr>
        <w:t xml:space="preserve"> </w:t>
      </w:r>
      <w:r w:rsidRPr="00EF6115" w:rsidR="008D40C6">
        <w:rPr>
          <w:szCs w:val="22"/>
        </w:rPr>
        <w:t>requirement</w:t>
      </w:r>
      <w:r w:rsidRPr="00EF6115" w:rsidR="00436331">
        <w:rPr>
          <w:szCs w:val="22"/>
        </w:rPr>
        <w:t>s</w:t>
      </w:r>
      <w:r w:rsidRPr="00EF6115" w:rsidR="00EA3F3A">
        <w:rPr>
          <w:szCs w:val="22"/>
        </w:rPr>
        <w:t xml:space="preserve"> </w:t>
      </w:r>
      <w:r w:rsidRPr="00EF6115" w:rsidR="00436331">
        <w:rPr>
          <w:szCs w:val="22"/>
        </w:rPr>
        <w:t xml:space="preserve">are </w:t>
      </w:r>
      <w:r w:rsidRPr="00EF6115" w:rsidR="00EA3F3A">
        <w:rPr>
          <w:szCs w:val="22"/>
        </w:rPr>
        <w:t xml:space="preserve">necessary for </w:t>
      </w:r>
      <w:r w:rsidRPr="00EF6115" w:rsidR="008D40C6">
        <w:rPr>
          <w:szCs w:val="22"/>
        </w:rPr>
        <w:t>the C</w:t>
      </w:r>
      <w:r w:rsidRPr="00EF6115" w:rsidR="00D0358A">
        <w:rPr>
          <w:szCs w:val="22"/>
        </w:rPr>
        <w:t xml:space="preserve">ommission to monitor </w:t>
      </w:r>
      <w:r w:rsidRPr="00EF6115" w:rsidR="00E92FEB">
        <w:rPr>
          <w:szCs w:val="22"/>
        </w:rPr>
        <w:t>carriers</w:t>
      </w:r>
      <w:r w:rsidRPr="00EF6115" w:rsidR="001A64FB">
        <w:rPr>
          <w:szCs w:val="22"/>
        </w:rPr>
        <w:t xml:space="preserve">’ progress and </w:t>
      </w:r>
      <w:r w:rsidRPr="00EF6115" w:rsidR="00436331">
        <w:rPr>
          <w:szCs w:val="22"/>
        </w:rPr>
        <w:t xml:space="preserve">significantly </w:t>
      </w:r>
      <w:r w:rsidRPr="00EF6115" w:rsidR="00E92FEB">
        <w:rPr>
          <w:szCs w:val="22"/>
        </w:rPr>
        <w:t>aid in deterring</w:t>
      </w:r>
      <w:r w:rsidRPr="00EF6115" w:rsidR="008A7458">
        <w:rPr>
          <w:szCs w:val="22"/>
        </w:rPr>
        <w:t xml:space="preserve"> waste, </w:t>
      </w:r>
      <w:r w:rsidRPr="00EF6115" w:rsidR="00055A60">
        <w:rPr>
          <w:szCs w:val="22"/>
        </w:rPr>
        <w:t>fraud, and abuse</w:t>
      </w:r>
      <w:r w:rsidRPr="00EF6115" w:rsidR="008A7458">
        <w:rPr>
          <w:szCs w:val="22"/>
        </w:rPr>
        <w:t xml:space="preserve"> of </w:t>
      </w:r>
      <w:r w:rsidRPr="00EF6115" w:rsidR="00E92FEB">
        <w:rPr>
          <w:szCs w:val="22"/>
        </w:rPr>
        <w:t xml:space="preserve">federal funds.  </w:t>
      </w:r>
      <w:r w:rsidRPr="00EF6115" w:rsidR="229A549C">
        <w:rPr>
          <w:szCs w:val="22"/>
        </w:rPr>
        <w:t>Carriers that f</w:t>
      </w:r>
      <w:r w:rsidRPr="00EF6115" w:rsidR="57DD5321">
        <w:rPr>
          <w:szCs w:val="22"/>
        </w:rPr>
        <w:t xml:space="preserve">ail to comply with </w:t>
      </w:r>
      <w:r w:rsidRPr="00EF6115" w:rsidR="001A64FB">
        <w:rPr>
          <w:szCs w:val="22"/>
        </w:rPr>
        <w:t>our</w:t>
      </w:r>
      <w:r w:rsidRPr="00EF6115" w:rsidR="57DD5321">
        <w:rPr>
          <w:szCs w:val="22"/>
        </w:rPr>
        <w:t xml:space="preserve"> reporting obligations </w:t>
      </w:r>
      <w:r w:rsidRPr="00EF6115" w:rsidR="32086AF8">
        <w:rPr>
          <w:szCs w:val="22"/>
        </w:rPr>
        <w:t xml:space="preserve">are </w:t>
      </w:r>
      <w:r w:rsidRPr="00EF6115" w:rsidR="003C2F9A">
        <w:rPr>
          <w:szCs w:val="22"/>
        </w:rPr>
        <w:t>subject</w:t>
      </w:r>
      <w:r w:rsidRPr="00EF6115" w:rsidR="6A60B4AB">
        <w:rPr>
          <w:szCs w:val="22"/>
        </w:rPr>
        <w:t xml:space="preserve"> </w:t>
      </w:r>
      <w:r w:rsidRPr="00EF6115" w:rsidR="003C2F9A">
        <w:rPr>
          <w:szCs w:val="22"/>
        </w:rPr>
        <w:t>to support reductions</w:t>
      </w:r>
      <w:r w:rsidRPr="00EF6115" w:rsidR="00555848">
        <w:rPr>
          <w:szCs w:val="22"/>
        </w:rPr>
        <w:t>.</w:t>
      </w:r>
      <w:r>
        <w:rPr>
          <w:rStyle w:val="FootnoteReference"/>
          <w:sz w:val="22"/>
          <w:szCs w:val="22"/>
        </w:rPr>
        <w:footnoteReference w:id="4"/>
      </w:r>
      <w:r w:rsidRPr="00EF6115" w:rsidR="00AC6521">
        <w:rPr>
          <w:szCs w:val="22"/>
        </w:rPr>
        <w:t xml:space="preserve">  </w:t>
      </w:r>
    </w:p>
    <w:p w:rsidR="00833544" w:rsidRPr="00EF6115" w:rsidP="00B05420" w14:paraId="567E3395" w14:textId="0C639EE7">
      <w:pPr>
        <w:pStyle w:val="ParaNum"/>
        <w:widowControl/>
        <w:rPr>
          <w:szCs w:val="22"/>
        </w:rPr>
      </w:pPr>
      <w:r w:rsidRPr="00EF6115">
        <w:rPr>
          <w:szCs w:val="22"/>
        </w:rPr>
        <w:t>As</w:t>
      </w:r>
      <w:r w:rsidRPr="00EF6115" w:rsidR="009212C0">
        <w:rPr>
          <w:szCs w:val="22"/>
        </w:rPr>
        <w:t xml:space="preserve"> </w:t>
      </w:r>
      <w:r w:rsidRPr="00EF6115" w:rsidR="001A64FB">
        <w:rPr>
          <w:szCs w:val="22"/>
        </w:rPr>
        <w:t>carriers</w:t>
      </w:r>
      <w:r w:rsidRPr="00EF6115" w:rsidR="00EE225B">
        <w:rPr>
          <w:szCs w:val="22"/>
        </w:rPr>
        <w:t xml:space="preserve"> participating in </w:t>
      </w:r>
      <w:r w:rsidRPr="00EF6115" w:rsidR="00EF7E36">
        <w:rPr>
          <w:szCs w:val="22"/>
        </w:rPr>
        <w:t xml:space="preserve">the Commission’s </w:t>
      </w:r>
      <w:r w:rsidRPr="00EF6115" w:rsidR="00AC3338">
        <w:rPr>
          <w:szCs w:val="22"/>
        </w:rPr>
        <w:t>H</w:t>
      </w:r>
      <w:r w:rsidRPr="00EF6115" w:rsidR="00EF7E36">
        <w:rPr>
          <w:szCs w:val="22"/>
        </w:rPr>
        <w:t>igh-</w:t>
      </w:r>
      <w:r w:rsidRPr="00EF6115" w:rsidR="00AC3338">
        <w:rPr>
          <w:szCs w:val="22"/>
        </w:rPr>
        <w:t>C</w:t>
      </w:r>
      <w:r w:rsidRPr="00EF6115" w:rsidR="00EF7E36">
        <w:rPr>
          <w:szCs w:val="22"/>
        </w:rPr>
        <w:t xml:space="preserve">ost program, </w:t>
      </w:r>
      <w:r w:rsidRPr="00EF6115" w:rsidR="00D907B6">
        <w:rPr>
          <w:szCs w:val="22"/>
        </w:rPr>
        <w:t>Bloomin</w:t>
      </w:r>
      <w:r w:rsidRPr="00EF6115" w:rsidR="00B47DBE">
        <w:rPr>
          <w:szCs w:val="22"/>
        </w:rPr>
        <w:t>g</w:t>
      </w:r>
      <w:r w:rsidRPr="00EF6115" w:rsidR="00D907B6">
        <w:rPr>
          <w:szCs w:val="22"/>
        </w:rPr>
        <w:t xml:space="preserve">dale Telephone </w:t>
      </w:r>
      <w:r w:rsidRPr="00EF6115" w:rsidR="00F64F35">
        <w:rPr>
          <w:szCs w:val="22"/>
        </w:rPr>
        <w:t xml:space="preserve">Company (Bloomingdale) and State Telephone Company </w:t>
      </w:r>
      <w:r w:rsidRPr="00EF6115" w:rsidR="00E44141">
        <w:rPr>
          <w:szCs w:val="22"/>
        </w:rPr>
        <w:t>(State) (collectively, Petitioners)</w:t>
      </w:r>
      <w:r w:rsidRPr="00EF6115" w:rsidR="00AC6521">
        <w:rPr>
          <w:szCs w:val="22"/>
        </w:rPr>
        <w:t xml:space="preserve"> are subject to these requirements.</w:t>
      </w:r>
      <w:r w:rsidRPr="00EF6115" w:rsidR="005B4069">
        <w:rPr>
          <w:szCs w:val="22"/>
        </w:rPr>
        <w:t xml:space="preserve">  </w:t>
      </w:r>
      <w:r w:rsidRPr="00EF6115" w:rsidR="008B200E">
        <w:rPr>
          <w:szCs w:val="22"/>
        </w:rPr>
        <w:t>I</w:t>
      </w:r>
      <w:r w:rsidRPr="00EF6115" w:rsidR="002832C3">
        <w:rPr>
          <w:szCs w:val="22"/>
        </w:rPr>
        <w:t xml:space="preserve">n 2018, State </w:t>
      </w:r>
      <w:r w:rsidRPr="00EF6115" w:rsidR="00FA33FA">
        <w:rPr>
          <w:szCs w:val="22"/>
        </w:rPr>
        <w:t>timely filed i</w:t>
      </w:r>
      <w:r w:rsidRPr="00EF6115" w:rsidR="001E0751">
        <w:rPr>
          <w:szCs w:val="22"/>
        </w:rPr>
        <w:t xml:space="preserve">ts annual report but did not </w:t>
      </w:r>
      <w:r w:rsidRPr="00EF6115" w:rsidR="00167C27">
        <w:rPr>
          <w:szCs w:val="22"/>
        </w:rPr>
        <w:t>fully understand the reporting time period</w:t>
      </w:r>
      <w:r w:rsidRPr="00EF6115" w:rsidR="00994512">
        <w:rPr>
          <w:szCs w:val="22"/>
        </w:rPr>
        <w:t>,</w:t>
      </w:r>
      <w:r w:rsidRPr="00EF6115" w:rsidR="007D3614">
        <w:rPr>
          <w:szCs w:val="22"/>
        </w:rPr>
        <w:t xml:space="preserve"> which led to</w:t>
      </w:r>
      <w:r w:rsidRPr="00EF6115" w:rsidR="00CD0D02">
        <w:rPr>
          <w:szCs w:val="22"/>
        </w:rPr>
        <w:t xml:space="preserve"> an incorrect filing.  </w:t>
      </w:r>
      <w:r w:rsidRPr="00EF6115" w:rsidR="00FA33FA">
        <w:rPr>
          <w:szCs w:val="22"/>
        </w:rPr>
        <w:t xml:space="preserve">In 2019, both State and Bloomingdale </w:t>
      </w:r>
      <w:r w:rsidRPr="00EF6115" w:rsidR="00715395">
        <w:rPr>
          <w:szCs w:val="22"/>
        </w:rPr>
        <w:t xml:space="preserve">failed to </w:t>
      </w:r>
      <w:r w:rsidRPr="00EF6115" w:rsidR="00E3685C">
        <w:rPr>
          <w:szCs w:val="22"/>
        </w:rPr>
        <w:t xml:space="preserve">timely file their </w:t>
      </w:r>
      <w:r w:rsidRPr="00EF6115" w:rsidR="00A36AA2">
        <w:rPr>
          <w:szCs w:val="22"/>
        </w:rPr>
        <w:t xml:space="preserve">annual report, which resulted in a support reduction assessed in </w:t>
      </w:r>
      <w:r w:rsidRPr="00EF6115" w:rsidR="005C1E58">
        <w:rPr>
          <w:szCs w:val="22"/>
        </w:rPr>
        <w:t>January 2020.</w:t>
      </w:r>
      <w:r w:rsidRPr="00EF6115" w:rsidR="0027216F">
        <w:rPr>
          <w:szCs w:val="22"/>
        </w:rPr>
        <w:t xml:space="preserve">  </w:t>
      </w:r>
      <w:r w:rsidRPr="00EF6115" w:rsidR="00360E01">
        <w:rPr>
          <w:szCs w:val="22"/>
        </w:rPr>
        <w:t xml:space="preserve">The Petitioners </w:t>
      </w:r>
      <w:r w:rsidRPr="00EF6115" w:rsidR="00994512">
        <w:rPr>
          <w:szCs w:val="22"/>
        </w:rPr>
        <w:t xml:space="preserve">separately </w:t>
      </w:r>
      <w:r w:rsidRPr="00EF6115" w:rsidR="00360E01">
        <w:rPr>
          <w:szCs w:val="22"/>
        </w:rPr>
        <w:t xml:space="preserve">sought </w:t>
      </w:r>
      <w:r w:rsidRPr="00EF6115" w:rsidR="005B4069">
        <w:rPr>
          <w:szCs w:val="22"/>
        </w:rPr>
        <w:t>relief</w:t>
      </w:r>
      <w:r w:rsidRPr="00EF6115" w:rsidR="00994512">
        <w:rPr>
          <w:szCs w:val="22"/>
        </w:rPr>
        <w:t xml:space="preserve"> </w:t>
      </w:r>
      <w:r w:rsidRPr="00EF6115" w:rsidR="00621287">
        <w:rPr>
          <w:szCs w:val="22"/>
        </w:rPr>
        <w:t>from</w:t>
      </w:r>
      <w:r w:rsidRPr="00EF6115" w:rsidR="005B4069">
        <w:rPr>
          <w:szCs w:val="22"/>
        </w:rPr>
        <w:t xml:space="preserve"> the</w:t>
      </w:r>
      <w:r w:rsidRPr="00EF6115" w:rsidR="00BB47E5">
        <w:rPr>
          <w:szCs w:val="22"/>
        </w:rPr>
        <w:t xml:space="preserve"> Wireline Competition Bureau (Bureau)</w:t>
      </w:r>
      <w:r w:rsidRPr="00EF6115" w:rsidR="00E359D7">
        <w:rPr>
          <w:szCs w:val="22"/>
        </w:rPr>
        <w:t>.  State sought relief to correct its 2018</w:t>
      </w:r>
      <w:r w:rsidRPr="00EF6115" w:rsidR="009D2E73">
        <w:rPr>
          <w:szCs w:val="22"/>
        </w:rPr>
        <w:t xml:space="preserve"> filing</w:t>
      </w:r>
      <w:r w:rsidRPr="00EF6115" w:rsidR="00E359D7">
        <w:rPr>
          <w:szCs w:val="22"/>
        </w:rPr>
        <w:t xml:space="preserve"> after the deadline</w:t>
      </w:r>
      <w:r w:rsidRPr="00EF6115" w:rsidR="00F02BC8">
        <w:rPr>
          <w:szCs w:val="22"/>
        </w:rPr>
        <w:t xml:space="preserve"> to report locations it w</w:t>
      </w:r>
      <w:r w:rsidRPr="00EF6115" w:rsidR="0027216F">
        <w:rPr>
          <w:szCs w:val="22"/>
        </w:rPr>
        <w:t>as required to report, and it sought relief of the 2019</w:t>
      </w:r>
      <w:r w:rsidRPr="00EF6115" w:rsidR="00E359D7">
        <w:rPr>
          <w:szCs w:val="22"/>
        </w:rPr>
        <w:t xml:space="preserve"> filing</w:t>
      </w:r>
      <w:r w:rsidRPr="00EF6115" w:rsidR="0027216F">
        <w:rPr>
          <w:szCs w:val="22"/>
        </w:rPr>
        <w:t xml:space="preserve"> deadline</w:t>
      </w:r>
      <w:r w:rsidRPr="00EF6115" w:rsidR="002058EE">
        <w:rPr>
          <w:szCs w:val="22"/>
        </w:rPr>
        <w:t>.  Bloomingdale</w:t>
      </w:r>
      <w:r w:rsidRPr="00EF6115" w:rsidR="00CC76D9">
        <w:rPr>
          <w:szCs w:val="22"/>
        </w:rPr>
        <w:t xml:space="preserve">, jointly with </w:t>
      </w:r>
      <w:r w:rsidRPr="00EF6115" w:rsidR="00CC76D9">
        <w:rPr>
          <w:szCs w:val="22"/>
        </w:rPr>
        <w:t>ComSouth</w:t>
      </w:r>
      <w:r w:rsidRPr="00EF6115" w:rsidR="00512103">
        <w:rPr>
          <w:szCs w:val="22"/>
        </w:rPr>
        <w:t xml:space="preserve"> Corporation</w:t>
      </w:r>
      <w:r w:rsidRPr="00EF6115" w:rsidR="000979E8">
        <w:rPr>
          <w:szCs w:val="22"/>
        </w:rPr>
        <w:t xml:space="preserve"> (</w:t>
      </w:r>
      <w:r w:rsidRPr="00EF6115" w:rsidR="000979E8">
        <w:rPr>
          <w:szCs w:val="22"/>
        </w:rPr>
        <w:t>ComSouth</w:t>
      </w:r>
      <w:r w:rsidRPr="00EF6115" w:rsidR="000979E8">
        <w:rPr>
          <w:szCs w:val="22"/>
        </w:rPr>
        <w:t>)</w:t>
      </w:r>
      <w:r w:rsidRPr="00EF6115" w:rsidR="002058EE">
        <w:rPr>
          <w:szCs w:val="22"/>
        </w:rPr>
        <w:t xml:space="preserve"> sought relief of the 2019 deadline.  The Bureau denied both request</w:t>
      </w:r>
      <w:r w:rsidRPr="00EF6115" w:rsidR="007F6EEF">
        <w:rPr>
          <w:szCs w:val="22"/>
        </w:rPr>
        <w:t>s</w:t>
      </w:r>
      <w:r w:rsidRPr="00EF6115" w:rsidR="002058EE">
        <w:rPr>
          <w:szCs w:val="22"/>
        </w:rPr>
        <w:t xml:space="preserve">, and the </w:t>
      </w:r>
      <w:r w:rsidRPr="00EF6115" w:rsidR="00E44141">
        <w:rPr>
          <w:szCs w:val="22"/>
        </w:rPr>
        <w:t>Petitioners</w:t>
      </w:r>
      <w:r w:rsidRPr="00EF6115" w:rsidR="002058EE">
        <w:rPr>
          <w:szCs w:val="22"/>
        </w:rPr>
        <w:t xml:space="preserve"> </w:t>
      </w:r>
      <w:r w:rsidRPr="00EF6115" w:rsidR="000B69A7">
        <w:rPr>
          <w:szCs w:val="22"/>
        </w:rPr>
        <w:t xml:space="preserve">seek reversal </w:t>
      </w:r>
      <w:r w:rsidRPr="00EF6115" w:rsidR="00B05420">
        <w:rPr>
          <w:szCs w:val="22"/>
        </w:rPr>
        <w:t xml:space="preserve">of the Bureau’s </w:t>
      </w:r>
      <w:r w:rsidRPr="00EF6115" w:rsidR="00B05420">
        <w:rPr>
          <w:szCs w:val="22"/>
        </w:rPr>
        <w:t>denials.</w:t>
      </w:r>
      <w:r>
        <w:rPr>
          <w:rStyle w:val="FootnoteReference"/>
          <w:sz w:val="22"/>
          <w:szCs w:val="22"/>
        </w:rPr>
        <w:footnoteReference w:id="5"/>
      </w:r>
      <w:r w:rsidRPr="00EF6115" w:rsidR="006F748B">
        <w:rPr>
          <w:szCs w:val="22"/>
        </w:rPr>
        <w:t xml:space="preserve">  </w:t>
      </w:r>
      <w:r w:rsidRPr="00EF6115" w:rsidR="7A020D76">
        <w:rPr>
          <w:szCs w:val="22"/>
        </w:rPr>
        <w:t xml:space="preserve">For the reasons set forth below, </w:t>
      </w:r>
      <w:r w:rsidRPr="00EF6115" w:rsidR="00B05420">
        <w:rPr>
          <w:szCs w:val="22"/>
        </w:rPr>
        <w:t>we reverse the Bureau’s decision</w:t>
      </w:r>
      <w:r w:rsidRPr="00EF6115" w:rsidR="00B9397B">
        <w:rPr>
          <w:szCs w:val="22"/>
        </w:rPr>
        <w:t xml:space="preserve"> and grant the </w:t>
      </w:r>
      <w:r w:rsidRPr="00EF6115" w:rsidR="00110A91">
        <w:rPr>
          <w:szCs w:val="22"/>
        </w:rPr>
        <w:t xml:space="preserve">waiver requests of Petitioners and </w:t>
      </w:r>
      <w:r w:rsidRPr="00EF6115" w:rsidR="00110A91">
        <w:rPr>
          <w:szCs w:val="22"/>
        </w:rPr>
        <w:t>ComSouth</w:t>
      </w:r>
      <w:r w:rsidRPr="00EF6115" w:rsidR="00B05420">
        <w:rPr>
          <w:szCs w:val="22"/>
        </w:rPr>
        <w:t xml:space="preserve">.  </w:t>
      </w:r>
    </w:p>
    <w:p w:rsidR="00224F02" w:rsidRPr="00EF6115" w:rsidP="00224F02" w14:paraId="1E8F5505" w14:textId="6AEFB609">
      <w:pPr>
        <w:pStyle w:val="Heading1"/>
        <w:rPr>
          <w:rFonts w:ascii="Times New Roman" w:hAnsi="Times New Roman"/>
          <w:szCs w:val="22"/>
        </w:rPr>
      </w:pPr>
      <w:r w:rsidRPr="00EF6115">
        <w:rPr>
          <w:rFonts w:ascii="Times New Roman" w:hAnsi="Times New Roman"/>
          <w:szCs w:val="22"/>
        </w:rPr>
        <w:t>Background</w:t>
      </w:r>
    </w:p>
    <w:p w:rsidR="00224F02" w:rsidRPr="00EF6115" w:rsidP="00C46D66" w14:paraId="092766C4" w14:textId="4733B0B1">
      <w:pPr>
        <w:pStyle w:val="ParaNum"/>
        <w:widowControl/>
        <w:rPr>
          <w:szCs w:val="22"/>
        </w:rPr>
      </w:pPr>
      <w:r w:rsidRPr="00EF6115">
        <w:rPr>
          <w:i/>
          <w:iCs/>
          <w:szCs w:val="22"/>
        </w:rPr>
        <w:t>Applicable Rules</w:t>
      </w:r>
      <w:r w:rsidRPr="00EF6115">
        <w:rPr>
          <w:szCs w:val="22"/>
        </w:rPr>
        <w:t xml:space="preserve">.  The 2016 </w:t>
      </w:r>
      <w:r w:rsidRPr="00EF6115">
        <w:rPr>
          <w:i/>
          <w:iCs/>
          <w:szCs w:val="22"/>
        </w:rPr>
        <w:t>Rate-of-Return Reform Order</w:t>
      </w:r>
      <w:r w:rsidRPr="00EF6115">
        <w:rPr>
          <w:szCs w:val="22"/>
        </w:rPr>
        <w:t xml:space="preserve"> adopted new annual reporting requirements for rate-of-return eligible telecommunications carriers (ETCs).</w:t>
      </w:r>
      <w:r>
        <w:rPr>
          <w:rStyle w:val="FootnoteReference"/>
          <w:sz w:val="22"/>
          <w:szCs w:val="22"/>
        </w:rPr>
        <w:footnoteReference w:id="6"/>
      </w:r>
      <w:r w:rsidRPr="00EF6115">
        <w:rPr>
          <w:szCs w:val="22"/>
        </w:rPr>
        <w:t xml:space="preserve">  The </w:t>
      </w:r>
      <w:r w:rsidRPr="00EF6115" w:rsidR="00881F2F">
        <w:rPr>
          <w:szCs w:val="22"/>
        </w:rPr>
        <w:t>O</w:t>
      </w:r>
      <w:r w:rsidRPr="00EF6115">
        <w:rPr>
          <w:szCs w:val="22"/>
        </w:rPr>
        <w:t xml:space="preserve">rder directed these ETCs “to submit to </w:t>
      </w:r>
      <w:r w:rsidRPr="00EF6115" w:rsidR="00061BF3">
        <w:rPr>
          <w:szCs w:val="22"/>
        </w:rPr>
        <w:t>the Universal Service Administrative Company (USAC)</w:t>
      </w:r>
      <w:r w:rsidRPr="00EF6115">
        <w:rPr>
          <w:szCs w:val="22"/>
        </w:rPr>
        <w:t xml:space="preserve"> the geocoded locations to which they have newly deployed broadband”</w:t>
      </w:r>
      <w:r w:rsidRPr="00EF6115" w:rsidR="00CC031C">
        <w:rPr>
          <w:szCs w:val="22"/>
        </w:rPr>
        <w:t xml:space="preserve"> on a recurring basis.</w:t>
      </w:r>
      <w:r>
        <w:rPr>
          <w:rStyle w:val="FootnoteReference"/>
          <w:sz w:val="22"/>
          <w:szCs w:val="22"/>
        </w:rPr>
        <w:footnoteReference w:id="7"/>
      </w:r>
      <w:r w:rsidRPr="00EF6115">
        <w:rPr>
          <w:szCs w:val="22"/>
        </w:rPr>
        <w:t xml:space="preserve">  ETCs must provide </w:t>
      </w:r>
      <w:r w:rsidRPr="00EF6115" w:rsidR="00F82699">
        <w:rPr>
          <w:szCs w:val="22"/>
        </w:rPr>
        <w:t>annual certifications with this geocoded location information data to demonstrate the ETC is on track to meet its deployment obligations.</w:t>
      </w:r>
      <w:r>
        <w:rPr>
          <w:rStyle w:val="FootnoteReference"/>
          <w:sz w:val="22"/>
          <w:szCs w:val="22"/>
        </w:rPr>
        <w:footnoteReference w:id="8"/>
      </w:r>
    </w:p>
    <w:p w:rsidR="00F82699" w:rsidRPr="00EF6115" w:rsidP="002211DF" w14:paraId="5B917DF1" w14:textId="27FD7800">
      <w:pPr>
        <w:pStyle w:val="ParaNum"/>
        <w:rPr>
          <w:szCs w:val="22"/>
        </w:rPr>
      </w:pPr>
      <w:r w:rsidRPr="00EF6115">
        <w:rPr>
          <w:szCs w:val="22"/>
        </w:rPr>
        <w:t xml:space="preserve">The </w:t>
      </w:r>
      <w:r w:rsidRPr="00EF6115">
        <w:rPr>
          <w:i/>
          <w:iCs/>
          <w:szCs w:val="22"/>
        </w:rPr>
        <w:t>Rate-of-Return Reform Order</w:t>
      </w:r>
      <w:r w:rsidRPr="00EF6115">
        <w:rPr>
          <w:szCs w:val="22"/>
        </w:rPr>
        <w:t xml:space="preserve"> further directed USAC to develop an online system to accept the geocoded location information data and related certifications.</w:t>
      </w:r>
      <w:r>
        <w:rPr>
          <w:rStyle w:val="FootnoteReference"/>
          <w:sz w:val="22"/>
          <w:szCs w:val="22"/>
        </w:rPr>
        <w:footnoteReference w:id="9"/>
      </w:r>
      <w:r w:rsidRPr="00EF6115">
        <w:rPr>
          <w:szCs w:val="22"/>
        </w:rPr>
        <w:t xml:space="preserve">  In response, U</w:t>
      </w:r>
      <w:r w:rsidRPr="00EF6115" w:rsidR="005E55F9">
        <w:rPr>
          <w:szCs w:val="22"/>
        </w:rPr>
        <w:t>SA</w:t>
      </w:r>
      <w:r w:rsidRPr="00EF6115">
        <w:rPr>
          <w:szCs w:val="22"/>
        </w:rPr>
        <w:t>C developed the HUBB portal.  ETC</w:t>
      </w:r>
      <w:r w:rsidRPr="00EF6115" w:rsidR="005E55F9">
        <w:rPr>
          <w:szCs w:val="22"/>
        </w:rPr>
        <w:t>s</w:t>
      </w:r>
      <w:r w:rsidRPr="00EF6115">
        <w:rPr>
          <w:szCs w:val="22"/>
        </w:rPr>
        <w:t xml:space="preserve"> receiving high-cost support must file</w:t>
      </w:r>
      <w:r w:rsidRPr="00EF6115" w:rsidR="00E00839">
        <w:rPr>
          <w:szCs w:val="22"/>
        </w:rPr>
        <w:t xml:space="preserve"> </w:t>
      </w:r>
      <w:r w:rsidRPr="00EF6115">
        <w:rPr>
          <w:szCs w:val="22"/>
        </w:rPr>
        <w:t>their geocoded location information data and related certifications through the HUBB</w:t>
      </w:r>
      <w:r w:rsidRPr="00EF6115" w:rsidR="1DEBE5DA">
        <w:rPr>
          <w:szCs w:val="22"/>
        </w:rPr>
        <w:t xml:space="preserve"> portal</w:t>
      </w:r>
      <w:r w:rsidRPr="00EF6115">
        <w:rPr>
          <w:szCs w:val="22"/>
        </w:rPr>
        <w:t>.</w:t>
      </w:r>
      <w:r>
        <w:rPr>
          <w:rStyle w:val="FootnoteReference"/>
          <w:sz w:val="22"/>
          <w:szCs w:val="22"/>
        </w:rPr>
        <w:footnoteReference w:id="10"/>
      </w:r>
      <w:r w:rsidRPr="00EF6115">
        <w:rPr>
          <w:szCs w:val="22"/>
        </w:rPr>
        <w:t xml:space="preserve">  Section 54.316 of the Commission’s rules </w:t>
      </w:r>
      <w:r w:rsidRPr="00EF6115" w:rsidR="006DFCC9">
        <w:rPr>
          <w:szCs w:val="22"/>
        </w:rPr>
        <w:t xml:space="preserve">establishes </w:t>
      </w:r>
      <w:r w:rsidRPr="00EF6115">
        <w:rPr>
          <w:szCs w:val="22"/>
        </w:rPr>
        <w:t>the reporting and certification requirements for these ETCs.</w:t>
      </w:r>
      <w:r>
        <w:rPr>
          <w:rStyle w:val="FootnoteReference"/>
          <w:sz w:val="22"/>
          <w:szCs w:val="22"/>
        </w:rPr>
        <w:footnoteReference w:id="11"/>
      </w:r>
      <w:r w:rsidRPr="00EF6115">
        <w:rPr>
          <w:szCs w:val="22"/>
        </w:rPr>
        <w:t xml:space="preserve">  </w:t>
      </w:r>
      <w:r w:rsidRPr="00EF6115" w:rsidR="32D4AABD">
        <w:rPr>
          <w:szCs w:val="22"/>
        </w:rPr>
        <w:t xml:space="preserve">Specifically, </w:t>
      </w:r>
      <w:r w:rsidRPr="00EF6115" w:rsidR="68B7A65C">
        <w:rPr>
          <w:szCs w:val="22"/>
        </w:rPr>
        <w:t>s</w:t>
      </w:r>
      <w:r w:rsidRPr="00EF6115">
        <w:rPr>
          <w:szCs w:val="22"/>
        </w:rPr>
        <w:t>ubsection (a) sets out the broadband reporting requirements, subsection (b) outlines the certification requirements, and subsection (c) establishe</w:t>
      </w:r>
      <w:r w:rsidRPr="00EF6115" w:rsidR="0038478B">
        <w:rPr>
          <w:szCs w:val="22"/>
        </w:rPr>
        <w:t>s</w:t>
      </w:r>
      <w:r w:rsidRPr="00EF6115">
        <w:rPr>
          <w:szCs w:val="22"/>
        </w:rPr>
        <w:t xml:space="preserve"> the filing deadlines and penalties </w:t>
      </w:r>
      <w:r w:rsidRPr="00EF6115" w:rsidR="00CB16A1">
        <w:rPr>
          <w:szCs w:val="22"/>
        </w:rPr>
        <w:t>i</w:t>
      </w:r>
      <w:r w:rsidRPr="00EF6115">
        <w:rPr>
          <w:szCs w:val="22"/>
        </w:rPr>
        <w:t>f an ETC fails to properly report and certify its geocoded location information data.</w:t>
      </w:r>
      <w:r>
        <w:rPr>
          <w:rStyle w:val="FootnoteReference"/>
          <w:sz w:val="22"/>
          <w:szCs w:val="22"/>
        </w:rPr>
        <w:footnoteReference w:id="12"/>
      </w:r>
      <w:r w:rsidRPr="00EF6115" w:rsidR="00CB3291">
        <w:rPr>
          <w:szCs w:val="22"/>
        </w:rPr>
        <w:t xml:space="preserve">  </w:t>
      </w:r>
      <w:r w:rsidRPr="00EF6115" w:rsidR="41C5A1E6">
        <w:rPr>
          <w:szCs w:val="22"/>
        </w:rPr>
        <w:t xml:space="preserve">Carriers’ </w:t>
      </w:r>
      <w:r w:rsidRPr="00EF6115" w:rsidR="00C25A5D">
        <w:rPr>
          <w:szCs w:val="22"/>
        </w:rPr>
        <w:t>reports are due annually</w:t>
      </w:r>
      <w:r w:rsidRPr="00EF6115" w:rsidR="00FD0AD4">
        <w:rPr>
          <w:szCs w:val="22"/>
        </w:rPr>
        <w:t>, by March 1 of a given year for the previous year’s data</w:t>
      </w:r>
      <w:r w:rsidRPr="00EF6115" w:rsidR="00C25A5D">
        <w:rPr>
          <w:szCs w:val="22"/>
        </w:rPr>
        <w:t>.</w:t>
      </w:r>
      <w:r>
        <w:rPr>
          <w:rStyle w:val="FootnoteReference"/>
          <w:sz w:val="22"/>
          <w:szCs w:val="22"/>
        </w:rPr>
        <w:footnoteReference w:id="13"/>
      </w:r>
      <w:r w:rsidRPr="00EF6115" w:rsidR="00C25A5D">
        <w:rPr>
          <w:szCs w:val="22"/>
        </w:rPr>
        <w:t xml:space="preserve">  </w:t>
      </w:r>
      <w:r w:rsidRPr="00EF6115">
        <w:rPr>
          <w:szCs w:val="22"/>
        </w:rPr>
        <w:t>Any carrier that d</w:t>
      </w:r>
      <w:r w:rsidRPr="00EF6115" w:rsidR="008A3E2F">
        <w:rPr>
          <w:szCs w:val="22"/>
        </w:rPr>
        <w:t>o</w:t>
      </w:r>
      <w:r w:rsidRPr="00EF6115" w:rsidR="00042B56">
        <w:rPr>
          <w:szCs w:val="22"/>
        </w:rPr>
        <w:t>es</w:t>
      </w:r>
      <w:r w:rsidRPr="00EF6115">
        <w:rPr>
          <w:szCs w:val="22"/>
        </w:rPr>
        <w:t xml:space="preserve"> not deploy </w:t>
      </w:r>
      <w:r w:rsidRPr="00EF6115" w:rsidR="009F523B">
        <w:rPr>
          <w:szCs w:val="22"/>
        </w:rPr>
        <w:t xml:space="preserve">broadband service </w:t>
      </w:r>
      <w:r w:rsidRPr="00EF6115">
        <w:rPr>
          <w:szCs w:val="22"/>
        </w:rPr>
        <w:t xml:space="preserve">in the prior year must </w:t>
      </w:r>
      <w:r w:rsidRPr="00EF6115" w:rsidR="72905A63">
        <w:rPr>
          <w:szCs w:val="22"/>
        </w:rPr>
        <w:t xml:space="preserve">nonetheless </w:t>
      </w:r>
      <w:r w:rsidRPr="00EF6115">
        <w:rPr>
          <w:szCs w:val="22"/>
        </w:rPr>
        <w:t xml:space="preserve">certify </w:t>
      </w:r>
      <w:r w:rsidRPr="00EF6115" w:rsidR="482C384A">
        <w:rPr>
          <w:szCs w:val="22"/>
        </w:rPr>
        <w:t xml:space="preserve">via the HUBB portal </w:t>
      </w:r>
      <w:r w:rsidRPr="00EF6115">
        <w:rPr>
          <w:szCs w:val="22"/>
        </w:rPr>
        <w:t xml:space="preserve">that </w:t>
      </w:r>
      <w:r w:rsidRPr="00EF6115" w:rsidR="00042B56">
        <w:rPr>
          <w:szCs w:val="22"/>
        </w:rPr>
        <w:t>it has</w:t>
      </w:r>
      <w:r w:rsidRPr="00EF6115">
        <w:rPr>
          <w:szCs w:val="22"/>
        </w:rPr>
        <w:t xml:space="preserve"> no new locations to report</w:t>
      </w:r>
      <w:r w:rsidRPr="00EF6115" w:rsidR="00CF580F">
        <w:rPr>
          <w:szCs w:val="22"/>
        </w:rPr>
        <w:t xml:space="preserve">; otherwise, </w:t>
      </w:r>
      <w:r w:rsidRPr="00EF6115" w:rsidR="00264D5A">
        <w:rPr>
          <w:szCs w:val="22"/>
        </w:rPr>
        <w:t xml:space="preserve">it will </w:t>
      </w:r>
      <w:r w:rsidRPr="00EF6115" w:rsidR="695DF7D3">
        <w:rPr>
          <w:szCs w:val="22"/>
        </w:rPr>
        <w:t xml:space="preserve">have failed to </w:t>
      </w:r>
      <w:r w:rsidRPr="00EF6115" w:rsidR="00264D5A">
        <w:rPr>
          <w:szCs w:val="22"/>
        </w:rPr>
        <w:t>me</w:t>
      </w:r>
      <w:r w:rsidRPr="00EF6115" w:rsidR="5D83C5D7">
        <w:rPr>
          <w:szCs w:val="22"/>
        </w:rPr>
        <w:t>e</w:t>
      </w:r>
      <w:r w:rsidRPr="00EF6115" w:rsidR="00264D5A">
        <w:rPr>
          <w:szCs w:val="22"/>
        </w:rPr>
        <w:t xml:space="preserve">t the Commission’s annual </w:t>
      </w:r>
      <w:r w:rsidRPr="00EF6115" w:rsidR="00793691">
        <w:rPr>
          <w:szCs w:val="22"/>
        </w:rPr>
        <w:t>reporting and certification</w:t>
      </w:r>
      <w:r w:rsidRPr="00EF6115" w:rsidR="5260C869">
        <w:rPr>
          <w:szCs w:val="22"/>
        </w:rPr>
        <w:t xml:space="preserve"> requirement</w:t>
      </w:r>
      <w:r w:rsidRPr="00EF6115">
        <w:rPr>
          <w:szCs w:val="22"/>
        </w:rPr>
        <w:t>.</w:t>
      </w:r>
      <w:r>
        <w:rPr>
          <w:rStyle w:val="FootnoteReference"/>
          <w:sz w:val="22"/>
          <w:szCs w:val="22"/>
        </w:rPr>
        <w:footnoteReference w:id="14"/>
      </w:r>
    </w:p>
    <w:p w:rsidR="00044B46" w:rsidRPr="00EF6115" w:rsidP="00CE1B02" w14:paraId="7F036601" w14:textId="2CD6390C">
      <w:pPr>
        <w:pStyle w:val="ParaNum"/>
        <w:widowControl/>
        <w:rPr>
          <w:szCs w:val="22"/>
        </w:rPr>
      </w:pPr>
      <w:r w:rsidRPr="00EF6115">
        <w:rPr>
          <w:szCs w:val="22"/>
        </w:rPr>
        <w:t xml:space="preserve">On December 2, 2019, the Bureau </w:t>
      </w:r>
      <w:r w:rsidRPr="00EF6115" w:rsidR="0097195B">
        <w:rPr>
          <w:szCs w:val="22"/>
        </w:rPr>
        <w:t>adopted</w:t>
      </w:r>
      <w:r w:rsidRPr="00EF6115">
        <w:rPr>
          <w:szCs w:val="22"/>
        </w:rPr>
        <w:t xml:space="preserve"> an Order granting several petitions for waiver of the March 1, 2018 deadline in part because of confusion relating to the filing requirements </w:t>
      </w:r>
      <w:r w:rsidRPr="00EF6115" w:rsidR="007B5BC2">
        <w:rPr>
          <w:szCs w:val="22"/>
        </w:rPr>
        <w:t xml:space="preserve">for </w:t>
      </w:r>
      <w:r w:rsidRPr="00EF6115">
        <w:rPr>
          <w:szCs w:val="22"/>
        </w:rPr>
        <w:t>the newly</w:t>
      </w:r>
      <w:r w:rsidRPr="00EF6115" w:rsidR="007B5BC2">
        <w:rPr>
          <w:szCs w:val="22"/>
        </w:rPr>
        <w:t xml:space="preserve"> </w:t>
      </w:r>
      <w:r w:rsidRPr="00EF6115">
        <w:rPr>
          <w:szCs w:val="22"/>
        </w:rPr>
        <w:t>created HUBB portal.</w:t>
      </w:r>
      <w:r>
        <w:rPr>
          <w:rStyle w:val="FootnoteReference"/>
          <w:sz w:val="22"/>
          <w:szCs w:val="22"/>
        </w:rPr>
        <w:footnoteReference w:id="15"/>
      </w:r>
      <w:r w:rsidRPr="00EF6115" w:rsidR="007B5BC2">
        <w:rPr>
          <w:szCs w:val="22"/>
        </w:rPr>
        <w:t xml:space="preserve"> </w:t>
      </w:r>
      <w:r w:rsidRPr="00EF6115">
        <w:rPr>
          <w:szCs w:val="22"/>
        </w:rPr>
        <w:t xml:space="preserve"> In that Order, </w:t>
      </w:r>
      <w:r w:rsidRPr="00EF6115" w:rsidR="00E02AC0">
        <w:rPr>
          <w:szCs w:val="22"/>
        </w:rPr>
        <w:t>the Bureau acknowledged</w:t>
      </w:r>
      <w:r w:rsidRPr="00EF6115" w:rsidR="007803B9">
        <w:rPr>
          <w:szCs w:val="22"/>
        </w:rPr>
        <w:t xml:space="preserve"> the potential confusion </w:t>
      </w:r>
      <w:r w:rsidRPr="00EF6115" w:rsidR="0097237D">
        <w:rPr>
          <w:szCs w:val="22"/>
        </w:rPr>
        <w:t xml:space="preserve">about the filing and certification requirements for </w:t>
      </w:r>
      <w:r w:rsidRPr="00EF6115" w:rsidR="00DA6C63">
        <w:rPr>
          <w:szCs w:val="22"/>
        </w:rPr>
        <w:t>ETCs</w:t>
      </w:r>
      <w:r w:rsidRPr="00EF6115" w:rsidR="00E15A75">
        <w:rPr>
          <w:szCs w:val="22"/>
        </w:rPr>
        <w:t xml:space="preserve"> that did not </w:t>
      </w:r>
      <w:r w:rsidRPr="00EF6115" w:rsidR="00DA6C63">
        <w:rPr>
          <w:szCs w:val="22"/>
        </w:rPr>
        <w:t>deploy any locations in the reporting year</w:t>
      </w:r>
      <w:r w:rsidRPr="00EF6115" w:rsidR="00790D42">
        <w:rPr>
          <w:szCs w:val="22"/>
        </w:rPr>
        <w:t>,</w:t>
      </w:r>
      <w:r>
        <w:rPr>
          <w:rStyle w:val="FootnoteReference"/>
          <w:sz w:val="22"/>
          <w:szCs w:val="22"/>
        </w:rPr>
        <w:footnoteReference w:id="16"/>
      </w:r>
      <w:r w:rsidRPr="00EF6115">
        <w:rPr>
          <w:szCs w:val="22"/>
        </w:rPr>
        <w:t xml:space="preserve"> </w:t>
      </w:r>
      <w:r w:rsidRPr="00EF6115" w:rsidR="00090A1D">
        <w:rPr>
          <w:szCs w:val="22"/>
        </w:rPr>
        <w:t>and it stated that, with the release of its Order, i</w:t>
      </w:r>
      <w:r w:rsidRPr="00EF6115" w:rsidR="004B25B0">
        <w:rPr>
          <w:szCs w:val="22"/>
        </w:rPr>
        <w:t>t</w:t>
      </w:r>
      <w:r w:rsidRPr="00EF6115" w:rsidR="00090A1D">
        <w:rPr>
          <w:szCs w:val="22"/>
        </w:rPr>
        <w:t xml:space="preserve"> expected </w:t>
      </w:r>
      <w:r w:rsidRPr="00EF6115" w:rsidR="00A305BE">
        <w:rPr>
          <w:szCs w:val="22"/>
        </w:rPr>
        <w:t>ETCs to be familiar with all relevant reporting requirements</w:t>
      </w:r>
      <w:r w:rsidRPr="00EF6115" w:rsidR="004B25B0">
        <w:rPr>
          <w:szCs w:val="22"/>
        </w:rPr>
        <w:t xml:space="preserve"> in the future</w:t>
      </w:r>
      <w:r w:rsidRPr="00EF6115" w:rsidR="00A305BE">
        <w:rPr>
          <w:szCs w:val="22"/>
        </w:rPr>
        <w:t>.</w:t>
      </w:r>
      <w:r>
        <w:rPr>
          <w:rStyle w:val="FootnoteReference"/>
          <w:sz w:val="22"/>
          <w:szCs w:val="22"/>
        </w:rPr>
        <w:footnoteReference w:id="17"/>
      </w:r>
    </w:p>
    <w:p w:rsidR="00E42743" w:rsidRPr="00EF6115" w:rsidP="00F82699" w14:paraId="2CDD1407" w14:textId="11DBC51C">
      <w:pPr>
        <w:pStyle w:val="ParaNum"/>
        <w:rPr>
          <w:szCs w:val="22"/>
        </w:rPr>
      </w:pPr>
      <w:r w:rsidRPr="00EF6115">
        <w:rPr>
          <w:i/>
          <w:iCs/>
          <w:szCs w:val="22"/>
        </w:rPr>
        <w:t>Bloomingdale</w:t>
      </w:r>
      <w:r w:rsidRPr="00EF6115" w:rsidR="00AF0792">
        <w:rPr>
          <w:i/>
          <w:iCs/>
          <w:szCs w:val="22"/>
        </w:rPr>
        <w:t xml:space="preserve"> and </w:t>
      </w:r>
      <w:r w:rsidRPr="00EF6115" w:rsidR="00AF0792">
        <w:rPr>
          <w:i/>
          <w:iCs/>
          <w:szCs w:val="22"/>
        </w:rPr>
        <w:t>ComSouth</w:t>
      </w:r>
      <w:r w:rsidRPr="00EF6115">
        <w:rPr>
          <w:i/>
          <w:iCs/>
          <w:szCs w:val="22"/>
        </w:rPr>
        <w:t>’s</w:t>
      </w:r>
      <w:r w:rsidRPr="00EF6115">
        <w:rPr>
          <w:i/>
          <w:iCs/>
          <w:szCs w:val="22"/>
        </w:rPr>
        <w:t xml:space="preserve"> </w:t>
      </w:r>
      <w:r w:rsidRPr="00EF6115" w:rsidR="00FD5A53">
        <w:rPr>
          <w:i/>
          <w:iCs/>
          <w:szCs w:val="22"/>
        </w:rPr>
        <w:t>Waiver Request</w:t>
      </w:r>
      <w:r w:rsidRPr="00EF6115">
        <w:rPr>
          <w:szCs w:val="22"/>
        </w:rPr>
        <w:t xml:space="preserve">.  On April 21, 2020, Bloomingdale </w:t>
      </w:r>
      <w:r w:rsidRPr="00EF6115" w:rsidR="008A375B">
        <w:rPr>
          <w:szCs w:val="22"/>
        </w:rPr>
        <w:t xml:space="preserve">and </w:t>
      </w:r>
      <w:r w:rsidRPr="00EF6115" w:rsidR="008A375B">
        <w:rPr>
          <w:szCs w:val="22"/>
        </w:rPr>
        <w:t>ComSouth</w:t>
      </w:r>
      <w:r w:rsidRPr="00EF6115" w:rsidR="008A375B">
        <w:rPr>
          <w:szCs w:val="22"/>
        </w:rPr>
        <w:t xml:space="preserve"> </w:t>
      </w:r>
      <w:r w:rsidRPr="00EF6115">
        <w:rPr>
          <w:szCs w:val="22"/>
        </w:rPr>
        <w:t xml:space="preserve">requested a waiver of the </w:t>
      </w:r>
      <w:r w:rsidRPr="00EF6115" w:rsidR="000823F9">
        <w:rPr>
          <w:szCs w:val="22"/>
        </w:rPr>
        <w:t xml:space="preserve">March 1, </w:t>
      </w:r>
      <w:r w:rsidRPr="00EF6115">
        <w:rPr>
          <w:szCs w:val="22"/>
        </w:rPr>
        <w:t>2019</w:t>
      </w:r>
      <w:r w:rsidRPr="00EF6115" w:rsidR="000823F9">
        <w:rPr>
          <w:szCs w:val="22"/>
        </w:rPr>
        <w:t xml:space="preserve"> </w:t>
      </w:r>
      <w:r w:rsidRPr="00EF6115">
        <w:rPr>
          <w:szCs w:val="22"/>
        </w:rPr>
        <w:t>filing deadline established by section 54.316(c)(1) and the support reductions established by section 54.316(c)(1)(i) of the Commission’s rules.</w:t>
      </w:r>
      <w:r>
        <w:rPr>
          <w:rStyle w:val="FootnoteReference"/>
          <w:sz w:val="22"/>
          <w:szCs w:val="22"/>
        </w:rPr>
        <w:footnoteReference w:id="18"/>
      </w:r>
      <w:r w:rsidRPr="00EF6115" w:rsidR="0095363C">
        <w:rPr>
          <w:szCs w:val="22"/>
        </w:rPr>
        <w:t xml:space="preserve"> </w:t>
      </w:r>
      <w:r w:rsidRPr="00EF6115" w:rsidR="008F1807">
        <w:rPr>
          <w:szCs w:val="22"/>
        </w:rPr>
        <w:t xml:space="preserve"> </w:t>
      </w:r>
      <w:r w:rsidRPr="00EF6115">
        <w:rPr>
          <w:szCs w:val="22"/>
        </w:rPr>
        <w:t xml:space="preserve"> According to </w:t>
      </w:r>
      <w:r w:rsidRPr="00EF6115" w:rsidR="32D9BC41">
        <w:rPr>
          <w:szCs w:val="22"/>
        </w:rPr>
        <w:t xml:space="preserve">its </w:t>
      </w:r>
      <w:r w:rsidRPr="00EF6115" w:rsidR="008B3DF8">
        <w:rPr>
          <w:szCs w:val="22"/>
        </w:rPr>
        <w:t>petition</w:t>
      </w:r>
      <w:r w:rsidRPr="00EF6115">
        <w:rPr>
          <w:szCs w:val="22"/>
        </w:rPr>
        <w:t xml:space="preserve">, Bloomingdale did not have new geocoded location data information to report </w:t>
      </w:r>
      <w:r w:rsidRPr="00EF6115" w:rsidR="0C3CE1C5">
        <w:rPr>
          <w:szCs w:val="22"/>
        </w:rPr>
        <w:t xml:space="preserve">in </w:t>
      </w:r>
      <w:r w:rsidRPr="00EF6115">
        <w:rPr>
          <w:szCs w:val="22"/>
        </w:rPr>
        <w:t xml:space="preserve">the HUBB for 2018 because </w:t>
      </w:r>
      <w:r w:rsidRPr="00EF6115" w:rsidR="00412424">
        <w:rPr>
          <w:szCs w:val="22"/>
        </w:rPr>
        <w:t>it</w:t>
      </w:r>
      <w:r w:rsidRPr="00EF6115">
        <w:rPr>
          <w:szCs w:val="22"/>
        </w:rPr>
        <w:t xml:space="preserve"> did not deploy broadband service to any new locations during that year.</w:t>
      </w:r>
      <w:r>
        <w:rPr>
          <w:rStyle w:val="FootnoteReference"/>
          <w:sz w:val="22"/>
          <w:szCs w:val="22"/>
        </w:rPr>
        <w:footnoteReference w:id="19"/>
      </w:r>
      <w:r w:rsidRPr="00EF6115">
        <w:rPr>
          <w:szCs w:val="22"/>
        </w:rPr>
        <w:t xml:space="preserve">  Bloomingdale claim</w:t>
      </w:r>
      <w:r w:rsidRPr="00EF6115" w:rsidR="00412424">
        <w:rPr>
          <w:szCs w:val="22"/>
        </w:rPr>
        <w:t>s</w:t>
      </w:r>
      <w:r w:rsidRPr="00EF6115">
        <w:rPr>
          <w:szCs w:val="22"/>
        </w:rPr>
        <w:t xml:space="preserve"> </w:t>
      </w:r>
      <w:r w:rsidRPr="00EF6115" w:rsidR="00412424">
        <w:rPr>
          <w:szCs w:val="22"/>
        </w:rPr>
        <w:t>it</w:t>
      </w:r>
      <w:r w:rsidRPr="00EF6115">
        <w:rPr>
          <w:szCs w:val="22"/>
        </w:rPr>
        <w:t xml:space="preserve"> </w:t>
      </w:r>
      <w:r w:rsidRPr="00EF6115" w:rsidR="00412424">
        <w:rPr>
          <w:szCs w:val="22"/>
        </w:rPr>
        <w:t>was</w:t>
      </w:r>
      <w:r w:rsidRPr="00EF6115">
        <w:rPr>
          <w:szCs w:val="22"/>
        </w:rPr>
        <w:t xml:space="preserve"> not aware of the requirement to certify that </w:t>
      </w:r>
      <w:r w:rsidRPr="00EF6115" w:rsidR="00412424">
        <w:rPr>
          <w:szCs w:val="22"/>
        </w:rPr>
        <w:t>it</w:t>
      </w:r>
      <w:r w:rsidRPr="00EF6115">
        <w:rPr>
          <w:szCs w:val="22"/>
        </w:rPr>
        <w:t xml:space="preserve"> had no locations to report for 2018.</w:t>
      </w:r>
      <w:r>
        <w:rPr>
          <w:rStyle w:val="FootnoteReference"/>
          <w:sz w:val="22"/>
          <w:szCs w:val="22"/>
        </w:rPr>
        <w:footnoteReference w:id="20"/>
      </w:r>
      <w:r w:rsidRPr="00EF6115">
        <w:rPr>
          <w:szCs w:val="22"/>
        </w:rPr>
        <w:t xml:space="preserve">  Bloomingdale</w:t>
      </w:r>
      <w:r w:rsidRPr="00EF6115" w:rsidR="0026354F">
        <w:rPr>
          <w:szCs w:val="22"/>
        </w:rPr>
        <w:t xml:space="preserve"> and </w:t>
      </w:r>
      <w:r w:rsidRPr="00EF6115" w:rsidR="0026354F">
        <w:rPr>
          <w:szCs w:val="22"/>
        </w:rPr>
        <w:t>ComSouth</w:t>
      </w:r>
      <w:r w:rsidRPr="00EF6115">
        <w:rPr>
          <w:szCs w:val="22"/>
        </w:rPr>
        <w:t xml:space="preserve"> allege</w:t>
      </w:r>
      <w:r w:rsidRPr="00EF6115" w:rsidR="00412424">
        <w:rPr>
          <w:szCs w:val="22"/>
        </w:rPr>
        <w:t>d</w:t>
      </w:r>
      <w:r w:rsidRPr="00EF6115">
        <w:rPr>
          <w:szCs w:val="22"/>
        </w:rPr>
        <w:t xml:space="preserve"> that the missed deadline resulted in </w:t>
      </w:r>
      <w:r w:rsidRPr="00EF6115" w:rsidR="001C240A">
        <w:rPr>
          <w:szCs w:val="22"/>
        </w:rPr>
        <w:t xml:space="preserve">a </w:t>
      </w:r>
      <w:r w:rsidRPr="00EF6115">
        <w:rPr>
          <w:szCs w:val="22"/>
        </w:rPr>
        <w:t>significant reduction in support.</w:t>
      </w:r>
      <w:r>
        <w:rPr>
          <w:rStyle w:val="FootnoteReference"/>
          <w:sz w:val="22"/>
          <w:szCs w:val="22"/>
        </w:rPr>
        <w:footnoteReference w:id="21"/>
      </w:r>
      <w:r w:rsidRPr="00EF6115">
        <w:rPr>
          <w:szCs w:val="22"/>
        </w:rPr>
        <w:t xml:space="preserve">  </w:t>
      </w:r>
      <w:r w:rsidRPr="00EF6115" w:rsidR="0026354F">
        <w:rPr>
          <w:szCs w:val="22"/>
        </w:rPr>
        <w:t xml:space="preserve">They </w:t>
      </w:r>
      <w:r w:rsidRPr="00EF6115" w:rsidR="00412424">
        <w:rPr>
          <w:szCs w:val="22"/>
        </w:rPr>
        <w:t>argued</w:t>
      </w:r>
      <w:r w:rsidRPr="00EF6115">
        <w:rPr>
          <w:szCs w:val="22"/>
        </w:rPr>
        <w:t xml:space="preserve"> that granting the </w:t>
      </w:r>
      <w:r w:rsidRPr="00EF6115" w:rsidR="008B3DF8">
        <w:rPr>
          <w:szCs w:val="22"/>
        </w:rPr>
        <w:t xml:space="preserve">petition </w:t>
      </w:r>
      <w:r w:rsidRPr="00EF6115" w:rsidR="00412424">
        <w:rPr>
          <w:szCs w:val="22"/>
        </w:rPr>
        <w:t>was</w:t>
      </w:r>
      <w:r w:rsidRPr="00EF6115">
        <w:rPr>
          <w:szCs w:val="22"/>
        </w:rPr>
        <w:t xml:space="preserve"> in the public interest because the “financial penalty that </w:t>
      </w:r>
      <w:r w:rsidRPr="00EF6115" w:rsidR="00412424">
        <w:rPr>
          <w:szCs w:val="22"/>
        </w:rPr>
        <w:t>[</w:t>
      </w:r>
      <w:r w:rsidRPr="00EF6115" w:rsidR="0024468A">
        <w:rPr>
          <w:szCs w:val="22"/>
        </w:rPr>
        <w:t>petitioners</w:t>
      </w:r>
      <w:r w:rsidRPr="00EF6115">
        <w:rPr>
          <w:szCs w:val="22"/>
        </w:rPr>
        <w:t xml:space="preserve">] incurred was a drastic adjustment and will directly and negatively impact the rural communities </w:t>
      </w:r>
      <w:r w:rsidRPr="00EF6115" w:rsidR="00412424">
        <w:rPr>
          <w:szCs w:val="22"/>
        </w:rPr>
        <w:t>[it]</w:t>
      </w:r>
      <w:r w:rsidRPr="00EF6115">
        <w:rPr>
          <w:szCs w:val="22"/>
        </w:rPr>
        <w:t xml:space="preserve"> serve</w:t>
      </w:r>
      <w:r w:rsidRPr="00EF6115" w:rsidR="00412424">
        <w:rPr>
          <w:szCs w:val="22"/>
        </w:rPr>
        <w:t>[s]</w:t>
      </w:r>
      <w:r w:rsidRPr="00EF6115">
        <w:rPr>
          <w:szCs w:val="22"/>
        </w:rPr>
        <w:t xml:space="preserve"> . . .” by “directly affect[ing] [</w:t>
      </w:r>
      <w:r w:rsidRPr="00EF6115" w:rsidR="0024468A">
        <w:rPr>
          <w:szCs w:val="22"/>
        </w:rPr>
        <w:t>petitioners’</w:t>
      </w:r>
      <w:r w:rsidRPr="00EF6115">
        <w:rPr>
          <w:szCs w:val="22"/>
        </w:rPr>
        <w:t xml:space="preserve">] ability to fund broadband deployment, as well as the day-to-day operations and maintenance of </w:t>
      </w:r>
      <w:r w:rsidRPr="00EF6115" w:rsidR="00412424">
        <w:rPr>
          <w:szCs w:val="22"/>
        </w:rPr>
        <w:t>[</w:t>
      </w:r>
      <w:r w:rsidRPr="00EF6115" w:rsidR="0024468A">
        <w:rPr>
          <w:szCs w:val="22"/>
        </w:rPr>
        <w:t>their</w:t>
      </w:r>
      <w:r w:rsidRPr="00EF6115" w:rsidR="00412424">
        <w:rPr>
          <w:szCs w:val="22"/>
        </w:rPr>
        <w:t>]</w:t>
      </w:r>
      <w:r w:rsidRPr="00EF6115">
        <w:rPr>
          <w:szCs w:val="22"/>
        </w:rPr>
        <w:t xml:space="preserve"> current networks and infrastructure.”</w:t>
      </w:r>
      <w:r>
        <w:rPr>
          <w:rStyle w:val="FootnoteReference"/>
          <w:sz w:val="22"/>
          <w:szCs w:val="22"/>
        </w:rPr>
        <w:footnoteReference w:id="22"/>
      </w:r>
      <w:r w:rsidRPr="00EF6115" w:rsidR="00412424">
        <w:rPr>
          <w:szCs w:val="22"/>
        </w:rPr>
        <w:t xml:space="preserve">  </w:t>
      </w:r>
    </w:p>
    <w:p w:rsidR="00F82699" w:rsidRPr="00EF6115" w:rsidP="00F82699" w14:paraId="7303EB40" w14:textId="0BDD3BE4">
      <w:pPr>
        <w:pStyle w:val="ParaNum"/>
        <w:rPr>
          <w:szCs w:val="22"/>
        </w:rPr>
      </w:pPr>
      <w:r w:rsidRPr="00EF6115">
        <w:rPr>
          <w:szCs w:val="22"/>
        </w:rPr>
        <w:t>On August 5, 2020, t</w:t>
      </w:r>
      <w:r w:rsidRPr="00EF6115" w:rsidR="00412424">
        <w:rPr>
          <w:szCs w:val="22"/>
        </w:rPr>
        <w:t>he Bureau denied Bloomingdale</w:t>
      </w:r>
      <w:r w:rsidRPr="00EF6115" w:rsidR="0024468A">
        <w:rPr>
          <w:szCs w:val="22"/>
        </w:rPr>
        <w:t xml:space="preserve"> and </w:t>
      </w:r>
      <w:r w:rsidRPr="00EF6115" w:rsidR="0024468A">
        <w:rPr>
          <w:szCs w:val="22"/>
        </w:rPr>
        <w:t>ComSouth</w:t>
      </w:r>
      <w:r w:rsidRPr="00EF6115" w:rsidR="00412424">
        <w:rPr>
          <w:szCs w:val="22"/>
        </w:rPr>
        <w:t>’s</w:t>
      </w:r>
      <w:r w:rsidRPr="00EF6115" w:rsidR="00412424">
        <w:rPr>
          <w:szCs w:val="22"/>
        </w:rPr>
        <w:t xml:space="preserve"> </w:t>
      </w:r>
      <w:r w:rsidRPr="00EF6115" w:rsidR="008B3DF8">
        <w:rPr>
          <w:szCs w:val="22"/>
        </w:rPr>
        <w:t>petition</w:t>
      </w:r>
      <w:r w:rsidRPr="00EF6115" w:rsidR="00412424">
        <w:rPr>
          <w:szCs w:val="22"/>
        </w:rPr>
        <w:t>, finding that “</w:t>
      </w:r>
      <w:r w:rsidRPr="00EF6115" w:rsidR="00E847B2">
        <w:rPr>
          <w:szCs w:val="22"/>
        </w:rPr>
        <w:t>ComSouth</w:t>
      </w:r>
      <w:r w:rsidRPr="00EF6115" w:rsidR="00E847B2">
        <w:rPr>
          <w:szCs w:val="22"/>
        </w:rPr>
        <w:t xml:space="preserve"> and </w:t>
      </w:r>
      <w:r w:rsidRPr="00EF6115" w:rsidR="00412424">
        <w:rPr>
          <w:szCs w:val="22"/>
        </w:rPr>
        <w:t>Bloomingdale should have been familiar with the filing requirements by March 1, 2019.”</w:t>
      </w:r>
      <w:r>
        <w:rPr>
          <w:rStyle w:val="FootnoteReference"/>
          <w:sz w:val="22"/>
          <w:szCs w:val="22"/>
        </w:rPr>
        <w:footnoteReference w:id="23"/>
      </w:r>
      <w:r w:rsidRPr="00EF6115" w:rsidR="009B2618">
        <w:rPr>
          <w:szCs w:val="22"/>
        </w:rPr>
        <w:t xml:space="preserve">  The Bureau found</w:t>
      </w:r>
      <w:r w:rsidRPr="00EF6115" w:rsidR="00E42743">
        <w:rPr>
          <w:szCs w:val="22"/>
        </w:rPr>
        <w:t>, for example,</w:t>
      </w:r>
      <w:r w:rsidRPr="00EF6115" w:rsidR="009B2618">
        <w:rPr>
          <w:szCs w:val="22"/>
        </w:rPr>
        <w:t xml:space="preserve"> that USAC had made “consistent and repeated efforts to inform ETCs of the reporting and certification deadline</w:t>
      </w:r>
      <w:r w:rsidRPr="00EF6115" w:rsidR="002D0752">
        <w:rPr>
          <w:szCs w:val="22"/>
        </w:rPr>
        <w:t xml:space="preserve">” as well as the </w:t>
      </w:r>
      <w:r w:rsidRPr="00EF6115" w:rsidR="00E42743">
        <w:rPr>
          <w:szCs w:val="22"/>
        </w:rPr>
        <w:t xml:space="preserve">underlying reporting </w:t>
      </w:r>
      <w:r w:rsidRPr="00EF6115" w:rsidR="002D0752">
        <w:rPr>
          <w:szCs w:val="22"/>
        </w:rPr>
        <w:t>requirement</w:t>
      </w:r>
      <w:r w:rsidRPr="00EF6115" w:rsidR="00E42743">
        <w:rPr>
          <w:szCs w:val="22"/>
        </w:rPr>
        <w:t>.</w:t>
      </w:r>
      <w:r>
        <w:rPr>
          <w:rStyle w:val="FootnoteReference"/>
          <w:sz w:val="22"/>
          <w:szCs w:val="22"/>
        </w:rPr>
        <w:footnoteReference w:id="24"/>
      </w:r>
      <w:r w:rsidRPr="00EF6115" w:rsidR="00E42743">
        <w:rPr>
          <w:szCs w:val="22"/>
        </w:rPr>
        <w:t xml:space="preserve">  The Bureau was also unpersuaded by </w:t>
      </w:r>
      <w:r w:rsidRPr="00EF6115" w:rsidR="007D40AF">
        <w:rPr>
          <w:szCs w:val="22"/>
        </w:rPr>
        <w:t>ComSouth</w:t>
      </w:r>
      <w:r w:rsidRPr="00EF6115" w:rsidR="007D40AF">
        <w:rPr>
          <w:szCs w:val="22"/>
        </w:rPr>
        <w:t xml:space="preserve"> and </w:t>
      </w:r>
      <w:r w:rsidRPr="00EF6115" w:rsidR="00E42743">
        <w:rPr>
          <w:szCs w:val="22"/>
        </w:rPr>
        <w:t>Bloomingdale’s argument that it was not aware of the severity of the penalty</w:t>
      </w:r>
      <w:r w:rsidRPr="00EF6115" w:rsidR="523D4ABC">
        <w:rPr>
          <w:szCs w:val="22"/>
        </w:rPr>
        <w:t>.</w:t>
      </w:r>
      <w:r w:rsidRPr="00EF6115" w:rsidR="00E42743">
        <w:rPr>
          <w:szCs w:val="22"/>
        </w:rPr>
        <w:t xml:space="preserve"> </w:t>
      </w:r>
      <w:r w:rsidRPr="00EF6115" w:rsidR="4817452C">
        <w:rPr>
          <w:szCs w:val="22"/>
        </w:rPr>
        <w:t xml:space="preserve"> The </w:t>
      </w:r>
      <w:r w:rsidRPr="00EF6115" w:rsidR="5D873056">
        <w:rPr>
          <w:szCs w:val="22"/>
        </w:rPr>
        <w:t xml:space="preserve">Bureau concluded that </w:t>
      </w:r>
      <w:r w:rsidRPr="00EF6115" w:rsidR="005C1296">
        <w:rPr>
          <w:szCs w:val="22"/>
        </w:rPr>
        <w:t>ComSouth</w:t>
      </w:r>
      <w:r w:rsidRPr="00EF6115" w:rsidR="005C1296">
        <w:rPr>
          <w:szCs w:val="22"/>
        </w:rPr>
        <w:t xml:space="preserve"> and </w:t>
      </w:r>
      <w:r w:rsidRPr="00EF6115" w:rsidR="00E42743">
        <w:rPr>
          <w:szCs w:val="22"/>
        </w:rPr>
        <w:t>Bloomingdale “should have known what the reduction of support would be” because the calculation is contained in the same rule that set the reporting deadline.</w:t>
      </w:r>
      <w:r>
        <w:rPr>
          <w:rStyle w:val="FootnoteReference"/>
          <w:sz w:val="22"/>
          <w:szCs w:val="22"/>
        </w:rPr>
        <w:footnoteReference w:id="25"/>
      </w:r>
      <w:r w:rsidRPr="00EF6115" w:rsidR="00412424">
        <w:rPr>
          <w:szCs w:val="22"/>
        </w:rPr>
        <w:t xml:space="preserve">  </w:t>
      </w:r>
    </w:p>
    <w:p w:rsidR="00F82699" w:rsidRPr="00EF6115" w:rsidP="00F82699" w14:paraId="7EBFFA78" w14:textId="656A0497">
      <w:pPr>
        <w:pStyle w:val="ParaNum"/>
        <w:rPr>
          <w:szCs w:val="22"/>
        </w:rPr>
      </w:pPr>
      <w:r w:rsidRPr="00EF6115">
        <w:rPr>
          <w:szCs w:val="22"/>
        </w:rPr>
        <w:t xml:space="preserve">On September </w:t>
      </w:r>
      <w:r w:rsidRPr="00EF6115" w:rsidR="0068222B">
        <w:rPr>
          <w:szCs w:val="22"/>
        </w:rPr>
        <w:t>1, 2020,</w:t>
      </w:r>
      <w:r w:rsidRPr="00EF6115" w:rsidR="00AC1A31">
        <w:rPr>
          <w:szCs w:val="22"/>
        </w:rPr>
        <w:t xml:space="preserve"> </w:t>
      </w:r>
      <w:r w:rsidRPr="00EF6115" w:rsidR="00412424">
        <w:rPr>
          <w:szCs w:val="22"/>
        </w:rPr>
        <w:t xml:space="preserve">Bloomingdale filed the instant </w:t>
      </w:r>
      <w:r w:rsidRPr="00EF6115" w:rsidR="00175239">
        <w:rPr>
          <w:szCs w:val="22"/>
        </w:rPr>
        <w:t>A</w:t>
      </w:r>
      <w:r w:rsidRPr="00EF6115" w:rsidR="00412424">
        <w:rPr>
          <w:szCs w:val="22"/>
        </w:rPr>
        <w:t xml:space="preserve">pplication for </w:t>
      </w:r>
      <w:r w:rsidRPr="00EF6115" w:rsidR="00175239">
        <w:rPr>
          <w:szCs w:val="22"/>
        </w:rPr>
        <w:t>R</w:t>
      </w:r>
      <w:r w:rsidRPr="00EF6115" w:rsidR="00412424">
        <w:rPr>
          <w:szCs w:val="22"/>
        </w:rPr>
        <w:t xml:space="preserve">eview alleging that the Bureau’s </w:t>
      </w:r>
      <w:r w:rsidRPr="00EF6115" w:rsidR="00C60357">
        <w:rPr>
          <w:szCs w:val="22"/>
        </w:rPr>
        <w:t>O</w:t>
      </w:r>
      <w:r w:rsidRPr="00EF6115" w:rsidR="00412424">
        <w:rPr>
          <w:szCs w:val="22"/>
        </w:rPr>
        <w:t>rder</w:t>
      </w:r>
      <w:r w:rsidRPr="00EF6115" w:rsidR="003C677E">
        <w:rPr>
          <w:szCs w:val="22"/>
        </w:rPr>
        <w:t>:</w:t>
      </w:r>
      <w:r w:rsidRPr="00EF6115" w:rsidR="00412424">
        <w:rPr>
          <w:szCs w:val="22"/>
        </w:rPr>
        <w:t xml:space="preserve"> </w:t>
      </w:r>
      <w:r w:rsidRPr="00EF6115" w:rsidR="00C60357">
        <w:rPr>
          <w:szCs w:val="22"/>
        </w:rPr>
        <w:t xml:space="preserve"> </w:t>
      </w:r>
      <w:r w:rsidRPr="00EF6115" w:rsidR="00412424">
        <w:rPr>
          <w:szCs w:val="22"/>
        </w:rPr>
        <w:t>(1) involves a question of law or policy which has not been previously resolved by the Commission; (2) made an erroneous finding in concluding that Bloomingdale should have known what the reduction of support would be</w:t>
      </w:r>
      <w:r w:rsidRPr="00EF6115" w:rsidR="11531772">
        <w:rPr>
          <w:szCs w:val="22"/>
        </w:rPr>
        <w:t>,</w:t>
      </w:r>
      <w:r w:rsidRPr="00EF6115" w:rsidR="00412424">
        <w:rPr>
          <w:szCs w:val="22"/>
        </w:rPr>
        <w:t xml:space="preserve"> based on the number of days it filed after the March 1, 2019 deadline; and (3) was inconsistent with </w:t>
      </w:r>
      <w:r w:rsidRPr="00EF6115" w:rsidR="003C677E">
        <w:rPr>
          <w:szCs w:val="22"/>
        </w:rPr>
        <w:t xml:space="preserve">Bureau </w:t>
      </w:r>
      <w:r w:rsidRPr="00EF6115" w:rsidR="00412424">
        <w:rPr>
          <w:szCs w:val="22"/>
        </w:rPr>
        <w:t xml:space="preserve">precedent waiving </w:t>
      </w:r>
      <w:r w:rsidRPr="00EF6115" w:rsidR="003C677E">
        <w:rPr>
          <w:szCs w:val="22"/>
        </w:rPr>
        <w:t xml:space="preserve">the </w:t>
      </w:r>
      <w:r w:rsidRPr="00EF6115" w:rsidR="00412424">
        <w:rPr>
          <w:szCs w:val="22"/>
        </w:rPr>
        <w:t>March 1 deadline for HUBB filings.</w:t>
      </w:r>
      <w:r>
        <w:rPr>
          <w:rStyle w:val="FootnoteReference"/>
          <w:sz w:val="22"/>
          <w:szCs w:val="22"/>
        </w:rPr>
        <w:footnoteReference w:id="26"/>
      </w:r>
      <w:r w:rsidRPr="00EF6115" w:rsidR="003907D0">
        <w:rPr>
          <w:szCs w:val="22"/>
        </w:rPr>
        <w:t xml:space="preserve">  On December 28, 2020, Bloomingdale filed a supplement to its Application for Review,</w:t>
      </w:r>
      <w:r>
        <w:rPr>
          <w:rStyle w:val="FootnoteReference"/>
          <w:sz w:val="22"/>
          <w:szCs w:val="22"/>
        </w:rPr>
        <w:footnoteReference w:id="27"/>
      </w:r>
      <w:r w:rsidRPr="00EF6115" w:rsidR="003907D0">
        <w:rPr>
          <w:szCs w:val="22"/>
        </w:rPr>
        <w:t xml:space="preserve"> seeking, as an alternative to a complete waiver of its support reduction, a partial waiver of its support reductions.  In support for its request for partial waiver, Bloomingdale noted the effects of the COVID-19 pandemic and its efforts to aid consumers.</w:t>
      </w:r>
      <w:r>
        <w:rPr>
          <w:rStyle w:val="FootnoteReference"/>
          <w:sz w:val="22"/>
          <w:szCs w:val="22"/>
        </w:rPr>
        <w:footnoteReference w:id="28"/>
      </w:r>
    </w:p>
    <w:p w:rsidR="00FB51F9" w:rsidRPr="00EF6115" w:rsidP="00C77F24" w14:paraId="1CA8CDDF" w14:textId="63ADA66B">
      <w:pPr>
        <w:pStyle w:val="ParaNum"/>
        <w:widowControl/>
        <w:rPr>
          <w:szCs w:val="22"/>
        </w:rPr>
      </w:pPr>
      <w:r w:rsidRPr="00EF6115">
        <w:rPr>
          <w:i/>
          <w:iCs/>
          <w:szCs w:val="22"/>
        </w:rPr>
        <w:t>State’s Application for Review</w:t>
      </w:r>
      <w:r w:rsidRPr="00EF6115">
        <w:rPr>
          <w:szCs w:val="22"/>
        </w:rPr>
        <w:t>.  On June 12, 2020, State</w:t>
      </w:r>
      <w:r w:rsidRPr="00EF6115" w:rsidR="00154FAE">
        <w:rPr>
          <w:szCs w:val="22"/>
        </w:rPr>
        <w:t xml:space="preserve"> </w:t>
      </w:r>
      <w:r w:rsidRPr="00EF6115">
        <w:rPr>
          <w:szCs w:val="22"/>
        </w:rPr>
        <w:t xml:space="preserve">requested a waiver of both the </w:t>
      </w:r>
      <w:r w:rsidRPr="00EF6115" w:rsidR="000B41D7">
        <w:rPr>
          <w:szCs w:val="22"/>
        </w:rPr>
        <w:t xml:space="preserve">March 1, </w:t>
      </w:r>
      <w:r w:rsidRPr="00EF6115">
        <w:rPr>
          <w:szCs w:val="22"/>
        </w:rPr>
        <w:t xml:space="preserve">2018 and </w:t>
      </w:r>
      <w:r w:rsidRPr="00EF6115" w:rsidR="000B41D7">
        <w:rPr>
          <w:szCs w:val="22"/>
        </w:rPr>
        <w:t xml:space="preserve">March 1, </w:t>
      </w:r>
      <w:r w:rsidRPr="00EF6115">
        <w:rPr>
          <w:szCs w:val="22"/>
        </w:rPr>
        <w:t>2019 filing deadline</w:t>
      </w:r>
      <w:r w:rsidRPr="00EF6115" w:rsidR="60449651">
        <w:rPr>
          <w:szCs w:val="22"/>
        </w:rPr>
        <w:t>s</w:t>
      </w:r>
      <w:r w:rsidRPr="00EF6115">
        <w:rPr>
          <w:szCs w:val="22"/>
        </w:rPr>
        <w:t xml:space="preserve"> established by section 54.316(c) of the Commission’s rules.</w:t>
      </w:r>
      <w:r>
        <w:rPr>
          <w:rStyle w:val="FootnoteReference"/>
          <w:sz w:val="22"/>
          <w:szCs w:val="22"/>
        </w:rPr>
        <w:footnoteReference w:id="29"/>
      </w:r>
      <w:r w:rsidRPr="00EF6115">
        <w:rPr>
          <w:szCs w:val="22"/>
        </w:rPr>
        <w:t xml:space="preserve">  In 2017, the Bureau</w:t>
      </w:r>
      <w:r w:rsidRPr="00EF6115" w:rsidR="007E7AC0">
        <w:rPr>
          <w:szCs w:val="22"/>
        </w:rPr>
        <w:t xml:space="preserve"> had</w:t>
      </w:r>
      <w:r w:rsidRPr="00EF6115">
        <w:rPr>
          <w:szCs w:val="22"/>
        </w:rPr>
        <w:t xml:space="preserve"> waive</w:t>
      </w:r>
      <w:r w:rsidRPr="00EF6115" w:rsidR="004D7B40">
        <w:rPr>
          <w:szCs w:val="22"/>
        </w:rPr>
        <w:t>d</w:t>
      </w:r>
      <w:r w:rsidRPr="00EF6115">
        <w:rPr>
          <w:szCs w:val="22"/>
        </w:rPr>
        <w:t xml:space="preserve"> the March 1, 2017 HUBB filing deadline for Connect America Fund-Broadband Loop Support (CAF</w:t>
      </w:r>
      <w:r w:rsidRPr="00EF6115" w:rsidR="00D70EF0">
        <w:rPr>
          <w:szCs w:val="22"/>
        </w:rPr>
        <w:t xml:space="preserve"> </w:t>
      </w:r>
      <w:r w:rsidRPr="00EF6115">
        <w:rPr>
          <w:szCs w:val="22"/>
        </w:rPr>
        <w:t>BLS) and other high-cost support recipients</w:t>
      </w:r>
      <w:r w:rsidRPr="00EF6115" w:rsidR="004D7B40">
        <w:rPr>
          <w:szCs w:val="22"/>
        </w:rPr>
        <w:t>,</w:t>
      </w:r>
      <w:r>
        <w:rPr>
          <w:rStyle w:val="FootnoteReference"/>
          <w:sz w:val="22"/>
          <w:szCs w:val="22"/>
        </w:rPr>
        <w:footnoteReference w:id="30"/>
      </w:r>
      <w:r w:rsidRPr="00EF6115" w:rsidR="004D7B40">
        <w:rPr>
          <w:szCs w:val="22"/>
        </w:rPr>
        <w:t xml:space="preserve"> essentially extending it so that </w:t>
      </w:r>
      <w:r w:rsidRPr="00EF6115">
        <w:rPr>
          <w:szCs w:val="22"/>
        </w:rPr>
        <w:t>the deadline for CAF</w:t>
      </w:r>
      <w:r w:rsidRPr="00EF6115" w:rsidR="00D70EF0">
        <w:rPr>
          <w:szCs w:val="22"/>
        </w:rPr>
        <w:t xml:space="preserve"> </w:t>
      </w:r>
      <w:r w:rsidRPr="00EF6115">
        <w:rPr>
          <w:szCs w:val="22"/>
        </w:rPr>
        <w:t xml:space="preserve">BLS recipients to make their first HUBB </w:t>
      </w:r>
      <w:r w:rsidRPr="00EF6115" w:rsidR="00C44A2C">
        <w:rPr>
          <w:szCs w:val="22"/>
        </w:rPr>
        <w:t xml:space="preserve">filing </w:t>
      </w:r>
      <w:r w:rsidRPr="00EF6115" w:rsidR="004D7B40">
        <w:rPr>
          <w:szCs w:val="22"/>
        </w:rPr>
        <w:t>would be</w:t>
      </w:r>
      <w:r w:rsidRPr="00EF6115">
        <w:rPr>
          <w:szCs w:val="22"/>
        </w:rPr>
        <w:t xml:space="preserve"> March 1, 2018.</w:t>
      </w:r>
      <w:r>
        <w:rPr>
          <w:rStyle w:val="FootnoteReference"/>
          <w:sz w:val="22"/>
          <w:szCs w:val="22"/>
        </w:rPr>
        <w:footnoteReference w:id="31"/>
      </w:r>
      <w:r w:rsidRPr="00EF6115" w:rsidR="00DD57C7">
        <w:rPr>
          <w:szCs w:val="22"/>
        </w:rPr>
        <w:t xml:space="preserve">  In the waiver order, the Bureau said that by March 1, 2018, CAF BLS </w:t>
      </w:r>
      <w:r w:rsidRPr="00EF6115" w:rsidR="00D70EF0">
        <w:rPr>
          <w:szCs w:val="22"/>
        </w:rPr>
        <w:t xml:space="preserve">carriers </w:t>
      </w:r>
      <w:r w:rsidRPr="00EF6115" w:rsidR="00DD57C7">
        <w:rPr>
          <w:szCs w:val="22"/>
        </w:rPr>
        <w:t xml:space="preserve">must report all locations deployed </w:t>
      </w:r>
      <w:r w:rsidRPr="00EF6115" w:rsidR="00F65A01">
        <w:rPr>
          <w:szCs w:val="22"/>
        </w:rPr>
        <w:t xml:space="preserve">to </w:t>
      </w:r>
      <w:r w:rsidRPr="00EF6115" w:rsidR="00DD57C7">
        <w:rPr>
          <w:szCs w:val="22"/>
        </w:rPr>
        <w:t>between May 25, 2016 and December 31, 2017.</w:t>
      </w:r>
      <w:r w:rsidRPr="00EF6115">
        <w:rPr>
          <w:szCs w:val="22"/>
        </w:rPr>
        <w:t xml:space="preserve">  State</w:t>
      </w:r>
      <w:r w:rsidRPr="00EF6115" w:rsidR="00902416">
        <w:rPr>
          <w:szCs w:val="22"/>
        </w:rPr>
        <w:t>, however,</w:t>
      </w:r>
      <w:r w:rsidRPr="00EF6115">
        <w:rPr>
          <w:szCs w:val="22"/>
        </w:rPr>
        <w:t xml:space="preserve"> “erroneously believed that its March 2018 HUBB filing was limited to locations newly deployed during 2017 . . .,” so it did not report and certify the locations State had deployed broadband service to in prior years, which would have originally been reported by March 1, 2017.</w:t>
      </w:r>
      <w:r>
        <w:rPr>
          <w:rStyle w:val="FootnoteReference"/>
          <w:sz w:val="22"/>
          <w:szCs w:val="22"/>
        </w:rPr>
        <w:footnoteReference w:id="32"/>
      </w:r>
      <w:r w:rsidRPr="00EF6115" w:rsidR="0099124C">
        <w:rPr>
          <w:szCs w:val="22"/>
        </w:rPr>
        <w:t xml:space="preserve">  State sought waiver of the March 1, 2018 deadline so that it could report </w:t>
      </w:r>
      <w:r w:rsidRPr="00EF6115" w:rsidR="00130E00">
        <w:rPr>
          <w:szCs w:val="22"/>
        </w:rPr>
        <w:t xml:space="preserve">locations deployed to between May 25, 2016 to December 31, 2016.  </w:t>
      </w:r>
      <w:r w:rsidRPr="00EF6115">
        <w:rPr>
          <w:szCs w:val="22"/>
        </w:rPr>
        <w:t xml:space="preserve">  </w:t>
      </w:r>
    </w:p>
    <w:p w:rsidR="00D52D36" w:rsidRPr="00EF6115" w:rsidP="00412424" w14:paraId="2435CABE" w14:textId="6C9B6444">
      <w:pPr>
        <w:pStyle w:val="ParaNum"/>
        <w:rPr>
          <w:szCs w:val="22"/>
        </w:rPr>
      </w:pPr>
      <w:r w:rsidRPr="00EF6115">
        <w:rPr>
          <w:szCs w:val="22"/>
        </w:rPr>
        <w:t>State</w:t>
      </w:r>
      <w:r w:rsidRPr="00EF6115" w:rsidR="00B10015">
        <w:rPr>
          <w:szCs w:val="22"/>
        </w:rPr>
        <w:t xml:space="preserve"> </w:t>
      </w:r>
      <w:r w:rsidRPr="00EF6115" w:rsidR="00A96548">
        <w:rPr>
          <w:szCs w:val="22"/>
        </w:rPr>
        <w:t>says that it</w:t>
      </w:r>
      <w:r w:rsidRPr="00EF6115" w:rsidR="00CD48B6">
        <w:rPr>
          <w:szCs w:val="22"/>
        </w:rPr>
        <w:t xml:space="preserve"> never </w:t>
      </w:r>
      <w:r w:rsidRPr="00EF6115" w:rsidR="00130E00">
        <w:rPr>
          <w:szCs w:val="22"/>
        </w:rPr>
        <w:t>certi</w:t>
      </w:r>
      <w:r w:rsidRPr="00EF6115" w:rsidR="00CD48B6">
        <w:rPr>
          <w:szCs w:val="22"/>
        </w:rPr>
        <w:t>fied</w:t>
      </w:r>
      <w:r w:rsidRPr="00EF6115" w:rsidR="00130E00">
        <w:rPr>
          <w:szCs w:val="22"/>
        </w:rPr>
        <w:t xml:space="preserve"> its</w:t>
      </w:r>
      <w:r w:rsidRPr="00EF6115">
        <w:rPr>
          <w:szCs w:val="22"/>
        </w:rPr>
        <w:t xml:space="preserve"> </w:t>
      </w:r>
      <w:r w:rsidRPr="00EF6115" w:rsidR="0017740D">
        <w:rPr>
          <w:szCs w:val="22"/>
        </w:rPr>
        <w:t xml:space="preserve">March 1, </w:t>
      </w:r>
      <w:r w:rsidRPr="00EF6115">
        <w:rPr>
          <w:szCs w:val="22"/>
        </w:rPr>
        <w:t xml:space="preserve">2019 HUBB filing </w:t>
      </w:r>
      <w:r w:rsidRPr="00EF6115" w:rsidR="00CD48B6">
        <w:rPr>
          <w:szCs w:val="22"/>
        </w:rPr>
        <w:t>because it</w:t>
      </w:r>
      <w:r w:rsidRPr="00EF6115">
        <w:rPr>
          <w:szCs w:val="22"/>
        </w:rPr>
        <w:t xml:space="preserve"> did not have the “geocoded information necessary to make a complete HUBB filing.”</w:t>
      </w:r>
      <w:r>
        <w:rPr>
          <w:rStyle w:val="FootnoteReference"/>
          <w:sz w:val="22"/>
          <w:szCs w:val="22"/>
        </w:rPr>
        <w:footnoteReference w:id="33"/>
      </w:r>
      <w:r w:rsidRPr="00EF6115">
        <w:rPr>
          <w:szCs w:val="22"/>
        </w:rPr>
        <w:t xml:space="preserve">  State </w:t>
      </w:r>
      <w:r w:rsidRPr="00EF6115" w:rsidR="21B80D42">
        <w:rPr>
          <w:szCs w:val="22"/>
        </w:rPr>
        <w:t xml:space="preserve">asserts that it </w:t>
      </w:r>
      <w:r w:rsidRPr="00EF6115">
        <w:rPr>
          <w:szCs w:val="22"/>
        </w:rPr>
        <w:t>had contracted with a third party to provide the geocoded location information for the areas it newly deployed to in 2018 but the third party was ultimately unable to provide this information.</w:t>
      </w:r>
      <w:r>
        <w:rPr>
          <w:rStyle w:val="FootnoteReference"/>
          <w:sz w:val="22"/>
          <w:szCs w:val="22"/>
        </w:rPr>
        <w:footnoteReference w:id="34"/>
      </w:r>
      <w:r w:rsidRPr="00EF6115">
        <w:rPr>
          <w:szCs w:val="22"/>
        </w:rPr>
        <w:t xml:space="preserve">  State </w:t>
      </w:r>
      <w:r w:rsidRPr="00EF6115" w:rsidR="00E854C0">
        <w:rPr>
          <w:szCs w:val="22"/>
        </w:rPr>
        <w:t xml:space="preserve">claims it </w:t>
      </w:r>
      <w:r w:rsidRPr="00EF6115">
        <w:rPr>
          <w:szCs w:val="22"/>
        </w:rPr>
        <w:t xml:space="preserve">has since fixed any errors with its filings and completed its </w:t>
      </w:r>
      <w:r w:rsidRPr="00EF6115" w:rsidR="0017740D">
        <w:rPr>
          <w:szCs w:val="22"/>
        </w:rPr>
        <w:t xml:space="preserve">March 1, </w:t>
      </w:r>
      <w:r w:rsidRPr="00EF6115">
        <w:rPr>
          <w:szCs w:val="22"/>
        </w:rPr>
        <w:t>2020 HUBB filing on time.</w:t>
      </w:r>
      <w:r>
        <w:rPr>
          <w:rStyle w:val="FootnoteReference"/>
          <w:sz w:val="22"/>
          <w:szCs w:val="22"/>
        </w:rPr>
        <w:footnoteReference w:id="35"/>
      </w:r>
      <w:r w:rsidRPr="00EF6115">
        <w:rPr>
          <w:szCs w:val="22"/>
        </w:rPr>
        <w:t xml:space="preserve">  State argue</w:t>
      </w:r>
      <w:r w:rsidRPr="00EF6115" w:rsidR="0054032F">
        <w:rPr>
          <w:szCs w:val="22"/>
        </w:rPr>
        <w:t>d</w:t>
      </w:r>
      <w:r w:rsidRPr="00EF6115">
        <w:rPr>
          <w:szCs w:val="22"/>
        </w:rPr>
        <w:t xml:space="preserve"> that granting the waiver </w:t>
      </w:r>
      <w:r w:rsidRPr="00EF6115" w:rsidR="0054032F">
        <w:rPr>
          <w:szCs w:val="22"/>
        </w:rPr>
        <w:t>was</w:t>
      </w:r>
      <w:r w:rsidRPr="00EF6115">
        <w:rPr>
          <w:szCs w:val="22"/>
        </w:rPr>
        <w:t xml:space="preserve"> in the public interest because no entity was harmed by its faulty HUBB filings and </w:t>
      </w:r>
      <w:r w:rsidRPr="00EF6115" w:rsidR="11C5E233">
        <w:rPr>
          <w:szCs w:val="22"/>
        </w:rPr>
        <w:t xml:space="preserve">it </w:t>
      </w:r>
      <w:r w:rsidRPr="00EF6115">
        <w:rPr>
          <w:szCs w:val="22"/>
        </w:rPr>
        <w:t>ultimately corrected its filing.</w:t>
      </w:r>
      <w:r>
        <w:rPr>
          <w:rStyle w:val="FootnoteReference"/>
          <w:sz w:val="22"/>
          <w:szCs w:val="22"/>
        </w:rPr>
        <w:footnoteReference w:id="36"/>
      </w:r>
      <w:r w:rsidRPr="00EF6115" w:rsidR="0054032F">
        <w:rPr>
          <w:szCs w:val="22"/>
        </w:rPr>
        <w:t xml:space="preserve">  </w:t>
      </w:r>
    </w:p>
    <w:p w:rsidR="00596077" w:rsidRPr="00EF6115" w:rsidP="00D426DA" w14:paraId="6BF15D2C" w14:textId="2F3F1150">
      <w:pPr>
        <w:pStyle w:val="ParaNum"/>
        <w:widowControl/>
        <w:rPr>
          <w:szCs w:val="22"/>
        </w:rPr>
      </w:pPr>
      <w:r w:rsidRPr="00EF6115">
        <w:rPr>
          <w:szCs w:val="22"/>
        </w:rPr>
        <w:t xml:space="preserve">In the same August 5, 2020 </w:t>
      </w:r>
      <w:r w:rsidRPr="00EF6115" w:rsidR="003A62D4">
        <w:rPr>
          <w:szCs w:val="22"/>
        </w:rPr>
        <w:t>O</w:t>
      </w:r>
      <w:r w:rsidRPr="00EF6115">
        <w:rPr>
          <w:szCs w:val="22"/>
        </w:rPr>
        <w:t>rder, t</w:t>
      </w:r>
      <w:r w:rsidRPr="00EF6115" w:rsidR="0054032F">
        <w:rPr>
          <w:szCs w:val="22"/>
        </w:rPr>
        <w:t xml:space="preserve">he Bureau denied State’s petition </w:t>
      </w:r>
      <w:r w:rsidRPr="00EF6115" w:rsidR="000801FD">
        <w:rPr>
          <w:szCs w:val="22"/>
        </w:rPr>
        <w:t xml:space="preserve">for </w:t>
      </w:r>
      <w:r w:rsidRPr="00EF6115" w:rsidR="0054032F">
        <w:rPr>
          <w:szCs w:val="22"/>
        </w:rPr>
        <w:t xml:space="preserve">reasons </w:t>
      </w:r>
      <w:r w:rsidRPr="00EF6115" w:rsidR="1BF5C1F7">
        <w:rPr>
          <w:szCs w:val="22"/>
        </w:rPr>
        <w:t xml:space="preserve">identical to those </w:t>
      </w:r>
      <w:r w:rsidRPr="00EF6115" w:rsidR="7B5CAE51">
        <w:rPr>
          <w:szCs w:val="22"/>
        </w:rPr>
        <w:t xml:space="preserve">on which </w:t>
      </w:r>
      <w:r w:rsidRPr="00EF6115" w:rsidR="0054032F">
        <w:rPr>
          <w:szCs w:val="22"/>
        </w:rPr>
        <w:t>it denied Bloomingdale</w:t>
      </w:r>
      <w:r w:rsidRPr="00EF6115" w:rsidR="00AD4A89">
        <w:rPr>
          <w:szCs w:val="22"/>
        </w:rPr>
        <w:t xml:space="preserve"> and </w:t>
      </w:r>
      <w:r w:rsidRPr="00EF6115" w:rsidR="00AD4A89">
        <w:rPr>
          <w:szCs w:val="22"/>
        </w:rPr>
        <w:t>ComSouth</w:t>
      </w:r>
      <w:r w:rsidRPr="00EF6115" w:rsidR="0054032F">
        <w:rPr>
          <w:szCs w:val="22"/>
        </w:rPr>
        <w:t>’s</w:t>
      </w:r>
      <w:r w:rsidRPr="00EF6115" w:rsidR="0054032F">
        <w:rPr>
          <w:szCs w:val="22"/>
        </w:rPr>
        <w:t xml:space="preserve"> petition.</w:t>
      </w:r>
      <w:r>
        <w:rPr>
          <w:rStyle w:val="FootnoteReference"/>
          <w:sz w:val="22"/>
          <w:szCs w:val="22"/>
        </w:rPr>
        <w:footnoteReference w:id="37"/>
      </w:r>
      <w:r w:rsidRPr="00EF6115" w:rsidR="0054032F">
        <w:rPr>
          <w:szCs w:val="22"/>
        </w:rPr>
        <w:t xml:space="preserve"> </w:t>
      </w:r>
    </w:p>
    <w:p w:rsidR="00412424" w:rsidRPr="00EF6115" w:rsidP="00984E2A" w14:paraId="14EA372B" w14:textId="1172E68F">
      <w:pPr>
        <w:pStyle w:val="ParaNum"/>
        <w:widowControl/>
        <w:rPr>
          <w:szCs w:val="22"/>
        </w:rPr>
      </w:pPr>
      <w:r w:rsidRPr="00EF6115">
        <w:rPr>
          <w:szCs w:val="22"/>
        </w:rPr>
        <w:t>On September 3, 2020,</w:t>
      </w:r>
      <w:r w:rsidRPr="00EF6115" w:rsidR="0054032F">
        <w:rPr>
          <w:szCs w:val="22"/>
        </w:rPr>
        <w:t xml:space="preserve"> State filed the instant </w:t>
      </w:r>
      <w:r w:rsidRPr="00EF6115" w:rsidR="003C06C9">
        <w:rPr>
          <w:szCs w:val="22"/>
        </w:rPr>
        <w:t xml:space="preserve">Application </w:t>
      </w:r>
      <w:r w:rsidRPr="00EF6115" w:rsidR="0054032F">
        <w:rPr>
          <w:szCs w:val="22"/>
        </w:rPr>
        <w:t xml:space="preserve">for </w:t>
      </w:r>
      <w:r w:rsidRPr="00EF6115" w:rsidR="003C06C9">
        <w:rPr>
          <w:szCs w:val="22"/>
        </w:rPr>
        <w:t xml:space="preserve">Review </w:t>
      </w:r>
      <w:r w:rsidRPr="00EF6115" w:rsidR="0054032F">
        <w:rPr>
          <w:szCs w:val="22"/>
        </w:rPr>
        <w:t xml:space="preserve">alleging that the Bureau’s </w:t>
      </w:r>
      <w:r w:rsidRPr="00EF6115" w:rsidR="00302503">
        <w:rPr>
          <w:szCs w:val="22"/>
        </w:rPr>
        <w:t>O</w:t>
      </w:r>
      <w:r w:rsidRPr="00EF6115" w:rsidR="0054032F">
        <w:rPr>
          <w:szCs w:val="22"/>
        </w:rPr>
        <w:t>rder</w:t>
      </w:r>
      <w:r w:rsidRPr="00EF6115" w:rsidR="00D1422F">
        <w:rPr>
          <w:szCs w:val="22"/>
        </w:rPr>
        <w:t>:</w:t>
      </w:r>
      <w:r w:rsidRPr="00EF6115" w:rsidR="0054032F">
        <w:rPr>
          <w:szCs w:val="22"/>
        </w:rPr>
        <w:t xml:space="preserve"> </w:t>
      </w:r>
      <w:r w:rsidRPr="00EF6115" w:rsidR="00302503">
        <w:rPr>
          <w:szCs w:val="22"/>
        </w:rPr>
        <w:t xml:space="preserve"> </w:t>
      </w:r>
      <w:r w:rsidRPr="00EF6115" w:rsidR="0054032F">
        <w:rPr>
          <w:szCs w:val="22"/>
        </w:rPr>
        <w:t>(1) is in conflict with statute, regulation, case precedent, or established Commission policy; (2) involves a question of law or policy which has not previously been resolved by the Commission; and (3) presents an erroneous finding as to an important or material question of fact</w:t>
      </w:r>
      <w:r w:rsidRPr="00EF6115" w:rsidR="00C065DD">
        <w:rPr>
          <w:szCs w:val="22"/>
        </w:rPr>
        <w:t>.</w:t>
      </w:r>
      <w:r>
        <w:rPr>
          <w:rStyle w:val="FootnoteReference"/>
          <w:sz w:val="22"/>
          <w:szCs w:val="22"/>
        </w:rPr>
        <w:footnoteReference w:id="38"/>
      </w:r>
    </w:p>
    <w:p w:rsidR="00F82699" w:rsidRPr="00EF6115" w:rsidP="00224F02" w14:paraId="6499307B" w14:textId="1ABB7B64">
      <w:pPr>
        <w:pStyle w:val="ParaNum"/>
        <w:rPr>
          <w:szCs w:val="22"/>
        </w:rPr>
      </w:pPr>
      <w:r w:rsidRPr="00EF6115">
        <w:rPr>
          <w:i/>
          <w:iCs/>
          <w:szCs w:val="22"/>
        </w:rPr>
        <w:t>Standard of Review</w:t>
      </w:r>
      <w:r w:rsidRPr="00EF6115">
        <w:rPr>
          <w:szCs w:val="22"/>
        </w:rPr>
        <w:t>.  Section 1.115 of the Commission’s rules specif</w:t>
      </w:r>
      <w:r w:rsidRPr="00EF6115" w:rsidR="689B9B6C">
        <w:rPr>
          <w:szCs w:val="22"/>
        </w:rPr>
        <w:t>ies</w:t>
      </w:r>
      <w:r w:rsidRPr="00EF6115">
        <w:rPr>
          <w:szCs w:val="22"/>
        </w:rPr>
        <w:t xml:space="preserve"> the factors that warrant Commission consideration of the issues presented in an application for review of action taken pursuant to delegated authority.</w:t>
      </w:r>
      <w:r>
        <w:rPr>
          <w:rStyle w:val="FootnoteReference"/>
          <w:sz w:val="22"/>
          <w:szCs w:val="22"/>
        </w:rPr>
        <w:footnoteReference w:id="39"/>
      </w:r>
      <w:r w:rsidRPr="00EF6115">
        <w:rPr>
          <w:szCs w:val="22"/>
        </w:rPr>
        <w:t xml:space="preserve">  The Commission considers, among other things, whether the action </w:t>
      </w:r>
      <w:r w:rsidRPr="00EF6115">
        <w:rPr>
          <w:szCs w:val="22"/>
        </w:rPr>
        <w:t>taken is in conflict with case precedent or established Commission policy, whether it was based on an erroneous finding as to an important or material question of fact</w:t>
      </w:r>
      <w:r w:rsidRPr="00EF6115" w:rsidR="00B9247C">
        <w:rPr>
          <w:szCs w:val="22"/>
        </w:rPr>
        <w:t>,</w:t>
      </w:r>
      <w:r w:rsidRPr="00EF6115">
        <w:rPr>
          <w:szCs w:val="22"/>
        </w:rPr>
        <w:t xml:space="preserve"> or whether there was prejudicial procedural error.</w:t>
      </w:r>
      <w:r>
        <w:rPr>
          <w:rStyle w:val="FootnoteReference"/>
          <w:sz w:val="22"/>
          <w:szCs w:val="22"/>
        </w:rPr>
        <w:footnoteReference w:id="40"/>
      </w:r>
    </w:p>
    <w:p w:rsidR="0054032F" w:rsidRPr="00EF6115" w:rsidP="0054032F" w14:paraId="47F1641B" w14:textId="33BFD348">
      <w:pPr>
        <w:pStyle w:val="Heading1"/>
        <w:rPr>
          <w:rFonts w:ascii="Times New Roman" w:hAnsi="Times New Roman"/>
          <w:szCs w:val="22"/>
        </w:rPr>
      </w:pPr>
      <w:r w:rsidRPr="00EF6115">
        <w:rPr>
          <w:rFonts w:ascii="Times New Roman" w:hAnsi="Times New Roman"/>
          <w:szCs w:val="22"/>
        </w:rPr>
        <w:t>Discussion</w:t>
      </w:r>
    </w:p>
    <w:p w:rsidR="005B4069" w:rsidRPr="00EF6115" w:rsidP="00223545" w14:paraId="04C15B43" w14:textId="656C47F9">
      <w:pPr>
        <w:pStyle w:val="ParaNum"/>
        <w:rPr>
          <w:i/>
          <w:iCs/>
          <w:szCs w:val="22"/>
        </w:rPr>
      </w:pPr>
      <w:r w:rsidRPr="00EF6115">
        <w:rPr>
          <w:i/>
          <w:iCs/>
          <w:szCs w:val="22"/>
        </w:rPr>
        <w:t>Bloomingdale</w:t>
      </w:r>
      <w:r w:rsidRPr="00EF6115" w:rsidR="00E5410E">
        <w:rPr>
          <w:i/>
          <w:iCs/>
          <w:szCs w:val="22"/>
        </w:rPr>
        <w:t xml:space="preserve"> and </w:t>
      </w:r>
      <w:r w:rsidRPr="00EF6115" w:rsidR="00E5410E">
        <w:rPr>
          <w:i/>
          <w:iCs/>
          <w:szCs w:val="22"/>
        </w:rPr>
        <w:t>ComSouth</w:t>
      </w:r>
      <w:r w:rsidRPr="00EF6115">
        <w:rPr>
          <w:szCs w:val="22"/>
        </w:rPr>
        <w:t>.</w:t>
      </w:r>
      <w:r w:rsidRPr="00EF6115" w:rsidR="0042064C">
        <w:rPr>
          <w:szCs w:val="22"/>
        </w:rPr>
        <w:t xml:space="preserve">  </w:t>
      </w:r>
      <w:r w:rsidRPr="00EF6115" w:rsidR="00C27129">
        <w:rPr>
          <w:szCs w:val="22"/>
        </w:rPr>
        <w:t xml:space="preserve">We </w:t>
      </w:r>
      <w:r w:rsidRPr="00EF6115" w:rsidR="00A92710">
        <w:rPr>
          <w:szCs w:val="22"/>
        </w:rPr>
        <w:t>grant</w:t>
      </w:r>
      <w:r w:rsidRPr="00EF6115" w:rsidR="00C27129">
        <w:rPr>
          <w:i/>
          <w:szCs w:val="22"/>
        </w:rPr>
        <w:t xml:space="preserve"> </w:t>
      </w:r>
      <w:r w:rsidRPr="00EF6115" w:rsidR="00C27129">
        <w:rPr>
          <w:szCs w:val="22"/>
        </w:rPr>
        <w:t xml:space="preserve">Bloomingdale’s Application for Review </w:t>
      </w:r>
      <w:r w:rsidRPr="00EF6115" w:rsidR="00A92710">
        <w:rPr>
          <w:szCs w:val="22"/>
        </w:rPr>
        <w:t>because we find</w:t>
      </w:r>
      <w:r w:rsidRPr="00EF6115" w:rsidR="00C27129">
        <w:rPr>
          <w:szCs w:val="22"/>
        </w:rPr>
        <w:t xml:space="preserve"> that confusion about filing obligations was reasonable until the Bureau’s December 2, 2019 waiver order,</w:t>
      </w:r>
      <w:r>
        <w:rPr>
          <w:rStyle w:val="FootnoteReference"/>
          <w:sz w:val="22"/>
          <w:szCs w:val="22"/>
        </w:rPr>
        <w:footnoteReference w:id="41"/>
      </w:r>
      <w:r w:rsidRPr="00EF6115" w:rsidR="00C27129">
        <w:rPr>
          <w:szCs w:val="22"/>
        </w:rPr>
        <w:t xml:space="preserve"> and that Bureau precedent supports waiving Bloomingdale’s support reductions.</w:t>
      </w:r>
      <w:r w:rsidRPr="00EF6115" w:rsidR="00D07EB9">
        <w:rPr>
          <w:szCs w:val="22"/>
        </w:rPr>
        <w:t xml:space="preserve">  </w:t>
      </w:r>
      <w:r w:rsidRPr="00EF6115" w:rsidR="004F4D9D">
        <w:rPr>
          <w:szCs w:val="22"/>
        </w:rPr>
        <w:t xml:space="preserve">In the </w:t>
      </w:r>
      <w:r w:rsidRPr="00EF6115" w:rsidR="004F4D9D">
        <w:rPr>
          <w:i/>
          <w:iCs/>
          <w:szCs w:val="22"/>
        </w:rPr>
        <w:t>2019 HUBB Waiver Order</w:t>
      </w:r>
      <w:r w:rsidRPr="00EF6115" w:rsidR="00842E4F">
        <w:rPr>
          <w:szCs w:val="22"/>
        </w:rPr>
        <w:t>,</w:t>
      </w:r>
      <w:r w:rsidRPr="00EF6115" w:rsidR="004F4D9D">
        <w:rPr>
          <w:szCs w:val="22"/>
        </w:rPr>
        <w:t xml:space="preserve"> </w:t>
      </w:r>
      <w:r w:rsidRPr="00EF6115" w:rsidR="00842E4F">
        <w:rPr>
          <w:szCs w:val="22"/>
        </w:rPr>
        <w:t>t</w:t>
      </w:r>
      <w:r w:rsidRPr="00EF6115" w:rsidR="00C27129">
        <w:rPr>
          <w:szCs w:val="22"/>
        </w:rPr>
        <w:t>he Bureau concluded that carriers had “reasonable confusion” about their filing obligations</w:t>
      </w:r>
      <w:r w:rsidRPr="00EF6115" w:rsidR="00842E4F">
        <w:rPr>
          <w:szCs w:val="22"/>
        </w:rPr>
        <w:t>.</w:t>
      </w:r>
      <w:r>
        <w:rPr>
          <w:rStyle w:val="FootnoteReference"/>
          <w:sz w:val="22"/>
          <w:szCs w:val="22"/>
        </w:rPr>
        <w:footnoteReference w:id="42"/>
      </w:r>
      <w:r w:rsidRPr="00EF6115" w:rsidR="00842E4F">
        <w:rPr>
          <w:szCs w:val="22"/>
        </w:rPr>
        <w:t xml:space="preserve">  T</w:t>
      </w:r>
      <w:r w:rsidRPr="00EF6115" w:rsidR="00C27129">
        <w:rPr>
          <w:szCs w:val="22"/>
        </w:rPr>
        <w:t>hat confusion</w:t>
      </w:r>
      <w:r w:rsidRPr="00EF6115" w:rsidR="004A2AA7">
        <w:rPr>
          <w:szCs w:val="22"/>
        </w:rPr>
        <w:t xml:space="preserve">, specifically about carriers’ requirement to </w:t>
      </w:r>
      <w:r w:rsidRPr="00EF6115" w:rsidR="00FC52D7">
        <w:rPr>
          <w:szCs w:val="22"/>
        </w:rPr>
        <w:t xml:space="preserve">certify when there was no deployment in the prior year, </w:t>
      </w:r>
      <w:r w:rsidRPr="00EF6115" w:rsidR="00C27129">
        <w:rPr>
          <w:szCs w:val="22"/>
        </w:rPr>
        <w:t xml:space="preserve">was not obviated until the December 2, 2019 </w:t>
      </w:r>
      <w:r w:rsidRPr="00EF6115" w:rsidR="00FC52D7">
        <w:rPr>
          <w:szCs w:val="22"/>
        </w:rPr>
        <w:t xml:space="preserve">waiver </w:t>
      </w:r>
      <w:r w:rsidRPr="00EF6115" w:rsidR="00C27129">
        <w:rPr>
          <w:szCs w:val="22"/>
        </w:rPr>
        <w:t>order</w:t>
      </w:r>
      <w:r w:rsidRPr="00EF6115" w:rsidR="008D1719">
        <w:rPr>
          <w:szCs w:val="22"/>
        </w:rPr>
        <w:t xml:space="preserve"> under these circumstances</w:t>
      </w:r>
      <w:r w:rsidRPr="00EF6115" w:rsidR="00C27129">
        <w:rPr>
          <w:szCs w:val="22"/>
        </w:rPr>
        <w:t xml:space="preserve">.  While the Bureau </w:t>
      </w:r>
      <w:r w:rsidRPr="00EF6115" w:rsidR="00351467">
        <w:rPr>
          <w:szCs w:val="22"/>
        </w:rPr>
        <w:t xml:space="preserve">in the </w:t>
      </w:r>
      <w:r w:rsidRPr="00EF6115" w:rsidR="00351467">
        <w:rPr>
          <w:i/>
          <w:iCs/>
          <w:szCs w:val="22"/>
        </w:rPr>
        <w:t>2019 HUBB Waiver Order</w:t>
      </w:r>
      <w:r w:rsidRPr="00EF6115" w:rsidR="00351467">
        <w:rPr>
          <w:szCs w:val="22"/>
        </w:rPr>
        <w:t xml:space="preserve"> </w:t>
      </w:r>
      <w:r w:rsidRPr="00EF6115" w:rsidR="00C27129">
        <w:rPr>
          <w:szCs w:val="22"/>
        </w:rPr>
        <w:t>stated that it did not anticipate granting “future petitions with similar facts,”</w:t>
      </w:r>
      <w:r>
        <w:rPr>
          <w:rStyle w:val="FootnoteReference"/>
          <w:sz w:val="22"/>
          <w:szCs w:val="22"/>
        </w:rPr>
        <w:footnoteReference w:id="43"/>
      </w:r>
      <w:r w:rsidRPr="00EF6115" w:rsidR="0081478F">
        <w:rPr>
          <w:szCs w:val="22"/>
        </w:rPr>
        <w:t xml:space="preserve">  </w:t>
      </w:r>
      <w:r w:rsidRPr="00EF6115" w:rsidR="00C27129">
        <w:rPr>
          <w:szCs w:val="22"/>
        </w:rPr>
        <w:t>Bloomingdale</w:t>
      </w:r>
      <w:r w:rsidRPr="00EF6115" w:rsidR="00F335EC">
        <w:rPr>
          <w:szCs w:val="22"/>
        </w:rPr>
        <w:t xml:space="preserve"> missed the March 1, 2019</w:t>
      </w:r>
      <w:r w:rsidRPr="00EF6115" w:rsidR="00BE033C">
        <w:rPr>
          <w:szCs w:val="22"/>
        </w:rPr>
        <w:t xml:space="preserve"> </w:t>
      </w:r>
      <w:r w:rsidRPr="00EF6115" w:rsidR="0081478F">
        <w:rPr>
          <w:szCs w:val="22"/>
        </w:rPr>
        <w:t xml:space="preserve">HUBB filing prior to the </w:t>
      </w:r>
      <w:r w:rsidRPr="00EF6115" w:rsidR="00842E4F">
        <w:rPr>
          <w:szCs w:val="22"/>
        </w:rPr>
        <w:t xml:space="preserve">release of the </w:t>
      </w:r>
      <w:r w:rsidRPr="00EF6115" w:rsidR="0081478F">
        <w:rPr>
          <w:i/>
          <w:szCs w:val="22"/>
        </w:rPr>
        <w:t xml:space="preserve">2019 </w:t>
      </w:r>
      <w:r w:rsidRPr="00EF6115" w:rsidR="00EF2066">
        <w:rPr>
          <w:i/>
          <w:iCs/>
          <w:szCs w:val="22"/>
        </w:rPr>
        <w:t>HUBB Waiver Order</w:t>
      </w:r>
      <w:r w:rsidRPr="00EF6115" w:rsidR="00EF2066">
        <w:rPr>
          <w:szCs w:val="22"/>
        </w:rPr>
        <w:t>.  Thus</w:t>
      </w:r>
      <w:r w:rsidRPr="00EF6115" w:rsidR="0081478F">
        <w:rPr>
          <w:szCs w:val="22"/>
        </w:rPr>
        <w:t xml:space="preserve">, </w:t>
      </w:r>
      <w:r w:rsidRPr="00EF6115" w:rsidR="00A958F3">
        <w:rPr>
          <w:szCs w:val="22"/>
        </w:rPr>
        <w:t>Bloomingdale’s confusion</w:t>
      </w:r>
      <w:r w:rsidRPr="00EF6115" w:rsidR="00F53B45">
        <w:rPr>
          <w:szCs w:val="22"/>
        </w:rPr>
        <w:t xml:space="preserve"> that </w:t>
      </w:r>
      <w:r w:rsidRPr="00EF6115" w:rsidR="004047EC">
        <w:rPr>
          <w:szCs w:val="22"/>
        </w:rPr>
        <w:t>it was not aware of the requirement to certify that it had no locations to report for 2018</w:t>
      </w:r>
      <w:r w:rsidRPr="00EF6115" w:rsidR="00F53B45">
        <w:rPr>
          <w:szCs w:val="22"/>
        </w:rPr>
        <w:t xml:space="preserve"> </w:t>
      </w:r>
      <w:r w:rsidRPr="00EF6115" w:rsidR="00707885">
        <w:rPr>
          <w:szCs w:val="22"/>
        </w:rPr>
        <w:t xml:space="preserve">was </w:t>
      </w:r>
      <w:r w:rsidRPr="00EF6115" w:rsidR="00A958F3">
        <w:rPr>
          <w:szCs w:val="22"/>
        </w:rPr>
        <w:t>reasonable.</w:t>
      </w:r>
      <w:r w:rsidRPr="00EF6115" w:rsidR="00223545">
        <w:rPr>
          <w:szCs w:val="22"/>
        </w:rPr>
        <w:t xml:space="preserve">  </w:t>
      </w:r>
      <w:r w:rsidRPr="00EF6115" w:rsidR="00707885">
        <w:rPr>
          <w:szCs w:val="22"/>
        </w:rPr>
        <w:t xml:space="preserve">Accordingly, we reverse the Bureau’s decision in the </w:t>
      </w:r>
      <w:r w:rsidRPr="00EF6115" w:rsidR="00707885">
        <w:rPr>
          <w:i/>
          <w:iCs/>
          <w:szCs w:val="22"/>
        </w:rPr>
        <w:t>August 2020 Waiver Order</w:t>
      </w:r>
      <w:r w:rsidRPr="00EF6115" w:rsidR="00707885">
        <w:rPr>
          <w:szCs w:val="22"/>
        </w:rPr>
        <w:t xml:space="preserve"> </w:t>
      </w:r>
      <w:r w:rsidRPr="00EF6115" w:rsidR="00433D6F">
        <w:rPr>
          <w:szCs w:val="22"/>
        </w:rPr>
        <w:t>to deny Bloomingdale’s waiver</w:t>
      </w:r>
      <w:r w:rsidRPr="00EF6115" w:rsidR="0034270E">
        <w:rPr>
          <w:szCs w:val="22"/>
        </w:rPr>
        <w:t>,</w:t>
      </w:r>
      <w:r w:rsidRPr="00EF6115" w:rsidR="00EC7232">
        <w:rPr>
          <w:szCs w:val="22"/>
        </w:rPr>
        <w:t xml:space="preserve"> and </w:t>
      </w:r>
      <w:r w:rsidRPr="00EF6115" w:rsidR="0034270E">
        <w:rPr>
          <w:szCs w:val="22"/>
        </w:rPr>
        <w:t>we</w:t>
      </w:r>
      <w:r w:rsidRPr="00EF6115" w:rsidR="00EC7232">
        <w:rPr>
          <w:szCs w:val="22"/>
        </w:rPr>
        <w:t xml:space="preserve"> direct USAC to restore </w:t>
      </w:r>
      <w:r w:rsidRPr="00EF6115" w:rsidR="00B63EA6">
        <w:rPr>
          <w:szCs w:val="22"/>
        </w:rPr>
        <w:t>support consistent with our decision.</w:t>
      </w:r>
      <w:r w:rsidRPr="00EF6115" w:rsidR="005E6759">
        <w:rPr>
          <w:szCs w:val="22"/>
        </w:rPr>
        <w:t xml:space="preserve">  For the same reasons, </w:t>
      </w:r>
      <w:r w:rsidRPr="00EF6115" w:rsidR="00F53B45">
        <w:rPr>
          <w:szCs w:val="22"/>
        </w:rPr>
        <w:t>on our own motion</w:t>
      </w:r>
      <w:r w:rsidRPr="00EF6115" w:rsidR="000B3A44">
        <w:rPr>
          <w:szCs w:val="22"/>
        </w:rPr>
        <w:t>,</w:t>
      </w:r>
      <w:r w:rsidRPr="00EF6115" w:rsidR="00F53B45">
        <w:rPr>
          <w:szCs w:val="22"/>
        </w:rPr>
        <w:t xml:space="preserve"> we reverse the Bureau’s decision in the </w:t>
      </w:r>
      <w:r w:rsidRPr="00EF6115" w:rsidR="00F53B45">
        <w:rPr>
          <w:i/>
          <w:iCs/>
          <w:szCs w:val="22"/>
        </w:rPr>
        <w:t>August 2020 Waiver Order</w:t>
      </w:r>
      <w:r w:rsidRPr="00EF6115" w:rsidR="00F53B45">
        <w:rPr>
          <w:szCs w:val="22"/>
        </w:rPr>
        <w:t xml:space="preserve"> to deny </w:t>
      </w:r>
      <w:r w:rsidRPr="00EF6115" w:rsidR="00F53B45">
        <w:rPr>
          <w:szCs w:val="22"/>
        </w:rPr>
        <w:t>ComSouth’s</w:t>
      </w:r>
      <w:r w:rsidRPr="00EF6115" w:rsidR="00F53B45">
        <w:rPr>
          <w:szCs w:val="22"/>
        </w:rPr>
        <w:t xml:space="preserve"> waiver</w:t>
      </w:r>
      <w:r w:rsidRPr="00EF6115" w:rsidR="0034270E">
        <w:rPr>
          <w:szCs w:val="22"/>
        </w:rPr>
        <w:t>,</w:t>
      </w:r>
      <w:r w:rsidRPr="00EF6115" w:rsidR="00F53B45">
        <w:rPr>
          <w:szCs w:val="22"/>
        </w:rPr>
        <w:t xml:space="preserve"> and </w:t>
      </w:r>
      <w:r w:rsidRPr="00EF6115" w:rsidR="0034270E">
        <w:rPr>
          <w:szCs w:val="22"/>
        </w:rPr>
        <w:t>we</w:t>
      </w:r>
      <w:r w:rsidRPr="00EF6115" w:rsidR="00F53B45">
        <w:rPr>
          <w:szCs w:val="22"/>
        </w:rPr>
        <w:t xml:space="preserve"> direct USAC to restore support consistent with this decision.</w:t>
      </w:r>
      <w:r>
        <w:rPr>
          <w:rStyle w:val="FootnoteReference"/>
          <w:sz w:val="22"/>
          <w:szCs w:val="22"/>
        </w:rPr>
        <w:footnoteReference w:id="44"/>
      </w:r>
    </w:p>
    <w:p w:rsidR="00614FE2" w:rsidRPr="00EF6115" w:rsidP="00223545" w14:paraId="71CC02C7" w14:textId="78D2EF7A">
      <w:pPr>
        <w:pStyle w:val="ParaNum"/>
        <w:widowControl/>
        <w:rPr>
          <w:i/>
          <w:iCs/>
          <w:szCs w:val="22"/>
        </w:rPr>
      </w:pPr>
      <w:r w:rsidRPr="00EF6115">
        <w:rPr>
          <w:i/>
          <w:iCs/>
          <w:szCs w:val="22"/>
        </w:rPr>
        <w:t>State Telephone</w:t>
      </w:r>
      <w:r w:rsidRPr="00EF6115">
        <w:rPr>
          <w:szCs w:val="22"/>
        </w:rPr>
        <w:t xml:space="preserve">.  </w:t>
      </w:r>
      <w:r w:rsidRPr="00EF6115" w:rsidR="000503BD">
        <w:rPr>
          <w:szCs w:val="22"/>
        </w:rPr>
        <w:t>State</w:t>
      </w:r>
      <w:r w:rsidRPr="00EF6115" w:rsidR="00D43081">
        <w:rPr>
          <w:szCs w:val="22"/>
        </w:rPr>
        <w:t xml:space="preserve"> contends that it</w:t>
      </w:r>
      <w:r w:rsidRPr="00EF6115" w:rsidR="000503BD">
        <w:rPr>
          <w:szCs w:val="22"/>
        </w:rPr>
        <w:t xml:space="preserve"> “erroneously believed that its March 2018 HUBB filing was limited to locations newly deployed during 2017 . . .,” so it did not report and certify the locations State had deployed broadband service to in prior years, which would have originally been reported by March 1, 2017.</w:t>
      </w:r>
      <w:r>
        <w:rPr>
          <w:rStyle w:val="FootnoteReference"/>
          <w:sz w:val="22"/>
          <w:szCs w:val="22"/>
        </w:rPr>
        <w:footnoteReference w:id="45"/>
      </w:r>
      <w:r w:rsidRPr="00EF6115" w:rsidR="00844CC8">
        <w:rPr>
          <w:szCs w:val="22"/>
        </w:rPr>
        <w:t xml:space="preserve">  Our </w:t>
      </w:r>
      <w:r w:rsidRPr="00EF6115" w:rsidR="00A94D70">
        <w:rPr>
          <w:szCs w:val="22"/>
        </w:rPr>
        <w:t>locations report</w:t>
      </w:r>
      <w:r w:rsidRPr="00EF6115" w:rsidR="00622CE0">
        <w:rPr>
          <w:szCs w:val="22"/>
        </w:rPr>
        <w:t>ing</w:t>
      </w:r>
      <w:r w:rsidRPr="00EF6115" w:rsidR="00A94D70">
        <w:rPr>
          <w:szCs w:val="22"/>
        </w:rPr>
        <w:t xml:space="preserve"> </w:t>
      </w:r>
      <w:r w:rsidRPr="00EF6115" w:rsidR="00844CC8">
        <w:rPr>
          <w:szCs w:val="22"/>
        </w:rPr>
        <w:t>rule</w:t>
      </w:r>
      <w:r w:rsidRPr="00EF6115" w:rsidR="00664926">
        <w:rPr>
          <w:szCs w:val="22"/>
        </w:rPr>
        <w:t xml:space="preserve"> </w:t>
      </w:r>
      <w:r w:rsidRPr="00EF6115" w:rsidR="00844CC8">
        <w:rPr>
          <w:szCs w:val="22"/>
        </w:rPr>
        <w:t>require</w:t>
      </w:r>
      <w:r w:rsidRPr="00EF6115" w:rsidR="00A94D70">
        <w:rPr>
          <w:szCs w:val="22"/>
        </w:rPr>
        <w:t>s</w:t>
      </w:r>
      <w:r w:rsidRPr="00EF6115" w:rsidR="00844CC8">
        <w:rPr>
          <w:szCs w:val="22"/>
        </w:rPr>
        <w:t xml:space="preserve"> carriers to report all locations deployed to in the prior year</w:t>
      </w:r>
      <w:r w:rsidRPr="00EF6115" w:rsidR="00664926">
        <w:rPr>
          <w:szCs w:val="22"/>
        </w:rPr>
        <w:t>.</w:t>
      </w:r>
      <w:r>
        <w:rPr>
          <w:rStyle w:val="FootnoteReference"/>
          <w:sz w:val="22"/>
          <w:szCs w:val="22"/>
        </w:rPr>
        <w:footnoteReference w:id="46"/>
      </w:r>
      <w:r w:rsidRPr="00EF6115" w:rsidR="00664926">
        <w:rPr>
          <w:szCs w:val="22"/>
        </w:rPr>
        <w:t xml:space="preserve"> </w:t>
      </w:r>
      <w:r w:rsidRPr="00EF6115" w:rsidR="00FC2607">
        <w:rPr>
          <w:szCs w:val="22"/>
        </w:rPr>
        <w:t xml:space="preserve">  While the Bureau announced that the March 1, 2018 HUBB filing needed to include </w:t>
      </w:r>
      <w:r w:rsidRPr="00EF6115" w:rsidR="003F3DED">
        <w:rPr>
          <w:szCs w:val="22"/>
        </w:rPr>
        <w:t xml:space="preserve">2017 locations and 2016 locations back to May </w:t>
      </w:r>
      <w:r w:rsidRPr="00EF6115" w:rsidR="00BA1EF6">
        <w:rPr>
          <w:szCs w:val="22"/>
        </w:rPr>
        <w:t>25</w:t>
      </w:r>
      <w:r w:rsidRPr="00EF6115" w:rsidR="003F3DED">
        <w:rPr>
          <w:szCs w:val="22"/>
        </w:rPr>
        <w:t>, 20</w:t>
      </w:r>
      <w:r w:rsidRPr="00EF6115" w:rsidR="00CA6DD0">
        <w:rPr>
          <w:szCs w:val="22"/>
        </w:rPr>
        <w:t>1</w:t>
      </w:r>
      <w:r w:rsidRPr="00EF6115" w:rsidR="003F3DED">
        <w:rPr>
          <w:szCs w:val="22"/>
        </w:rPr>
        <w:t>6</w:t>
      </w:r>
      <w:r w:rsidRPr="00EF6115" w:rsidR="00BA1EF6">
        <w:rPr>
          <w:szCs w:val="22"/>
        </w:rPr>
        <w:t>, State’s belief that only 2017 locations were needed was reasonable</w:t>
      </w:r>
      <w:r w:rsidRPr="00EF6115" w:rsidR="00AC038B">
        <w:rPr>
          <w:szCs w:val="22"/>
        </w:rPr>
        <w:t xml:space="preserve"> as </w:t>
      </w:r>
      <w:r w:rsidRPr="00EF6115" w:rsidR="00C6728E">
        <w:rPr>
          <w:szCs w:val="22"/>
        </w:rPr>
        <w:t>the Bureau’s announcement deviat</w:t>
      </w:r>
      <w:r w:rsidRPr="00EF6115" w:rsidR="00AC038B">
        <w:rPr>
          <w:szCs w:val="22"/>
        </w:rPr>
        <w:t xml:space="preserve">ed from </w:t>
      </w:r>
      <w:r w:rsidRPr="00EF6115" w:rsidR="00B87DAD">
        <w:rPr>
          <w:szCs w:val="22"/>
        </w:rPr>
        <w:t xml:space="preserve">the </w:t>
      </w:r>
      <w:r w:rsidRPr="00EF6115" w:rsidR="00AC038B">
        <w:rPr>
          <w:szCs w:val="22"/>
        </w:rPr>
        <w:t>usual requirement</w:t>
      </w:r>
      <w:r w:rsidRPr="00EF6115" w:rsidR="00C6728E">
        <w:rPr>
          <w:szCs w:val="22"/>
        </w:rPr>
        <w:t xml:space="preserve">.  </w:t>
      </w:r>
      <w:r w:rsidRPr="00EF6115" w:rsidR="002B6B89">
        <w:rPr>
          <w:szCs w:val="22"/>
        </w:rPr>
        <w:t>Accordingly, we reverse the Bureau’s decision to deny State relief from the March 1, 2018 HUBB</w:t>
      </w:r>
      <w:r w:rsidRPr="00EF6115" w:rsidR="00223545">
        <w:rPr>
          <w:szCs w:val="22"/>
        </w:rPr>
        <w:t xml:space="preserve"> deadline</w:t>
      </w:r>
      <w:r w:rsidRPr="00EF6115" w:rsidR="00ED2FE1">
        <w:rPr>
          <w:szCs w:val="22"/>
        </w:rPr>
        <w:t xml:space="preserve">.  </w:t>
      </w:r>
    </w:p>
    <w:p w:rsidR="00004C9D" w:rsidRPr="00EF6115" w:rsidP="00707885" w14:paraId="23C24B09" w14:textId="3C2BC0AB">
      <w:pPr>
        <w:pStyle w:val="ParaNum"/>
        <w:rPr>
          <w:i/>
          <w:iCs/>
          <w:szCs w:val="22"/>
        </w:rPr>
      </w:pPr>
      <w:r w:rsidRPr="00EF6115">
        <w:rPr>
          <w:szCs w:val="22"/>
        </w:rPr>
        <w:t>State failed to</w:t>
      </w:r>
      <w:r w:rsidRPr="00EF6115" w:rsidR="00E76E11">
        <w:rPr>
          <w:szCs w:val="22"/>
        </w:rPr>
        <w:t xml:space="preserve"> make its HUBB certification due March 1, 2019</w:t>
      </w:r>
      <w:r w:rsidRPr="00EF6115" w:rsidR="00065E21">
        <w:rPr>
          <w:szCs w:val="22"/>
        </w:rPr>
        <w:t xml:space="preserve"> </w:t>
      </w:r>
      <w:r w:rsidRPr="00EF6115" w:rsidR="00285758">
        <w:rPr>
          <w:szCs w:val="22"/>
        </w:rPr>
        <w:t xml:space="preserve">and </w:t>
      </w:r>
      <w:r w:rsidRPr="00EF6115" w:rsidR="0063441C">
        <w:rPr>
          <w:szCs w:val="22"/>
        </w:rPr>
        <w:t xml:space="preserve">was consequently subject </w:t>
      </w:r>
      <w:r w:rsidR="005F3DED">
        <w:rPr>
          <w:szCs w:val="22"/>
        </w:rPr>
        <w:t>to</w:t>
      </w:r>
      <w:r w:rsidRPr="00EF6115" w:rsidR="005F3DED">
        <w:rPr>
          <w:szCs w:val="22"/>
        </w:rPr>
        <w:t xml:space="preserve"> </w:t>
      </w:r>
      <w:r w:rsidRPr="00EF6115" w:rsidR="0063441C">
        <w:rPr>
          <w:szCs w:val="22"/>
        </w:rPr>
        <w:t xml:space="preserve">a </w:t>
      </w:r>
      <w:r w:rsidRPr="00EF6115" w:rsidR="00065E21">
        <w:rPr>
          <w:szCs w:val="22"/>
        </w:rPr>
        <w:t xml:space="preserve">support reduction of over $1 million.  </w:t>
      </w:r>
      <w:r w:rsidRPr="00EF6115" w:rsidR="000B4829">
        <w:rPr>
          <w:szCs w:val="22"/>
        </w:rPr>
        <w:t xml:space="preserve">Based on the record before us, </w:t>
      </w:r>
      <w:r w:rsidRPr="00EF6115" w:rsidR="00936A70">
        <w:rPr>
          <w:szCs w:val="22"/>
        </w:rPr>
        <w:t xml:space="preserve">State has shown that </w:t>
      </w:r>
      <w:r w:rsidRPr="00EF6115" w:rsidR="00CA4199">
        <w:rPr>
          <w:szCs w:val="22"/>
        </w:rPr>
        <w:t xml:space="preserve">even though it never </w:t>
      </w:r>
      <w:r w:rsidRPr="00EF6115" w:rsidR="009B559F">
        <w:rPr>
          <w:szCs w:val="22"/>
        </w:rPr>
        <w:t xml:space="preserve">actually </w:t>
      </w:r>
      <w:r w:rsidRPr="00EF6115" w:rsidR="00CA4199">
        <w:rPr>
          <w:szCs w:val="22"/>
        </w:rPr>
        <w:t xml:space="preserve">made the certification, </w:t>
      </w:r>
      <w:r w:rsidRPr="00EF6115" w:rsidR="006C6025">
        <w:rPr>
          <w:szCs w:val="22"/>
        </w:rPr>
        <w:t>State had reason to believe that it did not need to file given it did not yet have geocoding fo</w:t>
      </w:r>
      <w:r w:rsidRPr="00EF6115" w:rsidR="003126F7">
        <w:rPr>
          <w:szCs w:val="22"/>
        </w:rPr>
        <w:t>r its deployed locations</w:t>
      </w:r>
      <w:r w:rsidRPr="00EF6115" w:rsidR="008B1DE5">
        <w:rPr>
          <w:szCs w:val="22"/>
        </w:rPr>
        <w:t>.</w:t>
      </w:r>
      <w:r w:rsidRPr="00EF6115" w:rsidR="009B559F">
        <w:rPr>
          <w:szCs w:val="22"/>
        </w:rPr>
        <w:t xml:space="preserve">  As is customary</w:t>
      </w:r>
      <w:r w:rsidRPr="00EF6115" w:rsidR="006A06EC">
        <w:rPr>
          <w:szCs w:val="22"/>
        </w:rPr>
        <w:t xml:space="preserve"> and happened here</w:t>
      </w:r>
      <w:r w:rsidRPr="00EF6115" w:rsidR="009B559F">
        <w:rPr>
          <w:szCs w:val="22"/>
        </w:rPr>
        <w:t>, USAC contact</w:t>
      </w:r>
      <w:r w:rsidRPr="00EF6115" w:rsidR="006A06EC">
        <w:rPr>
          <w:szCs w:val="22"/>
        </w:rPr>
        <w:t>ed</w:t>
      </w:r>
      <w:r w:rsidRPr="00EF6115" w:rsidR="009B559F">
        <w:rPr>
          <w:szCs w:val="22"/>
        </w:rPr>
        <w:t xml:space="preserve"> carriers that fail</w:t>
      </w:r>
      <w:r w:rsidRPr="00EF6115" w:rsidR="006A06EC">
        <w:rPr>
          <w:szCs w:val="22"/>
        </w:rPr>
        <w:t>ed</w:t>
      </w:r>
      <w:r w:rsidRPr="00EF6115" w:rsidR="009B559F">
        <w:rPr>
          <w:szCs w:val="22"/>
        </w:rPr>
        <w:t xml:space="preserve"> to make their HUBB certifications and</w:t>
      </w:r>
      <w:r w:rsidRPr="00EF6115" w:rsidR="004E285F">
        <w:rPr>
          <w:szCs w:val="22"/>
        </w:rPr>
        <w:t>, therefore,</w:t>
      </w:r>
      <w:r w:rsidRPr="00EF6115" w:rsidR="009B559F">
        <w:rPr>
          <w:szCs w:val="22"/>
        </w:rPr>
        <w:t xml:space="preserve"> </w:t>
      </w:r>
      <w:r w:rsidRPr="00EF6115" w:rsidR="006B5FED">
        <w:rPr>
          <w:szCs w:val="22"/>
        </w:rPr>
        <w:t xml:space="preserve">contacted </w:t>
      </w:r>
      <w:r w:rsidRPr="00EF6115" w:rsidR="00664C2F">
        <w:rPr>
          <w:szCs w:val="22"/>
        </w:rPr>
        <w:t>S</w:t>
      </w:r>
      <w:r w:rsidRPr="00EF6115" w:rsidR="009B559F">
        <w:rPr>
          <w:szCs w:val="22"/>
        </w:rPr>
        <w:t xml:space="preserve">tate shortly after March 1, 2019.  State </w:t>
      </w:r>
      <w:r w:rsidRPr="00EF6115" w:rsidR="001351A9">
        <w:rPr>
          <w:szCs w:val="22"/>
        </w:rPr>
        <w:t>respond</w:t>
      </w:r>
      <w:r w:rsidRPr="00EF6115" w:rsidR="00C50478">
        <w:rPr>
          <w:szCs w:val="22"/>
        </w:rPr>
        <w:t>ed</w:t>
      </w:r>
      <w:r w:rsidRPr="00EF6115" w:rsidR="001351A9">
        <w:rPr>
          <w:szCs w:val="22"/>
        </w:rPr>
        <w:t xml:space="preserve"> promptly</w:t>
      </w:r>
      <w:r w:rsidRPr="00EF6115" w:rsidR="00B65E1F">
        <w:rPr>
          <w:szCs w:val="22"/>
        </w:rPr>
        <w:t xml:space="preserve">, </w:t>
      </w:r>
      <w:r w:rsidRPr="00EF6115" w:rsidR="009B559F">
        <w:rPr>
          <w:szCs w:val="22"/>
        </w:rPr>
        <w:t>candidly described the situation</w:t>
      </w:r>
      <w:r w:rsidRPr="00EF6115" w:rsidR="00FE0ED6">
        <w:rPr>
          <w:szCs w:val="22"/>
        </w:rPr>
        <w:t xml:space="preserve"> about its</w:t>
      </w:r>
      <w:r w:rsidRPr="00EF6115" w:rsidR="00052499">
        <w:rPr>
          <w:szCs w:val="22"/>
        </w:rPr>
        <w:t xml:space="preserve"> delays and struggles with geocoding its served locations for the first time</w:t>
      </w:r>
      <w:r w:rsidRPr="00EF6115" w:rsidR="00B65E1F">
        <w:rPr>
          <w:szCs w:val="22"/>
        </w:rPr>
        <w:t xml:space="preserve">, and assured USAC that it was “working diligently” to </w:t>
      </w:r>
      <w:r w:rsidRPr="00EF6115" w:rsidR="00C50478">
        <w:rPr>
          <w:szCs w:val="22"/>
        </w:rPr>
        <w:t>obtain the necessary information.</w:t>
      </w:r>
      <w:r>
        <w:rPr>
          <w:rStyle w:val="FootnoteReference"/>
          <w:sz w:val="22"/>
          <w:szCs w:val="22"/>
        </w:rPr>
        <w:footnoteReference w:id="47"/>
      </w:r>
      <w:r w:rsidRPr="00EF6115" w:rsidR="00C50478">
        <w:rPr>
          <w:szCs w:val="22"/>
        </w:rPr>
        <w:t xml:space="preserve">  </w:t>
      </w:r>
      <w:r w:rsidRPr="00EF6115" w:rsidR="00EC7829">
        <w:rPr>
          <w:szCs w:val="22"/>
        </w:rPr>
        <w:t xml:space="preserve"> </w:t>
      </w:r>
    </w:p>
    <w:p w:rsidR="003B5665" w:rsidRPr="00EF6115" w:rsidP="00E9439D" w14:paraId="597BB14A" w14:textId="0A159577">
      <w:pPr>
        <w:pStyle w:val="ParaNum"/>
        <w:widowControl/>
        <w:rPr>
          <w:i/>
          <w:iCs/>
          <w:szCs w:val="22"/>
        </w:rPr>
      </w:pPr>
      <w:r w:rsidRPr="00EF6115">
        <w:rPr>
          <w:szCs w:val="22"/>
        </w:rPr>
        <w:t>By the time of th</w:t>
      </w:r>
      <w:r w:rsidRPr="00EF6115" w:rsidR="00664C2F">
        <w:rPr>
          <w:szCs w:val="22"/>
        </w:rPr>
        <w:t>at</w:t>
      </w:r>
      <w:r w:rsidRPr="00EF6115">
        <w:rPr>
          <w:szCs w:val="22"/>
        </w:rPr>
        <w:t xml:space="preserve"> correspondence, the HUBB system was closed for filing</w:t>
      </w:r>
      <w:r w:rsidRPr="00EF6115" w:rsidR="008C0783">
        <w:rPr>
          <w:szCs w:val="22"/>
        </w:rPr>
        <w:t xml:space="preserve"> locations deployed to in 2018.  </w:t>
      </w:r>
      <w:r w:rsidRPr="00EF6115" w:rsidR="0074249C">
        <w:rPr>
          <w:szCs w:val="22"/>
        </w:rPr>
        <w:t xml:space="preserve">While State would not </w:t>
      </w:r>
      <w:r w:rsidRPr="00EF6115" w:rsidR="00D10DF5">
        <w:rPr>
          <w:szCs w:val="22"/>
        </w:rPr>
        <w:t xml:space="preserve">file locations until March 2020, it </w:t>
      </w:r>
      <w:r w:rsidRPr="00EF6115" w:rsidR="00494A0F">
        <w:rPr>
          <w:szCs w:val="22"/>
        </w:rPr>
        <w:t xml:space="preserve">was reasonable </w:t>
      </w:r>
      <w:r w:rsidRPr="00EF6115" w:rsidR="00507118">
        <w:rPr>
          <w:szCs w:val="22"/>
        </w:rPr>
        <w:t xml:space="preserve">for </w:t>
      </w:r>
      <w:r w:rsidRPr="00EF6115" w:rsidR="004E285F">
        <w:rPr>
          <w:szCs w:val="22"/>
        </w:rPr>
        <w:t xml:space="preserve">State </w:t>
      </w:r>
      <w:r w:rsidRPr="00EF6115" w:rsidR="00494A0F">
        <w:rPr>
          <w:szCs w:val="22"/>
        </w:rPr>
        <w:t xml:space="preserve">to </w:t>
      </w:r>
      <w:r w:rsidRPr="00EF6115" w:rsidR="00494A0F">
        <w:rPr>
          <w:szCs w:val="22"/>
        </w:rPr>
        <w:t>believe</w:t>
      </w:r>
      <w:r w:rsidRPr="00EF6115" w:rsidR="0004167C">
        <w:rPr>
          <w:szCs w:val="22"/>
        </w:rPr>
        <w:t xml:space="preserve"> that it </w:t>
      </w:r>
      <w:r w:rsidRPr="00EF6115" w:rsidR="003126F7">
        <w:rPr>
          <w:szCs w:val="22"/>
        </w:rPr>
        <w:t xml:space="preserve">did not need to file its </w:t>
      </w:r>
      <w:r w:rsidRPr="00EF6115" w:rsidR="00CF4A33">
        <w:rPr>
          <w:szCs w:val="22"/>
        </w:rPr>
        <w:t>deployed locations until it had the necessary geocoding for those locations.</w:t>
      </w:r>
      <w:r w:rsidRPr="00EF6115" w:rsidR="00223545">
        <w:rPr>
          <w:szCs w:val="22"/>
        </w:rPr>
        <w:t xml:space="preserve">  Accordingly, we reverse the Bureau’s decision in the </w:t>
      </w:r>
      <w:r w:rsidRPr="00EF6115" w:rsidR="00223545">
        <w:rPr>
          <w:i/>
          <w:iCs/>
          <w:szCs w:val="22"/>
        </w:rPr>
        <w:t>August 2020 Waiver Order</w:t>
      </w:r>
      <w:r w:rsidRPr="00EF6115" w:rsidR="00223545">
        <w:rPr>
          <w:szCs w:val="22"/>
        </w:rPr>
        <w:t xml:space="preserve"> to deny State </w:t>
      </w:r>
      <w:r w:rsidRPr="00EF6115" w:rsidR="00CC7D20">
        <w:rPr>
          <w:szCs w:val="22"/>
        </w:rPr>
        <w:t xml:space="preserve">from any </w:t>
      </w:r>
      <w:r w:rsidRPr="00EF6115" w:rsidR="00223545">
        <w:rPr>
          <w:szCs w:val="22"/>
        </w:rPr>
        <w:t xml:space="preserve">relief </w:t>
      </w:r>
      <w:r w:rsidRPr="00EF6115" w:rsidR="00CF4A33">
        <w:rPr>
          <w:szCs w:val="22"/>
        </w:rPr>
        <w:t xml:space="preserve">from </w:t>
      </w:r>
      <w:r w:rsidRPr="00EF6115" w:rsidR="00223545">
        <w:rPr>
          <w:szCs w:val="22"/>
        </w:rPr>
        <w:t>the March 1, 2019 HUBB deadline</w:t>
      </w:r>
      <w:r w:rsidRPr="00EF6115" w:rsidR="00633389">
        <w:rPr>
          <w:szCs w:val="22"/>
        </w:rPr>
        <w:t>,</w:t>
      </w:r>
      <w:r w:rsidRPr="00EF6115" w:rsidR="008169BD">
        <w:rPr>
          <w:szCs w:val="22"/>
        </w:rPr>
        <w:t xml:space="preserve"> and </w:t>
      </w:r>
      <w:r w:rsidRPr="00EF6115" w:rsidR="00633389">
        <w:rPr>
          <w:szCs w:val="22"/>
        </w:rPr>
        <w:t>we</w:t>
      </w:r>
      <w:r w:rsidRPr="00EF6115" w:rsidR="008169BD">
        <w:rPr>
          <w:szCs w:val="22"/>
        </w:rPr>
        <w:t xml:space="preserve"> direct USAC to restore support consistent with our decision.</w:t>
      </w:r>
      <w:r w:rsidRPr="00EF6115" w:rsidR="00223545">
        <w:rPr>
          <w:szCs w:val="22"/>
        </w:rPr>
        <w:t xml:space="preserve">  </w:t>
      </w:r>
      <w:r w:rsidRPr="00EF6115" w:rsidR="001514B1">
        <w:rPr>
          <w:szCs w:val="22"/>
        </w:rPr>
        <w:t xml:space="preserve">  </w:t>
      </w:r>
      <w:r w:rsidRPr="00EF6115" w:rsidR="00990B82">
        <w:rPr>
          <w:szCs w:val="22"/>
        </w:rPr>
        <w:t xml:space="preserve"> </w:t>
      </w:r>
    </w:p>
    <w:p w:rsidR="003F5938" w:rsidRPr="00EF6115" w:rsidP="003F5938" w14:paraId="128DD2BF" w14:textId="6D2B3D77">
      <w:pPr>
        <w:pStyle w:val="Heading1"/>
        <w:rPr>
          <w:rFonts w:ascii="Times New Roman" w:hAnsi="Times New Roman"/>
          <w:szCs w:val="22"/>
        </w:rPr>
      </w:pPr>
      <w:r w:rsidRPr="00EF6115">
        <w:rPr>
          <w:rFonts w:ascii="Times New Roman" w:hAnsi="Times New Roman"/>
          <w:szCs w:val="22"/>
        </w:rPr>
        <w:t>Ordering Clauses</w:t>
      </w:r>
    </w:p>
    <w:p w:rsidR="003F5938" w:rsidRPr="00EF6115" w:rsidP="003F5938" w14:paraId="363FCC46" w14:textId="1B71ED7D">
      <w:pPr>
        <w:pStyle w:val="ParaNum"/>
        <w:rPr>
          <w:szCs w:val="22"/>
        </w:rPr>
      </w:pPr>
      <w:r w:rsidRPr="00EF6115">
        <w:rPr>
          <w:szCs w:val="22"/>
        </w:rPr>
        <w:t>Accordingly, IT IS ORDERED, pursuant to sections 1, 4(</w:t>
      </w:r>
      <w:r w:rsidRPr="00EF6115" w:rsidR="009D232C">
        <w:rPr>
          <w:szCs w:val="22"/>
        </w:rPr>
        <w:t>1</w:t>
      </w:r>
      <w:r w:rsidRPr="00EF6115">
        <w:rPr>
          <w:szCs w:val="22"/>
        </w:rPr>
        <w:t>), 5(c), 214, and 254 of the Communications Act of 1934, as amended, 47 U.S.C. §§ 151, 154(i), 155(c), 214, and 254, and sections 1.3 and 1.115 of the Commission’s rules, 47 CFR §§ 1.3</w:t>
      </w:r>
      <w:r w:rsidRPr="00EF6115" w:rsidR="00D04FAF">
        <w:rPr>
          <w:szCs w:val="22"/>
        </w:rPr>
        <w:t xml:space="preserve"> and</w:t>
      </w:r>
      <w:r w:rsidRPr="00EF6115">
        <w:rPr>
          <w:szCs w:val="22"/>
        </w:rPr>
        <w:t xml:space="preserve"> 1.115, that this order IS ADOPTED.</w:t>
      </w:r>
    </w:p>
    <w:p w:rsidR="003F5938" w:rsidRPr="00EF6115" w:rsidP="003F5938" w14:paraId="753CF221" w14:textId="26125BB7">
      <w:pPr>
        <w:pStyle w:val="ParaNum"/>
        <w:rPr>
          <w:szCs w:val="22"/>
        </w:rPr>
      </w:pPr>
      <w:r w:rsidRPr="00EF6115">
        <w:rPr>
          <w:szCs w:val="22"/>
        </w:rPr>
        <w:t>IT IS FURTHER ORDERED that the Application for Review, filed by Bloomingdale Telephone Company, IS</w:t>
      </w:r>
      <w:r w:rsidRPr="00EF6115" w:rsidR="00091C47">
        <w:rPr>
          <w:szCs w:val="22"/>
        </w:rPr>
        <w:t xml:space="preserve"> GRANTED</w:t>
      </w:r>
      <w:r w:rsidRPr="00EF6115" w:rsidR="008156B0">
        <w:rPr>
          <w:szCs w:val="22"/>
        </w:rPr>
        <w:t xml:space="preserve">, </w:t>
      </w:r>
      <w:r w:rsidRPr="00EF6115" w:rsidR="00F21582">
        <w:rPr>
          <w:szCs w:val="22"/>
        </w:rPr>
        <w:t xml:space="preserve">and </w:t>
      </w:r>
      <w:r w:rsidRPr="00EF6115" w:rsidR="00C90548">
        <w:rPr>
          <w:szCs w:val="22"/>
        </w:rPr>
        <w:t>47 CFR § 54</w:t>
      </w:r>
      <w:r w:rsidRPr="00EF6115" w:rsidR="00D13878">
        <w:rPr>
          <w:szCs w:val="22"/>
        </w:rPr>
        <w:t>.</w:t>
      </w:r>
      <w:r w:rsidRPr="00EF6115" w:rsidR="00C90548">
        <w:rPr>
          <w:szCs w:val="22"/>
        </w:rPr>
        <w:t xml:space="preserve">316(c)(1) is waived, </w:t>
      </w:r>
      <w:r w:rsidRPr="00EF6115" w:rsidR="00A7519F">
        <w:rPr>
          <w:szCs w:val="22"/>
        </w:rPr>
        <w:t>as indicated herein</w:t>
      </w:r>
      <w:r w:rsidRPr="00EF6115">
        <w:rPr>
          <w:szCs w:val="22"/>
        </w:rPr>
        <w:t xml:space="preserve">. </w:t>
      </w:r>
    </w:p>
    <w:p w:rsidR="003F5938" w:rsidRPr="00EF6115" w:rsidP="003F5938" w14:paraId="7890E42F" w14:textId="29553327">
      <w:pPr>
        <w:pStyle w:val="ParaNum"/>
        <w:rPr>
          <w:szCs w:val="22"/>
        </w:rPr>
      </w:pPr>
      <w:r w:rsidRPr="00EF6115">
        <w:rPr>
          <w:szCs w:val="22"/>
        </w:rPr>
        <w:t xml:space="preserve">IT IS FURTHER ORDERED that the Application for Review, filed by State Telephone Company, </w:t>
      </w:r>
      <w:r w:rsidRPr="00EF6115" w:rsidR="00A7519F">
        <w:rPr>
          <w:szCs w:val="22"/>
        </w:rPr>
        <w:t xml:space="preserve">IS GRANTED, </w:t>
      </w:r>
      <w:r w:rsidRPr="00EF6115" w:rsidR="00C90548">
        <w:rPr>
          <w:szCs w:val="22"/>
        </w:rPr>
        <w:t xml:space="preserve">and 47 CFR § 54.316(c)(1) is waived, </w:t>
      </w:r>
      <w:r w:rsidRPr="00EF6115" w:rsidR="00A7519F">
        <w:rPr>
          <w:szCs w:val="22"/>
        </w:rPr>
        <w:t>as indicated herein</w:t>
      </w:r>
      <w:r w:rsidRPr="00EF6115">
        <w:rPr>
          <w:szCs w:val="22"/>
        </w:rPr>
        <w:t xml:space="preserve">. </w:t>
      </w:r>
    </w:p>
    <w:p w:rsidR="00C251D0" w:rsidRPr="00EF6115" w:rsidP="003F5938" w14:paraId="030064CF" w14:textId="5C2F93FA">
      <w:pPr>
        <w:pStyle w:val="ParaNum"/>
        <w:rPr>
          <w:szCs w:val="22"/>
        </w:rPr>
      </w:pPr>
      <w:r w:rsidRPr="00EF6115">
        <w:rPr>
          <w:szCs w:val="22"/>
        </w:rPr>
        <w:t>IT IS FURTHER ORDERED that</w:t>
      </w:r>
      <w:r w:rsidRPr="00EF6115" w:rsidR="00775273">
        <w:rPr>
          <w:szCs w:val="22"/>
        </w:rPr>
        <w:t xml:space="preserve">, as applied to </w:t>
      </w:r>
      <w:r w:rsidRPr="00EF6115" w:rsidR="00775273">
        <w:rPr>
          <w:szCs w:val="22"/>
        </w:rPr>
        <w:t>ComSouth</w:t>
      </w:r>
      <w:r w:rsidRPr="00EF6115" w:rsidR="00775273">
        <w:rPr>
          <w:szCs w:val="22"/>
        </w:rPr>
        <w:t xml:space="preserve"> Corporation,</w:t>
      </w:r>
      <w:r w:rsidRPr="00EF6115" w:rsidR="00107A13">
        <w:rPr>
          <w:szCs w:val="22"/>
        </w:rPr>
        <w:t xml:space="preserve"> </w:t>
      </w:r>
      <w:r w:rsidRPr="00EF6115" w:rsidR="00775273">
        <w:rPr>
          <w:szCs w:val="22"/>
        </w:rPr>
        <w:t xml:space="preserve">47 CFR § 54.316(c)(1) is waived, </w:t>
      </w:r>
      <w:r w:rsidRPr="00EF6115" w:rsidR="00BA4C68">
        <w:rPr>
          <w:szCs w:val="22"/>
        </w:rPr>
        <w:t>to the extent</w:t>
      </w:r>
      <w:r w:rsidRPr="00EF6115" w:rsidR="00775273">
        <w:rPr>
          <w:szCs w:val="22"/>
        </w:rPr>
        <w:t xml:space="preserve"> indicated herein.  </w:t>
      </w:r>
    </w:p>
    <w:p w:rsidR="003F5938" w:rsidRPr="00EF6115" w:rsidP="003F5938" w14:paraId="3603657E" w14:textId="76AD5333">
      <w:pPr>
        <w:pStyle w:val="ParaNum"/>
        <w:rPr>
          <w:szCs w:val="22"/>
        </w:rPr>
      </w:pPr>
      <w:r w:rsidRPr="00EF6115">
        <w:rPr>
          <w:szCs w:val="22"/>
        </w:rPr>
        <w:t>IT IS FURTHER ORDERED that, pursuant to section 1.103(a) of the Commission’s rules, 47 CFR § 1.103(a) this order SHALL BE EFFECTIVE upon release.</w:t>
      </w:r>
    </w:p>
    <w:p w:rsidR="003F5938" w:rsidRPr="00EF6115" w:rsidP="003F5938" w14:paraId="725DBF83" w14:textId="11890BB0">
      <w:pPr>
        <w:pStyle w:val="ParaNum"/>
        <w:numPr>
          <w:ilvl w:val="0"/>
          <w:numId w:val="0"/>
        </w:numPr>
        <w:ind w:left="3600"/>
        <w:rPr>
          <w:szCs w:val="22"/>
        </w:rPr>
      </w:pPr>
    </w:p>
    <w:p w:rsidR="0091269A" w:rsidRPr="0091269A" w:rsidP="0091269A" w14:paraId="5FFF79E2" w14:textId="77777777">
      <w:r w:rsidRPr="0091269A">
        <w:tab/>
      </w:r>
      <w:r w:rsidRPr="0091269A">
        <w:tab/>
      </w:r>
      <w:r w:rsidRPr="0091269A">
        <w:tab/>
      </w:r>
      <w:r w:rsidRPr="0091269A">
        <w:tab/>
      </w:r>
      <w:r w:rsidRPr="0091269A">
        <w:tab/>
      </w:r>
      <w:r w:rsidRPr="0091269A">
        <w:tab/>
        <w:t>FEDERAL COMMUNICATIONS COMMISSION</w:t>
      </w:r>
    </w:p>
    <w:p w:rsidR="0091269A" w:rsidRPr="0091269A" w:rsidP="0091269A" w14:paraId="66F3AAFE" w14:textId="77777777"/>
    <w:p w:rsidR="0091269A" w:rsidRPr="0091269A" w:rsidP="0091269A" w14:paraId="2CF3AE96" w14:textId="77777777"/>
    <w:p w:rsidR="0091269A" w:rsidRPr="0091269A" w:rsidP="0091269A" w14:paraId="1B7D81F1" w14:textId="77777777"/>
    <w:p w:rsidR="0091269A" w:rsidRPr="0091269A" w:rsidP="0091269A" w14:paraId="38EEBF09" w14:textId="77777777"/>
    <w:p w:rsidR="0091269A" w:rsidRPr="0091269A" w:rsidP="0091269A" w14:paraId="3A2396DC" w14:textId="77777777">
      <w:r w:rsidRPr="0091269A">
        <w:tab/>
      </w:r>
      <w:r w:rsidRPr="0091269A">
        <w:tab/>
      </w:r>
      <w:r w:rsidRPr="0091269A">
        <w:tab/>
      </w:r>
      <w:r w:rsidRPr="0091269A">
        <w:tab/>
      </w:r>
      <w:r w:rsidRPr="0091269A">
        <w:tab/>
      </w:r>
      <w:r w:rsidRPr="0091269A">
        <w:tab/>
        <w:t>Marlene H. Dortch</w:t>
      </w:r>
    </w:p>
    <w:p w:rsidR="0091269A" w:rsidRPr="0091269A" w:rsidP="0091269A" w14:paraId="025F408E" w14:textId="77777777">
      <w:r w:rsidRPr="0091269A">
        <w:tab/>
      </w:r>
      <w:r w:rsidRPr="0091269A">
        <w:tab/>
      </w:r>
      <w:r w:rsidRPr="0091269A">
        <w:tab/>
      </w:r>
      <w:r w:rsidRPr="0091269A">
        <w:tab/>
      </w:r>
      <w:r w:rsidRPr="0091269A">
        <w:tab/>
      </w:r>
      <w:r w:rsidRPr="0091269A">
        <w:tab/>
        <w:t>Secretary</w:t>
      </w:r>
    </w:p>
    <w:p w:rsidR="003F5938" w:rsidRPr="00EF6115" w:rsidP="0091269A" w14:paraId="179EA41F" w14:textId="11A0C703">
      <w:pPr>
        <w:pStyle w:val="ParaNum"/>
        <w:numPr>
          <w:ilvl w:val="0"/>
          <w:numId w:val="0"/>
        </w:numPr>
        <w:ind w:left="2880" w:firstLine="7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0769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86DAE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37966" w14:paraId="0C75F165" w14:textId="19179B7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F755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77B8" w14:paraId="14092BA6" w14:textId="77777777">
      <w:r>
        <w:separator/>
      </w:r>
    </w:p>
  </w:footnote>
  <w:footnote w:type="continuationSeparator" w:id="1">
    <w:p w:rsidR="005A77B8" w:rsidP="00C721AC" w14:paraId="1FC03DE7" w14:textId="77777777">
      <w:pPr>
        <w:spacing w:before="120"/>
        <w:rPr>
          <w:sz w:val="20"/>
        </w:rPr>
      </w:pPr>
      <w:r>
        <w:rPr>
          <w:sz w:val="20"/>
        </w:rPr>
        <w:t xml:space="preserve">(Continued from previous page)  </w:t>
      </w:r>
      <w:r>
        <w:rPr>
          <w:sz w:val="20"/>
        </w:rPr>
        <w:separator/>
      </w:r>
    </w:p>
  </w:footnote>
  <w:footnote w:type="continuationNotice" w:id="2">
    <w:p w:rsidR="005A77B8" w:rsidP="00C721AC" w14:paraId="5EEF4A80" w14:textId="77777777">
      <w:pPr>
        <w:jc w:val="right"/>
        <w:rPr>
          <w:sz w:val="20"/>
        </w:rPr>
      </w:pPr>
      <w:r>
        <w:rPr>
          <w:sz w:val="20"/>
        </w:rPr>
        <w:t>(continued….)</w:t>
      </w:r>
    </w:p>
  </w:footnote>
  <w:footnote w:id="3">
    <w:p w:rsidR="006E1C2E" w14:paraId="34589B10" w14:textId="0909175B">
      <w:pPr>
        <w:pStyle w:val="FootnoteText"/>
      </w:pPr>
      <w:r>
        <w:rPr>
          <w:rStyle w:val="FootnoteReference"/>
        </w:rPr>
        <w:footnoteRef/>
      </w:r>
      <w:r>
        <w:t xml:space="preserve"> 47 U.S.C.</w:t>
      </w:r>
      <w:r w:rsidR="00544D03">
        <w:t xml:space="preserve"> </w:t>
      </w:r>
      <w:r w:rsidRPr="00A06322" w:rsidR="00FD7418">
        <w:t>§</w:t>
      </w:r>
      <w:r w:rsidR="00FD7418">
        <w:t xml:space="preserve"> </w:t>
      </w:r>
      <w:r w:rsidR="00544D03">
        <w:t>151.</w:t>
      </w:r>
    </w:p>
  </w:footnote>
  <w:footnote w:id="4">
    <w:p w:rsidR="008151D1" w14:paraId="3C1290BD" w14:textId="758B3636">
      <w:pPr>
        <w:pStyle w:val="FootnoteText"/>
      </w:pPr>
      <w:r>
        <w:rPr>
          <w:rStyle w:val="FootnoteReference"/>
        </w:rPr>
        <w:footnoteRef/>
      </w:r>
      <w:r>
        <w:t xml:space="preserve"> </w:t>
      </w:r>
      <w:r w:rsidRPr="00306EBD" w:rsidR="001E7E61">
        <w:rPr>
          <w:i/>
        </w:rPr>
        <w:t>Connect America Fund et al.</w:t>
      </w:r>
      <w:r w:rsidRPr="00306EBD" w:rsidR="001E7E61">
        <w:t xml:space="preserve">, WC Docket No. 10-90 et al., Report and Order et al., 31 FCC Rcd 3087, </w:t>
      </w:r>
      <w:r w:rsidR="001230B4">
        <w:t>3166</w:t>
      </w:r>
      <w:r w:rsidRPr="00306EBD" w:rsidR="001E7E61">
        <w:t>, para. 2</w:t>
      </w:r>
      <w:r w:rsidR="001230B4">
        <w:t>14</w:t>
      </w:r>
      <w:r w:rsidRPr="00306EBD" w:rsidR="001E7E61">
        <w:t xml:space="preserve"> (2016) (</w:t>
      </w:r>
      <w:r w:rsidR="001230B4">
        <w:t>directing the Bureau to work with USAC to develop an online portal</w:t>
      </w:r>
      <w:r w:rsidRPr="00306EBD" w:rsidR="001E7E61">
        <w:t>)</w:t>
      </w:r>
      <w:r w:rsidR="003703E2">
        <w:t xml:space="preserve"> </w:t>
      </w:r>
      <w:r w:rsidRPr="00A06322" w:rsidR="003703E2">
        <w:t>(</w:t>
      </w:r>
      <w:r w:rsidRPr="00A06322" w:rsidR="003703E2">
        <w:rPr>
          <w:i/>
          <w:iCs/>
        </w:rPr>
        <w:t>Rate-of-Return Reform Order</w:t>
      </w:r>
      <w:r w:rsidRPr="00A06322" w:rsidR="003703E2">
        <w:t>)</w:t>
      </w:r>
      <w:r w:rsidR="003703E2">
        <w:t>.</w:t>
      </w:r>
    </w:p>
  </w:footnote>
  <w:footnote w:id="5">
    <w:p w:rsidR="001E02F9" w:rsidRPr="00A06322" w:rsidP="001E02F9" w14:paraId="7D8A394B" w14:textId="624018DD">
      <w:pPr>
        <w:pStyle w:val="FootnoteText"/>
      </w:pPr>
      <w:r w:rsidRPr="00A06322">
        <w:rPr>
          <w:rStyle w:val="FootnoteReference"/>
        </w:rPr>
        <w:footnoteRef/>
      </w:r>
      <w:r w:rsidRPr="00A06322">
        <w:t xml:space="preserve"> </w:t>
      </w:r>
      <w:r w:rsidRPr="00A06322">
        <w:rPr>
          <w:i/>
          <w:iCs/>
        </w:rPr>
        <w:t>Connect America Fund, et al.</w:t>
      </w:r>
      <w:r w:rsidRPr="00A06322">
        <w:t>, WC Docket No. 10-90, et al., CC Docket No. 01-92, Order, 35 FCC Rcd 8205</w:t>
      </w:r>
      <w:r w:rsidR="00736178">
        <w:t>, 8208-10, paras. 8-11</w:t>
      </w:r>
      <w:r w:rsidRPr="00A06322">
        <w:t xml:space="preserve"> (WCB 2020) (</w:t>
      </w:r>
      <w:r>
        <w:rPr>
          <w:i/>
          <w:iCs/>
        </w:rPr>
        <w:t xml:space="preserve">2020 </w:t>
      </w:r>
      <w:r w:rsidRPr="00A06322">
        <w:rPr>
          <w:i/>
          <w:iCs/>
        </w:rPr>
        <w:t>Denial Order</w:t>
      </w:r>
      <w:r w:rsidRPr="00A06322">
        <w:t xml:space="preserve">). </w:t>
      </w:r>
    </w:p>
  </w:footnote>
  <w:footnote w:id="6">
    <w:p w:rsidR="00224F02" w:rsidRPr="00A06322" w14:paraId="19D03BC0" w14:textId="51D6C3A4">
      <w:pPr>
        <w:pStyle w:val="FootnoteText"/>
      </w:pPr>
      <w:r w:rsidRPr="00A06322">
        <w:rPr>
          <w:rStyle w:val="FootnoteReference"/>
        </w:rPr>
        <w:footnoteRef/>
      </w:r>
      <w:r w:rsidRPr="00A06322">
        <w:t xml:space="preserve"> </w:t>
      </w:r>
      <w:r w:rsidRPr="00A06322" w:rsidR="003703E2">
        <w:rPr>
          <w:i/>
          <w:iCs/>
        </w:rPr>
        <w:t>Rate-of-Return Reform Order</w:t>
      </w:r>
      <w:r w:rsidR="00E72B0F">
        <w:t>,</w:t>
      </w:r>
      <w:r w:rsidRPr="00A06322" w:rsidR="003703E2">
        <w:rPr>
          <w:i/>
          <w:iCs/>
        </w:rPr>
        <w:t xml:space="preserve"> </w:t>
      </w:r>
      <w:r w:rsidRPr="00A06322">
        <w:t xml:space="preserve">31 FCC </w:t>
      </w:r>
      <w:r w:rsidRPr="00A06322">
        <w:t>Rcd</w:t>
      </w:r>
      <w:r w:rsidRPr="00A06322">
        <w:t xml:space="preserve"> </w:t>
      </w:r>
      <w:r w:rsidR="00E72B0F">
        <w:t>at</w:t>
      </w:r>
      <w:r w:rsidRPr="00A06322">
        <w:t xml:space="preserve"> 3163-64, para. 209. </w:t>
      </w:r>
    </w:p>
  </w:footnote>
  <w:footnote w:id="7">
    <w:p w:rsidR="00224F02" w:rsidRPr="00A06322" w14:paraId="5B654E95" w14:textId="371C3A01">
      <w:pPr>
        <w:pStyle w:val="FootnoteText"/>
      </w:pPr>
      <w:r w:rsidRPr="00A06322">
        <w:rPr>
          <w:rStyle w:val="FootnoteReference"/>
        </w:rPr>
        <w:footnoteRef/>
      </w:r>
      <w:r w:rsidRPr="00A06322">
        <w:t xml:space="preserve"> </w:t>
      </w:r>
      <w:r w:rsidRPr="00A06322">
        <w:rPr>
          <w:i/>
          <w:iCs/>
        </w:rPr>
        <w:t>Id.</w:t>
      </w:r>
      <w:r w:rsidRPr="00A06322">
        <w:t xml:space="preserve"> at 3164, para. 210. </w:t>
      </w:r>
    </w:p>
  </w:footnote>
  <w:footnote w:id="8">
    <w:p w:rsidR="00F82699" w:rsidRPr="00A06322" w14:paraId="561162D2" w14:textId="537684BE">
      <w:pPr>
        <w:pStyle w:val="FootnoteText"/>
      </w:pPr>
      <w:r w:rsidRPr="00A06322">
        <w:rPr>
          <w:rStyle w:val="FootnoteReference"/>
        </w:rPr>
        <w:footnoteRef/>
      </w:r>
      <w:r w:rsidRPr="00A06322">
        <w:t xml:space="preserve"> </w:t>
      </w:r>
      <w:r w:rsidRPr="00A06322">
        <w:rPr>
          <w:i/>
          <w:iCs/>
        </w:rPr>
        <w:t>Id.</w:t>
      </w:r>
      <w:r w:rsidRPr="00A06322">
        <w:t xml:space="preserve"> at </w:t>
      </w:r>
      <w:r w:rsidR="00850395">
        <w:t xml:space="preserve">3166, </w:t>
      </w:r>
      <w:r w:rsidR="00405397">
        <w:t xml:space="preserve">para. </w:t>
      </w:r>
      <w:r w:rsidR="00850395">
        <w:t>215.</w:t>
      </w:r>
    </w:p>
  </w:footnote>
  <w:footnote w:id="9">
    <w:p w:rsidR="00F82699" w:rsidRPr="00A06322" w14:paraId="2B7C6F8F" w14:textId="70377242">
      <w:pPr>
        <w:pStyle w:val="FootnoteText"/>
      </w:pPr>
      <w:r w:rsidRPr="00A06322">
        <w:rPr>
          <w:rStyle w:val="FootnoteReference"/>
        </w:rPr>
        <w:footnoteRef/>
      </w:r>
      <w:r w:rsidRPr="00A06322">
        <w:t xml:space="preserve"> </w:t>
      </w:r>
      <w:r w:rsidRPr="00A06322">
        <w:rPr>
          <w:i/>
          <w:iCs/>
        </w:rPr>
        <w:t>Id.</w:t>
      </w:r>
      <w:r w:rsidRPr="00A06322">
        <w:t xml:space="preserve"> at 3166, para. 214 (directing the Bureau to work with USAC to develop an online portal). </w:t>
      </w:r>
    </w:p>
  </w:footnote>
  <w:footnote w:id="10">
    <w:p w:rsidR="00F82699" w:rsidRPr="00A06322" w14:paraId="3E74A37A" w14:textId="1B7089C5">
      <w:pPr>
        <w:pStyle w:val="FootnoteText"/>
      </w:pPr>
      <w:r w:rsidRPr="00A06322">
        <w:rPr>
          <w:rStyle w:val="FootnoteReference"/>
        </w:rPr>
        <w:footnoteRef/>
      </w:r>
      <w:r w:rsidRPr="00A06322">
        <w:t xml:space="preserve"> </w:t>
      </w:r>
      <w:r w:rsidRPr="00A06322">
        <w:rPr>
          <w:i/>
          <w:iCs/>
        </w:rPr>
        <w:t>See, e.g., id.</w:t>
      </w:r>
      <w:r w:rsidRPr="00A06322">
        <w:t xml:space="preserve"> at 3177, para. 79</w:t>
      </w:r>
      <w:r w:rsidR="0091037E">
        <w:t>,</w:t>
      </w:r>
      <w:r w:rsidRPr="00A06322">
        <w:t xml:space="preserve"> n.156 (describing portal filing obligations for recipients of Phase II model-based support); </w:t>
      </w:r>
      <w:r w:rsidRPr="00A06322">
        <w:rPr>
          <w:i/>
          <w:iCs/>
        </w:rPr>
        <w:t>id.</w:t>
      </w:r>
      <w:r w:rsidRPr="00A06322">
        <w:t xml:space="preserve"> at 3167, para</w:t>
      </w:r>
      <w:r w:rsidR="00405397">
        <w:t>.</w:t>
      </w:r>
      <w:r w:rsidRPr="00A06322">
        <w:t xml:space="preserve"> 219 (describing portal filing obligation for rate-of-return ETCs). </w:t>
      </w:r>
    </w:p>
  </w:footnote>
  <w:footnote w:id="11">
    <w:p w:rsidR="00F82699" w:rsidRPr="00A06322" w14:paraId="6624A2A6" w14:textId="6A9BF525">
      <w:pPr>
        <w:pStyle w:val="FootnoteText"/>
      </w:pPr>
      <w:r w:rsidRPr="00A06322">
        <w:rPr>
          <w:rStyle w:val="FootnoteReference"/>
        </w:rPr>
        <w:footnoteRef/>
      </w:r>
      <w:r w:rsidRPr="00A06322" w:rsidR="67B88C3F">
        <w:t xml:space="preserve"> </w:t>
      </w:r>
      <w:r w:rsidRPr="67B88C3F" w:rsidR="67B88C3F">
        <w:rPr>
          <w:i/>
          <w:iCs/>
        </w:rPr>
        <w:t xml:space="preserve">See </w:t>
      </w:r>
      <w:r w:rsidRPr="00A06322" w:rsidR="67B88C3F">
        <w:t xml:space="preserve">47 CFR § 54.316. </w:t>
      </w:r>
    </w:p>
  </w:footnote>
  <w:footnote w:id="12">
    <w:p w:rsidR="00F82699" w:rsidRPr="00A06322" w14:paraId="28C4EB92" w14:textId="209B3AB3">
      <w:pPr>
        <w:pStyle w:val="FootnoteText"/>
      </w:pPr>
      <w:r w:rsidRPr="00A06322">
        <w:rPr>
          <w:rStyle w:val="FootnoteReference"/>
        </w:rPr>
        <w:footnoteRef/>
      </w:r>
      <w:r w:rsidRPr="00A06322">
        <w:t xml:space="preserve"> </w:t>
      </w:r>
      <w:r w:rsidRPr="00A06322">
        <w:rPr>
          <w:i/>
          <w:iCs/>
        </w:rPr>
        <w:t>Id.</w:t>
      </w:r>
    </w:p>
  </w:footnote>
  <w:footnote w:id="13">
    <w:p w:rsidR="00C25A5D" w:rsidRPr="00411955" w14:paraId="27C29D07" w14:textId="6FB09437">
      <w:pPr>
        <w:pStyle w:val="FootnoteText"/>
        <w:rPr>
          <w:i/>
          <w:iCs/>
        </w:rPr>
      </w:pPr>
      <w:r>
        <w:rPr>
          <w:rStyle w:val="FootnoteReference"/>
        </w:rPr>
        <w:footnoteRef/>
      </w:r>
      <w:r>
        <w:t xml:space="preserve"> </w:t>
      </w:r>
      <w:r w:rsidR="001C240A">
        <w:rPr>
          <w:i/>
          <w:iCs/>
        </w:rPr>
        <w:t>Id.</w:t>
      </w:r>
    </w:p>
  </w:footnote>
  <w:footnote w:id="14">
    <w:p w:rsidR="00F82699" w:rsidRPr="00A06322" w14:paraId="5C81F99F" w14:textId="23A37CA5">
      <w:pPr>
        <w:pStyle w:val="FootnoteText"/>
      </w:pPr>
      <w:r w:rsidRPr="00A06322">
        <w:rPr>
          <w:rStyle w:val="FootnoteReference"/>
        </w:rPr>
        <w:footnoteRef/>
      </w:r>
      <w:r w:rsidRPr="00A06322">
        <w:t xml:space="preserve"> </w:t>
      </w:r>
      <w:r w:rsidRPr="00A06322">
        <w:rPr>
          <w:i/>
          <w:iCs/>
        </w:rPr>
        <w:t>See</w:t>
      </w:r>
      <w:r w:rsidR="00CC5F22">
        <w:rPr>
          <w:i/>
          <w:iCs/>
        </w:rPr>
        <w:t xml:space="preserve"> </w:t>
      </w:r>
      <w:r w:rsidRPr="00C46D66" w:rsidR="00CC5F22">
        <w:t>47 CFR §§ 54.316(a)(1), (c)(1)</w:t>
      </w:r>
      <w:r w:rsidRPr="00A06322">
        <w:rPr>
          <w:i/>
          <w:iCs/>
        </w:rPr>
        <w:t>,</w:t>
      </w:r>
      <w:r w:rsidR="00CC5F22">
        <w:rPr>
          <w:i/>
          <w:iCs/>
        </w:rPr>
        <w:t xml:space="preserve"> and see</w:t>
      </w:r>
      <w:r w:rsidR="00013CA6">
        <w:rPr>
          <w:i/>
          <w:iCs/>
        </w:rPr>
        <w:t>,</w:t>
      </w:r>
      <w:r w:rsidRPr="00A06322">
        <w:rPr>
          <w:i/>
          <w:iCs/>
        </w:rPr>
        <w:t xml:space="preserve"> e.g.</w:t>
      </w:r>
      <w:r w:rsidRPr="00A06322">
        <w:t xml:space="preserve">, USAC, Connect America Fund Filing with the HUBB Portal at 12-14 (2019), </w:t>
      </w:r>
      <w:hyperlink r:id="rId1" w:history="1">
        <w:r w:rsidRPr="00A06322">
          <w:rPr>
            <w:snapToGrid w:val="0"/>
            <w:color w:val="0000FF"/>
            <w:kern w:val="28"/>
            <w:u w:val="single"/>
          </w:rPr>
          <w:t>https://www.usac.org/wp-content/uploads/high-cost/documents/training/2019-Filing-with-the-HUBB-Portal-Webinar.pdf</w:t>
        </w:r>
      </w:hyperlink>
      <w:r w:rsidRPr="00A06322">
        <w:rPr>
          <w:snapToGrid w:val="0"/>
          <w:kern w:val="28"/>
        </w:rPr>
        <w:t xml:space="preserve">. </w:t>
      </w:r>
      <w:r w:rsidRPr="00A06322">
        <w:t xml:space="preserve"> </w:t>
      </w:r>
    </w:p>
  </w:footnote>
  <w:footnote w:id="15">
    <w:p w:rsidR="00044B46" w:rsidRPr="00A06322" w:rsidP="00044B46" w14:paraId="34D7100C" w14:textId="50EA0085">
      <w:pPr>
        <w:pStyle w:val="FootnoteText"/>
      </w:pPr>
      <w:r w:rsidRPr="00A06322">
        <w:rPr>
          <w:rStyle w:val="FootnoteReference"/>
        </w:rPr>
        <w:footnoteRef/>
      </w:r>
      <w:r w:rsidRPr="00A06322">
        <w:t xml:space="preserve"> </w:t>
      </w:r>
      <w:r w:rsidRPr="00A06322">
        <w:rPr>
          <w:i/>
          <w:iCs/>
        </w:rPr>
        <w:t>Petitions for Waiver of Universal Service High-Cost Filing Deadlines et al.</w:t>
      </w:r>
      <w:r w:rsidRPr="00A06322">
        <w:t>, WC Docket No. 08-71 et al., Order, 34 FCC Rcd 11139, 11144, para</w:t>
      </w:r>
      <w:r w:rsidR="000D6265">
        <w:t>.</w:t>
      </w:r>
      <w:r w:rsidRPr="00A06322">
        <w:t xml:space="preserve"> 14 (WCB 2019) (</w:t>
      </w:r>
      <w:r w:rsidRPr="00A06322">
        <w:rPr>
          <w:i/>
          <w:iCs/>
        </w:rPr>
        <w:t>2019 H</w:t>
      </w:r>
      <w:r>
        <w:rPr>
          <w:i/>
          <w:iCs/>
        </w:rPr>
        <w:t>UBB</w:t>
      </w:r>
      <w:r w:rsidRPr="00A06322">
        <w:rPr>
          <w:i/>
          <w:iCs/>
        </w:rPr>
        <w:t xml:space="preserve"> Waiver Order</w:t>
      </w:r>
      <w:r w:rsidRPr="00A06322">
        <w:t xml:space="preserve">). </w:t>
      </w:r>
    </w:p>
  </w:footnote>
  <w:footnote w:id="16">
    <w:p w:rsidR="00790D42" w:rsidRPr="00790D42" w14:paraId="739C93A6" w14:textId="0733A290">
      <w:pPr>
        <w:pStyle w:val="FootnoteText"/>
      </w:pPr>
      <w:r>
        <w:rPr>
          <w:rStyle w:val="FootnoteReference"/>
        </w:rPr>
        <w:footnoteRef/>
      </w:r>
      <w:r>
        <w:t xml:space="preserve"> </w:t>
      </w:r>
      <w:r>
        <w:rPr>
          <w:i/>
          <w:iCs/>
        </w:rPr>
        <w:t>Id.</w:t>
      </w:r>
      <w:r>
        <w:t xml:space="preserve"> at 11145, para. 17.</w:t>
      </w:r>
    </w:p>
  </w:footnote>
  <w:footnote w:id="17">
    <w:p w:rsidR="00A305BE" w:rsidRPr="00A305BE" w14:paraId="766DE681" w14:textId="3C3A1FD3">
      <w:pPr>
        <w:pStyle w:val="FootnoteText"/>
      </w:pPr>
      <w:r>
        <w:rPr>
          <w:rStyle w:val="FootnoteReference"/>
        </w:rPr>
        <w:footnoteRef/>
      </w:r>
      <w:r>
        <w:t xml:space="preserve"> </w:t>
      </w:r>
      <w:r>
        <w:rPr>
          <w:i/>
          <w:iCs/>
        </w:rPr>
        <w:t>Id.</w:t>
      </w:r>
      <w:r>
        <w:t xml:space="preserve"> at 11146, para. 20.</w:t>
      </w:r>
    </w:p>
  </w:footnote>
  <w:footnote w:id="18">
    <w:p w:rsidR="00F82699" w:rsidRPr="00A06322" w:rsidP="00F82699" w14:paraId="55D09349" w14:textId="4EF8B829">
      <w:pPr>
        <w:pStyle w:val="FootnoteText"/>
      </w:pPr>
      <w:r w:rsidRPr="00A06322">
        <w:rPr>
          <w:rStyle w:val="FootnoteReference"/>
        </w:rPr>
        <w:footnoteRef/>
      </w:r>
      <w:r w:rsidRPr="00A06322">
        <w:t xml:space="preserve"> </w:t>
      </w:r>
      <w:r w:rsidRPr="00A06322">
        <w:rPr>
          <w:i/>
          <w:iCs/>
        </w:rPr>
        <w:t>See</w:t>
      </w:r>
      <w:r w:rsidRPr="00A06322" w:rsidR="00412424">
        <w:rPr>
          <w:i/>
          <w:iCs/>
        </w:rPr>
        <w:t xml:space="preserve"> </w:t>
      </w:r>
      <w:r w:rsidRPr="00A06322" w:rsidR="00412424">
        <w:t>ComSouth</w:t>
      </w:r>
      <w:r w:rsidRPr="00A06322" w:rsidR="00412424">
        <w:t xml:space="preserve"> Corporation and Bloomingdale Telephone Company Emergency Request for Expedited Treatment Petition for Waiver, WC Docket No. 10-90, et al., CC Docket No. 01-92 (filed Apr. 21, 2020),</w:t>
      </w:r>
      <w:r w:rsidR="000979E8">
        <w:t xml:space="preserve"> </w:t>
      </w:r>
      <w:hyperlink r:id="rId2" w:history="1">
        <w:r w:rsidRPr="001E0ADB" w:rsidR="000979E8">
          <w:rPr>
            <w:rStyle w:val="Hyperlink"/>
          </w:rPr>
          <w:t>https://www.fcc.gov/ecfs/document/1042129184437/1</w:t>
        </w:r>
      </w:hyperlink>
      <w:r w:rsidR="000979E8">
        <w:t xml:space="preserve"> </w:t>
      </w:r>
      <w:r w:rsidRPr="00A06322" w:rsidR="00412424">
        <w:rPr>
          <w:snapToGrid w:val="0"/>
          <w:kern w:val="28"/>
        </w:rPr>
        <w:t>(Bloomingdale</w:t>
      </w:r>
      <w:r w:rsidR="003019FE">
        <w:rPr>
          <w:snapToGrid w:val="0"/>
          <w:kern w:val="28"/>
        </w:rPr>
        <w:t xml:space="preserve"> and </w:t>
      </w:r>
      <w:r w:rsidR="003019FE">
        <w:rPr>
          <w:snapToGrid w:val="0"/>
          <w:kern w:val="28"/>
        </w:rPr>
        <w:t>ComSouth</w:t>
      </w:r>
      <w:r w:rsidRPr="00A06322" w:rsidR="00412424">
        <w:rPr>
          <w:snapToGrid w:val="0"/>
          <w:kern w:val="28"/>
        </w:rPr>
        <w:t xml:space="preserve"> Petition). </w:t>
      </w:r>
    </w:p>
  </w:footnote>
  <w:footnote w:id="19">
    <w:p w:rsidR="00F82699" w:rsidRPr="00A06322" w:rsidP="00F82699" w14:paraId="064A397C" w14:textId="6B5CE266">
      <w:pPr>
        <w:pStyle w:val="FootnoteText"/>
      </w:pPr>
      <w:r w:rsidRPr="00A06322">
        <w:rPr>
          <w:rStyle w:val="FootnoteReference"/>
        </w:rPr>
        <w:footnoteRef/>
      </w:r>
      <w:r w:rsidRPr="00A06322">
        <w:t xml:space="preserve"> </w:t>
      </w:r>
      <w:r w:rsidRPr="00A06322" w:rsidR="00412424">
        <w:t xml:space="preserve">Bloomingdale </w:t>
      </w:r>
      <w:r w:rsidR="0095363C">
        <w:t xml:space="preserve">and </w:t>
      </w:r>
      <w:r w:rsidR="0095363C">
        <w:t>ComSouth</w:t>
      </w:r>
      <w:r w:rsidR="0095363C">
        <w:t xml:space="preserve"> </w:t>
      </w:r>
      <w:r w:rsidRPr="00A06322" w:rsidR="00412424">
        <w:t>Petition</w:t>
      </w:r>
      <w:r w:rsidRPr="00A06322">
        <w:t xml:space="preserve"> at 4-5.</w:t>
      </w:r>
    </w:p>
  </w:footnote>
  <w:footnote w:id="20">
    <w:p w:rsidR="00F82699" w:rsidRPr="00A06322" w:rsidP="00F82699" w14:paraId="688BF7C0" w14:textId="288EC89F">
      <w:pPr>
        <w:pStyle w:val="FootnoteText"/>
        <w:rPr>
          <w:i/>
          <w:iCs/>
        </w:rPr>
      </w:pPr>
      <w:r w:rsidRPr="00A06322">
        <w:rPr>
          <w:rStyle w:val="FootnoteReference"/>
        </w:rPr>
        <w:footnoteRef/>
      </w:r>
      <w:r w:rsidRPr="00A06322">
        <w:t xml:space="preserve"> </w:t>
      </w:r>
      <w:r w:rsidRPr="00A06322">
        <w:rPr>
          <w:i/>
          <w:iCs/>
        </w:rPr>
        <w:t>Id.</w:t>
      </w:r>
    </w:p>
  </w:footnote>
  <w:footnote w:id="21">
    <w:p w:rsidR="00F82699" w:rsidRPr="00A06322" w:rsidP="00F82699" w14:paraId="5CAC794F" w14:textId="5A6F2428">
      <w:pPr>
        <w:pStyle w:val="FootnoteText"/>
      </w:pPr>
      <w:r w:rsidRPr="00A06322">
        <w:rPr>
          <w:rStyle w:val="FootnoteReference"/>
        </w:rPr>
        <w:footnoteRef/>
      </w:r>
      <w:r w:rsidRPr="00A06322">
        <w:t xml:space="preserve"> </w:t>
      </w:r>
      <w:r w:rsidRPr="00A06322">
        <w:rPr>
          <w:i/>
          <w:iCs/>
        </w:rPr>
        <w:t xml:space="preserve">Id. </w:t>
      </w:r>
      <w:r w:rsidRPr="00A06322">
        <w:t>at 5-6.</w:t>
      </w:r>
    </w:p>
  </w:footnote>
  <w:footnote w:id="22">
    <w:p w:rsidR="00F82699" w:rsidRPr="00A06322" w:rsidP="00F82699" w14:paraId="5FB6AF81" w14:textId="74CAF86E">
      <w:pPr>
        <w:pStyle w:val="FootnoteText"/>
      </w:pPr>
      <w:r w:rsidRPr="00A06322">
        <w:rPr>
          <w:rStyle w:val="FootnoteReference"/>
        </w:rPr>
        <w:footnoteRef/>
      </w:r>
      <w:r w:rsidRPr="00A06322">
        <w:t xml:space="preserve"> </w:t>
      </w:r>
      <w:r w:rsidRPr="00A06322">
        <w:rPr>
          <w:i/>
          <w:iCs/>
        </w:rPr>
        <w:t>Id.</w:t>
      </w:r>
      <w:r w:rsidRPr="00A06322">
        <w:t xml:space="preserve"> at 11.</w:t>
      </w:r>
    </w:p>
  </w:footnote>
  <w:footnote w:id="23">
    <w:p w:rsidR="00412424" w:rsidRPr="00A06322" w14:paraId="1E6EAD84" w14:textId="2A7DCF74">
      <w:pPr>
        <w:pStyle w:val="FootnoteText"/>
      </w:pPr>
      <w:r w:rsidRPr="00A06322">
        <w:rPr>
          <w:rStyle w:val="FootnoteReference"/>
        </w:rPr>
        <w:footnoteRef/>
      </w:r>
      <w:r w:rsidRPr="00015272">
        <w:t xml:space="preserve"> </w:t>
      </w:r>
      <w:r w:rsidRPr="00015272" w:rsidR="00A65610">
        <w:rPr>
          <w:i/>
          <w:iCs/>
        </w:rPr>
        <w:t xml:space="preserve">2020 </w:t>
      </w:r>
      <w:r w:rsidRPr="00015272">
        <w:rPr>
          <w:i/>
          <w:iCs/>
        </w:rPr>
        <w:t>Denial Order</w:t>
      </w:r>
      <w:r w:rsidRPr="00015272">
        <w:t>, 35 FCC Rcd at 8209, para. 10</w:t>
      </w:r>
      <w:r w:rsidR="00E42743">
        <w:t>.</w:t>
      </w:r>
    </w:p>
  </w:footnote>
  <w:footnote w:id="24">
    <w:p w:rsidR="00E42743" w:rsidRPr="00E42743" w14:paraId="02BBC4B9" w14:textId="33FFB481">
      <w:pPr>
        <w:pStyle w:val="FootnoteText"/>
      </w:pPr>
      <w:r>
        <w:rPr>
          <w:rStyle w:val="FootnoteReference"/>
        </w:rPr>
        <w:footnoteRef/>
      </w:r>
      <w:r>
        <w:t xml:space="preserve"> </w:t>
      </w:r>
      <w:r>
        <w:rPr>
          <w:i/>
          <w:iCs/>
        </w:rPr>
        <w:t>Id.</w:t>
      </w:r>
      <w:r>
        <w:t xml:space="preserve"> at 8208-</w:t>
      </w:r>
      <w:r w:rsidR="00A05F4A">
        <w:t>82</w:t>
      </w:r>
      <w:r>
        <w:t>09, para. 9.</w:t>
      </w:r>
    </w:p>
  </w:footnote>
  <w:footnote w:id="25">
    <w:p w:rsidR="00E42743" w:rsidRPr="00E42743" w14:paraId="1AE1F5DD" w14:textId="6BB87C68">
      <w:pPr>
        <w:pStyle w:val="FootnoteText"/>
      </w:pPr>
      <w:r>
        <w:rPr>
          <w:rStyle w:val="FootnoteReference"/>
        </w:rPr>
        <w:footnoteRef/>
      </w:r>
      <w:r>
        <w:t xml:space="preserve"> </w:t>
      </w:r>
      <w:r>
        <w:rPr>
          <w:i/>
          <w:iCs/>
        </w:rPr>
        <w:t>Id.</w:t>
      </w:r>
      <w:r>
        <w:t xml:space="preserve"> at 8209, para. 10.</w:t>
      </w:r>
    </w:p>
  </w:footnote>
  <w:footnote w:id="26">
    <w:p w:rsidR="00412424" w:rsidRPr="00A06322" w14:paraId="30843815" w14:textId="35EF3831">
      <w:pPr>
        <w:pStyle w:val="FootnoteText"/>
      </w:pPr>
      <w:r w:rsidRPr="00A06322">
        <w:rPr>
          <w:rStyle w:val="FootnoteReference"/>
        </w:rPr>
        <w:footnoteRef/>
      </w:r>
      <w:r w:rsidRPr="00A06322">
        <w:t xml:space="preserve"> </w:t>
      </w:r>
      <w:r w:rsidR="00A30D8F">
        <w:t>Application for Review of</w:t>
      </w:r>
      <w:r w:rsidRPr="00A06322">
        <w:t xml:space="preserve"> Bloomingdale </w:t>
      </w:r>
      <w:r w:rsidR="00A30D8F">
        <w:t>Telephone Company, WC Docket No. 10-90, et al.</w:t>
      </w:r>
      <w:r w:rsidR="007316BE">
        <w:t>,</w:t>
      </w:r>
      <w:r w:rsidRPr="00A06322">
        <w:t xml:space="preserve"> at 2</w:t>
      </w:r>
      <w:r w:rsidR="00A30D8F">
        <w:t xml:space="preserve"> (</w:t>
      </w:r>
      <w:r w:rsidR="007316BE">
        <w:t>filed Sept. 1</w:t>
      </w:r>
      <w:r w:rsidR="00E5527F">
        <w:t>,</w:t>
      </w:r>
      <w:r w:rsidR="007316BE">
        <w:t xml:space="preserve"> 2020) (Bloomingdale </w:t>
      </w:r>
      <w:r w:rsidR="00313360">
        <w:t>AFR</w:t>
      </w:r>
      <w:r w:rsidR="007316BE">
        <w:t>)</w:t>
      </w:r>
      <w:r w:rsidR="00262715">
        <w:t xml:space="preserve">, </w:t>
      </w:r>
      <w:r w:rsidRPr="00262715" w:rsidR="00262715">
        <w:t>https://www.fcc.gov/ecfs/document/109011532002978/1</w:t>
      </w:r>
      <w:r w:rsidRPr="00A06322">
        <w:t>.</w:t>
      </w:r>
      <w:r w:rsidR="002E5146">
        <w:t xml:space="preserve">  </w:t>
      </w:r>
      <w:r w:rsidR="002E5146">
        <w:t>ComSouth</w:t>
      </w:r>
      <w:r w:rsidR="002E5146">
        <w:t xml:space="preserve"> did not jointly file the AFR, despite jointly filing the original </w:t>
      </w:r>
      <w:r w:rsidR="00CD3E96">
        <w:t>petition for waiver.</w:t>
      </w:r>
    </w:p>
  </w:footnote>
  <w:footnote w:id="27">
    <w:p w:rsidR="003907D0" w:rsidRPr="00ED5810" w:rsidP="003907D0" w14:paraId="1AD23353" w14:textId="2111E2FC">
      <w:pPr>
        <w:pStyle w:val="FootnoteText"/>
      </w:pPr>
      <w:r>
        <w:rPr>
          <w:rStyle w:val="FootnoteReference"/>
        </w:rPr>
        <w:footnoteRef/>
      </w:r>
      <w:r>
        <w:t xml:space="preserve"> </w:t>
      </w:r>
      <w:r>
        <w:rPr>
          <w:i/>
          <w:iCs/>
        </w:rPr>
        <w:t xml:space="preserve">See </w:t>
      </w:r>
      <w:r>
        <w:t>Supplement to Bloomingdale Telephone Company’s Application for Review</w:t>
      </w:r>
      <w:r w:rsidRPr="007F15EB">
        <w:rPr>
          <w:snapToGrid w:val="0"/>
          <w:kern w:val="28"/>
          <w:sz w:val="22"/>
        </w:rPr>
        <w:t xml:space="preserve"> </w:t>
      </w:r>
      <w:r w:rsidRPr="007F15EB">
        <w:t xml:space="preserve">WC Docket No. 10-90, et al., CC Docket No. 01-92 (filed </w:t>
      </w:r>
      <w:r>
        <w:t>Dec.</w:t>
      </w:r>
      <w:r w:rsidRPr="007F15EB">
        <w:t xml:space="preserve"> 2</w:t>
      </w:r>
      <w:r>
        <w:t>8</w:t>
      </w:r>
      <w:r w:rsidRPr="007F15EB">
        <w:t>, 2020)</w:t>
      </w:r>
      <w:r>
        <w:t xml:space="preserve">, </w:t>
      </w:r>
      <w:hyperlink r:id="rId3" w:history="1">
        <w:r w:rsidRPr="00EA70F0">
          <w:rPr>
            <w:rStyle w:val="Hyperlink"/>
          </w:rPr>
          <w:t>https://www.fcc.gov/ecfs/document/1228028267428/1</w:t>
        </w:r>
      </w:hyperlink>
      <w:r>
        <w:t xml:space="preserve"> (Bloomingdale Supplement).</w:t>
      </w:r>
    </w:p>
  </w:footnote>
  <w:footnote w:id="28">
    <w:p w:rsidR="003907D0" w:rsidRPr="00F17631" w:rsidP="003907D0" w14:paraId="0D07B5A5" w14:textId="77777777">
      <w:pPr>
        <w:pStyle w:val="FootnoteText"/>
      </w:pPr>
      <w:r>
        <w:rPr>
          <w:rStyle w:val="FootnoteReference"/>
        </w:rPr>
        <w:footnoteRef/>
      </w:r>
      <w:r>
        <w:t xml:space="preserve"> </w:t>
      </w:r>
      <w:r>
        <w:rPr>
          <w:i/>
          <w:iCs/>
        </w:rPr>
        <w:t xml:space="preserve">Id. </w:t>
      </w:r>
      <w:r>
        <w:t>at 2.</w:t>
      </w:r>
    </w:p>
  </w:footnote>
  <w:footnote w:id="29">
    <w:p w:rsidR="00412424" w:rsidRPr="00A06322" w:rsidP="00412424" w14:paraId="26B2DFE3" w14:textId="0E7F8808">
      <w:pPr>
        <w:pStyle w:val="FootnoteText"/>
      </w:pPr>
      <w:r w:rsidRPr="00A06322">
        <w:rPr>
          <w:rStyle w:val="FootnoteReference"/>
        </w:rPr>
        <w:footnoteRef/>
      </w:r>
      <w:r w:rsidRPr="00015272" w:rsidR="00F937BE">
        <w:rPr>
          <w:i/>
          <w:iCs/>
        </w:rPr>
        <w:t xml:space="preserve"> </w:t>
      </w:r>
      <w:r w:rsidRPr="00015272" w:rsidR="00F937BE">
        <w:t xml:space="preserve">Petition for Expedited Waiver by State Telephone Company of Section 54.316 of the Commission’s Rules, WC Docket No. 10-90, et al. (filed Jun. 12, 2020), </w:t>
      </w:r>
      <w:hyperlink r:id="rId4" w:history="1">
        <w:r w:rsidRPr="00A510EA" w:rsidR="004534EA">
          <w:rPr>
            <w:rStyle w:val="Hyperlink"/>
          </w:rPr>
          <w:t>https://www.fcc.gov/ecfs/document/10612087429875/1</w:t>
        </w:r>
      </w:hyperlink>
      <w:r w:rsidR="004534EA">
        <w:t xml:space="preserve"> </w:t>
      </w:r>
      <w:r w:rsidRPr="00015272" w:rsidR="007F2536">
        <w:t>(</w:t>
      </w:r>
      <w:r w:rsidRPr="00015272">
        <w:t>State Petition</w:t>
      </w:r>
      <w:r w:rsidRPr="00015272" w:rsidR="007F2536">
        <w:t>)</w:t>
      </w:r>
      <w:r w:rsidRPr="00015272">
        <w:t>.</w:t>
      </w:r>
    </w:p>
  </w:footnote>
  <w:footnote w:id="30">
    <w:p w:rsidR="00412424" w:rsidRPr="00A06322" w:rsidP="00412424" w14:paraId="3F9D9C3C" w14:textId="001C61FA">
      <w:pPr>
        <w:pStyle w:val="FootnoteText"/>
      </w:pPr>
      <w:r w:rsidRPr="00A06322">
        <w:rPr>
          <w:rStyle w:val="FootnoteReference"/>
        </w:rPr>
        <w:footnoteRef/>
      </w:r>
      <w:r w:rsidRPr="00A06322">
        <w:t xml:space="preserve"> </w:t>
      </w:r>
      <w:r w:rsidRPr="00A06322">
        <w:rPr>
          <w:i/>
          <w:iCs/>
        </w:rPr>
        <w:t>Connect America Fund</w:t>
      </w:r>
      <w:r w:rsidRPr="00A06322">
        <w:t>, WC Docket No. 10-90, Order, 32 FCC Rcd 1445, 1445 para. 1 (WCB 2017) (</w:t>
      </w:r>
      <w:r w:rsidRPr="00A06322">
        <w:rPr>
          <w:i/>
          <w:iCs/>
        </w:rPr>
        <w:t>HUBB Extension Order</w:t>
      </w:r>
      <w:r w:rsidRPr="00A06322">
        <w:t>).</w:t>
      </w:r>
    </w:p>
  </w:footnote>
  <w:footnote w:id="31">
    <w:p w:rsidR="00412424" w:rsidRPr="00A06322" w:rsidP="00412424" w14:paraId="1C7F8DD4" w14:textId="5BE75D8E">
      <w:pPr>
        <w:pStyle w:val="FootnoteText"/>
      </w:pPr>
      <w:r w:rsidRPr="00A06322">
        <w:rPr>
          <w:rStyle w:val="FootnoteReference"/>
        </w:rPr>
        <w:footnoteRef/>
      </w:r>
      <w:r w:rsidRPr="00A06322">
        <w:t xml:space="preserve"> </w:t>
      </w:r>
      <w:r w:rsidRPr="00A06322">
        <w:rPr>
          <w:i/>
          <w:iCs/>
        </w:rPr>
        <w:t>Id</w:t>
      </w:r>
      <w:r w:rsidRPr="00A06322">
        <w:t>. at 1445, para. 2.</w:t>
      </w:r>
    </w:p>
  </w:footnote>
  <w:footnote w:id="32">
    <w:p w:rsidR="00412424" w:rsidRPr="00A06322" w:rsidP="00412424" w14:paraId="55277FFC" w14:textId="718513F4">
      <w:pPr>
        <w:pStyle w:val="FootnoteText"/>
      </w:pPr>
      <w:r w:rsidRPr="00A06322">
        <w:rPr>
          <w:rStyle w:val="FootnoteReference"/>
        </w:rPr>
        <w:footnoteRef/>
      </w:r>
      <w:r w:rsidRPr="00A06322">
        <w:t xml:space="preserve"> </w:t>
      </w:r>
      <w:r w:rsidRPr="00841480" w:rsidR="00DF5B13">
        <w:t>State Petition at 3</w:t>
      </w:r>
      <w:r w:rsidRPr="00A06322">
        <w:rPr>
          <w:i/>
          <w:iCs/>
        </w:rPr>
        <w:t>.</w:t>
      </w:r>
    </w:p>
  </w:footnote>
  <w:footnote w:id="33">
    <w:p w:rsidR="00412424" w:rsidRPr="00A06322" w:rsidP="00412424" w14:paraId="6765C15C" w14:textId="77777777">
      <w:pPr>
        <w:pStyle w:val="FootnoteText"/>
      </w:pPr>
      <w:r w:rsidRPr="00A06322">
        <w:rPr>
          <w:rStyle w:val="FootnoteReference"/>
        </w:rPr>
        <w:footnoteRef/>
      </w:r>
      <w:r w:rsidRPr="00A06322">
        <w:t xml:space="preserve"> </w:t>
      </w:r>
      <w:r w:rsidRPr="00A06322">
        <w:rPr>
          <w:i/>
          <w:iCs/>
        </w:rPr>
        <w:t>Id.</w:t>
      </w:r>
      <w:r w:rsidRPr="00A06322">
        <w:t xml:space="preserve"> </w:t>
      </w:r>
    </w:p>
  </w:footnote>
  <w:footnote w:id="34">
    <w:p w:rsidR="00412424" w:rsidRPr="00A06322" w:rsidP="00412424" w14:paraId="45B7C5F5" w14:textId="77777777">
      <w:pPr>
        <w:pStyle w:val="FootnoteText"/>
      </w:pPr>
      <w:r w:rsidRPr="00A06322">
        <w:rPr>
          <w:rStyle w:val="FootnoteReference"/>
        </w:rPr>
        <w:footnoteRef/>
      </w:r>
      <w:r w:rsidRPr="00A06322">
        <w:t xml:space="preserve"> </w:t>
      </w:r>
      <w:r w:rsidRPr="00A06322">
        <w:rPr>
          <w:i/>
          <w:iCs/>
        </w:rPr>
        <w:t>Id.</w:t>
      </w:r>
      <w:r w:rsidRPr="00A06322">
        <w:t xml:space="preserve"> </w:t>
      </w:r>
    </w:p>
  </w:footnote>
  <w:footnote w:id="35">
    <w:p w:rsidR="00412424" w:rsidRPr="00A06322" w:rsidP="00412424" w14:paraId="3632122F" w14:textId="77777777">
      <w:pPr>
        <w:pStyle w:val="FootnoteText"/>
      </w:pPr>
      <w:r w:rsidRPr="00A06322">
        <w:rPr>
          <w:rStyle w:val="FootnoteReference"/>
        </w:rPr>
        <w:footnoteRef/>
      </w:r>
      <w:r w:rsidRPr="00A06322">
        <w:t xml:space="preserve"> </w:t>
      </w:r>
      <w:r w:rsidRPr="00A06322">
        <w:rPr>
          <w:i/>
          <w:iCs/>
        </w:rPr>
        <w:t>Id.</w:t>
      </w:r>
      <w:r w:rsidRPr="00A06322">
        <w:t xml:space="preserve"> at 4. </w:t>
      </w:r>
    </w:p>
  </w:footnote>
  <w:footnote w:id="36">
    <w:p w:rsidR="00412424" w:rsidRPr="00A06322" w:rsidP="00412424" w14:paraId="39F0682C" w14:textId="64198B39">
      <w:pPr>
        <w:pStyle w:val="FootnoteText"/>
      </w:pPr>
      <w:r w:rsidRPr="00A06322">
        <w:rPr>
          <w:rStyle w:val="FootnoteReference"/>
        </w:rPr>
        <w:footnoteRef/>
      </w:r>
      <w:r w:rsidRPr="00A06322">
        <w:t xml:space="preserve"> </w:t>
      </w:r>
      <w:r w:rsidRPr="00A06322">
        <w:rPr>
          <w:i/>
          <w:iCs/>
        </w:rPr>
        <w:t>Id.</w:t>
      </w:r>
      <w:r w:rsidRPr="00A06322">
        <w:t xml:space="preserve"> at 10.</w:t>
      </w:r>
    </w:p>
  </w:footnote>
  <w:footnote w:id="37">
    <w:p w:rsidR="0054032F" w:rsidRPr="00A06322" w14:paraId="109084CF" w14:textId="381E1751">
      <w:pPr>
        <w:pStyle w:val="FootnoteText"/>
      </w:pPr>
      <w:r w:rsidRPr="00A06322">
        <w:rPr>
          <w:rStyle w:val="FootnoteReference"/>
        </w:rPr>
        <w:footnoteRef/>
      </w:r>
      <w:r w:rsidRPr="00015272">
        <w:t xml:space="preserve"> </w:t>
      </w:r>
      <w:r w:rsidRPr="00015272" w:rsidR="00A65610">
        <w:rPr>
          <w:i/>
          <w:iCs/>
        </w:rPr>
        <w:t xml:space="preserve">2020 </w:t>
      </w:r>
      <w:r w:rsidRPr="00015272">
        <w:rPr>
          <w:i/>
          <w:iCs/>
        </w:rPr>
        <w:t>Denial Order</w:t>
      </w:r>
      <w:r w:rsidRPr="00015272">
        <w:t>, 35 FCC Rcd at 8209, para. 10.</w:t>
      </w:r>
      <w:r w:rsidRPr="00015272" w:rsidR="007F2536">
        <w:t xml:space="preserve">  </w:t>
      </w:r>
      <w:r w:rsidRPr="00015272" w:rsidR="00741463">
        <w:t xml:space="preserve">The Bureau held that State should have been aware of its reporting and certifications obligations in part because of the repeated efforts USAC </w:t>
      </w:r>
      <w:r w:rsidRPr="00015272" w:rsidR="00AD7FBE">
        <w:t xml:space="preserve">took to inform all carriers of these requirements.  </w:t>
      </w:r>
      <w:r w:rsidRPr="00015272" w:rsidR="00AD7FBE">
        <w:rPr>
          <w:i/>
          <w:iCs/>
        </w:rPr>
        <w:t>Id.</w:t>
      </w:r>
      <w:r w:rsidRPr="00015272" w:rsidR="00AD7FBE">
        <w:t xml:space="preserve"> at 8209-10, para. 11. </w:t>
      </w:r>
      <w:r w:rsidRPr="00015272" w:rsidR="000B44EB">
        <w:t xml:space="preserve"> Further, the Bureau had provided “clear guidance regarding the need for ‘a list – in the format required by USAC’s data specification – of the residential and business locations to which they have made broadband service commercially available . . .” in the </w:t>
      </w:r>
      <w:r w:rsidRPr="00015272" w:rsidR="000B44EB">
        <w:rPr>
          <w:i/>
          <w:iCs/>
        </w:rPr>
        <w:t>2016 HUBB Guidance Public Notice</w:t>
      </w:r>
      <w:r w:rsidRPr="00015272" w:rsidR="000B44EB">
        <w:t xml:space="preserve">.  </w:t>
      </w:r>
      <w:r w:rsidRPr="00015272" w:rsidR="000B44EB">
        <w:rPr>
          <w:i/>
          <w:iCs/>
        </w:rPr>
        <w:t>Id.</w:t>
      </w:r>
      <w:r w:rsidRPr="00015272" w:rsidR="000B44EB">
        <w:t xml:space="preserve"> </w:t>
      </w:r>
    </w:p>
  </w:footnote>
  <w:footnote w:id="38">
    <w:p w:rsidR="0054032F" w:rsidRPr="00A06322" w14:paraId="6A3FB235" w14:textId="5B201D71">
      <w:pPr>
        <w:pStyle w:val="FootnoteText"/>
      </w:pPr>
      <w:r w:rsidRPr="00A06322">
        <w:rPr>
          <w:rStyle w:val="FootnoteReference"/>
        </w:rPr>
        <w:footnoteRef/>
      </w:r>
      <w:r w:rsidRPr="00A06322">
        <w:t xml:space="preserve"> </w:t>
      </w:r>
      <w:r w:rsidR="004E061E">
        <w:rPr>
          <w:i/>
          <w:iCs/>
        </w:rPr>
        <w:t xml:space="preserve">See </w:t>
      </w:r>
      <w:r w:rsidR="004E061E">
        <w:t xml:space="preserve">Application for Review of State Telephone Company, WC Docket No. 10-90, et al., at 5 (filed Sept. 3, 2020), </w:t>
      </w:r>
      <w:hyperlink r:id="rId5" w:history="1">
        <w:r w:rsidRPr="008C6D83" w:rsidR="004E061E">
          <w:rPr>
            <w:rStyle w:val="Hyperlink"/>
          </w:rPr>
          <w:t>https://www.fcc.gov/ecfs/document/10903270410510/1</w:t>
        </w:r>
      </w:hyperlink>
      <w:r w:rsidR="004E061E">
        <w:t>.</w:t>
      </w:r>
      <w:r w:rsidRPr="00A06322">
        <w:t xml:space="preserve">  </w:t>
      </w:r>
    </w:p>
  </w:footnote>
  <w:footnote w:id="39">
    <w:p w:rsidR="0054032F" w:rsidRPr="00A06322" w14:paraId="2B10CE3C" w14:textId="2D98811B">
      <w:pPr>
        <w:pStyle w:val="FootnoteText"/>
      </w:pPr>
      <w:r w:rsidRPr="00A06322">
        <w:rPr>
          <w:rStyle w:val="FootnoteReference"/>
        </w:rPr>
        <w:footnoteRef/>
      </w:r>
      <w:r w:rsidRPr="00A06322">
        <w:t xml:space="preserve"> 47 CFR § 1.115. </w:t>
      </w:r>
      <w:r w:rsidR="005F39ED">
        <w:t xml:space="preserve"> </w:t>
      </w:r>
      <w:r w:rsidRPr="00A06322">
        <w:rPr>
          <w:i/>
          <w:iCs/>
        </w:rPr>
        <w:t xml:space="preserve">See also </w:t>
      </w:r>
      <w:r w:rsidRPr="00A06322">
        <w:t xml:space="preserve">47 U.S.C. § 155(c)(4)-(7). </w:t>
      </w:r>
    </w:p>
  </w:footnote>
  <w:footnote w:id="40">
    <w:p w:rsidR="0054032F" w:rsidRPr="00A06322" w14:paraId="7201F02F" w14:textId="7A346CFD">
      <w:pPr>
        <w:pStyle w:val="FootnoteText"/>
      </w:pPr>
      <w:r w:rsidRPr="00A06322">
        <w:rPr>
          <w:rStyle w:val="FootnoteReference"/>
        </w:rPr>
        <w:footnoteRef/>
      </w:r>
      <w:r w:rsidRPr="00A06322">
        <w:t xml:space="preserve"> 47 CFR § 1.115(b)(2).  </w:t>
      </w:r>
    </w:p>
  </w:footnote>
  <w:footnote w:id="41">
    <w:p w:rsidR="00C27129" w:rsidP="00C27129" w14:paraId="4FEDA7E2" w14:textId="77777777">
      <w:pPr>
        <w:pStyle w:val="FootnoteText"/>
      </w:pPr>
      <w:r>
        <w:rPr>
          <w:rStyle w:val="FootnoteReference"/>
        </w:rPr>
        <w:footnoteRef/>
      </w:r>
      <w:r>
        <w:t xml:space="preserve"> Bloomingdale AFR at 12.</w:t>
      </w:r>
    </w:p>
  </w:footnote>
  <w:footnote w:id="42">
    <w:p w:rsidR="00C27129" w:rsidRPr="00020CFC" w:rsidP="00C27129" w14:paraId="6B4E62CA" w14:textId="0F4BB652">
      <w:pPr>
        <w:pStyle w:val="FootnoteText"/>
      </w:pPr>
      <w:r>
        <w:rPr>
          <w:rStyle w:val="FootnoteReference"/>
        </w:rPr>
        <w:footnoteRef/>
      </w:r>
      <w:r>
        <w:t xml:space="preserve"> </w:t>
      </w:r>
      <w:r w:rsidRPr="00A06322">
        <w:rPr>
          <w:i/>
          <w:iCs/>
        </w:rPr>
        <w:t>2019 H</w:t>
      </w:r>
      <w:r>
        <w:rPr>
          <w:i/>
          <w:iCs/>
        </w:rPr>
        <w:t>UBB</w:t>
      </w:r>
      <w:r w:rsidRPr="00A06322">
        <w:rPr>
          <w:i/>
          <w:iCs/>
        </w:rPr>
        <w:t xml:space="preserve"> Waiver Order</w:t>
      </w:r>
      <w:r>
        <w:t>, 34 FCC Rcd</w:t>
      </w:r>
      <w:r w:rsidR="00F77A1E">
        <w:t xml:space="preserve"> at</w:t>
      </w:r>
      <w:r>
        <w:t xml:space="preserve"> 11145-46, para. 19.</w:t>
      </w:r>
    </w:p>
  </w:footnote>
  <w:footnote w:id="43">
    <w:p w:rsidR="00C27129" w:rsidRPr="00AB4412" w:rsidP="00C27129" w14:paraId="3930C97B" w14:textId="77777777">
      <w:pPr>
        <w:pStyle w:val="FootnoteText"/>
      </w:pPr>
      <w:r>
        <w:rPr>
          <w:rStyle w:val="FootnoteReference"/>
        </w:rPr>
        <w:footnoteRef/>
      </w:r>
      <w:r>
        <w:t xml:space="preserve"> </w:t>
      </w:r>
      <w:r>
        <w:rPr>
          <w:i/>
          <w:iCs/>
        </w:rPr>
        <w:t>Id.</w:t>
      </w:r>
      <w:r>
        <w:t xml:space="preserve"> at 11146, para. 20.</w:t>
      </w:r>
    </w:p>
  </w:footnote>
  <w:footnote w:id="44">
    <w:p w:rsidR="00DA00B1" w14:paraId="6C47520A" w14:textId="4EAF0D7A">
      <w:pPr>
        <w:pStyle w:val="FootnoteText"/>
      </w:pPr>
      <w:r>
        <w:rPr>
          <w:rStyle w:val="FootnoteReference"/>
        </w:rPr>
        <w:footnoteRef/>
      </w:r>
      <w:r>
        <w:t xml:space="preserve"> We do this </w:t>
      </w:r>
      <w:r w:rsidRPr="00984E2A">
        <w:rPr>
          <w:i/>
          <w:iCs/>
        </w:rPr>
        <w:t>sua</w:t>
      </w:r>
      <w:r w:rsidRPr="00984E2A">
        <w:rPr>
          <w:i/>
          <w:iCs/>
        </w:rPr>
        <w:t xml:space="preserve"> sponte</w:t>
      </w:r>
      <w:r>
        <w:t xml:space="preserve"> because </w:t>
      </w:r>
      <w:r w:rsidR="0034270E">
        <w:t>ComSouth</w:t>
      </w:r>
      <w:r w:rsidR="0034270E">
        <w:t xml:space="preserve"> is similarly situated to Bloomingdale but, unlike Bloomingdale, did not file an Application for Review of the Bureau’s denial of its petition for waiver.</w:t>
      </w:r>
    </w:p>
  </w:footnote>
  <w:footnote w:id="45">
    <w:p w:rsidR="000503BD" w:rsidRPr="00A06322" w:rsidP="000503BD" w14:paraId="43E565FE" w14:textId="77777777">
      <w:pPr>
        <w:pStyle w:val="FootnoteText"/>
      </w:pPr>
      <w:r w:rsidRPr="00A06322">
        <w:rPr>
          <w:rStyle w:val="FootnoteReference"/>
        </w:rPr>
        <w:footnoteRef/>
      </w:r>
      <w:r w:rsidRPr="00A06322">
        <w:t xml:space="preserve"> </w:t>
      </w:r>
      <w:r w:rsidRPr="00841480">
        <w:t>State Petition at 3</w:t>
      </w:r>
      <w:r w:rsidRPr="00A06322">
        <w:rPr>
          <w:i/>
          <w:iCs/>
        </w:rPr>
        <w:t>.</w:t>
      </w:r>
    </w:p>
  </w:footnote>
  <w:footnote w:id="46">
    <w:p w:rsidR="00664926" w:rsidP="00664926" w14:paraId="2DA1AA00" w14:textId="77777777">
      <w:pPr>
        <w:pStyle w:val="FootnoteText"/>
      </w:pPr>
      <w:r>
        <w:rPr>
          <w:rStyle w:val="FootnoteReference"/>
        </w:rPr>
        <w:footnoteRef/>
      </w:r>
      <w:r>
        <w:t xml:space="preserve"> 47 CFR § 54.316.</w:t>
      </w:r>
    </w:p>
  </w:footnote>
  <w:footnote w:id="47">
    <w:p w:rsidR="00C50478" w14:paraId="1E812126" w14:textId="0FE3F856">
      <w:pPr>
        <w:pStyle w:val="FootnoteText"/>
      </w:pPr>
      <w:r>
        <w:rPr>
          <w:rStyle w:val="FootnoteReference"/>
        </w:rPr>
        <w:footnoteRef/>
      </w:r>
      <w:r>
        <w:t xml:space="preserve"> </w:t>
      </w:r>
      <w:r w:rsidR="00EA17DC">
        <w:rPr>
          <w:i/>
          <w:iCs/>
        </w:rPr>
        <w:t xml:space="preserve">See </w:t>
      </w:r>
      <w:r w:rsidR="00EA17DC">
        <w:t xml:space="preserve">State Petition at Attachment B.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747D6" w14:paraId="1970446C" w14:textId="132C7345">
    <w:pPr>
      <w:pStyle w:val="Header"/>
    </w:pPr>
    <w:r>
      <w:tab/>
      <w:t>Federal Communications Commission</w:t>
    </w:r>
    <w:r>
      <w:tab/>
    </w:r>
    <w:r w:rsidR="006652A0">
      <w:t>FCC 23-102</w:t>
    </w:r>
  </w:p>
  <w:p w:rsidR="00D25FB5" w14:paraId="02FDA493" w14:textId="32136CF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579F5DD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747D6" w14:paraId="41782EEA" w14:textId="5C3F4D0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042EC2">
      <w:rPr>
        <w:spacing w:val="-2"/>
      </w:rPr>
      <w:t>FCC 23-10</w:t>
    </w:r>
    <w:r w:rsidR="00CE4176">
      <w:rPr>
        <w:spacing w:val="-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48E42B3"/>
    <w:multiLevelType w:val="hybridMultilevel"/>
    <w:tmpl w:val="1772E28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2B71C8B"/>
    <w:multiLevelType w:val="hybridMultilevel"/>
    <w:tmpl w:val="57F8433E"/>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lvlText w:val="%4."/>
      <w:lvlJc w:val="left"/>
      <w:pPr>
        <w:ind w:left="720" w:hanging="360"/>
      </w:pPr>
    </w:lvl>
    <w:lvl w:ilvl="4">
      <w:start w:val="1"/>
      <w:numFmt w:val="decimal"/>
      <w:lvlText w:val="%5."/>
      <w:lvlJc w:val="left"/>
      <w:pPr>
        <w:ind w:left="720" w:hanging="360"/>
      </w:pPr>
    </w:lvl>
    <w:lvl w:ilvl="5">
      <w:start w:val="1"/>
      <w:numFmt w:val="decimal"/>
      <w:lvlText w:val="%6."/>
      <w:lvlJc w:val="left"/>
      <w:pPr>
        <w:ind w:left="720" w:hanging="360"/>
      </w:pPr>
    </w:lvl>
    <w:lvl w:ilvl="6">
      <w:start w:val="1"/>
      <w:numFmt w:val="decimal"/>
      <w:lvlText w:val="%7."/>
      <w:lvlJc w:val="left"/>
      <w:pPr>
        <w:ind w:left="720" w:hanging="360"/>
      </w:pPr>
    </w:lvl>
    <w:lvl w:ilvl="7">
      <w:start w:val="1"/>
      <w:numFmt w:val="decimal"/>
      <w:lvlText w:val="%8."/>
      <w:lvlJc w:val="left"/>
      <w:pPr>
        <w:ind w:left="720" w:hanging="360"/>
      </w:pPr>
    </w:lvl>
    <w:lvl w:ilvl="8">
      <w:start w:val="1"/>
      <w:numFmt w:val="decimal"/>
      <w:lvlText w:val="%9."/>
      <w:lvlJc w:val="left"/>
      <w:pPr>
        <w:ind w:left="720" w:hanging="36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44"/>
    <w:rsid w:val="00000037"/>
    <w:rsid w:val="00002C69"/>
    <w:rsid w:val="00004C9D"/>
    <w:rsid w:val="0000611A"/>
    <w:rsid w:val="00006D6F"/>
    <w:rsid w:val="0000743A"/>
    <w:rsid w:val="00007DC1"/>
    <w:rsid w:val="00007F76"/>
    <w:rsid w:val="0001102E"/>
    <w:rsid w:val="0001166E"/>
    <w:rsid w:val="00012EDC"/>
    <w:rsid w:val="00013784"/>
    <w:rsid w:val="00013944"/>
    <w:rsid w:val="00013CA6"/>
    <w:rsid w:val="00014396"/>
    <w:rsid w:val="00014AA4"/>
    <w:rsid w:val="00015272"/>
    <w:rsid w:val="00016C9F"/>
    <w:rsid w:val="000171B3"/>
    <w:rsid w:val="00017D5B"/>
    <w:rsid w:val="00020CFC"/>
    <w:rsid w:val="000219E3"/>
    <w:rsid w:val="00021B41"/>
    <w:rsid w:val="00022095"/>
    <w:rsid w:val="00022AE2"/>
    <w:rsid w:val="00024DE3"/>
    <w:rsid w:val="00025070"/>
    <w:rsid w:val="000253C9"/>
    <w:rsid w:val="00026F88"/>
    <w:rsid w:val="000309AF"/>
    <w:rsid w:val="00030B6D"/>
    <w:rsid w:val="00033E3D"/>
    <w:rsid w:val="000350BC"/>
    <w:rsid w:val="00036039"/>
    <w:rsid w:val="0003688F"/>
    <w:rsid w:val="000376A8"/>
    <w:rsid w:val="00037F90"/>
    <w:rsid w:val="00040E90"/>
    <w:rsid w:val="0004167C"/>
    <w:rsid w:val="00042A69"/>
    <w:rsid w:val="00042B56"/>
    <w:rsid w:val="00042EC2"/>
    <w:rsid w:val="00043E6E"/>
    <w:rsid w:val="00044B46"/>
    <w:rsid w:val="000453D1"/>
    <w:rsid w:val="000455E2"/>
    <w:rsid w:val="00045F67"/>
    <w:rsid w:val="0004643D"/>
    <w:rsid w:val="000475D6"/>
    <w:rsid w:val="00047CA0"/>
    <w:rsid w:val="000503BD"/>
    <w:rsid w:val="0005240B"/>
    <w:rsid w:val="00052499"/>
    <w:rsid w:val="00053600"/>
    <w:rsid w:val="00054EAE"/>
    <w:rsid w:val="000551B1"/>
    <w:rsid w:val="00055A60"/>
    <w:rsid w:val="00055E19"/>
    <w:rsid w:val="00056011"/>
    <w:rsid w:val="00056A97"/>
    <w:rsid w:val="000570E1"/>
    <w:rsid w:val="00057B0E"/>
    <w:rsid w:val="00061BF3"/>
    <w:rsid w:val="000630EC"/>
    <w:rsid w:val="00063746"/>
    <w:rsid w:val="00064776"/>
    <w:rsid w:val="000652D6"/>
    <w:rsid w:val="00065A73"/>
    <w:rsid w:val="00065E21"/>
    <w:rsid w:val="000733B9"/>
    <w:rsid w:val="000801FD"/>
    <w:rsid w:val="00080D67"/>
    <w:rsid w:val="00080E90"/>
    <w:rsid w:val="0008152E"/>
    <w:rsid w:val="000823F9"/>
    <w:rsid w:val="000850DF"/>
    <w:rsid w:val="0008668B"/>
    <w:rsid w:val="00086DDA"/>
    <w:rsid w:val="00087184"/>
    <w:rsid w:val="000875BF"/>
    <w:rsid w:val="000900A6"/>
    <w:rsid w:val="00090643"/>
    <w:rsid w:val="00090A1D"/>
    <w:rsid w:val="00091C47"/>
    <w:rsid w:val="00091D22"/>
    <w:rsid w:val="00094532"/>
    <w:rsid w:val="000947C3"/>
    <w:rsid w:val="00096784"/>
    <w:rsid w:val="00096D8C"/>
    <w:rsid w:val="000979E8"/>
    <w:rsid w:val="000A1458"/>
    <w:rsid w:val="000A37AB"/>
    <w:rsid w:val="000B2832"/>
    <w:rsid w:val="000B2CC7"/>
    <w:rsid w:val="000B2F35"/>
    <w:rsid w:val="000B3A44"/>
    <w:rsid w:val="000B41D7"/>
    <w:rsid w:val="000B44EB"/>
    <w:rsid w:val="000B4829"/>
    <w:rsid w:val="000B4B3A"/>
    <w:rsid w:val="000B5C43"/>
    <w:rsid w:val="000B69A7"/>
    <w:rsid w:val="000B6E19"/>
    <w:rsid w:val="000B7C77"/>
    <w:rsid w:val="000C0B65"/>
    <w:rsid w:val="000C1A07"/>
    <w:rsid w:val="000C6174"/>
    <w:rsid w:val="000C64D5"/>
    <w:rsid w:val="000C6861"/>
    <w:rsid w:val="000D09A1"/>
    <w:rsid w:val="000D0A78"/>
    <w:rsid w:val="000D0CD0"/>
    <w:rsid w:val="000D2750"/>
    <w:rsid w:val="000D3A5A"/>
    <w:rsid w:val="000D4FBB"/>
    <w:rsid w:val="000D57EF"/>
    <w:rsid w:val="000D6265"/>
    <w:rsid w:val="000E05FE"/>
    <w:rsid w:val="000E15B7"/>
    <w:rsid w:val="000E2DC5"/>
    <w:rsid w:val="000E2F93"/>
    <w:rsid w:val="000E3D42"/>
    <w:rsid w:val="000E5A63"/>
    <w:rsid w:val="000E66AC"/>
    <w:rsid w:val="000F1715"/>
    <w:rsid w:val="000F1A6A"/>
    <w:rsid w:val="000F3593"/>
    <w:rsid w:val="000F45F7"/>
    <w:rsid w:val="000F550A"/>
    <w:rsid w:val="001049B9"/>
    <w:rsid w:val="00104D72"/>
    <w:rsid w:val="00105213"/>
    <w:rsid w:val="00107348"/>
    <w:rsid w:val="00107A13"/>
    <w:rsid w:val="00107AAD"/>
    <w:rsid w:val="00110212"/>
    <w:rsid w:val="00110A91"/>
    <w:rsid w:val="00110B69"/>
    <w:rsid w:val="00111D2A"/>
    <w:rsid w:val="00113834"/>
    <w:rsid w:val="00115968"/>
    <w:rsid w:val="00117744"/>
    <w:rsid w:val="00117E38"/>
    <w:rsid w:val="00120B7E"/>
    <w:rsid w:val="0012182A"/>
    <w:rsid w:val="00122518"/>
    <w:rsid w:val="00122BD5"/>
    <w:rsid w:val="001230B4"/>
    <w:rsid w:val="0012340A"/>
    <w:rsid w:val="001274A8"/>
    <w:rsid w:val="00130E00"/>
    <w:rsid w:val="001318F4"/>
    <w:rsid w:val="001330EA"/>
    <w:rsid w:val="00133F79"/>
    <w:rsid w:val="00134555"/>
    <w:rsid w:val="001351A9"/>
    <w:rsid w:val="001367C1"/>
    <w:rsid w:val="00140529"/>
    <w:rsid w:val="00140C28"/>
    <w:rsid w:val="00141133"/>
    <w:rsid w:val="001427E6"/>
    <w:rsid w:val="00142F19"/>
    <w:rsid w:val="00143CA9"/>
    <w:rsid w:val="00147C06"/>
    <w:rsid w:val="00147C75"/>
    <w:rsid w:val="001506FA"/>
    <w:rsid w:val="001514B1"/>
    <w:rsid w:val="00151A8A"/>
    <w:rsid w:val="001524A3"/>
    <w:rsid w:val="00154BDD"/>
    <w:rsid w:val="00154FAE"/>
    <w:rsid w:val="0015509A"/>
    <w:rsid w:val="00156FA7"/>
    <w:rsid w:val="001575D4"/>
    <w:rsid w:val="00157A48"/>
    <w:rsid w:val="00163A73"/>
    <w:rsid w:val="0016517D"/>
    <w:rsid w:val="001666A8"/>
    <w:rsid w:val="00167C27"/>
    <w:rsid w:val="00171411"/>
    <w:rsid w:val="00172351"/>
    <w:rsid w:val="001727F0"/>
    <w:rsid w:val="00173ED7"/>
    <w:rsid w:val="001747AB"/>
    <w:rsid w:val="00175239"/>
    <w:rsid w:val="001769F1"/>
    <w:rsid w:val="00176E7E"/>
    <w:rsid w:val="0017740D"/>
    <w:rsid w:val="00177EB4"/>
    <w:rsid w:val="00180CA4"/>
    <w:rsid w:val="00180F0F"/>
    <w:rsid w:val="00184AB3"/>
    <w:rsid w:val="00184F5A"/>
    <w:rsid w:val="00185B3D"/>
    <w:rsid w:val="00187038"/>
    <w:rsid w:val="001879C9"/>
    <w:rsid w:val="00190602"/>
    <w:rsid w:val="001912CA"/>
    <w:rsid w:val="00193D52"/>
    <w:rsid w:val="00193F3C"/>
    <w:rsid w:val="00194668"/>
    <w:rsid w:val="00194A66"/>
    <w:rsid w:val="0019592E"/>
    <w:rsid w:val="0019787E"/>
    <w:rsid w:val="001A1733"/>
    <w:rsid w:val="001A2769"/>
    <w:rsid w:val="001A366D"/>
    <w:rsid w:val="001A3F13"/>
    <w:rsid w:val="001A4817"/>
    <w:rsid w:val="001A6008"/>
    <w:rsid w:val="001A64FB"/>
    <w:rsid w:val="001A7E78"/>
    <w:rsid w:val="001B056A"/>
    <w:rsid w:val="001B2E96"/>
    <w:rsid w:val="001B4A67"/>
    <w:rsid w:val="001B52CB"/>
    <w:rsid w:val="001B66E1"/>
    <w:rsid w:val="001B7512"/>
    <w:rsid w:val="001C094B"/>
    <w:rsid w:val="001C100F"/>
    <w:rsid w:val="001C22B6"/>
    <w:rsid w:val="001C240A"/>
    <w:rsid w:val="001C2437"/>
    <w:rsid w:val="001C60EB"/>
    <w:rsid w:val="001C7CB1"/>
    <w:rsid w:val="001D2CCE"/>
    <w:rsid w:val="001D414D"/>
    <w:rsid w:val="001D4AF4"/>
    <w:rsid w:val="001D4BC8"/>
    <w:rsid w:val="001D6BCF"/>
    <w:rsid w:val="001E01CA"/>
    <w:rsid w:val="001E02F9"/>
    <w:rsid w:val="001E0751"/>
    <w:rsid w:val="001E0ADB"/>
    <w:rsid w:val="001E4B2A"/>
    <w:rsid w:val="001E5405"/>
    <w:rsid w:val="001E5CA4"/>
    <w:rsid w:val="001E61F7"/>
    <w:rsid w:val="001E7E61"/>
    <w:rsid w:val="001F0389"/>
    <w:rsid w:val="001F1513"/>
    <w:rsid w:val="001F223A"/>
    <w:rsid w:val="001F22FA"/>
    <w:rsid w:val="001F23D8"/>
    <w:rsid w:val="001F2CC1"/>
    <w:rsid w:val="001F3126"/>
    <w:rsid w:val="001F3827"/>
    <w:rsid w:val="001F7A3C"/>
    <w:rsid w:val="00200CAF"/>
    <w:rsid w:val="00202493"/>
    <w:rsid w:val="0020291F"/>
    <w:rsid w:val="002058EE"/>
    <w:rsid w:val="00205A76"/>
    <w:rsid w:val="0020604E"/>
    <w:rsid w:val="00206977"/>
    <w:rsid w:val="00206E66"/>
    <w:rsid w:val="002100B9"/>
    <w:rsid w:val="00211478"/>
    <w:rsid w:val="00213B57"/>
    <w:rsid w:val="00214990"/>
    <w:rsid w:val="002172FC"/>
    <w:rsid w:val="00217C26"/>
    <w:rsid w:val="00220630"/>
    <w:rsid w:val="00220CC9"/>
    <w:rsid w:val="002211DF"/>
    <w:rsid w:val="00221940"/>
    <w:rsid w:val="00223545"/>
    <w:rsid w:val="00224BB6"/>
    <w:rsid w:val="00224F02"/>
    <w:rsid w:val="00225F56"/>
    <w:rsid w:val="00227564"/>
    <w:rsid w:val="00227590"/>
    <w:rsid w:val="00231E67"/>
    <w:rsid w:val="00231F6C"/>
    <w:rsid w:val="0023358F"/>
    <w:rsid w:val="00233BA1"/>
    <w:rsid w:val="0023411A"/>
    <w:rsid w:val="002348AF"/>
    <w:rsid w:val="00237A57"/>
    <w:rsid w:val="00241CEC"/>
    <w:rsid w:val="0024319B"/>
    <w:rsid w:val="0024468A"/>
    <w:rsid w:val="002455BB"/>
    <w:rsid w:val="00246239"/>
    <w:rsid w:val="00250DDE"/>
    <w:rsid w:val="00252673"/>
    <w:rsid w:val="00252D11"/>
    <w:rsid w:val="00253B63"/>
    <w:rsid w:val="00256A29"/>
    <w:rsid w:val="002618C1"/>
    <w:rsid w:val="002621E7"/>
    <w:rsid w:val="00262568"/>
    <w:rsid w:val="00262715"/>
    <w:rsid w:val="0026354F"/>
    <w:rsid w:val="00264411"/>
    <w:rsid w:val="002647B2"/>
    <w:rsid w:val="00264D5A"/>
    <w:rsid w:val="00265867"/>
    <w:rsid w:val="002662AE"/>
    <w:rsid w:val="00266B8D"/>
    <w:rsid w:val="0027068E"/>
    <w:rsid w:val="0027216F"/>
    <w:rsid w:val="00273C64"/>
    <w:rsid w:val="002740B1"/>
    <w:rsid w:val="00275A26"/>
    <w:rsid w:val="00275CF5"/>
    <w:rsid w:val="00277401"/>
    <w:rsid w:val="00281C60"/>
    <w:rsid w:val="00281F4B"/>
    <w:rsid w:val="00282B6F"/>
    <w:rsid w:val="0028301F"/>
    <w:rsid w:val="002832C3"/>
    <w:rsid w:val="00285017"/>
    <w:rsid w:val="00285758"/>
    <w:rsid w:val="002868BD"/>
    <w:rsid w:val="00287B32"/>
    <w:rsid w:val="0029062E"/>
    <w:rsid w:val="00290634"/>
    <w:rsid w:val="00290897"/>
    <w:rsid w:val="002922EE"/>
    <w:rsid w:val="00292671"/>
    <w:rsid w:val="0029284F"/>
    <w:rsid w:val="002A11DA"/>
    <w:rsid w:val="002A2D2E"/>
    <w:rsid w:val="002A4C4B"/>
    <w:rsid w:val="002A7B3A"/>
    <w:rsid w:val="002A7E9C"/>
    <w:rsid w:val="002B2562"/>
    <w:rsid w:val="002B2EE0"/>
    <w:rsid w:val="002B35D6"/>
    <w:rsid w:val="002B374E"/>
    <w:rsid w:val="002B4611"/>
    <w:rsid w:val="002B5E87"/>
    <w:rsid w:val="002B6838"/>
    <w:rsid w:val="002B6AAE"/>
    <w:rsid w:val="002B6B89"/>
    <w:rsid w:val="002B757E"/>
    <w:rsid w:val="002C00E8"/>
    <w:rsid w:val="002C04A2"/>
    <w:rsid w:val="002C2324"/>
    <w:rsid w:val="002C2D5D"/>
    <w:rsid w:val="002C2E1B"/>
    <w:rsid w:val="002C469E"/>
    <w:rsid w:val="002C5EDF"/>
    <w:rsid w:val="002C7712"/>
    <w:rsid w:val="002C7E28"/>
    <w:rsid w:val="002D04AE"/>
    <w:rsid w:val="002D0752"/>
    <w:rsid w:val="002D1CD1"/>
    <w:rsid w:val="002D2407"/>
    <w:rsid w:val="002D3BCE"/>
    <w:rsid w:val="002D411E"/>
    <w:rsid w:val="002D4938"/>
    <w:rsid w:val="002D4EE7"/>
    <w:rsid w:val="002D5250"/>
    <w:rsid w:val="002E0E7D"/>
    <w:rsid w:val="002E1A3A"/>
    <w:rsid w:val="002E2AF5"/>
    <w:rsid w:val="002E4508"/>
    <w:rsid w:val="002E5146"/>
    <w:rsid w:val="002F031A"/>
    <w:rsid w:val="002F1342"/>
    <w:rsid w:val="002F1BC4"/>
    <w:rsid w:val="002F1E2E"/>
    <w:rsid w:val="002F2EB8"/>
    <w:rsid w:val="002F47E8"/>
    <w:rsid w:val="002F51D5"/>
    <w:rsid w:val="002F5529"/>
    <w:rsid w:val="00300D5C"/>
    <w:rsid w:val="003010A3"/>
    <w:rsid w:val="003019FE"/>
    <w:rsid w:val="00302503"/>
    <w:rsid w:val="00303300"/>
    <w:rsid w:val="003039BE"/>
    <w:rsid w:val="00303B07"/>
    <w:rsid w:val="0030541D"/>
    <w:rsid w:val="00306E97"/>
    <w:rsid w:val="00306EBD"/>
    <w:rsid w:val="003112C2"/>
    <w:rsid w:val="0031136C"/>
    <w:rsid w:val="003126F7"/>
    <w:rsid w:val="00312A3D"/>
    <w:rsid w:val="00313360"/>
    <w:rsid w:val="00313F57"/>
    <w:rsid w:val="0031485C"/>
    <w:rsid w:val="0031540D"/>
    <w:rsid w:val="0031685F"/>
    <w:rsid w:val="00320683"/>
    <w:rsid w:val="003243BE"/>
    <w:rsid w:val="00325605"/>
    <w:rsid w:val="003265FC"/>
    <w:rsid w:val="00326E6F"/>
    <w:rsid w:val="00327021"/>
    <w:rsid w:val="0033011E"/>
    <w:rsid w:val="003323C4"/>
    <w:rsid w:val="00332635"/>
    <w:rsid w:val="003333A6"/>
    <w:rsid w:val="003352AF"/>
    <w:rsid w:val="00335AA5"/>
    <w:rsid w:val="00336166"/>
    <w:rsid w:val="003365B1"/>
    <w:rsid w:val="00341E63"/>
    <w:rsid w:val="0034270E"/>
    <w:rsid w:val="00343749"/>
    <w:rsid w:val="00343DF8"/>
    <w:rsid w:val="00344944"/>
    <w:rsid w:val="003466A0"/>
    <w:rsid w:val="00346F56"/>
    <w:rsid w:val="00351252"/>
    <w:rsid w:val="00351467"/>
    <w:rsid w:val="00353FB1"/>
    <w:rsid w:val="0035410A"/>
    <w:rsid w:val="00360E01"/>
    <w:rsid w:val="003626FC"/>
    <w:rsid w:val="0036286A"/>
    <w:rsid w:val="00362ACE"/>
    <w:rsid w:val="003660ED"/>
    <w:rsid w:val="00366E60"/>
    <w:rsid w:val="00367282"/>
    <w:rsid w:val="003703E2"/>
    <w:rsid w:val="0037290D"/>
    <w:rsid w:val="0037399E"/>
    <w:rsid w:val="00375167"/>
    <w:rsid w:val="00375EFB"/>
    <w:rsid w:val="003770D1"/>
    <w:rsid w:val="00377200"/>
    <w:rsid w:val="003775A2"/>
    <w:rsid w:val="00377AF8"/>
    <w:rsid w:val="003810E7"/>
    <w:rsid w:val="00381DC2"/>
    <w:rsid w:val="0038274D"/>
    <w:rsid w:val="00383248"/>
    <w:rsid w:val="0038375D"/>
    <w:rsid w:val="0038478B"/>
    <w:rsid w:val="00384E4F"/>
    <w:rsid w:val="0038535C"/>
    <w:rsid w:val="00386BC7"/>
    <w:rsid w:val="00387365"/>
    <w:rsid w:val="00387981"/>
    <w:rsid w:val="00387F42"/>
    <w:rsid w:val="003907D0"/>
    <w:rsid w:val="003909B4"/>
    <w:rsid w:val="00391580"/>
    <w:rsid w:val="00392EA0"/>
    <w:rsid w:val="00393416"/>
    <w:rsid w:val="00393DCD"/>
    <w:rsid w:val="00394E5D"/>
    <w:rsid w:val="00394EF0"/>
    <w:rsid w:val="003962C0"/>
    <w:rsid w:val="003963EA"/>
    <w:rsid w:val="00396F22"/>
    <w:rsid w:val="00396F4B"/>
    <w:rsid w:val="003A0567"/>
    <w:rsid w:val="003A12AF"/>
    <w:rsid w:val="003A1B96"/>
    <w:rsid w:val="003A2436"/>
    <w:rsid w:val="003A38B1"/>
    <w:rsid w:val="003A4E6B"/>
    <w:rsid w:val="003A5438"/>
    <w:rsid w:val="003A5651"/>
    <w:rsid w:val="003A62D4"/>
    <w:rsid w:val="003B0550"/>
    <w:rsid w:val="003B09F5"/>
    <w:rsid w:val="003B0BC4"/>
    <w:rsid w:val="003B1072"/>
    <w:rsid w:val="003B17EA"/>
    <w:rsid w:val="003B217C"/>
    <w:rsid w:val="003B3FD0"/>
    <w:rsid w:val="003B4578"/>
    <w:rsid w:val="003B5665"/>
    <w:rsid w:val="003B694F"/>
    <w:rsid w:val="003C06C9"/>
    <w:rsid w:val="003C0B56"/>
    <w:rsid w:val="003C14BB"/>
    <w:rsid w:val="003C17A3"/>
    <w:rsid w:val="003C1F8F"/>
    <w:rsid w:val="003C2F9A"/>
    <w:rsid w:val="003C389B"/>
    <w:rsid w:val="003C3F18"/>
    <w:rsid w:val="003C5A38"/>
    <w:rsid w:val="003C677E"/>
    <w:rsid w:val="003C7AC6"/>
    <w:rsid w:val="003D1828"/>
    <w:rsid w:val="003D3659"/>
    <w:rsid w:val="003D49FA"/>
    <w:rsid w:val="003D6BF1"/>
    <w:rsid w:val="003E1AC5"/>
    <w:rsid w:val="003E2331"/>
    <w:rsid w:val="003E2ABF"/>
    <w:rsid w:val="003E43A5"/>
    <w:rsid w:val="003E5AC3"/>
    <w:rsid w:val="003E690D"/>
    <w:rsid w:val="003F171C"/>
    <w:rsid w:val="003F1C2D"/>
    <w:rsid w:val="003F3DED"/>
    <w:rsid w:val="003F4BF4"/>
    <w:rsid w:val="003F4D3E"/>
    <w:rsid w:val="003F56BF"/>
    <w:rsid w:val="003F5938"/>
    <w:rsid w:val="00401027"/>
    <w:rsid w:val="00401990"/>
    <w:rsid w:val="0040317B"/>
    <w:rsid w:val="00403E72"/>
    <w:rsid w:val="004047EC"/>
    <w:rsid w:val="00405397"/>
    <w:rsid w:val="00410E05"/>
    <w:rsid w:val="00411955"/>
    <w:rsid w:val="00412424"/>
    <w:rsid w:val="00412FC5"/>
    <w:rsid w:val="004136B3"/>
    <w:rsid w:val="0041381A"/>
    <w:rsid w:val="0041466E"/>
    <w:rsid w:val="00415EB4"/>
    <w:rsid w:val="00417D91"/>
    <w:rsid w:val="0042064C"/>
    <w:rsid w:val="00422276"/>
    <w:rsid w:val="00422349"/>
    <w:rsid w:val="004229C2"/>
    <w:rsid w:val="00422FB6"/>
    <w:rsid w:val="00423BA6"/>
    <w:rsid w:val="004242F1"/>
    <w:rsid w:val="00425C54"/>
    <w:rsid w:val="00426496"/>
    <w:rsid w:val="00427F13"/>
    <w:rsid w:val="00430458"/>
    <w:rsid w:val="004305CC"/>
    <w:rsid w:val="004311BC"/>
    <w:rsid w:val="00431754"/>
    <w:rsid w:val="00433D6F"/>
    <w:rsid w:val="00433F9B"/>
    <w:rsid w:val="00434B41"/>
    <w:rsid w:val="00435240"/>
    <w:rsid w:val="00436331"/>
    <w:rsid w:val="00436424"/>
    <w:rsid w:val="00437D46"/>
    <w:rsid w:val="00442270"/>
    <w:rsid w:val="004431F2"/>
    <w:rsid w:val="00444C7E"/>
    <w:rsid w:val="00445A00"/>
    <w:rsid w:val="00445AD4"/>
    <w:rsid w:val="00446925"/>
    <w:rsid w:val="00447818"/>
    <w:rsid w:val="00447BB8"/>
    <w:rsid w:val="0045173C"/>
    <w:rsid w:val="00451B0F"/>
    <w:rsid w:val="004521EC"/>
    <w:rsid w:val="004534EA"/>
    <w:rsid w:val="004540C0"/>
    <w:rsid w:val="004547C8"/>
    <w:rsid w:val="0045646E"/>
    <w:rsid w:val="004602DF"/>
    <w:rsid w:val="004614D9"/>
    <w:rsid w:val="00461A78"/>
    <w:rsid w:val="00461FD8"/>
    <w:rsid w:val="00464722"/>
    <w:rsid w:val="00466BDB"/>
    <w:rsid w:val="00466D62"/>
    <w:rsid w:val="00470595"/>
    <w:rsid w:val="00470B04"/>
    <w:rsid w:val="0047160D"/>
    <w:rsid w:val="00471FF8"/>
    <w:rsid w:val="00472047"/>
    <w:rsid w:val="00472FBF"/>
    <w:rsid w:val="00476AF6"/>
    <w:rsid w:val="004779BF"/>
    <w:rsid w:val="00480784"/>
    <w:rsid w:val="00480D6A"/>
    <w:rsid w:val="004822C9"/>
    <w:rsid w:val="00483BA3"/>
    <w:rsid w:val="00485E6A"/>
    <w:rsid w:val="00490064"/>
    <w:rsid w:val="00491434"/>
    <w:rsid w:val="00492019"/>
    <w:rsid w:val="004920BF"/>
    <w:rsid w:val="0049430B"/>
    <w:rsid w:val="00494A0F"/>
    <w:rsid w:val="00495021"/>
    <w:rsid w:val="00496317"/>
    <w:rsid w:val="004975F1"/>
    <w:rsid w:val="004A0FFA"/>
    <w:rsid w:val="004A2AA7"/>
    <w:rsid w:val="004A2C61"/>
    <w:rsid w:val="004A4C68"/>
    <w:rsid w:val="004A72BF"/>
    <w:rsid w:val="004B105D"/>
    <w:rsid w:val="004B25B0"/>
    <w:rsid w:val="004B273A"/>
    <w:rsid w:val="004B2E46"/>
    <w:rsid w:val="004B3A6D"/>
    <w:rsid w:val="004B63B2"/>
    <w:rsid w:val="004C15C1"/>
    <w:rsid w:val="004C25E8"/>
    <w:rsid w:val="004C2EE3"/>
    <w:rsid w:val="004C5904"/>
    <w:rsid w:val="004C5B37"/>
    <w:rsid w:val="004C792D"/>
    <w:rsid w:val="004D11FB"/>
    <w:rsid w:val="004D4C1E"/>
    <w:rsid w:val="004D4DD4"/>
    <w:rsid w:val="004D73B4"/>
    <w:rsid w:val="004D7B40"/>
    <w:rsid w:val="004E0358"/>
    <w:rsid w:val="004E061E"/>
    <w:rsid w:val="004E123D"/>
    <w:rsid w:val="004E17B2"/>
    <w:rsid w:val="004E285F"/>
    <w:rsid w:val="004E324E"/>
    <w:rsid w:val="004E3BD1"/>
    <w:rsid w:val="004E4A22"/>
    <w:rsid w:val="004E4DFE"/>
    <w:rsid w:val="004E691E"/>
    <w:rsid w:val="004E7ECD"/>
    <w:rsid w:val="004F0512"/>
    <w:rsid w:val="004F084B"/>
    <w:rsid w:val="004F1272"/>
    <w:rsid w:val="004F30FE"/>
    <w:rsid w:val="004F4CB0"/>
    <w:rsid w:val="004F4D9D"/>
    <w:rsid w:val="004F594E"/>
    <w:rsid w:val="004F708E"/>
    <w:rsid w:val="0050078F"/>
    <w:rsid w:val="0050084B"/>
    <w:rsid w:val="0050190E"/>
    <w:rsid w:val="00504409"/>
    <w:rsid w:val="00507118"/>
    <w:rsid w:val="00511968"/>
    <w:rsid w:val="00512103"/>
    <w:rsid w:val="0051238C"/>
    <w:rsid w:val="00513282"/>
    <w:rsid w:val="00513C67"/>
    <w:rsid w:val="005153D9"/>
    <w:rsid w:val="00515FD4"/>
    <w:rsid w:val="0052339E"/>
    <w:rsid w:val="00523699"/>
    <w:rsid w:val="00524DB8"/>
    <w:rsid w:val="005264EA"/>
    <w:rsid w:val="00526E20"/>
    <w:rsid w:val="00530602"/>
    <w:rsid w:val="00530E2A"/>
    <w:rsid w:val="00532C63"/>
    <w:rsid w:val="005349AA"/>
    <w:rsid w:val="00534E59"/>
    <w:rsid w:val="0053586F"/>
    <w:rsid w:val="00535F88"/>
    <w:rsid w:val="005369A4"/>
    <w:rsid w:val="0054032F"/>
    <w:rsid w:val="00540575"/>
    <w:rsid w:val="00541353"/>
    <w:rsid w:val="00544D03"/>
    <w:rsid w:val="0054757C"/>
    <w:rsid w:val="005476C2"/>
    <w:rsid w:val="0055125E"/>
    <w:rsid w:val="0055176B"/>
    <w:rsid w:val="00555848"/>
    <w:rsid w:val="0055614C"/>
    <w:rsid w:val="005565D1"/>
    <w:rsid w:val="00560ABE"/>
    <w:rsid w:val="00561AD4"/>
    <w:rsid w:val="00564B5A"/>
    <w:rsid w:val="005656ED"/>
    <w:rsid w:val="005667E7"/>
    <w:rsid w:val="00566D06"/>
    <w:rsid w:val="005675F4"/>
    <w:rsid w:val="005677A7"/>
    <w:rsid w:val="00567AF6"/>
    <w:rsid w:val="00570A3D"/>
    <w:rsid w:val="0057221D"/>
    <w:rsid w:val="0057366F"/>
    <w:rsid w:val="00573F56"/>
    <w:rsid w:val="00576843"/>
    <w:rsid w:val="00581B69"/>
    <w:rsid w:val="0058290D"/>
    <w:rsid w:val="00582DAE"/>
    <w:rsid w:val="00585FE5"/>
    <w:rsid w:val="00587868"/>
    <w:rsid w:val="005907D6"/>
    <w:rsid w:val="00594604"/>
    <w:rsid w:val="00594994"/>
    <w:rsid w:val="00596077"/>
    <w:rsid w:val="0059690E"/>
    <w:rsid w:val="0059795A"/>
    <w:rsid w:val="005A11AD"/>
    <w:rsid w:val="005A213D"/>
    <w:rsid w:val="005A3193"/>
    <w:rsid w:val="005A4E50"/>
    <w:rsid w:val="005A60AD"/>
    <w:rsid w:val="005A77B8"/>
    <w:rsid w:val="005B00FA"/>
    <w:rsid w:val="005B15C7"/>
    <w:rsid w:val="005B187F"/>
    <w:rsid w:val="005B2557"/>
    <w:rsid w:val="005B333C"/>
    <w:rsid w:val="005B35E0"/>
    <w:rsid w:val="005B4069"/>
    <w:rsid w:val="005B437F"/>
    <w:rsid w:val="005B52E4"/>
    <w:rsid w:val="005B5880"/>
    <w:rsid w:val="005B60BE"/>
    <w:rsid w:val="005C1296"/>
    <w:rsid w:val="005C1C26"/>
    <w:rsid w:val="005C1E58"/>
    <w:rsid w:val="005C2551"/>
    <w:rsid w:val="005C277C"/>
    <w:rsid w:val="005C3245"/>
    <w:rsid w:val="005C5688"/>
    <w:rsid w:val="005C5BA5"/>
    <w:rsid w:val="005C79D3"/>
    <w:rsid w:val="005C7D6C"/>
    <w:rsid w:val="005D1841"/>
    <w:rsid w:val="005D1CC9"/>
    <w:rsid w:val="005D370C"/>
    <w:rsid w:val="005D3821"/>
    <w:rsid w:val="005D5B8F"/>
    <w:rsid w:val="005D7916"/>
    <w:rsid w:val="005E1417"/>
    <w:rsid w:val="005E14C2"/>
    <w:rsid w:val="005E55F9"/>
    <w:rsid w:val="005E6229"/>
    <w:rsid w:val="005E6759"/>
    <w:rsid w:val="005F0E04"/>
    <w:rsid w:val="005F353E"/>
    <w:rsid w:val="005F39ED"/>
    <w:rsid w:val="005F3DED"/>
    <w:rsid w:val="005F599A"/>
    <w:rsid w:val="005F759D"/>
    <w:rsid w:val="005F7906"/>
    <w:rsid w:val="006011F5"/>
    <w:rsid w:val="00601E41"/>
    <w:rsid w:val="006022F4"/>
    <w:rsid w:val="00603012"/>
    <w:rsid w:val="00605137"/>
    <w:rsid w:val="006066CE"/>
    <w:rsid w:val="00607BA5"/>
    <w:rsid w:val="0061180A"/>
    <w:rsid w:val="0061284F"/>
    <w:rsid w:val="0061300F"/>
    <w:rsid w:val="006139B5"/>
    <w:rsid w:val="0061467A"/>
    <w:rsid w:val="00614FE2"/>
    <w:rsid w:val="00617127"/>
    <w:rsid w:val="006176F6"/>
    <w:rsid w:val="00620594"/>
    <w:rsid w:val="00621287"/>
    <w:rsid w:val="00622CE0"/>
    <w:rsid w:val="00622EC9"/>
    <w:rsid w:val="006242BD"/>
    <w:rsid w:val="00624B72"/>
    <w:rsid w:val="00626EB6"/>
    <w:rsid w:val="006279AD"/>
    <w:rsid w:val="00633389"/>
    <w:rsid w:val="0063441C"/>
    <w:rsid w:val="00640632"/>
    <w:rsid w:val="00640817"/>
    <w:rsid w:val="006432E7"/>
    <w:rsid w:val="00645552"/>
    <w:rsid w:val="006456A3"/>
    <w:rsid w:val="006459BA"/>
    <w:rsid w:val="00646367"/>
    <w:rsid w:val="00646663"/>
    <w:rsid w:val="006507E9"/>
    <w:rsid w:val="00650B56"/>
    <w:rsid w:val="00651587"/>
    <w:rsid w:val="00652069"/>
    <w:rsid w:val="00652081"/>
    <w:rsid w:val="00653F9C"/>
    <w:rsid w:val="006549B6"/>
    <w:rsid w:val="00655D03"/>
    <w:rsid w:val="006569C2"/>
    <w:rsid w:val="00656D50"/>
    <w:rsid w:val="00660DD9"/>
    <w:rsid w:val="00662DDD"/>
    <w:rsid w:val="006633B1"/>
    <w:rsid w:val="0066447B"/>
    <w:rsid w:val="00664926"/>
    <w:rsid w:val="00664C2F"/>
    <w:rsid w:val="006652A0"/>
    <w:rsid w:val="00672773"/>
    <w:rsid w:val="00673ECE"/>
    <w:rsid w:val="006741AA"/>
    <w:rsid w:val="006746F4"/>
    <w:rsid w:val="00677C3E"/>
    <w:rsid w:val="00677F5E"/>
    <w:rsid w:val="00682069"/>
    <w:rsid w:val="0068222B"/>
    <w:rsid w:val="006828CD"/>
    <w:rsid w:val="00683388"/>
    <w:rsid w:val="00683F84"/>
    <w:rsid w:val="006844C6"/>
    <w:rsid w:val="00684F15"/>
    <w:rsid w:val="00685E1E"/>
    <w:rsid w:val="006864CE"/>
    <w:rsid w:val="00686D1A"/>
    <w:rsid w:val="00691A43"/>
    <w:rsid w:val="00692BE2"/>
    <w:rsid w:val="00693C1B"/>
    <w:rsid w:val="00697266"/>
    <w:rsid w:val="00697614"/>
    <w:rsid w:val="006978F2"/>
    <w:rsid w:val="006979CA"/>
    <w:rsid w:val="006979FE"/>
    <w:rsid w:val="006A046E"/>
    <w:rsid w:val="006A06EC"/>
    <w:rsid w:val="006A3123"/>
    <w:rsid w:val="006A50D0"/>
    <w:rsid w:val="006A6A81"/>
    <w:rsid w:val="006A75D9"/>
    <w:rsid w:val="006B0CE8"/>
    <w:rsid w:val="006B0FCE"/>
    <w:rsid w:val="006B3402"/>
    <w:rsid w:val="006B3706"/>
    <w:rsid w:val="006B570B"/>
    <w:rsid w:val="006B5FED"/>
    <w:rsid w:val="006C1A40"/>
    <w:rsid w:val="006C1BB4"/>
    <w:rsid w:val="006C3B41"/>
    <w:rsid w:val="006C4FD9"/>
    <w:rsid w:val="006C580E"/>
    <w:rsid w:val="006C6025"/>
    <w:rsid w:val="006D0EB5"/>
    <w:rsid w:val="006D19C5"/>
    <w:rsid w:val="006D31C0"/>
    <w:rsid w:val="006D7CCB"/>
    <w:rsid w:val="006DFCC9"/>
    <w:rsid w:val="006E0795"/>
    <w:rsid w:val="006E138C"/>
    <w:rsid w:val="006E1C2E"/>
    <w:rsid w:val="006E5303"/>
    <w:rsid w:val="006E5523"/>
    <w:rsid w:val="006E6D1B"/>
    <w:rsid w:val="006E73DC"/>
    <w:rsid w:val="006F2501"/>
    <w:rsid w:val="006F5197"/>
    <w:rsid w:val="006F5985"/>
    <w:rsid w:val="006F639F"/>
    <w:rsid w:val="006F7393"/>
    <w:rsid w:val="006F748B"/>
    <w:rsid w:val="0070224F"/>
    <w:rsid w:val="007031B6"/>
    <w:rsid w:val="00704B40"/>
    <w:rsid w:val="0070529C"/>
    <w:rsid w:val="00707885"/>
    <w:rsid w:val="00710236"/>
    <w:rsid w:val="007115F7"/>
    <w:rsid w:val="00712C79"/>
    <w:rsid w:val="00713FF8"/>
    <w:rsid w:val="00715395"/>
    <w:rsid w:val="00716D3A"/>
    <w:rsid w:val="007173C6"/>
    <w:rsid w:val="007178EE"/>
    <w:rsid w:val="0072392A"/>
    <w:rsid w:val="007249BC"/>
    <w:rsid w:val="0072506E"/>
    <w:rsid w:val="007257A4"/>
    <w:rsid w:val="00730B4C"/>
    <w:rsid w:val="007316BE"/>
    <w:rsid w:val="00734EE0"/>
    <w:rsid w:val="00734FA1"/>
    <w:rsid w:val="00736178"/>
    <w:rsid w:val="007368DC"/>
    <w:rsid w:val="007375A2"/>
    <w:rsid w:val="00740640"/>
    <w:rsid w:val="00740781"/>
    <w:rsid w:val="00741463"/>
    <w:rsid w:val="007421F5"/>
    <w:rsid w:val="0074249C"/>
    <w:rsid w:val="00742745"/>
    <w:rsid w:val="00743994"/>
    <w:rsid w:val="007459EC"/>
    <w:rsid w:val="00750095"/>
    <w:rsid w:val="0075086D"/>
    <w:rsid w:val="007514C3"/>
    <w:rsid w:val="0075215F"/>
    <w:rsid w:val="007531A8"/>
    <w:rsid w:val="0076096F"/>
    <w:rsid w:val="00760CA9"/>
    <w:rsid w:val="0076175A"/>
    <w:rsid w:val="0076432B"/>
    <w:rsid w:val="00766CA8"/>
    <w:rsid w:val="00767227"/>
    <w:rsid w:val="0076791F"/>
    <w:rsid w:val="007724B6"/>
    <w:rsid w:val="007733D7"/>
    <w:rsid w:val="00773F21"/>
    <w:rsid w:val="0077450C"/>
    <w:rsid w:val="007747D6"/>
    <w:rsid w:val="00775273"/>
    <w:rsid w:val="00775290"/>
    <w:rsid w:val="0077752F"/>
    <w:rsid w:val="007803B9"/>
    <w:rsid w:val="00780F63"/>
    <w:rsid w:val="0078203F"/>
    <w:rsid w:val="00782DC6"/>
    <w:rsid w:val="00784724"/>
    <w:rsid w:val="00785689"/>
    <w:rsid w:val="00787749"/>
    <w:rsid w:val="00787A4F"/>
    <w:rsid w:val="00790399"/>
    <w:rsid w:val="00790D42"/>
    <w:rsid w:val="00791791"/>
    <w:rsid w:val="00791EAF"/>
    <w:rsid w:val="007926EE"/>
    <w:rsid w:val="00793691"/>
    <w:rsid w:val="007948FA"/>
    <w:rsid w:val="007954FE"/>
    <w:rsid w:val="0079568A"/>
    <w:rsid w:val="0079754B"/>
    <w:rsid w:val="007A07A6"/>
    <w:rsid w:val="007A170A"/>
    <w:rsid w:val="007A1E6D"/>
    <w:rsid w:val="007A4EA5"/>
    <w:rsid w:val="007A571F"/>
    <w:rsid w:val="007A5DD4"/>
    <w:rsid w:val="007A5F1D"/>
    <w:rsid w:val="007A6C37"/>
    <w:rsid w:val="007A76C1"/>
    <w:rsid w:val="007B0EB2"/>
    <w:rsid w:val="007B0F65"/>
    <w:rsid w:val="007B27F0"/>
    <w:rsid w:val="007B4EA1"/>
    <w:rsid w:val="007B5BC2"/>
    <w:rsid w:val="007B6708"/>
    <w:rsid w:val="007B75DD"/>
    <w:rsid w:val="007B7F26"/>
    <w:rsid w:val="007C0736"/>
    <w:rsid w:val="007C262A"/>
    <w:rsid w:val="007C4598"/>
    <w:rsid w:val="007C4BBE"/>
    <w:rsid w:val="007C6210"/>
    <w:rsid w:val="007D0A1D"/>
    <w:rsid w:val="007D1906"/>
    <w:rsid w:val="007D1F3F"/>
    <w:rsid w:val="007D3614"/>
    <w:rsid w:val="007D3C19"/>
    <w:rsid w:val="007D3FDF"/>
    <w:rsid w:val="007D40AF"/>
    <w:rsid w:val="007D54F8"/>
    <w:rsid w:val="007D59CA"/>
    <w:rsid w:val="007D5D8E"/>
    <w:rsid w:val="007D5DFD"/>
    <w:rsid w:val="007E0E22"/>
    <w:rsid w:val="007E244B"/>
    <w:rsid w:val="007E2453"/>
    <w:rsid w:val="007E49C4"/>
    <w:rsid w:val="007E4F98"/>
    <w:rsid w:val="007E5883"/>
    <w:rsid w:val="007E5FFC"/>
    <w:rsid w:val="007E6957"/>
    <w:rsid w:val="007E7AC0"/>
    <w:rsid w:val="007E7CB8"/>
    <w:rsid w:val="007F0603"/>
    <w:rsid w:val="007F15EB"/>
    <w:rsid w:val="007F2536"/>
    <w:rsid w:val="007F36C9"/>
    <w:rsid w:val="007F3AC4"/>
    <w:rsid w:val="007F4160"/>
    <w:rsid w:val="007F4DCB"/>
    <w:rsid w:val="007F6211"/>
    <w:rsid w:val="007F6EEF"/>
    <w:rsid w:val="00801466"/>
    <w:rsid w:val="00804579"/>
    <w:rsid w:val="0080487C"/>
    <w:rsid w:val="00805F4D"/>
    <w:rsid w:val="00807730"/>
    <w:rsid w:val="00807979"/>
    <w:rsid w:val="00810473"/>
    <w:rsid w:val="00810679"/>
    <w:rsid w:val="00810B6F"/>
    <w:rsid w:val="00811D40"/>
    <w:rsid w:val="00812EF6"/>
    <w:rsid w:val="0081478F"/>
    <w:rsid w:val="008149F0"/>
    <w:rsid w:val="008151D1"/>
    <w:rsid w:val="008156B0"/>
    <w:rsid w:val="008169BD"/>
    <w:rsid w:val="00816B83"/>
    <w:rsid w:val="00817AE0"/>
    <w:rsid w:val="008212B7"/>
    <w:rsid w:val="00821833"/>
    <w:rsid w:val="00822B14"/>
    <w:rsid w:val="00822CE0"/>
    <w:rsid w:val="008245D8"/>
    <w:rsid w:val="00826291"/>
    <w:rsid w:val="0083065B"/>
    <w:rsid w:val="008327F3"/>
    <w:rsid w:val="00833544"/>
    <w:rsid w:val="0083509A"/>
    <w:rsid w:val="008358BB"/>
    <w:rsid w:val="0083688A"/>
    <w:rsid w:val="00837966"/>
    <w:rsid w:val="00840D37"/>
    <w:rsid w:val="00841480"/>
    <w:rsid w:val="00841AB1"/>
    <w:rsid w:val="008424D1"/>
    <w:rsid w:val="00842E4F"/>
    <w:rsid w:val="00842E85"/>
    <w:rsid w:val="00843024"/>
    <w:rsid w:val="008444CC"/>
    <w:rsid w:val="0084458B"/>
    <w:rsid w:val="00844CC8"/>
    <w:rsid w:val="008459AC"/>
    <w:rsid w:val="00850395"/>
    <w:rsid w:val="0085066C"/>
    <w:rsid w:val="00851A0E"/>
    <w:rsid w:val="0085318B"/>
    <w:rsid w:val="008535B8"/>
    <w:rsid w:val="008536E9"/>
    <w:rsid w:val="008538CC"/>
    <w:rsid w:val="00854FEC"/>
    <w:rsid w:val="00855F3B"/>
    <w:rsid w:val="00857A6C"/>
    <w:rsid w:val="00860FF3"/>
    <w:rsid w:val="00861008"/>
    <w:rsid w:val="00866B82"/>
    <w:rsid w:val="0086757B"/>
    <w:rsid w:val="00870E5E"/>
    <w:rsid w:val="008713A8"/>
    <w:rsid w:val="008737F1"/>
    <w:rsid w:val="00873B77"/>
    <w:rsid w:val="008763DB"/>
    <w:rsid w:val="00881D02"/>
    <w:rsid w:val="00881F2F"/>
    <w:rsid w:val="00882FD2"/>
    <w:rsid w:val="008839E7"/>
    <w:rsid w:val="00883A12"/>
    <w:rsid w:val="00883F79"/>
    <w:rsid w:val="008857B8"/>
    <w:rsid w:val="008863AE"/>
    <w:rsid w:val="00887D2C"/>
    <w:rsid w:val="008900D9"/>
    <w:rsid w:val="0089196A"/>
    <w:rsid w:val="0089269D"/>
    <w:rsid w:val="00892DE4"/>
    <w:rsid w:val="008938C5"/>
    <w:rsid w:val="0089479F"/>
    <w:rsid w:val="0089523D"/>
    <w:rsid w:val="0089688E"/>
    <w:rsid w:val="008A07B1"/>
    <w:rsid w:val="008A1D19"/>
    <w:rsid w:val="008A375B"/>
    <w:rsid w:val="008A395E"/>
    <w:rsid w:val="008A3E2F"/>
    <w:rsid w:val="008A6090"/>
    <w:rsid w:val="008A658A"/>
    <w:rsid w:val="008A6E0A"/>
    <w:rsid w:val="008A6F1D"/>
    <w:rsid w:val="008A7458"/>
    <w:rsid w:val="008A74A4"/>
    <w:rsid w:val="008A75DA"/>
    <w:rsid w:val="008B0769"/>
    <w:rsid w:val="008B1668"/>
    <w:rsid w:val="008B1DE5"/>
    <w:rsid w:val="008B200E"/>
    <w:rsid w:val="008B3543"/>
    <w:rsid w:val="008B394E"/>
    <w:rsid w:val="008B3DF8"/>
    <w:rsid w:val="008B5B6D"/>
    <w:rsid w:val="008B69F1"/>
    <w:rsid w:val="008C0783"/>
    <w:rsid w:val="008C1CA6"/>
    <w:rsid w:val="008C24C9"/>
    <w:rsid w:val="008C68F1"/>
    <w:rsid w:val="008C6D83"/>
    <w:rsid w:val="008C7B5A"/>
    <w:rsid w:val="008D0298"/>
    <w:rsid w:val="008D1719"/>
    <w:rsid w:val="008D1F8F"/>
    <w:rsid w:val="008D3CD6"/>
    <w:rsid w:val="008D40C6"/>
    <w:rsid w:val="008D4F35"/>
    <w:rsid w:val="008D5EBA"/>
    <w:rsid w:val="008D62A4"/>
    <w:rsid w:val="008D7CE5"/>
    <w:rsid w:val="008E0554"/>
    <w:rsid w:val="008E27C6"/>
    <w:rsid w:val="008E76FE"/>
    <w:rsid w:val="008F15E5"/>
    <w:rsid w:val="008F1807"/>
    <w:rsid w:val="008F234E"/>
    <w:rsid w:val="008F2ABB"/>
    <w:rsid w:val="008F356A"/>
    <w:rsid w:val="008F4550"/>
    <w:rsid w:val="008F5332"/>
    <w:rsid w:val="00900E36"/>
    <w:rsid w:val="00902416"/>
    <w:rsid w:val="00905F14"/>
    <w:rsid w:val="00906A3D"/>
    <w:rsid w:val="0091037E"/>
    <w:rsid w:val="00912485"/>
    <w:rsid w:val="0091269A"/>
    <w:rsid w:val="0091307D"/>
    <w:rsid w:val="00913530"/>
    <w:rsid w:val="0091400A"/>
    <w:rsid w:val="00915A45"/>
    <w:rsid w:val="00917760"/>
    <w:rsid w:val="00917FAC"/>
    <w:rsid w:val="009200CF"/>
    <w:rsid w:val="009205FE"/>
    <w:rsid w:val="009212C0"/>
    <w:rsid w:val="00921803"/>
    <w:rsid w:val="009221D3"/>
    <w:rsid w:val="00922C98"/>
    <w:rsid w:val="00924147"/>
    <w:rsid w:val="009250FB"/>
    <w:rsid w:val="00925610"/>
    <w:rsid w:val="00925D83"/>
    <w:rsid w:val="00926503"/>
    <w:rsid w:val="009272AF"/>
    <w:rsid w:val="00927EE8"/>
    <w:rsid w:val="0093034B"/>
    <w:rsid w:val="00932546"/>
    <w:rsid w:val="00932E8F"/>
    <w:rsid w:val="00935374"/>
    <w:rsid w:val="00936A70"/>
    <w:rsid w:val="00941B7C"/>
    <w:rsid w:val="009456C5"/>
    <w:rsid w:val="00947A27"/>
    <w:rsid w:val="009501A9"/>
    <w:rsid w:val="00951368"/>
    <w:rsid w:val="00951588"/>
    <w:rsid w:val="0095184A"/>
    <w:rsid w:val="0095363C"/>
    <w:rsid w:val="00953E1B"/>
    <w:rsid w:val="00953E1C"/>
    <w:rsid w:val="00954A7B"/>
    <w:rsid w:val="00954F97"/>
    <w:rsid w:val="00955F24"/>
    <w:rsid w:val="0095657C"/>
    <w:rsid w:val="00957335"/>
    <w:rsid w:val="0095744A"/>
    <w:rsid w:val="009644A7"/>
    <w:rsid w:val="00966471"/>
    <w:rsid w:val="0096686E"/>
    <w:rsid w:val="009669B8"/>
    <w:rsid w:val="00966DC7"/>
    <w:rsid w:val="00967766"/>
    <w:rsid w:val="009678B4"/>
    <w:rsid w:val="00967D10"/>
    <w:rsid w:val="00970D2D"/>
    <w:rsid w:val="00971394"/>
    <w:rsid w:val="0097156F"/>
    <w:rsid w:val="0097195B"/>
    <w:rsid w:val="0097237D"/>
    <w:rsid w:val="009726D8"/>
    <w:rsid w:val="009743F1"/>
    <w:rsid w:val="009744D5"/>
    <w:rsid w:val="00974903"/>
    <w:rsid w:val="00975567"/>
    <w:rsid w:val="00980C9E"/>
    <w:rsid w:val="00984E2A"/>
    <w:rsid w:val="00986E2D"/>
    <w:rsid w:val="00987942"/>
    <w:rsid w:val="00987E16"/>
    <w:rsid w:val="00990B82"/>
    <w:rsid w:val="00990C74"/>
    <w:rsid w:val="0099124C"/>
    <w:rsid w:val="00993A5B"/>
    <w:rsid w:val="00994512"/>
    <w:rsid w:val="009961FB"/>
    <w:rsid w:val="009A06F3"/>
    <w:rsid w:val="009A2958"/>
    <w:rsid w:val="009A2B06"/>
    <w:rsid w:val="009A2CD4"/>
    <w:rsid w:val="009B0E4A"/>
    <w:rsid w:val="009B147C"/>
    <w:rsid w:val="009B1962"/>
    <w:rsid w:val="009B2045"/>
    <w:rsid w:val="009B2618"/>
    <w:rsid w:val="009B40BA"/>
    <w:rsid w:val="009B559F"/>
    <w:rsid w:val="009B5E43"/>
    <w:rsid w:val="009B7A4E"/>
    <w:rsid w:val="009C0697"/>
    <w:rsid w:val="009C134E"/>
    <w:rsid w:val="009C3F33"/>
    <w:rsid w:val="009C4FAB"/>
    <w:rsid w:val="009C5182"/>
    <w:rsid w:val="009D1BB7"/>
    <w:rsid w:val="009D232C"/>
    <w:rsid w:val="009D26D4"/>
    <w:rsid w:val="009D28EC"/>
    <w:rsid w:val="009D2E73"/>
    <w:rsid w:val="009D32EF"/>
    <w:rsid w:val="009D6640"/>
    <w:rsid w:val="009D6CF4"/>
    <w:rsid w:val="009D7308"/>
    <w:rsid w:val="009D7EBB"/>
    <w:rsid w:val="009E0484"/>
    <w:rsid w:val="009E0594"/>
    <w:rsid w:val="009E0BF7"/>
    <w:rsid w:val="009E1C00"/>
    <w:rsid w:val="009E20F7"/>
    <w:rsid w:val="009E641B"/>
    <w:rsid w:val="009E68D2"/>
    <w:rsid w:val="009E6EDC"/>
    <w:rsid w:val="009F2AEA"/>
    <w:rsid w:val="009F523B"/>
    <w:rsid w:val="009F5C78"/>
    <w:rsid w:val="009F7666"/>
    <w:rsid w:val="009F76DB"/>
    <w:rsid w:val="00A02AF2"/>
    <w:rsid w:val="00A03099"/>
    <w:rsid w:val="00A05F4A"/>
    <w:rsid w:val="00A06322"/>
    <w:rsid w:val="00A06807"/>
    <w:rsid w:val="00A06E25"/>
    <w:rsid w:val="00A06FE8"/>
    <w:rsid w:val="00A0712C"/>
    <w:rsid w:val="00A10FF4"/>
    <w:rsid w:val="00A119DF"/>
    <w:rsid w:val="00A16575"/>
    <w:rsid w:val="00A25BEE"/>
    <w:rsid w:val="00A26DCE"/>
    <w:rsid w:val="00A3050D"/>
    <w:rsid w:val="00A305BE"/>
    <w:rsid w:val="00A30D8F"/>
    <w:rsid w:val="00A31322"/>
    <w:rsid w:val="00A32726"/>
    <w:rsid w:val="00A32C3B"/>
    <w:rsid w:val="00A3327A"/>
    <w:rsid w:val="00A34238"/>
    <w:rsid w:val="00A35117"/>
    <w:rsid w:val="00A355B2"/>
    <w:rsid w:val="00A36AA2"/>
    <w:rsid w:val="00A36E4F"/>
    <w:rsid w:val="00A3772E"/>
    <w:rsid w:val="00A404A1"/>
    <w:rsid w:val="00A435F5"/>
    <w:rsid w:val="00A43D81"/>
    <w:rsid w:val="00A442E4"/>
    <w:rsid w:val="00A45F4F"/>
    <w:rsid w:val="00A4643F"/>
    <w:rsid w:val="00A510EA"/>
    <w:rsid w:val="00A5394C"/>
    <w:rsid w:val="00A55B4F"/>
    <w:rsid w:val="00A55DE5"/>
    <w:rsid w:val="00A56386"/>
    <w:rsid w:val="00A57A75"/>
    <w:rsid w:val="00A57D85"/>
    <w:rsid w:val="00A600A9"/>
    <w:rsid w:val="00A60398"/>
    <w:rsid w:val="00A6046D"/>
    <w:rsid w:val="00A61CCC"/>
    <w:rsid w:val="00A62B43"/>
    <w:rsid w:val="00A64ADC"/>
    <w:rsid w:val="00A65610"/>
    <w:rsid w:val="00A65E07"/>
    <w:rsid w:val="00A66571"/>
    <w:rsid w:val="00A708F7"/>
    <w:rsid w:val="00A71159"/>
    <w:rsid w:val="00A7519F"/>
    <w:rsid w:val="00A765C1"/>
    <w:rsid w:val="00A76CA0"/>
    <w:rsid w:val="00A80E1A"/>
    <w:rsid w:val="00A816C6"/>
    <w:rsid w:val="00A818F7"/>
    <w:rsid w:val="00A82724"/>
    <w:rsid w:val="00A8286E"/>
    <w:rsid w:val="00A828B0"/>
    <w:rsid w:val="00A84166"/>
    <w:rsid w:val="00A84216"/>
    <w:rsid w:val="00A84E98"/>
    <w:rsid w:val="00A84F4D"/>
    <w:rsid w:val="00A86F85"/>
    <w:rsid w:val="00A909EB"/>
    <w:rsid w:val="00A92710"/>
    <w:rsid w:val="00A92EBB"/>
    <w:rsid w:val="00A94108"/>
    <w:rsid w:val="00A94D70"/>
    <w:rsid w:val="00A958F3"/>
    <w:rsid w:val="00A95C80"/>
    <w:rsid w:val="00A96548"/>
    <w:rsid w:val="00A968A4"/>
    <w:rsid w:val="00A97712"/>
    <w:rsid w:val="00AA0752"/>
    <w:rsid w:val="00AA0822"/>
    <w:rsid w:val="00AA303F"/>
    <w:rsid w:val="00AA3131"/>
    <w:rsid w:val="00AA4E4D"/>
    <w:rsid w:val="00AA55B7"/>
    <w:rsid w:val="00AA5B9E"/>
    <w:rsid w:val="00AA6EB1"/>
    <w:rsid w:val="00AA796E"/>
    <w:rsid w:val="00AB0D55"/>
    <w:rsid w:val="00AB23F1"/>
    <w:rsid w:val="00AB2407"/>
    <w:rsid w:val="00AB3784"/>
    <w:rsid w:val="00AB3E3E"/>
    <w:rsid w:val="00AB4412"/>
    <w:rsid w:val="00AB4935"/>
    <w:rsid w:val="00AB53DF"/>
    <w:rsid w:val="00AB694C"/>
    <w:rsid w:val="00AB71FA"/>
    <w:rsid w:val="00AC038B"/>
    <w:rsid w:val="00AC057D"/>
    <w:rsid w:val="00AC1A31"/>
    <w:rsid w:val="00AC3338"/>
    <w:rsid w:val="00AC38DF"/>
    <w:rsid w:val="00AC467C"/>
    <w:rsid w:val="00AC5793"/>
    <w:rsid w:val="00AC5E22"/>
    <w:rsid w:val="00AC6130"/>
    <w:rsid w:val="00AC63D9"/>
    <w:rsid w:val="00AC6521"/>
    <w:rsid w:val="00AC69FA"/>
    <w:rsid w:val="00AC6FAC"/>
    <w:rsid w:val="00AD2AB3"/>
    <w:rsid w:val="00AD4A89"/>
    <w:rsid w:val="00AD4C85"/>
    <w:rsid w:val="00AD578D"/>
    <w:rsid w:val="00AD5B47"/>
    <w:rsid w:val="00AD6874"/>
    <w:rsid w:val="00AD7FBE"/>
    <w:rsid w:val="00AE0FA6"/>
    <w:rsid w:val="00AE17D1"/>
    <w:rsid w:val="00AE3AF4"/>
    <w:rsid w:val="00AE75EF"/>
    <w:rsid w:val="00AF0792"/>
    <w:rsid w:val="00AF3094"/>
    <w:rsid w:val="00AF4810"/>
    <w:rsid w:val="00AF52A6"/>
    <w:rsid w:val="00AF6EFE"/>
    <w:rsid w:val="00B00B72"/>
    <w:rsid w:val="00B0118B"/>
    <w:rsid w:val="00B0176A"/>
    <w:rsid w:val="00B01AAB"/>
    <w:rsid w:val="00B0328E"/>
    <w:rsid w:val="00B04147"/>
    <w:rsid w:val="00B05420"/>
    <w:rsid w:val="00B05A92"/>
    <w:rsid w:val="00B06A74"/>
    <w:rsid w:val="00B07511"/>
    <w:rsid w:val="00B07B6D"/>
    <w:rsid w:val="00B07E5C"/>
    <w:rsid w:val="00B10015"/>
    <w:rsid w:val="00B10189"/>
    <w:rsid w:val="00B109B9"/>
    <w:rsid w:val="00B132B8"/>
    <w:rsid w:val="00B14386"/>
    <w:rsid w:val="00B15DF5"/>
    <w:rsid w:val="00B1686C"/>
    <w:rsid w:val="00B17DA5"/>
    <w:rsid w:val="00B202A1"/>
    <w:rsid w:val="00B20CD0"/>
    <w:rsid w:val="00B22BCD"/>
    <w:rsid w:val="00B24587"/>
    <w:rsid w:val="00B269C4"/>
    <w:rsid w:val="00B32D71"/>
    <w:rsid w:val="00B3384F"/>
    <w:rsid w:val="00B352E4"/>
    <w:rsid w:val="00B354FB"/>
    <w:rsid w:val="00B35A1F"/>
    <w:rsid w:val="00B36F6F"/>
    <w:rsid w:val="00B40C69"/>
    <w:rsid w:val="00B40EC1"/>
    <w:rsid w:val="00B42E4A"/>
    <w:rsid w:val="00B44686"/>
    <w:rsid w:val="00B44BBB"/>
    <w:rsid w:val="00B45054"/>
    <w:rsid w:val="00B461D0"/>
    <w:rsid w:val="00B46C3F"/>
    <w:rsid w:val="00B46F8E"/>
    <w:rsid w:val="00B47B62"/>
    <w:rsid w:val="00B47DBE"/>
    <w:rsid w:val="00B537A1"/>
    <w:rsid w:val="00B538A5"/>
    <w:rsid w:val="00B55D1E"/>
    <w:rsid w:val="00B57B2E"/>
    <w:rsid w:val="00B612BB"/>
    <w:rsid w:val="00B61636"/>
    <w:rsid w:val="00B63EA6"/>
    <w:rsid w:val="00B642F9"/>
    <w:rsid w:val="00B64AD9"/>
    <w:rsid w:val="00B65E1F"/>
    <w:rsid w:val="00B6605E"/>
    <w:rsid w:val="00B66B8C"/>
    <w:rsid w:val="00B66C33"/>
    <w:rsid w:val="00B67E6B"/>
    <w:rsid w:val="00B71053"/>
    <w:rsid w:val="00B72EE0"/>
    <w:rsid w:val="00B738BD"/>
    <w:rsid w:val="00B73DDE"/>
    <w:rsid w:val="00B7627F"/>
    <w:rsid w:val="00B7648B"/>
    <w:rsid w:val="00B77B81"/>
    <w:rsid w:val="00B805D5"/>
    <w:rsid w:val="00B811F7"/>
    <w:rsid w:val="00B83E6F"/>
    <w:rsid w:val="00B8589B"/>
    <w:rsid w:val="00B868E0"/>
    <w:rsid w:val="00B87DAD"/>
    <w:rsid w:val="00B9247C"/>
    <w:rsid w:val="00B9397B"/>
    <w:rsid w:val="00B95AE1"/>
    <w:rsid w:val="00B97EFC"/>
    <w:rsid w:val="00BA0DAA"/>
    <w:rsid w:val="00BA1EF6"/>
    <w:rsid w:val="00BA2241"/>
    <w:rsid w:val="00BA27A1"/>
    <w:rsid w:val="00BA4BB0"/>
    <w:rsid w:val="00BA4C68"/>
    <w:rsid w:val="00BA4F93"/>
    <w:rsid w:val="00BA5DC6"/>
    <w:rsid w:val="00BA6196"/>
    <w:rsid w:val="00BB0DCB"/>
    <w:rsid w:val="00BB2AB4"/>
    <w:rsid w:val="00BB2D97"/>
    <w:rsid w:val="00BB2E62"/>
    <w:rsid w:val="00BB3C76"/>
    <w:rsid w:val="00BB4171"/>
    <w:rsid w:val="00BB4489"/>
    <w:rsid w:val="00BB47E5"/>
    <w:rsid w:val="00BB5112"/>
    <w:rsid w:val="00BB51CC"/>
    <w:rsid w:val="00BC0994"/>
    <w:rsid w:val="00BC40EF"/>
    <w:rsid w:val="00BC5D76"/>
    <w:rsid w:val="00BC69A5"/>
    <w:rsid w:val="00BC6D8C"/>
    <w:rsid w:val="00BC6DDF"/>
    <w:rsid w:val="00BC7DF7"/>
    <w:rsid w:val="00BD0F2A"/>
    <w:rsid w:val="00BD1647"/>
    <w:rsid w:val="00BD4D53"/>
    <w:rsid w:val="00BD57A1"/>
    <w:rsid w:val="00BD7A71"/>
    <w:rsid w:val="00BE0210"/>
    <w:rsid w:val="00BE033C"/>
    <w:rsid w:val="00BE0548"/>
    <w:rsid w:val="00BE06FF"/>
    <w:rsid w:val="00BE0CDF"/>
    <w:rsid w:val="00BE19AE"/>
    <w:rsid w:val="00BE1AD3"/>
    <w:rsid w:val="00BE21C7"/>
    <w:rsid w:val="00BE2C39"/>
    <w:rsid w:val="00BE74B4"/>
    <w:rsid w:val="00BF0447"/>
    <w:rsid w:val="00BF0E98"/>
    <w:rsid w:val="00BF21DC"/>
    <w:rsid w:val="00BF6578"/>
    <w:rsid w:val="00BF74CA"/>
    <w:rsid w:val="00BF7C4F"/>
    <w:rsid w:val="00C007A4"/>
    <w:rsid w:val="00C04D49"/>
    <w:rsid w:val="00C05FDE"/>
    <w:rsid w:val="00C065DD"/>
    <w:rsid w:val="00C104C5"/>
    <w:rsid w:val="00C11B6D"/>
    <w:rsid w:val="00C12089"/>
    <w:rsid w:val="00C13C68"/>
    <w:rsid w:val="00C14DDA"/>
    <w:rsid w:val="00C167CD"/>
    <w:rsid w:val="00C167FF"/>
    <w:rsid w:val="00C16C13"/>
    <w:rsid w:val="00C16E6C"/>
    <w:rsid w:val="00C22738"/>
    <w:rsid w:val="00C22C32"/>
    <w:rsid w:val="00C24720"/>
    <w:rsid w:val="00C251D0"/>
    <w:rsid w:val="00C25688"/>
    <w:rsid w:val="00C25A5D"/>
    <w:rsid w:val="00C27129"/>
    <w:rsid w:val="00C30899"/>
    <w:rsid w:val="00C311BA"/>
    <w:rsid w:val="00C319E4"/>
    <w:rsid w:val="00C33D32"/>
    <w:rsid w:val="00C34006"/>
    <w:rsid w:val="00C34F78"/>
    <w:rsid w:val="00C365FC"/>
    <w:rsid w:val="00C36B4C"/>
    <w:rsid w:val="00C3765E"/>
    <w:rsid w:val="00C37C3A"/>
    <w:rsid w:val="00C41EF8"/>
    <w:rsid w:val="00C426B1"/>
    <w:rsid w:val="00C43395"/>
    <w:rsid w:val="00C44A2C"/>
    <w:rsid w:val="00C46D66"/>
    <w:rsid w:val="00C46DC3"/>
    <w:rsid w:val="00C50478"/>
    <w:rsid w:val="00C50C96"/>
    <w:rsid w:val="00C51928"/>
    <w:rsid w:val="00C51E28"/>
    <w:rsid w:val="00C54DE0"/>
    <w:rsid w:val="00C56321"/>
    <w:rsid w:val="00C56928"/>
    <w:rsid w:val="00C56C9D"/>
    <w:rsid w:val="00C57812"/>
    <w:rsid w:val="00C60291"/>
    <w:rsid w:val="00C60357"/>
    <w:rsid w:val="00C6036F"/>
    <w:rsid w:val="00C62510"/>
    <w:rsid w:val="00C63A24"/>
    <w:rsid w:val="00C64325"/>
    <w:rsid w:val="00C64902"/>
    <w:rsid w:val="00C65348"/>
    <w:rsid w:val="00C66160"/>
    <w:rsid w:val="00C66454"/>
    <w:rsid w:val="00C6728E"/>
    <w:rsid w:val="00C720A9"/>
    <w:rsid w:val="00C721AC"/>
    <w:rsid w:val="00C74139"/>
    <w:rsid w:val="00C755C4"/>
    <w:rsid w:val="00C76584"/>
    <w:rsid w:val="00C7674D"/>
    <w:rsid w:val="00C77F24"/>
    <w:rsid w:val="00C80F97"/>
    <w:rsid w:val="00C8233D"/>
    <w:rsid w:val="00C82FA3"/>
    <w:rsid w:val="00C8534A"/>
    <w:rsid w:val="00C85FE4"/>
    <w:rsid w:val="00C8693B"/>
    <w:rsid w:val="00C90548"/>
    <w:rsid w:val="00C90D6A"/>
    <w:rsid w:val="00C91F2F"/>
    <w:rsid w:val="00C92C27"/>
    <w:rsid w:val="00C93FF8"/>
    <w:rsid w:val="00C952A6"/>
    <w:rsid w:val="00C95755"/>
    <w:rsid w:val="00C964E2"/>
    <w:rsid w:val="00C9783D"/>
    <w:rsid w:val="00CA202B"/>
    <w:rsid w:val="00CA247E"/>
    <w:rsid w:val="00CA2480"/>
    <w:rsid w:val="00CA34BE"/>
    <w:rsid w:val="00CA4199"/>
    <w:rsid w:val="00CA6D21"/>
    <w:rsid w:val="00CA6DD0"/>
    <w:rsid w:val="00CB16A1"/>
    <w:rsid w:val="00CB3291"/>
    <w:rsid w:val="00CC031C"/>
    <w:rsid w:val="00CC2908"/>
    <w:rsid w:val="00CC2C48"/>
    <w:rsid w:val="00CC2F45"/>
    <w:rsid w:val="00CC4CB9"/>
    <w:rsid w:val="00CC563F"/>
    <w:rsid w:val="00CC5935"/>
    <w:rsid w:val="00CC5F22"/>
    <w:rsid w:val="00CC5F30"/>
    <w:rsid w:val="00CC5FFD"/>
    <w:rsid w:val="00CC72B6"/>
    <w:rsid w:val="00CC76D9"/>
    <w:rsid w:val="00CC7BBD"/>
    <w:rsid w:val="00CC7D20"/>
    <w:rsid w:val="00CD03F9"/>
    <w:rsid w:val="00CD08CD"/>
    <w:rsid w:val="00CD0D02"/>
    <w:rsid w:val="00CD10FB"/>
    <w:rsid w:val="00CD34FB"/>
    <w:rsid w:val="00CD3E96"/>
    <w:rsid w:val="00CD48B6"/>
    <w:rsid w:val="00CD4941"/>
    <w:rsid w:val="00CD6C29"/>
    <w:rsid w:val="00CE1B02"/>
    <w:rsid w:val="00CE282A"/>
    <w:rsid w:val="00CE4176"/>
    <w:rsid w:val="00CE5BF7"/>
    <w:rsid w:val="00CE5FEF"/>
    <w:rsid w:val="00CF33F9"/>
    <w:rsid w:val="00CF4A33"/>
    <w:rsid w:val="00CF580F"/>
    <w:rsid w:val="00CF5A5B"/>
    <w:rsid w:val="00CF5C6B"/>
    <w:rsid w:val="00CF6154"/>
    <w:rsid w:val="00D0218D"/>
    <w:rsid w:val="00D02473"/>
    <w:rsid w:val="00D02D38"/>
    <w:rsid w:val="00D03496"/>
    <w:rsid w:val="00D0358A"/>
    <w:rsid w:val="00D04D36"/>
    <w:rsid w:val="00D04FAF"/>
    <w:rsid w:val="00D0572D"/>
    <w:rsid w:val="00D05EA0"/>
    <w:rsid w:val="00D06076"/>
    <w:rsid w:val="00D06C73"/>
    <w:rsid w:val="00D07EB9"/>
    <w:rsid w:val="00D102CF"/>
    <w:rsid w:val="00D10DE1"/>
    <w:rsid w:val="00D10DF5"/>
    <w:rsid w:val="00D13878"/>
    <w:rsid w:val="00D141F8"/>
    <w:rsid w:val="00D1422F"/>
    <w:rsid w:val="00D14E81"/>
    <w:rsid w:val="00D15439"/>
    <w:rsid w:val="00D17E28"/>
    <w:rsid w:val="00D2093C"/>
    <w:rsid w:val="00D221AC"/>
    <w:rsid w:val="00D248AE"/>
    <w:rsid w:val="00D25FB5"/>
    <w:rsid w:val="00D27133"/>
    <w:rsid w:val="00D3198D"/>
    <w:rsid w:val="00D3240A"/>
    <w:rsid w:val="00D34CF8"/>
    <w:rsid w:val="00D370F9"/>
    <w:rsid w:val="00D41085"/>
    <w:rsid w:val="00D4230E"/>
    <w:rsid w:val="00D426DA"/>
    <w:rsid w:val="00D42D96"/>
    <w:rsid w:val="00D43081"/>
    <w:rsid w:val="00D44223"/>
    <w:rsid w:val="00D46028"/>
    <w:rsid w:val="00D46524"/>
    <w:rsid w:val="00D478BB"/>
    <w:rsid w:val="00D514E1"/>
    <w:rsid w:val="00D51D13"/>
    <w:rsid w:val="00D52D36"/>
    <w:rsid w:val="00D53224"/>
    <w:rsid w:val="00D54A49"/>
    <w:rsid w:val="00D54DB6"/>
    <w:rsid w:val="00D557E4"/>
    <w:rsid w:val="00D562F8"/>
    <w:rsid w:val="00D565D5"/>
    <w:rsid w:val="00D60C4F"/>
    <w:rsid w:val="00D63163"/>
    <w:rsid w:val="00D63333"/>
    <w:rsid w:val="00D650BA"/>
    <w:rsid w:val="00D6527E"/>
    <w:rsid w:val="00D66429"/>
    <w:rsid w:val="00D67702"/>
    <w:rsid w:val="00D67E2F"/>
    <w:rsid w:val="00D67F35"/>
    <w:rsid w:val="00D70EF0"/>
    <w:rsid w:val="00D7121E"/>
    <w:rsid w:val="00D722F4"/>
    <w:rsid w:val="00D7279B"/>
    <w:rsid w:val="00D72FC9"/>
    <w:rsid w:val="00D731E5"/>
    <w:rsid w:val="00D763BD"/>
    <w:rsid w:val="00D80742"/>
    <w:rsid w:val="00D83640"/>
    <w:rsid w:val="00D84834"/>
    <w:rsid w:val="00D907B6"/>
    <w:rsid w:val="00D90B6D"/>
    <w:rsid w:val="00D945F6"/>
    <w:rsid w:val="00D94B06"/>
    <w:rsid w:val="00D967E8"/>
    <w:rsid w:val="00D97657"/>
    <w:rsid w:val="00DA00B1"/>
    <w:rsid w:val="00DA21D6"/>
    <w:rsid w:val="00DA2529"/>
    <w:rsid w:val="00DA2A66"/>
    <w:rsid w:val="00DA2E82"/>
    <w:rsid w:val="00DA324F"/>
    <w:rsid w:val="00DA47A8"/>
    <w:rsid w:val="00DA4E9F"/>
    <w:rsid w:val="00DA6C63"/>
    <w:rsid w:val="00DB0BF7"/>
    <w:rsid w:val="00DB130A"/>
    <w:rsid w:val="00DB2EBB"/>
    <w:rsid w:val="00DB31E1"/>
    <w:rsid w:val="00DB358E"/>
    <w:rsid w:val="00DB4169"/>
    <w:rsid w:val="00DB4590"/>
    <w:rsid w:val="00DB5E5C"/>
    <w:rsid w:val="00DB6937"/>
    <w:rsid w:val="00DC10A1"/>
    <w:rsid w:val="00DC2C44"/>
    <w:rsid w:val="00DC33A4"/>
    <w:rsid w:val="00DC38E0"/>
    <w:rsid w:val="00DC54E2"/>
    <w:rsid w:val="00DC5B93"/>
    <w:rsid w:val="00DC655F"/>
    <w:rsid w:val="00DC780A"/>
    <w:rsid w:val="00DD0B59"/>
    <w:rsid w:val="00DD1604"/>
    <w:rsid w:val="00DD2CEF"/>
    <w:rsid w:val="00DD3854"/>
    <w:rsid w:val="00DD56C5"/>
    <w:rsid w:val="00DD57C7"/>
    <w:rsid w:val="00DD5C40"/>
    <w:rsid w:val="00DD7EBD"/>
    <w:rsid w:val="00DE05B5"/>
    <w:rsid w:val="00DE0C15"/>
    <w:rsid w:val="00DE1C20"/>
    <w:rsid w:val="00DE3528"/>
    <w:rsid w:val="00DE47DD"/>
    <w:rsid w:val="00DF447B"/>
    <w:rsid w:val="00DF54B4"/>
    <w:rsid w:val="00DF5B13"/>
    <w:rsid w:val="00DF61D3"/>
    <w:rsid w:val="00DF62B6"/>
    <w:rsid w:val="00DF722C"/>
    <w:rsid w:val="00E0043B"/>
    <w:rsid w:val="00E00839"/>
    <w:rsid w:val="00E02AC0"/>
    <w:rsid w:val="00E0306E"/>
    <w:rsid w:val="00E06AB2"/>
    <w:rsid w:val="00E07225"/>
    <w:rsid w:val="00E1008B"/>
    <w:rsid w:val="00E11A64"/>
    <w:rsid w:val="00E11C4B"/>
    <w:rsid w:val="00E12FDF"/>
    <w:rsid w:val="00E15A75"/>
    <w:rsid w:val="00E22F58"/>
    <w:rsid w:val="00E232F9"/>
    <w:rsid w:val="00E24E94"/>
    <w:rsid w:val="00E30BCE"/>
    <w:rsid w:val="00E30CB5"/>
    <w:rsid w:val="00E31235"/>
    <w:rsid w:val="00E31834"/>
    <w:rsid w:val="00E3253F"/>
    <w:rsid w:val="00E3397C"/>
    <w:rsid w:val="00E359D7"/>
    <w:rsid w:val="00E36593"/>
    <w:rsid w:val="00E36736"/>
    <w:rsid w:val="00E3685C"/>
    <w:rsid w:val="00E416A6"/>
    <w:rsid w:val="00E41F2E"/>
    <w:rsid w:val="00E42179"/>
    <w:rsid w:val="00E422A4"/>
    <w:rsid w:val="00E42743"/>
    <w:rsid w:val="00E43E4A"/>
    <w:rsid w:val="00E44141"/>
    <w:rsid w:val="00E47958"/>
    <w:rsid w:val="00E50B6C"/>
    <w:rsid w:val="00E511A4"/>
    <w:rsid w:val="00E52114"/>
    <w:rsid w:val="00E53FF4"/>
    <w:rsid w:val="00E5409F"/>
    <w:rsid w:val="00E5410E"/>
    <w:rsid w:val="00E5527F"/>
    <w:rsid w:val="00E56E34"/>
    <w:rsid w:val="00E57FC1"/>
    <w:rsid w:val="00E62AAA"/>
    <w:rsid w:val="00E62D40"/>
    <w:rsid w:val="00E63ADF"/>
    <w:rsid w:val="00E64909"/>
    <w:rsid w:val="00E65AE1"/>
    <w:rsid w:val="00E66EDC"/>
    <w:rsid w:val="00E677DA"/>
    <w:rsid w:val="00E701C2"/>
    <w:rsid w:val="00E709AC"/>
    <w:rsid w:val="00E71D07"/>
    <w:rsid w:val="00E71D46"/>
    <w:rsid w:val="00E723AD"/>
    <w:rsid w:val="00E72B0F"/>
    <w:rsid w:val="00E731E3"/>
    <w:rsid w:val="00E759B6"/>
    <w:rsid w:val="00E75F44"/>
    <w:rsid w:val="00E76E11"/>
    <w:rsid w:val="00E81E68"/>
    <w:rsid w:val="00E82B84"/>
    <w:rsid w:val="00E832C8"/>
    <w:rsid w:val="00E847B2"/>
    <w:rsid w:val="00E854C0"/>
    <w:rsid w:val="00E85E4B"/>
    <w:rsid w:val="00E8747F"/>
    <w:rsid w:val="00E91591"/>
    <w:rsid w:val="00E9255D"/>
    <w:rsid w:val="00E92FEB"/>
    <w:rsid w:val="00E9338D"/>
    <w:rsid w:val="00E9407B"/>
    <w:rsid w:val="00E9439D"/>
    <w:rsid w:val="00E96101"/>
    <w:rsid w:val="00E9619A"/>
    <w:rsid w:val="00E96672"/>
    <w:rsid w:val="00E977FB"/>
    <w:rsid w:val="00E97BA1"/>
    <w:rsid w:val="00E97FDB"/>
    <w:rsid w:val="00EA0892"/>
    <w:rsid w:val="00EA0E17"/>
    <w:rsid w:val="00EA17DC"/>
    <w:rsid w:val="00EA39F6"/>
    <w:rsid w:val="00EA3C55"/>
    <w:rsid w:val="00EA3F3A"/>
    <w:rsid w:val="00EA5E99"/>
    <w:rsid w:val="00EA6967"/>
    <w:rsid w:val="00EA70F0"/>
    <w:rsid w:val="00EA7531"/>
    <w:rsid w:val="00EB06F4"/>
    <w:rsid w:val="00EB09BC"/>
    <w:rsid w:val="00EB4498"/>
    <w:rsid w:val="00EB496F"/>
    <w:rsid w:val="00EB5247"/>
    <w:rsid w:val="00EB5646"/>
    <w:rsid w:val="00EB6BF9"/>
    <w:rsid w:val="00EB7E71"/>
    <w:rsid w:val="00EB7F14"/>
    <w:rsid w:val="00EC08A1"/>
    <w:rsid w:val="00EC08E7"/>
    <w:rsid w:val="00EC2078"/>
    <w:rsid w:val="00EC57C5"/>
    <w:rsid w:val="00EC7232"/>
    <w:rsid w:val="00EC7829"/>
    <w:rsid w:val="00EC7BCF"/>
    <w:rsid w:val="00ED103E"/>
    <w:rsid w:val="00ED26F4"/>
    <w:rsid w:val="00ED2850"/>
    <w:rsid w:val="00ED2FE1"/>
    <w:rsid w:val="00ED5810"/>
    <w:rsid w:val="00ED5B03"/>
    <w:rsid w:val="00ED7740"/>
    <w:rsid w:val="00ED7F10"/>
    <w:rsid w:val="00EE015F"/>
    <w:rsid w:val="00EE03B3"/>
    <w:rsid w:val="00EE07B5"/>
    <w:rsid w:val="00EE225B"/>
    <w:rsid w:val="00EE38DD"/>
    <w:rsid w:val="00EE6488"/>
    <w:rsid w:val="00EE695E"/>
    <w:rsid w:val="00EE6AAC"/>
    <w:rsid w:val="00EE6C6C"/>
    <w:rsid w:val="00EE6EB1"/>
    <w:rsid w:val="00EE6FC6"/>
    <w:rsid w:val="00EE7F6A"/>
    <w:rsid w:val="00EF0638"/>
    <w:rsid w:val="00EF2066"/>
    <w:rsid w:val="00EF2BBE"/>
    <w:rsid w:val="00EF3CA7"/>
    <w:rsid w:val="00EF4AC1"/>
    <w:rsid w:val="00EF51BA"/>
    <w:rsid w:val="00EF6115"/>
    <w:rsid w:val="00EF6E70"/>
    <w:rsid w:val="00EF7D81"/>
    <w:rsid w:val="00EF7DE4"/>
    <w:rsid w:val="00EF7E36"/>
    <w:rsid w:val="00F004F3"/>
    <w:rsid w:val="00F00F32"/>
    <w:rsid w:val="00F021FA"/>
    <w:rsid w:val="00F02BC8"/>
    <w:rsid w:val="00F04B32"/>
    <w:rsid w:val="00F04B9E"/>
    <w:rsid w:val="00F06609"/>
    <w:rsid w:val="00F071BE"/>
    <w:rsid w:val="00F07D38"/>
    <w:rsid w:val="00F16F2F"/>
    <w:rsid w:val="00F17631"/>
    <w:rsid w:val="00F20352"/>
    <w:rsid w:val="00F21582"/>
    <w:rsid w:val="00F23379"/>
    <w:rsid w:val="00F244E1"/>
    <w:rsid w:val="00F257C7"/>
    <w:rsid w:val="00F318E6"/>
    <w:rsid w:val="00F335EC"/>
    <w:rsid w:val="00F34DB5"/>
    <w:rsid w:val="00F350D2"/>
    <w:rsid w:val="00F37454"/>
    <w:rsid w:val="00F42107"/>
    <w:rsid w:val="00F45488"/>
    <w:rsid w:val="00F456FD"/>
    <w:rsid w:val="00F46F22"/>
    <w:rsid w:val="00F51120"/>
    <w:rsid w:val="00F53B45"/>
    <w:rsid w:val="00F53B85"/>
    <w:rsid w:val="00F54894"/>
    <w:rsid w:val="00F54E23"/>
    <w:rsid w:val="00F54ECB"/>
    <w:rsid w:val="00F55B65"/>
    <w:rsid w:val="00F55D95"/>
    <w:rsid w:val="00F57174"/>
    <w:rsid w:val="00F6081E"/>
    <w:rsid w:val="00F60B16"/>
    <w:rsid w:val="00F62E97"/>
    <w:rsid w:val="00F63D39"/>
    <w:rsid w:val="00F64209"/>
    <w:rsid w:val="00F64AFF"/>
    <w:rsid w:val="00F64F35"/>
    <w:rsid w:val="00F656D2"/>
    <w:rsid w:val="00F65A01"/>
    <w:rsid w:val="00F66F46"/>
    <w:rsid w:val="00F66FBE"/>
    <w:rsid w:val="00F70CB2"/>
    <w:rsid w:val="00F7201E"/>
    <w:rsid w:val="00F740B2"/>
    <w:rsid w:val="00F75A7B"/>
    <w:rsid w:val="00F76B91"/>
    <w:rsid w:val="00F77A1E"/>
    <w:rsid w:val="00F81150"/>
    <w:rsid w:val="00F82699"/>
    <w:rsid w:val="00F83AE0"/>
    <w:rsid w:val="00F84188"/>
    <w:rsid w:val="00F84C97"/>
    <w:rsid w:val="00F84F59"/>
    <w:rsid w:val="00F853AC"/>
    <w:rsid w:val="00F86F4C"/>
    <w:rsid w:val="00F9030B"/>
    <w:rsid w:val="00F90B1F"/>
    <w:rsid w:val="00F917A8"/>
    <w:rsid w:val="00F92159"/>
    <w:rsid w:val="00F9277F"/>
    <w:rsid w:val="00F928A3"/>
    <w:rsid w:val="00F928F9"/>
    <w:rsid w:val="00F931BC"/>
    <w:rsid w:val="00F93737"/>
    <w:rsid w:val="00F937BE"/>
    <w:rsid w:val="00F93AC1"/>
    <w:rsid w:val="00F93BF5"/>
    <w:rsid w:val="00F94D6B"/>
    <w:rsid w:val="00F95595"/>
    <w:rsid w:val="00F95AAA"/>
    <w:rsid w:val="00F96DA1"/>
    <w:rsid w:val="00FA33FA"/>
    <w:rsid w:val="00FA4EF9"/>
    <w:rsid w:val="00FA7E09"/>
    <w:rsid w:val="00FB1434"/>
    <w:rsid w:val="00FB1C5C"/>
    <w:rsid w:val="00FB2959"/>
    <w:rsid w:val="00FB3400"/>
    <w:rsid w:val="00FB3D34"/>
    <w:rsid w:val="00FB4A17"/>
    <w:rsid w:val="00FB51F9"/>
    <w:rsid w:val="00FB5FA4"/>
    <w:rsid w:val="00FB6CEE"/>
    <w:rsid w:val="00FB6F1F"/>
    <w:rsid w:val="00FB775B"/>
    <w:rsid w:val="00FC0090"/>
    <w:rsid w:val="00FC2607"/>
    <w:rsid w:val="00FC3F2A"/>
    <w:rsid w:val="00FC52D7"/>
    <w:rsid w:val="00FC6682"/>
    <w:rsid w:val="00FC6EA6"/>
    <w:rsid w:val="00FC7876"/>
    <w:rsid w:val="00FD04E1"/>
    <w:rsid w:val="00FD0AD4"/>
    <w:rsid w:val="00FD259E"/>
    <w:rsid w:val="00FD3BED"/>
    <w:rsid w:val="00FD3F60"/>
    <w:rsid w:val="00FD533E"/>
    <w:rsid w:val="00FD54C0"/>
    <w:rsid w:val="00FD596E"/>
    <w:rsid w:val="00FD5A53"/>
    <w:rsid w:val="00FD6AB5"/>
    <w:rsid w:val="00FD7418"/>
    <w:rsid w:val="00FE0ED6"/>
    <w:rsid w:val="00FE249B"/>
    <w:rsid w:val="00FE287F"/>
    <w:rsid w:val="00FE35D0"/>
    <w:rsid w:val="00FE3BD0"/>
    <w:rsid w:val="00FE493D"/>
    <w:rsid w:val="00FE50C5"/>
    <w:rsid w:val="00FE66A7"/>
    <w:rsid w:val="00FF4896"/>
    <w:rsid w:val="00FF663B"/>
    <w:rsid w:val="019B2D27"/>
    <w:rsid w:val="029CF4C2"/>
    <w:rsid w:val="037EA467"/>
    <w:rsid w:val="03B57C30"/>
    <w:rsid w:val="03BAC448"/>
    <w:rsid w:val="0520C5B2"/>
    <w:rsid w:val="0628909B"/>
    <w:rsid w:val="06CA574D"/>
    <w:rsid w:val="06ED2AFD"/>
    <w:rsid w:val="06F96DA6"/>
    <w:rsid w:val="071CCD0D"/>
    <w:rsid w:val="09C7DB63"/>
    <w:rsid w:val="0AE010B7"/>
    <w:rsid w:val="0C3CE1C5"/>
    <w:rsid w:val="0C7CD9BD"/>
    <w:rsid w:val="0DC9E80C"/>
    <w:rsid w:val="0E2F7F33"/>
    <w:rsid w:val="0E8749E8"/>
    <w:rsid w:val="10801EF3"/>
    <w:rsid w:val="11474C76"/>
    <w:rsid w:val="11531772"/>
    <w:rsid w:val="11AC68E1"/>
    <w:rsid w:val="11C5E233"/>
    <w:rsid w:val="1248805C"/>
    <w:rsid w:val="13DED58B"/>
    <w:rsid w:val="1439A848"/>
    <w:rsid w:val="15AAA455"/>
    <w:rsid w:val="165A9F49"/>
    <w:rsid w:val="16CCEC22"/>
    <w:rsid w:val="18610E0D"/>
    <w:rsid w:val="19FCDE6E"/>
    <w:rsid w:val="1A641877"/>
    <w:rsid w:val="1A8F42B7"/>
    <w:rsid w:val="1B404447"/>
    <w:rsid w:val="1B4D7F8E"/>
    <w:rsid w:val="1BF5C1F7"/>
    <w:rsid w:val="1CB5E36F"/>
    <w:rsid w:val="1CE5A378"/>
    <w:rsid w:val="1CF43669"/>
    <w:rsid w:val="1DD2B26D"/>
    <w:rsid w:val="1DEBE5DA"/>
    <w:rsid w:val="1F05F344"/>
    <w:rsid w:val="1F62B3DA"/>
    <w:rsid w:val="206F9F2A"/>
    <w:rsid w:val="2091FF20"/>
    <w:rsid w:val="2160E8FF"/>
    <w:rsid w:val="21B80D42"/>
    <w:rsid w:val="21E119EF"/>
    <w:rsid w:val="229A549C"/>
    <w:rsid w:val="2340A7D4"/>
    <w:rsid w:val="23CB4973"/>
    <w:rsid w:val="23D1887F"/>
    <w:rsid w:val="2410395E"/>
    <w:rsid w:val="2504BD53"/>
    <w:rsid w:val="263B0EBD"/>
    <w:rsid w:val="2652D559"/>
    <w:rsid w:val="26D7A2D0"/>
    <w:rsid w:val="2B2EEAF8"/>
    <w:rsid w:val="2B6ED3D8"/>
    <w:rsid w:val="2C7EA1B2"/>
    <w:rsid w:val="2D2666E4"/>
    <w:rsid w:val="2D7A6D9B"/>
    <w:rsid w:val="2DC07B4A"/>
    <w:rsid w:val="2E7B948F"/>
    <w:rsid w:val="2F427230"/>
    <w:rsid w:val="2FAAD057"/>
    <w:rsid w:val="300C469F"/>
    <w:rsid w:val="3195815C"/>
    <w:rsid w:val="32086AF8"/>
    <w:rsid w:val="32D4AABD"/>
    <w:rsid w:val="32D9BC41"/>
    <w:rsid w:val="335319F1"/>
    <w:rsid w:val="353C009D"/>
    <w:rsid w:val="36FAB7B5"/>
    <w:rsid w:val="3830F9A0"/>
    <w:rsid w:val="38A6E58E"/>
    <w:rsid w:val="3B8CC232"/>
    <w:rsid w:val="3C3CB0EE"/>
    <w:rsid w:val="3CBC4F45"/>
    <w:rsid w:val="3D03DD58"/>
    <w:rsid w:val="3EAA009A"/>
    <w:rsid w:val="3EF54CAA"/>
    <w:rsid w:val="3F0D6187"/>
    <w:rsid w:val="3F1D5C96"/>
    <w:rsid w:val="3F905D2F"/>
    <w:rsid w:val="41C5A1E6"/>
    <w:rsid w:val="4407C06F"/>
    <w:rsid w:val="4573F7EB"/>
    <w:rsid w:val="4601855E"/>
    <w:rsid w:val="477B7913"/>
    <w:rsid w:val="47EE0E05"/>
    <w:rsid w:val="4817452C"/>
    <w:rsid w:val="482C384A"/>
    <w:rsid w:val="4895BDCC"/>
    <w:rsid w:val="4A1865D0"/>
    <w:rsid w:val="4B51A0C0"/>
    <w:rsid w:val="4C25DE2B"/>
    <w:rsid w:val="4C875347"/>
    <w:rsid w:val="4D3D1D83"/>
    <w:rsid w:val="50F94F4E"/>
    <w:rsid w:val="523D4ABC"/>
    <w:rsid w:val="5260C869"/>
    <w:rsid w:val="5277F0A3"/>
    <w:rsid w:val="52C4DFB8"/>
    <w:rsid w:val="56A7A09A"/>
    <w:rsid w:val="572DBCCC"/>
    <w:rsid w:val="57DD5321"/>
    <w:rsid w:val="59B50D45"/>
    <w:rsid w:val="59CBEFF2"/>
    <w:rsid w:val="5D83C5D7"/>
    <w:rsid w:val="5D873056"/>
    <w:rsid w:val="5E121A33"/>
    <w:rsid w:val="5FBAEEEE"/>
    <w:rsid w:val="5FF30E8B"/>
    <w:rsid w:val="60449651"/>
    <w:rsid w:val="6168E7CC"/>
    <w:rsid w:val="6283BCA6"/>
    <w:rsid w:val="62E9E079"/>
    <w:rsid w:val="6388E312"/>
    <w:rsid w:val="65EB82DF"/>
    <w:rsid w:val="66BD7ED1"/>
    <w:rsid w:val="67B88C3F"/>
    <w:rsid w:val="689B9B6C"/>
    <w:rsid w:val="68B7A65C"/>
    <w:rsid w:val="68C4C668"/>
    <w:rsid w:val="68DA2195"/>
    <w:rsid w:val="691CAD5A"/>
    <w:rsid w:val="695DF7D3"/>
    <w:rsid w:val="69D75487"/>
    <w:rsid w:val="6A60B4AB"/>
    <w:rsid w:val="6DAB5C16"/>
    <w:rsid w:val="6E56E8BC"/>
    <w:rsid w:val="7096897A"/>
    <w:rsid w:val="719AF2F4"/>
    <w:rsid w:val="71B61085"/>
    <w:rsid w:val="7288BD95"/>
    <w:rsid w:val="72905A63"/>
    <w:rsid w:val="74248DF6"/>
    <w:rsid w:val="76133719"/>
    <w:rsid w:val="76CAFD48"/>
    <w:rsid w:val="76D5DED1"/>
    <w:rsid w:val="76FA4FB9"/>
    <w:rsid w:val="77AF077A"/>
    <w:rsid w:val="77DC34C8"/>
    <w:rsid w:val="7867E3C2"/>
    <w:rsid w:val="788DC67B"/>
    <w:rsid w:val="788F8662"/>
    <w:rsid w:val="7907E24C"/>
    <w:rsid w:val="796335EF"/>
    <w:rsid w:val="7A020D76"/>
    <w:rsid w:val="7AD95C78"/>
    <w:rsid w:val="7B3AB9E4"/>
    <w:rsid w:val="7B5CAE51"/>
    <w:rsid w:val="7E2AA648"/>
    <w:rsid w:val="7F0A64DF"/>
    <w:rsid w:val="7FCD4C7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4A99282"/>
  <w15:chartTrackingRefBased/>
  <w15:docId w15:val="{EF8FD72B-0C16-4952-8239-F6F883EE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5793"/>
    <w:pPr>
      <w:widowControl w:val="0"/>
    </w:pPr>
    <w:rPr>
      <w:snapToGrid w:val="0"/>
      <w:kern w:val="28"/>
      <w:sz w:val="22"/>
    </w:rPr>
  </w:style>
  <w:style w:type="paragraph" w:styleId="Heading1">
    <w:name w:val="heading 1"/>
    <w:basedOn w:val="Normal"/>
    <w:next w:val="ParaNum"/>
    <w:qFormat/>
    <w:rsid w:val="00AC579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C5793"/>
    <w:pPr>
      <w:keepNext/>
      <w:numPr>
        <w:ilvl w:val="1"/>
        <w:numId w:val="3"/>
      </w:numPr>
      <w:spacing w:after="120"/>
      <w:outlineLvl w:val="1"/>
    </w:pPr>
    <w:rPr>
      <w:b/>
    </w:rPr>
  </w:style>
  <w:style w:type="paragraph" w:styleId="Heading3">
    <w:name w:val="heading 3"/>
    <w:basedOn w:val="Normal"/>
    <w:next w:val="ParaNum"/>
    <w:qFormat/>
    <w:rsid w:val="00AC5793"/>
    <w:pPr>
      <w:keepNext/>
      <w:numPr>
        <w:ilvl w:val="2"/>
        <w:numId w:val="3"/>
      </w:numPr>
      <w:tabs>
        <w:tab w:val="left" w:pos="2160"/>
      </w:tabs>
      <w:spacing w:after="120"/>
      <w:outlineLvl w:val="2"/>
    </w:pPr>
    <w:rPr>
      <w:b/>
    </w:rPr>
  </w:style>
  <w:style w:type="paragraph" w:styleId="Heading4">
    <w:name w:val="heading 4"/>
    <w:basedOn w:val="Normal"/>
    <w:next w:val="ParaNum"/>
    <w:qFormat/>
    <w:rsid w:val="00AC5793"/>
    <w:pPr>
      <w:keepNext/>
      <w:numPr>
        <w:ilvl w:val="3"/>
        <w:numId w:val="3"/>
      </w:numPr>
      <w:tabs>
        <w:tab w:val="left" w:pos="2880"/>
      </w:tabs>
      <w:spacing w:after="120"/>
      <w:outlineLvl w:val="3"/>
    </w:pPr>
    <w:rPr>
      <w:b/>
    </w:rPr>
  </w:style>
  <w:style w:type="paragraph" w:styleId="Heading5">
    <w:name w:val="heading 5"/>
    <w:basedOn w:val="Normal"/>
    <w:next w:val="ParaNum"/>
    <w:qFormat/>
    <w:rsid w:val="00AC579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C5793"/>
    <w:pPr>
      <w:numPr>
        <w:ilvl w:val="5"/>
        <w:numId w:val="3"/>
      </w:numPr>
      <w:tabs>
        <w:tab w:val="left" w:pos="4320"/>
      </w:tabs>
      <w:spacing w:after="120"/>
      <w:outlineLvl w:val="5"/>
    </w:pPr>
    <w:rPr>
      <w:b/>
    </w:rPr>
  </w:style>
  <w:style w:type="paragraph" w:styleId="Heading7">
    <w:name w:val="heading 7"/>
    <w:basedOn w:val="Normal"/>
    <w:next w:val="ParaNum"/>
    <w:qFormat/>
    <w:rsid w:val="00AC579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C579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C579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57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5793"/>
  </w:style>
  <w:style w:type="paragraph" w:customStyle="1" w:styleId="ParaNum">
    <w:name w:val="ParaNum"/>
    <w:basedOn w:val="Normal"/>
    <w:rsid w:val="00AC5793"/>
    <w:pPr>
      <w:numPr>
        <w:numId w:val="2"/>
      </w:numPr>
      <w:tabs>
        <w:tab w:val="clear" w:pos="1080"/>
        <w:tab w:val="num" w:pos="1440"/>
      </w:tabs>
      <w:spacing w:after="120"/>
    </w:pPr>
  </w:style>
  <w:style w:type="paragraph" w:styleId="EndnoteText">
    <w:name w:val="endnote text"/>
    <w:basedOn w:val="Normal"/>
    <w:semiHidden/>
    <w:rsid w:val="00AC5793"/>
    <w:rPr>
      <w:sz w:val="20"/>
    </w:rPr>
  </w:style>
  <w:style w:type="character" w:styleId="EndnoteReference">
    <w:name w:val="endnote reference"/>
    <w:semiHidden/>
    <w:rsid w:val="00AC5793"/>
    <w:rPr>
      <w:vertAlign w:val="superscript"/>
    </w:rPr>
  </w:style>
  <w:style w:type="paragraph" w:styleId="FootnoteText">
    <w:name w:val="footnote text"/>
    <w:link w:val="FootnoteTextChar"/>
    <w:rsid w:val="00AC5793"/>
    <w:pPr>
      <w:spacing w:after="120"/>
    </w:pPr>
  </w:style>
  <w:style w:type="character" w:styleId="FootnoteReference">
    <w:name w:val="footnote reference"/>
    <w:rsid w:val="00AC5793"/>
    <w:rPr>
      <w:rFonts w:ascii="Times New Roman" w:hAnsi="Times New Roman"/>
      <w:dstrike w:val="0"/>
      <w:color w:val="auto"/>
      <w:sz w:val="20"/>
      <w:vertAlign w:val="superscript"/>
    </w:rPr>
  </w:style>
  <w:style w:type="paragraph" w:styleId="TOC1">
    <w:name w:val="toc 1"/>
    <w:basedOn w:val="Normal"/>
    <w:next w:val="Normal"/>
    <w:semiHidden/>
    <w:rsid w:val="00AC579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5793"/>
    <w:pPr>
      <w:tabs>
        <w:tab w:val="left" w:pos="720"/>
        <w:tab w:val="right" w:leader="dot" w:pos="9360"/>
      </w:tabs>
      <w:suppressAutoHyphens/>
      <w:ind w:left="720" w:right="720" w:hanging="360"/>
    </w:pPr>
    <w:rPr>
      <w:noProof/>
    </w:rPr>
  </w:style>
  <w:style w:type="paragraph" w:styleId="TOC3">
    <w:name w:val="toc 3"/>
    <w:basedOn w:val="Normal"/>
    <w:next w:val="Normal"/>
    <w:semiHidden/>
    <w:rsid w:val="00AC579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579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579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579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579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579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579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5793"/>
    <w:pPr>
      <w:tabs>
        <w:tab w:val="right" w:pos="9360"/>
      </w:tabs>
      <w:suppressAutoHyphens/>
    </w:pPr>
  </w:style>
  <w:style w:type="character" w:customStyle="1" w:styleId="EquationCaption">
    <w:name w:val="_Equation Caption"/>
    <w:rsid w:val="00AC5793"/>
  </w:style>
  <w:style w:type="paragraph" w:styleId="Header">
    <w:name w:val="header"/>
    <w:basedOn w:val="Normal"/>
    <w:autoRedefine/>
    <w:rsid w:val="00AC5793"/>
    <w:pPr>
      <w:tabs>
        <w:tab w:val="center" w:pos="4680"/>
        <w:tab w:val="right" w:pos="9360"/>
      </w:tabs>
    </w:pPr>
    <w:rPr>
      <w:b/>
    </w:rPr>
  </w:style>
  <w:style w:type="paragraph" w:styleId="Footer">
    <w:name w:val="footer"/>
    <w:basedOn w:val="Normal"/>
    <w:link w:val="FooterChar"/>
    <w:uiPriority w:val="99"/>
    <w:rsid w:val="00AC5793"/>
    <w:pPr>
      <w:tabs>
        <w:tab w:val="center" w:pos="4320"/>
        <w:tab w:val="right" w:pos="8640"/>
      </w:tabs>
    </w:pPr>
  </w:style>
  <w:style w:type="character" w:styleId="PageNumber">
    <w:name w:val="page number"/>
    <w:basedOn w:val="DefaultParagraphFont"/>
    <w:rsid w:val="00AC5793"/>
  </w:style>
  <w:style w:type="paragraph" w:styleId="BlockText">
    <w:name w:val="Block Text"/>
    <w:basedOn w:val="Normal"/>
    <w:rsid w:val="00AC5793"/>
    <w:pPr>
      <w:spacing w:after="240"/>
      <w:ind w:left="1440" w:right="1440"/>
    </w:pPr>
  </w:style>
  <w:style w:type="paragraph" w:customStyle="1" w:styleId="Paratitle">
    <w:name w:val="Para title"/>
    <w:basedOn w:val="Normal"/>
    <w:rsid w:val="00AC5793"/>
    <w:pPr>
      <w:tabs>
        <w:tab w:val="center" w:pos="9270"/>
      </w:tabs>
      <w:spacing w:after="240"/>
    </w:pPr>
    <w:rPr>
      <w:spacing w:val="-2"/>
    </w:rPr>
  </w:style>
  <w:style w:type="paragraph" w:customStyle="1" w:styleId="Bullet">
    <w:name w:val="Bullet"/>
    <w:basedOn w:val="Normal"/>
    <w:rsid w:val="00AC5793"/>
    <w:pPr>
      <w:tabs>
        <w:tab w:val="left" w:pos="2160"/>
      </w:tabs>
      <w:spacing w:after="220"/>
      <w:ind w:left="2160" w:hanging="720"/>
    </w:pPr>
  </w:style>
  <w:style w:type="paragraph" w:customStyle="1" w:styleId="TableFormat">
    <w:name w:val="TableFormat"/>
    <w:basedOn w:val="Bullet"/>
    <w:rsid w:val="00AC5793"/>
    <w:pPr>
      <w:tabs>
        <w:tab w:val="clear" w:pos="2160"/>
        <w:tab w:val="left" w:pos="5040"/>
      </w:tabs>
      <w:ind w:left="5040" w:hanging="3600"/>
    </w:pPr>
  </w:style>
  <w:style w:type="paragraph" w:customStyle="1" w:styleId="TOCTitle">
    <w:name w:val="TOC Title"/>
    <w:basedOn w:val="Normal"/>
    <w:rsid w:val="00AC579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5793"/>
    <w:pPr>
      <w:jc w:val="center"/>
    </w:pPr>
    <w:rPr>
      <w:rFonts w:ascii="Times New Roman Bold" w:hAnsi="Times New Roman Bold"/>
      <w:b/>
      <w:bCs/>
      <w:caps/>
      <w:szCs w:val="22"/>
    </w:rPr>
  </w:style>
  <w:style w:type="character" w:styleId="Hyperlink">
    <w:name w:val="Hyperlink"/>
    <w:rsid w:val="00AC5793"/>
    <w:rPr>
      <w:color w:val="0000FF"/>
      <w:u w:val="single"/>
    </w:rPr>
  </w:style>
  <w:style w:type="character" w:customStyle="1" w:styleId="FooterChar">
    <w:name w:val="Footer Char"/>
    <w:link w:val="Footer"/>
    <w:uiPriority w:val="99"/>
    <w:rsid w:val="00AC5793"/>
    <w:rPr>
      <w:snapToGrid w:val="0"/>
      <w:kern w:val="28"/>
      <w:sz w:val="22"/>
    </w:rPr>
  </w:style>
  <w:style w:type="character" w:customStyle="1" w:styleId="FootnoteTextChar">
    <w:name w:val="Footnote Text Char"/>
    <w:link w:val="FootnoteText"/>
    <w:rsid w:val="00F82699"/>
  </w:style>
  <w:style w:type="character" w:styleId="FollowedHyperlink">
    <w:name w:val="FollowedHyperlink"/>
    <w:rsid w:val="00A92EBB"/>
    <w:rPr>
      <w:color w:val="954F72"/>
      <w:u w:val="single"/>
    </w:rPr>
  </w:style>
  <w:style w:type="paragraph" w:styleId="BalloonText">
    <w:name w:val="Balloon Text"/>
    <w:basedOn w:val="Normal"/>
    <w:link w:val="BalloonTextChar"/>
    <w:rsid w:val="00A3772E"/>
    <w:rPr>
      <w:rFonts w:ascii="Segoe UI" w:hAnsi="Segoe UI" w:cs="Segoe UI"/>
      <w:sz w:val="18"/>
      <w:szCs w:val="18"/>
    </w:rPr>
  </w:style>
  <w:style w:type="character" w:customStyle="1" w:styleId="BalloonTextChar">
    <w:name w:val="Balloon Text Char"/>
    <w:link w:val="BalloonText"/>
    <w:rsid w:val="00A3772E"/>
    <w:rPr>
      <w:rFonts w:ascii="Segoe UI" w:hAnsi="Segoe UI" w:cs="Segoe UI"/>
      <w:snapToGrid w:val="0"/>
      <w:kern w:val="28"/>
      <w:sz w:val="18"/>
      <w:szCs w:val="18"/>
    </w:rPr>
  </w:style>
  <w:style w:type="character" w:styleId="CommentReference">
    <w:name w:val="annotation reference"/>
    <w:rsid w:val="00313360"/>
    <w:rPr>
      <w:sz w:val="16"/>
      <w:szCs w:val="16"/>
    </w:rPr>
  </w:style>
  <w:style w:type="paragraph" w:styleId="CommentText">
    <w:name w:val="annotation text"/>
    <w:basedOn w:val="Normal"/>
    <w:link w:val="CommentTextChar"/>
    <w:rsid w:val="00313360"/>
    <w:rPr>
      <w:sz w:val="20"/>
    </w:rPr>
  </w:style>
  <w:style w:type="character" w:customStyle="1" w:styleId="CommentTextChar">
    <w:name w:val="Comment Text Char"/>
    <w:link w:val="CommentText"/>
    <w:rsid w:val="00313360"/>
    <w:rPr>
      <w:snapToGrid w:val="0"/>
      <w:kern w:val="28"/>
    </w:rPr>
  </w:style>
  <w:style w:type="paragraph" w:styleId="CommentSubject">
    <w:name w:val="annotation subject"/>
    <w:basedOn w:val="CommentText"/>
    <w:next w:val="CommentText"/>
    <w:link w:val="CommentSubjectChar"/>
    <w:rsid w:val="00313360"/>
    <w:rPr>
      <w:b/>
      <w:bCs/>
    </w:rPr>
  </w:style>
  <w:style w:type="character" w:customStyle="1" w:styleId="CommentSubjectChar">
    <w:name w:val="Comment Subject Char"/>
    <w:link w:val="CommentSubject"/>
    <w:rsid w:val="00313360"/>
    <w:rPr>
      <w:b/>
      <w:bCs/>
      <w:snapToGrid w:val="0"/>
      <w:kern w:val="28"/>
    </w:rPr>
  </w:style>
  <w:style w:type="paragraph" w:styleId="Revision">
    <w:name w:val="Revision"/>
    <w:hidden/>
    <w:uiPriority w:val="99"/>
    <w:semiHidden/>
    <w:rsid w:val="002211DF"/>
    <w:rPr>
      <w:snapToGrid w:val="0"/>
      <w:kern w:val="28"/>
      <w:sz w:val="22"/>
    </w:rPr>
  </w:style>
  <w:style w:type="character" w:styleId="UnresolvedMention">
    <w:name w:val="Unresolved Mention"/>
    <w:uiPriority w:val="99"/>
    <w:unhideWhenUsed/>
    <w:rsid w:val="006A75D9"/>
    <w:rPr>
      <w:color w:val="605E5C"/>
      <w:shd w:val="clear" w:color="auto" w:fill="E1DFDD"/>
    </w:rPr>
  </w:style>
  <w:style w:type="character" w:styleId="Mention">
    <w:name w:val="Mention"/>
    <w:uiPriority w:val="99"/>
    <w:unhideWhenUsed/>
    <w:rsid w:val="006A75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wp-content/uploads/high-cost/documents/training/2019-Filing-with-the-HUBB-Portal-Webinar.pdf" TargetMode="External" /><Relationship Id="rId2" Type="http://schemas.openxmlformats.org/officeDocument/2006/relationships/hyperlink" Target="https://www.fcc.gov/ecfs/document/1042129184437/1" TargetMode="External" /><Relationship Id="rId3" Type="http://schemas.openxmlformats.org/officeDocument/2006/relationships/hyperlink" Target="https://www.fcc.gov/ecfs/document/1228028267428/1" TargetMode="External" /><Relationship Id="rId4" Type="http://schemas.openxmlformats.org/officeDocument/2006/relationships/hyperlink" Target="https://www.fcc.gov/ecfs/document/10612087429875/1" TargetMode="External" /><Relationship Id="rId5" Type="http://schemas.openxmlformats.org/officeDocument/2006/relationships/hyperlink" Target="https://www.fcc.gov/ecfs/document/10903270410510/1"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