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17C4D4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8AC66DE" w14:textId="77777777">
      <w:pPr>
        <w:pStyle w:val="StyleBoldCentered"/>
      </w:pPr>
      <w:r>
        <w:t>F</w:t>
      </w:r>
      <w:r>
        <w:rPr>
          <w:caps w:val="0"/>
        </w:rPr>
        <w:t>ederal Communications Commission</w:t>
      </w:r>
    </w:p>
    <w:p w:rsidR="004C2EE3" w:rsidP="00096D8C" w14:paraId="48F32B97" w14:textId="77777777">
      <w:pPr>
        <w:pStyle w:val="StyleBoldCentered"/>
      </w:pPr>
      <w:r>
        <w:rPr>
          <w:caps w:val="0"/>
        </w:rPr>
        <w:t>Washington, D.C. 20554</w:t>
      </w:r>
    </w:p>
    <w:p w:rsidR="004C2EE3" w:rsidP="0070224F" w14:paraId="33DC0AA3" w14:textId="77777777"/>
    <w:p w:rsidR="004C2EE3" w:rsidP="0070224F" w14:paraId="1B90CD55" w14:textId="77777777"/>
    <w:tbl>
      <w:tblPr>
        <w:tblW w:w="0" w:type="auto"/>
        <w:tblLayout w:type="fixed"/>
        <w:tblLook w:val="0000"/>
      </w:tblPr>
      <w:tblGrid>
        <w:gridCol w:w="4698"/>
        <w:gridCol w:w="630"/>
        <w:gridCol w:w="4248"/>
      </w:tblGrid>
      <w:tr w14:paraId="1C404565" w14:textId="77777777">
        <w:tblPrEx>
          <w:tblW w:w="0" w:type="auto"/>
          <w:tblLayout w:type="fixed"/>
          <w:tblLook w:val="0000"/>
        </w:tblPrEx>
        <w:tc>
          <w:tcPr>
            <w:tcW w:w="4698" w:type="dxa"/>
          </w:tcPr>
          <w:p w:rsidR="004C2EE3" w14:paraId="1D21FF9C" w14:textId="77777777">
            <w:pPr>
              <w:tabs>
                <w:tab w:val="center" w:pos="4680"/>
              </w:tabs>
              <w:suppressAutoHyphens/>
              <w:rPr>
                <w:spacing w:val="-2"/>
              </w:rPr>
            </w:pPr>
            <w:r>
              <w:rPr>
                <w:spacing w:val="-2"/>
              </w:rPr>
              <w:t>In the Matter of</w:t>
            </w:r>
          </w:p>
          <w:p w:rsidR="004C2EE3" w14:paraId="3C57D352" w14:textId="77777777">
            <w:pPr>
              <w:tabs>
                <w:tab w:val="center" w:pos="4680"/>
              </w:tabs>
              <w:suppressAutoHyphens/>
              <w:rPr>
                <w:spacing w:val="-2"/>
              </w:rPr>
            </w:pPr>
          </w:p>
          <w:p w:rsidR="004C2EE3" w:rsidRPr="007115F7" w:rsidP="007115F7" w14:paraId="1052CDDA" w14:textId="77777777">
            <w:pPr>
              <w:tabs>
                <w:tab w:val="center" w:pos="4680"/>
              </w:tabs>
              <w:suppressAutoHyphens/>
              <w:rPr>
                <w:spacing w:val="-2"/>
              </w:rPr>
            </w:pPr>
            <w:bookmarkStart w:id="0" w:name="_Hlk45795835"/>
            <w:r>
              <w:rPr>
                <w:spacing w:val="-2"/>
              </w:rPr>
              <w:t>Connect America Fund</w:t>
            </w:r>
            <w:bookmarkEnd w:id="0"/>
          </w:p>
        </w:tc>
        <w:tc>
          <w:tcPr>
            <w:tcW w:w="630" w:type="dxa"/>
          </w:tcPr>
          <w:p w:rsidR="004C2EE3" w14:paraId="53AFEE99" w14:textId="77777777">
            <w:pPr>
              <w:tabs>
                <w:tab w:val="center" w:pos="4680"/>
              </w:tabs>
              <w:suppressAutoHyphens/>
              <w:rPr>
                <w:b/>
                <w:spacing w:val="-2"/>
              </w:rPr>
            </w:pPr>
            <w:r>
              <w:rPr>
                <w:b/>
                <w:spacing w:val="-2"/>
              </w:rPr>
              <w:t>)</w:t>
            </w:r>
          </w:p>
          <w:p w:rsidR="004C2EE3" w14:paraId="1F614B96" w14:textId="77777777">
            <w:pPr>
              <w:tabs>
                <w:tab w:val="center" w:pos="4680"/>
              </w:tabs>
              <w:suppressAutoHyphens/>
              <w:rPr>
                <w:b/>
                <w:spacing w:val="-2"/>
              </w:rPr>
            </w:pPr>
            <w:r>
              <w:rPr>
                <w:b/>
                <w:spacing w:val="-2"/>
              </w:rPr>
              <w:t>)</w:t>
            </w:r>
          </w:p>
          <w:p w:rsidR="004C2EE3" w14:paraId="729D7176" w14:textId="77777777">
            <w:pPr>
              <w:tabs>
                <w:tab w:val="center" w:pos="4680"/>
              </w:tabs>
              <w:suppressAutoHyphens/>
              <w:rPr>
                <w:b/>
                <w:spacing w:val="-2"/>
              </w:rPr>
            </w:pPr>
            <w:r>
              <w:rPr>
                <w:b/>
                <w:spacing w:val="-2"/>
              </w:rPr>
              <w:t>)</w:t>
            </w:r>
          </w:p>
          <w:p w:rsidR="004C2EE3" w14:paraId="1D16B002" w14:textId="77777777">
            <w:pPr>
              <w:tabs>
                <w:tab w:val="center" w:pos="4680"/>
              </w:tabs>
              <w:suppressAutoHyphens/>
              <w:rPr>
                <w:spacing w:val="-2"/>
              </w:rPr>
            </w:pPr>
          </w:p>
        </w:tc>
        <w:tc>
          <w:tcPr>
            <w:tcW w:w="4248" w:type="dxa"/>
          </w:tcPr>
          <w:p w:rsidR="004C2EE3" w14:paraId="0A6B0530" w14:textId="77777777">
            <w:pPr>
              <w:tabs>
                <w:tab w:val="center" w:pos="4680"/>
              </w:tabs>
              <w:suppressAutoHyphens/>
              <w:rPr>
                <w:spacing w:val="-2"/>
              </w:rPr>
            </w:pPr>
          </w:p>
          <w:p w:rsidR="004C2EE3" w14:paraId="46B2A85A" w14:textId="77777777">
            <w:pPr>
              <w:pStyle w:val="TOAHeading"/>
              <w:tabs>
                <w:tab w:val="center" w:pos="4680"/>
                <w:tab w:val="clear" w:pos="9360"/>
              </w:tabs>
              <w:rPr>
                <w:spacing w:val="-2"/>
              </w:rPr>
            </w:pPr>
          </w:p>
          <w:p w:rsidR="004C2EE3" w14:paraId="4EF15B16" w14:textId="77777777">
            <w:pPr>
              <w:tabs>
                <w:tab w:val="center" w:pos="4680"/>
              </w:tabs>
              <w:suppressAutoHyphens/>
              <w:rPr>
                <w:spacing w:val="-2"/>
              </w:rPr>
            </w:pPr>
            <w:r>
              <w:rPr>
                <w:spacing w:val="-2"/>
              </w:rPr>
              <w:t>WC Docket No. 10-90</w:t>
            </w:r>
          </w:p>
        </w:tc>
      </w:tr>
    </w:tbl>
    <w:p w:rsidR="004C2EE3" w:rsidP="0070224F" w14:paraId="68B2E478" w14:textId="77777777"/>
    <w:p w:rsidR="00841AB1" w:rsidP="00F021FA" w14:paraId="31F3B2F3" w14:textId="77777777">
      <w:pPr>
        <w:pStyle w:val="StyleBoldCentered"/>
      </w:pPr>
      <w:r>
        <w:t>Order</w:t>
      </w:r>
    </w:p>
    <w:p w:rsidR="004C2EE3" w14:paraId="6D24E892" w14:textId="77777777">
      <w:pPr>
        <w:tabs>
          <w:tab w:val="left" w:pos="-720"/>
        </w:tabs>
        <w:suppressAutoHyphens/>
        <w:spacing w:line="227" w:lineRule="auto"/>
        <w:rPr>
          <w:spacing w:val="-2"/>
        </w:rPr>
      </w:pPr>
    </w:p>
    <w:p w:rsidR="004C2EE3" w:rsidP="00133F79" w14:paraId="3BFB1024" w14:textId="455FB797">
      <w:pPr>
        <w:tabs>
          <w:tab w:val="left" w:pos="720"/>
          <w:tab w:val="right" w:pos="9360"/>
        </w:tabs>
        <w:suppressAutoHyphens/>
        <w:spacing w:line="227" w:lineRule="auto"/>
        <w:rPr>
          <w:spacing w:val="-2"/>
        </w:rPr>
      </w:pPr>
      <w:r>
        <w:rPr>
          <w:b/>
          <w:spacing w:val="-2"/>
        </w:rPr>
        <w:t xml:space="preserve">Adopted:  </w:t>
      </w:r>
      <w:r w:rsidR="00ED7C19">
        <w:rPr>
          <w:b/>
          <w:spacing w:val="-2"/>
        </w:rPr>
        <w:t>June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7C19">
        <w:rPr>
          <w:b/>
          <w:spacing w:val="-2"/>
        </w:rPr>
        <w:t>June 3, 2021</w:t>
      </w:r>
    </w:p>
    <w:p w:rsidR="00822CE0" w14:paraId="29A70C85" w14:textId="77777777"/>
    <w:p w:rsidR="004C2EE3" w:rsidRPr="0019171E" w14:paraId="0898232F" w14:textId="77777777">
      <w:pPr>
        <w:rPr>
          <w:spacing w:val="-2"/>
          <w:szCs w:val="22"/>
        </w:rPr>
      </w:pPr>
      <w:r w:rsidRPr="0019171E">
        <w:rPr>
          <w:szCs w:val="22"/>
        </w:rPr>
        <w:t xml:space="preserve">By </w:t>
      </w:r>
      <w:r w:rsidRPr="0019171E" w:rsidR="004E4A22">
        <w:rPr>
          <w:szCs w:val="22"/>
        </w:rPr>
        <w:t>the</w:t>
      </w:r>
      <w:r w:rsidRPr="0019171E" w:rsidR="002A2D2E">
        <w:rPr>
          <w:szCs w:val="22"/>
        </w:rPr>
        <w:t xml:space="preserve"> </w:t>
      </w:r>
      <w:r w:rsidR="0009358F">
        <w:rPr>
          <w:szCs w:val="22"/>
        </w:rPr>
        <w:t>Commission</w:t>
      </w:r>
      <w:r w:rsidRPr="0019171E">
        <w:rPr>
          <w:spacing w:val="-2"/>
          <w:szCs w:val="22"/>
        </w:rPr>
        <w:t>:</w:t>
      </w:r>
    </w:p>
    <w:p w:rsidR="00822CE0" w:rsidRPr="0019171E" w14:paraId="4F8A85E2" w14:textId="77777777">
      <w:pPr>
        <w:rPr>
          <w:spacing w:val="-2"/>
          <w:szCs w:val="22"/>
        </w:rPr>
      </w:pPr>
    </w:p>
    <w:p w:rsidR="0009358F" w:rsidRPr="00FA2EE8" w:rsidP="0009358F" w14:paraId="103F17B4" w14:textId="0477CC1F">
      <w:pPr>
        <w:pStyle w:val="ParaNum"/>
        <w:rPr>
          <w:szCs w:val="22"/>
        </w:rPr>
      </w:pPr>
      <w:r w:rsidRPr="00FA2EE8">
        <w:rPr>
          <w:szCs w:val="22"/>
        </w:rPr>
        <w:t>In this Order, the Commission waives, on its own motion, the application of the current budget control mechanism for rate-of-return carriers that receive high-cost universal service support from legacy mechanisms.</w:t>
      </w:r>
      <w:r>
        <w:rPr>
          <w:rStyle w:val="FootnoteReference"/>
          <w:sz w:val="22"/>
          <w:szCs w:val="22"/>
        </w:rPr>
        <w:footnoteReference w:id="3"/>
      </w:r>
      <w:r w:rsidRPr="00FA2EE8">
        <w:rPr>
          <w:szCs w:val="22"/>
        </w:rPr>
        <w:t xml:space="preserve">  We adopt instead a budget constraint of </w:t>
      </w:r>
      <w:r w:rsidR="00C462F2">
        <w:rPr>
          <w:szCs w:val="22"/>
        </w:rPr>
        <w:t xml:space="preserve">0%, i.e. a </w:t>
      </w:r>
      <w:r w:rsidR="00207B62">
        <w:rPr>
          <w:szCs w:val="22"/>
        </w:rPr>
        <w:t>full</w:t>
      </w:r>
      <w:r w:rsidR="00C462F2">
        <w:rPr>
          <w:szCs w:val="22"/>
        </w:rPr>
        <w:t xml:space="preserve"> waiver of the </w:t>
      </w:r>
      <w:r w:rsidR="00A66942">
        <w:rPr>
          <w:szCs w:val="22"/>
        </w:rPr>
        <w:t>budget constraint,</w:t>
      </w:r>
      <w:r w:rsidRPr="00FA2EE8">
        <w:rPr>
          <w:szCs w:val="22"/>
        </w:rPr>
        <w:t xml:space="preserve"> for the July 2021 to June 2022 tariff year, and direct the Wireline Competition Bureau </w:t>
      </w:r>
      <w:r w:rsidR="00871E45">
        <w:rPr>
          <w:szCs w:val="22"/>
        </w:rPr>
        <w:t xml:space="preserve">(Bureau) </w:t>
      </w:r>
      <w:r w:rsidRPr="00FA2EE8">
        <w:rPr>
          <w:szCs w:val="22"/>
        </w:rPr>
        <w:t xml:space="preserve">to work with the Universal Service Administrative Company (USAC), the administrator of the federal Universal Service Fund (Fund), to </w:t>
      </w:r>
      <w:r w:rsidR="008D5AF6">
        <w:rPr>
          <w:szCs w:val="22"/>
        </w:rPr>
        <w:t xml:space="preserve">recalculate the budget control mechanism using </w:t>
      </w:r>
      <w:r w:rsidR="00A66942">
        <w:rPr>
          <w:szCs w:val="22"/>
        </w:rPr>
        <w:t>0%</w:t>
      </w:r>
      <w:r w:rsidR="00D2647C">
        <w:rPr>
          <w:szCs w:val="22"/>
        </w:rPr>
        <w:t xml:space="preserve"> </w:t>
      </w:r>
      <w:r w:rsidR="008D5AF6">
        <w:rPr>
          <w:szCs w:val="22"/>
        </w:rPr>
        <w:t xml:space="preserve">and </w:t>
      </w:r>
      <w:r w:rsidRPr="00FA2EE8">
        <w:rPr>
          <w:szCs w:val="22"/>
        </w:rPr>
        <w:t>make the revised information publicly available.</w:t>
      </w:r>
    </w:p>
    <w:p w:rsidR="00D815A9" w:rsidRPr="0009358F" w:rsidP="00D815A9" w14:paraId="7B6A43D4" w14:textId="58F67A99">
      <w:pPr>
        <w:pStyle w:val="ParaNum"/>
      </w:pPr>
      <w:r w:rsidRPr="19BF5F2E">
        <w:rPr>
          <w:i/>
        </w:rPr>
        <w:t xml:space="preserve">Background.  </w:t>
      </w:r>
      <w:r w:rsidR="00FF236E">
        <w:t xml:space="preserve">Rate-of-return carriers that rely on traditional legacy support mechanisms are eligible </w:t>
      </w:r>
      <w:r w:rsidRPr="00373E8E" w:rsidR="00FF236E">
        <w:t xml:space="preserve">for High Cost Loop Support (HCLS) and Connect America Fund Broadband Loop Support (CAF BLS).  </w:t>
      </w:r>
      <w:r w:rsidRPr="0046567F" w:rsidR="00FF236E">
        <w:t xml:space="preserve">HCLS provides support </w:t>
      </w:r>
      <w:r w:rsidRPr="00373E8E" w:rsidR="00FF236E">
        <w:t>to carriers with high loop costs based on the extent that an individual company’s cost per loop exceeds the national average cost per loop</w:t>
      </w:r>
      <w:r w:rsidRPr="0046567F" w:rsidR="00FF236E">
        <w:t>.</w:t>
      </w:r>
      <w:r>
        <w:rPr>
          <w:rStyle w:val="FootnoteReference"/>
          <w:sz w:val="22"/>
          <w:szCs w:val="22"/>
          <w:shd w:val="clear" w:color="auto" w:fill="FFFFFF"/>
        </w:rPr>
        <w:footnoteReference w:id="4"/>
      </w:r>
      <w:r w:rsidRPr="0046567F" w:rsidR="00FF236E">
        <w:t xml:space="preserve">  CAF BLS </w:t>
      </w:r>
      <w:r w:rsidRPr="00373E8E" w:rsidR="00FF236E">
        <w:t xml:space="preserve">supports voice and </w:t>
      </w:r>
      <w:r w:rsidRPr="00FD7F3F" w:rsidR="00FF236E">
        <w:t>broadband-only lines to the extent that the carrier’s costs (</w:t>
      </w:r>
      <w:r w:rsidRPr="00A004CF" w:rsidR="00FF236E">
        <w:rPr>
          <w:iCs/>
        </w:rPr>
        <w:t>i.e.</w:t>
      </w:r>
      <w:r w:rsidRPr="00FD7F3F" w:rsidR="00FF236E">
        <w:t>, revenue requirements) exceed its revenues</w:t>
      </w:r>
      <w:r w:rsidRPr="19BF5F2E" w:rsidR="00FF236E">
        <w:rPr>
          <w:color w:val="404040" w:themeColor="text1" w:themeTint="BF"/>
        </w:rPr>
        <w:t>.</w:t>
      </w:r>
      <w:r>
        <w:rPr>
          <w:rStyle w:val="FootnoteReference"/>
          <w:sz w:val="22"/>
          <w:szCs w:val="22"/>
          <w:shd w:val="clear" w:color="auto" w:fill="FFFFFF"/>
        </w:rPr>
        <w:footnoteReference w:id="5"/>
      </w:r>
      <w:r w:rsidRPr="19BF5F2E" w:rsidR="00FF236E">
        <w:rPr>
          <w:rFonts w:ascii="Source Sans Pro" w:hAnsi="Source Sans Pro"/>
          <w:color w:val="404040" w:themeColor="text1" w:themeTint="BF"/>
          <w:sz w:val="27"/>
          <w:szCs w:val="27"/>
        </w:rPr>
        <w:t xml:space="preserve">  </w:t>
      </w:r>
      <w:r w:rsidR="00F02DB8">
        <w:rPr>
          <w:rFonts w:ascii="Source Sans Pro" w:hAnsi="Source Sans Pro"/>
          <w:color w:val="404040" w:themeColor="text1" w:themeTint="BF"/>
          <w:sz w:val="27"/>
          <w:szCs w:val="27"/>
        </w:rPr>
        <w:t xml:space="preserve"> </w:t>
      </w:r>
      <w:r w:rsidRPr="19BF5F2E" w:rsidR="0009358F">
        <w:t xml:space="preserve">In the </w:t>
      </w:r>
      <w:r w:rsidRPr="19BF5F2E" w:rsidR="0009358F">
        <w:rPr>
          <w:i/>
        </w:rPr>
        <w:t>USF/ICC Transformation Order</w:t>
      </w:r>
      <w:r w:rsidRPr="19BF5F2E" w:rsidR="0009358F">
        <w:t xml:space="preserve">, the Commission adopted an overall budget for the high-cost universal service program, including a $2 billion </w:t>
      </w:r>
      <w:r w:rsidRPr="19BF5F2E" w:rsidR="000F4D0C">
        <w:t>annual</w:t>
      </w:r>
      <w:r w:rsidR="000F4D0C">
        <w:rPr>
          <w:szCs w:val="22"/>
        </w:rPr>
        <w:t xml:space="preserve"> </w:t>
      </w:r>
      <w:r w:rsidRPr="19BF5F2E" w:rsidR="0009358F">
        <w:t>budget for rate-of-return carriers</w:t>
      </w:r>
      <w:r w:rsidRPr="0009358F" w:rsidR="0009358F">
        <w:rPr>
          <w:szCs w:val="22"/>
        </w:rPr>
        <w:t>.</w:t>
      </w:r>
      <w:r>
        <w:rPr>
          <w:rStyle w:val="FootnoteReference"/>
          <w:sz w:val="22"/>
          <w:szCs w:val="22"/>
        </w:rPr>
        <w:footnoteReference w:id="6"/>
      </w:r>
      <w:r w:rsidRPr="19BF5F2E" w:rsidR="0009358F">
        <w:t xml:space="preserve">  To ensure that the support distributed to rate-of-return carriers did not exceed $2 billion annually, the Commission subsequently adopted a “self-effectuating mechanism”—known as the budget control mechanism—to enforce the rate-of-return budget</w:t>
      </w:r>
      <w:r w:rsidR="00F03847">
        <w:t xml:space="preserve"> by reducing HCLS and CAF BLS claims</w:t>
      </w:r>
      <w:r w:rsidR="00940B70">
        <w:t xml:space="preserve"> as necessary</w:t>
      </w:r>
      <w:r w:rsidR="007221CE">
        <w:t xml:space="preserve"> to</w:t>
      </w:r>
      <w:r w:rsidR="009326ED">
        <w:t xml:space="preserve"> meet the budget constraint</w:t>
      </w:r>
      <w:r w:rsidRPr="19BF5F2E" w:rsidR="0009358F">
        <w:t>.</w:t>
      </w:r>
      <w:r>
        <w:rPr>
          <w:rStyle w:val="FootnoteReference"/>
          <w:sz w:val="22"/>
          <w:szCs w:val="22"/>
        </w:rPr>
        <w:footnoteReference w:id="7"/>
      </w:r>
      <w:r w:rsidRPr="19BF5F2E" w:rsidR="0009358F">
        <w:t xml:space="preserve">  </w:t>
      </w:r>
      <w:r>
        <w:t xml:space="preserve">The Commission </w:t>
      </w:r>
      <w:r w:rsidR="00D46AB6">
        <w:t>subsequently</w:t>
      </w:r>
      <w:r>
        <w:t xml:space="preserve"> adopted a guaranteed minimum so that no carrier’s total legacy support in any year would fall below its CAF BLS forecast for that year.</w:t>
      </w:r>
      <w:r>
        <w:rPr>
          <w:rStyle w:val="FootnoteReference"/>
        </w:rPr>
        <w:footnoteReference w:id="8"/>
      </w:r>
    </w:p>
    <w:p w:rsidR="009C295F" w:rsidRPr="00EA2398" w:rsidP="00D46AB6" w14:paraId="79A5531E" w14:textId="4F5ECF3A">
      <w:pPr>
        <w:pStyle w:val="ParaNum"/>
      </w:pPr>
      <w:r w:rsidRPr="00D46AB6">
        <w:rPr>
          <w:szCs w:val="22"/>
        </w:rPr>
        <w:t xml:space="preserve">The budget control mechanism </w:t>
      </w:r>
      <w:r w:rsidRPr="00D46AB6" w:rsidR="00967EED">
        <w:rPr>
          <w:szCs w:val="22"/>
        </w:rPr>
        <w:t xml:space="preserve">is </w:t>
      </w:r>
      <w:r w:rsidRPr="00D46AB6" w:rsidR="00F83705">
        <w:rPr>
          <w:szCs w:val="22"/>
        </w:rPr>
        <w:t>designed</w:t>
      </w:r>
      <w:r w:rsidRPr="00D46AB6" w:rsidR="00967EED">
        <w:rPr>
          <w:szCs w:val="22"/>
        </w:rPr>
        <w:t xml:space="preserve"> </w:t>
      </w:r>
      <w:r w:rsidRPr="00D46AB6">
        <w:rPr>
          <w:szCs w:val="22"/>
        </w:rPr>
        <w:t xml:space="preserve">to impose financial discipline on carriers </w:t>
      </w:r>
      <w:r w:rsidR="00FA1900">
        <w:rPr>
          <w:szCs w:val="22"/>
        </w:rPr>
        <w:t>receiving</w:t>
      </w:r>
      <w:r w:rsidRPr="00D46AB6">
        <w:rPr>
          <w:szCs w:val="22"/>
        </w:rPr>
        <w:t xml:space="preserve"> legacy </w:t>
      </w:r>
      <w:r w:rsidR="00751018">
        <w:rPr>
          <w:szCs w:val="22"/>
        </w:rPr>
        <w:t xml:space="preserve">rate-of-return </w:t>
      </w:r>
      <w:r w:rsidRPr="00D46AB6">
        <w:rPr>
          <w:szCs w:val="22"/>
        </w:rPr>
        <w:t>support and to provide stability to the Fund.</w:t>
      </w:r>
      <w:r>
        <w:rPr>
          <w:rStyle w:val="FootnoteReference"/>
          <w:szCs w:val="22"/>
        </w:rPr>
        <w:footnoteReference w:id="9"/>
      </w:r>
      <w:r w:rsidRPr="00D46AB6">
        <w:rPr>
          <w:szCs w:val="22"/>
        </w:rPr>
        <w:t xml:space="preserve">  </w:t>
      </w:r>
      <w:r w:rsidRPr="00D46AB6" w:rsidR="00DC7CFC">
        <w:rPr>
          <w:szCs w:val="22"/>
        </w:rPr>
        <w:t>In operation,</w:t>
      </w:r>
      <w:r w:rsidRPr="00D46AB6" w:rsidR="00BD15E4">
        <w:rPr>
          <w:szCs w:val="22"/>
        </w:rPr>
        <w:t xml:space="preserve"> t</w:t>
      </w:r>
      <w:r w:rsidRPr="00D46AB6">
        <w:rPr>
          <w:szCs w:val="22"/>
        </w:rPr>
        <w:t xml:space="preserve">he budget control mechanism ensures that overall rate-of-return carrier support increases each year by no more than the rate of inflation.  Therefore, while some carriers’ support will increase and others </w:t>
      </w:r>
      <w:r w:rsidRPr="00D46AB6" w:rsidR="008A1D5B">
        <w:rPr>
          <w:szCs w:val="22"/>
        </w:rPr>
        <w:t>may</w:t>
      </w:r>
      <w:r w:rsidRPr="00D46AB6">
        <w:rPr>
          <w:szCs w:val="22"/>
        </w:rPr>
        <w:t xml:space="preserve"> decrease, depending on a carrier’s revenue requirement, the total amount of support for legacy rate-of-return carriers increases annually based on inflation.</w:t>
      </w:r>
      <w:r>
        <w:rPr>
          <w:rStyle w:val="FootnoteReference"/>
          <w:szCs w:val="22"/>
        </w:rPr>
        <w:footnoteReference w:id="10"/>
      </w:r>
      <w:r w:rsidRPr="00D46AB6">
        <w:rPr>
          <w:szCs w:val="22"/>
        </w:rPr>
        <w:t xml:space="preserve"> </w:t>
      </w:r>
      <w:r w:rsidR="00082F36">
        <w:rPr>
          <w:szCs w:val="22"/>
        </w:rPr>
        <w:t xml:space="preserve">   </w:t>
      </w:r>
    </w:p>
    <w:p w:rsidR="00707B11" w:rsidP="008D3AFB" w14:paraId="5CC5A6B5" w14:textId="542046CF">
      <w:pPr>
        <w:pStyle w:val="ParaNum"/>
        <w:rPr>
          <w:szCs w:val="22"/>
        </w:rPr>
      </w:pPr>
      <w:r>
        <w:t xml:space="preserve">Since its adoption, </w:t>
      </w:r>
      <w:r w:rsidR="00571E5B">
        <w:t xml:space="preserve">the Commission has periodically </w:t>
      </w:r>
      <w:r w:rsidR="00812472">
        <w:t xml:space="preserve">acted to </w:t>
      </w:r>
      <w:r w:rsidR="004F14E9">
        <w:t>mitigate the impact</w:t>
      </w:r>
      <w:r w:rsidR="00845ACE">
        <w:t xml:space="preserve"> of the budget control mechanism where warranted.  </w:t>
      </w:r>
      <w:r w:rsidRPr="19BF5F2E" w:rsidR="0009358F">
        <w:t xml:space="preserve">In March 2018, </w:t>
      </w:r>
      <w:r w:rsidR="00FF398B">
        <w:t>for example</w:t>
      </w:r>
      <w:r w:rsidRPr="19BF5F2E" w:rsidR="0009358F">
        <w:t>, the Commission eliminated the budget constraint for the July 2017 to June 2018 budget year</w:t>
      </w:r>
      <w:r w:rsidR="00B9307D">
        <w:t xml:space="preserve">, </w:t>
      </w:r>
      <w:r w:rsidR="00D34B64">
        <w:t>based part</w:t>
      </w:r>
      <w:r w:rsidR="001B4C62">
        <w:t>ly</w:t>
      </w:r>
      <w:r w:rsidR="00D34B64">
        <w:t xml:space="preserve"> </w:t>
      </w:r>
      <w:r w:rsidR="001B4C62">
        <w:t>on grounds that</w:t>
      </w:r>
      <w:r w:rsidR="00527216">
        <w:t xml:space="preserve"> </w:t>
      </w:r>
      <w:r w:rsidR="002A12CB">
        <w:t xml:space="preserve">the </w:t>
      </w:r>
      <w:r w:rsidR="00042E1C">
        <w:t xml:space="preserve">approximately 12% </w:t>
      </w:r>
      <w:r w:rsidR="00F43C28">
        <w:t>constraint</w:t>
      </w:r>
      <w:r w:rsidR="00384E7B">
        <w:t xml:space="preserve"> resulted in a</w:t>
      </w:r>
      <w:r w:rsidR="00D34B64">
        <w:t xml:space="preserve"> large reduction in support </w:t>
      </w:r>
      <w:r w:rsidR="00AE1549">
        <w:t>for some carriers</w:t>
      </w:r>
      <w:r w:rsidR="00062070">
        <w:t xml:space="preserve"> that was </w:t>
      </w:r>
      <w:r w:rsidR="00DB412B">
        <w:t>“</w:t>
      </w:r>
      <w:r w:rsidR="00062070">
        <w:t>not sufficiently</w:t>
      </w:r>
      <w:r w:rsidR="00D34B64">
        <w:t xml:space="preserve"> </w:t>
      </w:r>
      <w:r w:rsidR="00DB412B">
        <w:t>‘</w:t>
      </w:r>
      <w:r w:rsidR="00D34B64">
        <w:t>predictable</w:t>
      </w:r>
      <w:r w:rsidR="00DB412B">
        <w:t>’</w:t>
      </w:r>
      <w:r w:rsidR="00D34B64">
        <w:t xml:space="preserve"> for affected rate-of-return carriers to engage in the long-term planning for the high-speed broadband deployment needed in rural America</w:t>
      </w:r>
      <w:r w:rsidRPr="19BF5F2E" w:rsidR="0009358F">
        <w:t>.</w:t>
      </w:r>
      <w:r w:rsidR="004A660F">
        <w:t>”</w:t>
      </w:r>
      <w:r>
        <w:rPr>
          <w:rStyle w:val="FootnoteReference"/>
          <w:sz w:val="22"/>
          <w:szCs w:val="22"/>
        </w:rPr>
        <w:footnoteReference w:id="11"/>
      </w:r>
      <w:r w:rsidRPr="19BF5F2E" w:rsidR="0009358F">
        <w:t xml:space="preserve">  In </w:t>
      </w:r>
      <w:r w:rsidRPr="19BF5F2E" w:rsidR="00871E45">
        <w:t>December 2018</w:t>
      </w:r>
      <w:r w:rsidRPr="19BF5F2E" w:rsidR="0009358F">
        <w:t>, the Commission</w:t>
      </w:r>
      <w:r w:rsidRPr="19BF5F2E" w:rsidR="00FE6228">
        <w:t xml:space="preserve"> </w:t>
      </w:r>
      <w:r w:rsidRPr="19BF5F2E" w:rsidR="0009358F">
        <w:t>ordered the reimbursement of reductions due to the budget constraint from July 1, 2018 through December 31, 2018, eliminated the budget constraint for January 1, 2019 through June 30, 2019</w:t>
      </w:r>
      <w:r w:rsidR="00287ECC">
        <w:t xml:space="preserve">, and </w:t>
      </w:r>
      <w:r w:rsidR="003A62A2">
        <w:t>revised the budget control mechanism so that it would be more predictable</w:t>
      </w:r>
      <w:r w:rsidRPr="19BF5F2E" w:rsidR="0009358F">
        <w:t>.</w:t>
      </w:r>
      <w:r>
        <w:rPr>
          <w:rStyle w:val="FootnoteReference"/>
          <w:sz w:val="22"/>
          <w:szCs w:val="22"/>
        </w:rPr>
        <w:footnoteReference w:id="12"/>
      </w:r>
      <w:r w:rsidR="008C6C27">
        <w:t xml:space="preserve">  </w:t>
      </w:r>
      <w:r w:rsidR="003A62A2">
        <w:rPr>
          <w:szCs w:val="22"/>
        </w:rPr>
        <w:t>As</w:t>
      </w:r>
      <w:r w:rsidRPr="00BC5C6C" w:rsidR="00BC5C6C">
        <w:rPr>
          <w:szCs w:val="22"/>
        </w:rPr>
        <w:t xml:space="preserve"> </w:t>
      </w:r>
      <w:r w:rsidRPr="00FA2EE8" w:rsidR="00BC5C6C">
        <w:rPr>
          <w:szCs w:val="22"/>
        </w:rPr>
        <w:t xml:space="preserve">a result of the Commission’s two 2018 orders, there were </w:t>
      </w:r>
      <w:r w:rsidR="00BC5C6C">
        <w:rPr>
          <w:szCs w:val="22"/>
        </w:rPr>
        <w:t>effectivel</w:t>
      </w:r>
      <w:r w:rsidRPr="00FA2EE8" w:rsidR="00BC5C6C">
        <w:rPr>
          <w:szCs w:val="22"/>
        </w:rPr>
        <w:t xml:space="preserve">y no budget constraints between June 2017 and June 2019.  </w:t>
      </w:r>
      <w:r w:rsidRPr="008D3AFB" w:rsidR="00BC5C6C">
        <w:rPr>
          <w:szCs w:val="22"/>
        </w:rPr>
        <w:t xml:space="preserve">In the last two years, the budget constraint has ranged from less than </w:t>
      </w:r>
      <w:r w:rsidR="00373E8E">
        <w:rPr>
          <w:szCs w:val="22"/>
        </w:rPr>
        <w:t>0</w:t>
      </w:r>
      <w:r w:rsidRPr="008D3AFB" w:rsidR="00BC5C6C">
        <w:rPr>
          <w:szCs w:val="22"/>
        </w:rPr>
        <w:t>.5% (from July 2019 to December 2019) to 3.03% (from July 2019 to December 2019).</w:t>
      </w:r>
      <w:r>
        <w:rPr>
          <w:rStyle w:val="FootnoteReference"/>
          <w:szCs w:val="22"/>
        </w:rPr>
        <w:footnoteReference w:id="13"/>
      </w:r>
      <w:r w:rsidRPr="008D3AFB" w:rsidR="002E2D68">
        <w:rPr>
          <w:szCs w:val="22"/>
        </w:rPr>
        <w:t xml:space="preserve"> </w:t>
      </w:r>
      <w:r w:rsidRPr="00FA2EE8" w:rsidR="0009358F">
        <w:rPr>
          <w:szCs w:val="22"/>
        </w:rPr>
        <w:t xml:space="preserve"> </w:t>
      </w:r>
    </w:p>
    <w:p w:rsidR="000C6674" w:rsidRPr="00237770" w:rsidP="00620B9A" w14:paraId="5DEAFB8E" w14:textId="7B7937AB">
      <w:pPr>
        <w:pStyle w:val="ParaNum"/>
        <w:widowControl/>
        <w:rPr>
          <w:szCs w:val="22"/>
        </w:rPr>
      </w:pPr>
      <w:r w:rsidRPr="002F5DEF">
        <w:rPr>
          <w:szCs w:val="22"/>
        </w:rPr>
        <w:t xml:space="preserve">On May 3, 2021, </w:t>
      </w:r>
      <w:r w:rsidR="002F5DEF">
        <w:rPr>
          <w:szCs w:val="22"/>
        </w:rPr>
        <w:t xml:space="preserve">USAC </w:t>
      </w:r>
      <w:r w:rsidRPr="002F5DEF">
        <w:rPr>
          <w:szCs w:val="22"/>
        </w:rPr>
        <w:t xml:space="preserve">announced </w:t>
      </w:r>
      <w:r w:rsidR="00860546">
        <w:rPr>
          <w:szCs w:val="22"/>
        </w:rPr>
        <w:t xml:space="preserve">that </w:t>
      </w:r>
      <w:r w:rsidRPr="002F5DEF">
        <w:rPr>
          <w:szCs w:val="22"/>
        </w:rPr>
        <w:t>the new budget co</w:t>
      </w:r>
      <w:r w:rsidR="008A0FF1">
        <w:rPr>
          <w:szCs w:val="22"/>
        </w:rPr>
        <w:t>ntrol adjustment factor f</w:t>
      </w:r>
      <w:r w:rsidRPr="002F5DEF">
        <w:rPr>
          <w:szCs w:val="22"/>
        </w:rPr>
        <w:t>or July 2021 to June 2022 would be 8.58146%.</w:t>
      </w:r>
      <w:r>
        <w:rPr>
          <w:rStyle w:val="FootnoteReference"/>
          <w:szCs w:val="22"/>
        </w:rPr>
        <w:footnoteReference w:id="14"/>
      </w:r>
      <w:r w:rsidR="00F70990">
        <w:rPr>
          <w:szCs w:val="22"/>
        </w:rPr>
        <w:t xml:space="preserve">  </w:t>
      </w:r>
      <w:r w:rsidR="000A7EE7">
        <w:rPr>
          <w:szCs w:val="22"/>
        </w:rPr>
        <w:t xml:space="preserve">This means that </w:t>
      </w:r>
      <w:r w:rsidR="00F64EEF">
        <w:rPr>
          <w:szCs w:val="22"/>
        </w:rPr>
        <w:t xml:space="preserve">the </w:t>
      </w:r>
      <w:r w:rsidR="008C1957">
        <w:rPr>
          <w:szCs w:val="22"/>
        </w:rPr>
        <w:t>projected total support (including true-ups)</w:t>
      </w:r>
      <w:r w:rsidR="00AE0A8A">
        <w:rPr>
          <w:szCs w:val="22"/>
        </w:rPr>
        <w:t xml:space="preserve"> </w:t>
      </w:r>
      <w:r w:rsidR="00EF7B45">
        <w:rPr>
          <w:szCs w:val="22"/>
        </w:rPr>
        <w:t>for</w:t>
      </w:r>
      <w:r w:rsidR="009950C4">
        <w:rPr>
          <w:szCs w:val="22"/>
        </w:rPr>
        <w:t xml:space="preserve"> </w:t>
      </w:r>
      <w:r w:rsidR="000A7EE7">
        <w:rPr>
          <w:szCs w:val="22"/>
        </w:rPr>
        <w:t>rate-of-return carriers projected</w:t>
      </w:r>
      <w:r w:rsidR="00745327">
        <w:rPr>
          <w:szCs w:val="22"/>
        </w:rPr>
        <w:t xml:space="preserve"> </w:t>
      </w:r>
      <w:r w:rsidR="000A7EE7">
        <w:rPr>
          <w:szCs w:val="22"/>
        </w:rPr>
        <w:t>for July 1, 2021 to June 30, 2022 will exceed the budget by approximately</w:t>
      </w:r>
      <w:r w:rsidR="00745327">
        <w:rPr>
          <w:szCs w:val="22"/>
        </w:rPr>
        <w:t xml:space="preserve"> 8.6%.  </w:t>
      </w:r>
      <w:r w:rsidR="000A7EE7">
        <w:rPr>
          <w:szCs w:val="22"/>
        </w:rPr>
        <w:t xml:space="preserve">USAC calculates a pro rata reduction for carrier support projections to ensure that total support remains within the budget constraint but then ensures that no carrier’s support goes below the minimum </w:t>
      </w:r>
      <w:r w:rsidR="008C1957">
        <w:rPr>
          <w:szCs w:val="22"/>
        </w:rPr>
        <w:t xml:space="preserve">threshold </w:t>
      </w:r>
      <w:r w:rsidR="000A7EE7">
        <w:rPr>
          <w:szCs w:val="22"/>
        </w:rPr>
        <w:t>for that carrier.</w:t>
      </w:r>
      <w:r>
        <w:rPr>
          <w:rStyle w:val="FootnoteReference"/>
          <w:szCs w:val="22"/>
        </w:rPr>
        <w:footnoteReference w:id="15"/>
      </w:r>
      <w:r w:rsidR="004366CF">
        <w:rPr>
          <w:szCs w:val="22"/>
        </w:rPr>
        <w:t xml:space="preserve">  </w:t>
      </w:r>
    </w:p>
    <w:p w:rsidR="002E0DA2" w:rsidRPr="002E0DA2" w:rsidP="002E0DA2" w14:paraId="1AC16841" w14:textId="617628BB">
      <w:pPr>
        <w:pStyle w:val="ParaNum"/>
        <w:rPr>
          <w:szCs w:val="22"/>
        </w:rPr>
      </w:pPr>
      <w:r w:rsidRPr="0019171E">
        <w:rPr>
          <w:i/>
          <w:iCs/>
          <w:szCs w:val="22"/>
        </w:rPr>
        <w:t xml:space="preserve">Discussion.  </w:t>
      </w:r>
      <w:r w:rsidRPr="002E0DA2">
        <w:rPr>
          <w:szCs w:val="22"/>
        </w:rPr>
        <w:t xml:space="preserve">On our own motion, </w:t>
      </w:r>
      <w:r w:rsidR="00D93F6E">
        <w:rPr>
          <w:szCs w:val="22"/>
        </w:rPr>
        <w:t>we waive</w:t>
      </w:r>
      <w:r w:rsidRPr="002E0DA2">
        <w:rPr>
          <w:szCs w:val="22"/>
        </w:rPr>
        <w:t xml:space="preserve"> the announced budget constraint and reduce the budget constraint to </w:t>
      </w:r>
      <w:r w:rsidR="005829BC">
        <w:rPr>
          <w:szCs w:val="22"/>
        </w:rPr>
        <w:t>0%</w:t>
      </w:r>
      <w:r w:rsidR="00907269">
        <w:rPr>
          <w:szCs w:val="22"/>
        </w:rPr>
        <w:t xml:space="preserve"> </w:t>
      </w:r>
      <w:r w:rsidR="00F70BEB">
        <w:rPr>
          <w:szCs w:val="22"/>
        </w:rPr>
        <w:t xml:space="preserve">only </w:t>
      </w:r>
      <w:r w:rsidRPr="002E0DA2">
        <w:rPr>
          <w:szCs w:val="22"/>
        </w:rPr>
        <w:t>for the 2021-2022 tariff year</w:t>
      </w:r>
      <w:r w:rsidR="00F70BEB">
        <w:rPr>
          <w:szCs w:val="22"/>
        </w:rPr>
        <w:t xml:space="preserve"> </w:t>
      </w:r>
      <w:r w:rsidR="00F15C40">
        <w:rPr>
          <w:szCs w:val="22"/>
        </w:rPr>
        <w:t>given unique</w:t>
      </w:r>
      <w:r w:rsidR="006E4BE8">
        <w:rPr>
          <w:szCs w:val="22"/>
        </w:rPr>
        <w:t xml:space="preserve"> cash flow </w:t>
      </w:r>
      <w:r w:rsidR="001B2590">
        <w:rPr>
          <w:szCs w:val="22"/>
        </w:rPr>
        <w:t>challenges</w:t>
      </w:r>
      <w:r w:rsidR="00AD0454">
        <w:rPr>
          <w:szCs w:val="22"/>
        </w:rPr>
        <w:t xml:space="preserve"> related to the pandemic</w:t>
      </w:r>
      <w:r w:rsidRPr="002E0DA2">
        <w:rPr>
          <w:szCs w:val="22"/>
        </w:rPr>
        <w:t>.  Generally, the Commission’s rules may be waived for good cause shown.</w:t>
      </w:r>
      <w:r>
        <w:rPr>
          <w:rStyle w:val="FootnoteReference"/>
          <w:sz w:val="22"/>
          <w:szCs w:val="22"/>
        </w:rPr>
        <w:footnoteReference w:id="16"/>
      </w:r>
      <w:r w:rsidRPr="002E0DA2">
        <w:rPr>
          <w:szCs w:val="22"/>
        </w:rPr>
        <w:t xml:space="preserve">  The </w:t>
      </w:r>
      <w:r w:rsidR="002F5DEF">
        <w:rPr>
          <w:szCs w:val="22"/>
        </w:rPr>
        <w:t>Commission</w:t>
      </w:r>
      <w:r w:rsidRPr="002E0DA2">
        <w:rPr>
          <w:szCs w:val="22"/>
        </w:rPr>
        <w:t xml:space="preserve"> may exercise its discretion to waive a rule where the particular facts make strict compliance inconsistent with the public interest.</w:t>
      </w:r>
      <w:r>
        <w:rPr>
          <w:rStyle w:val="FootnoteReference"/>
          <w:sz w:val="22"/>
          <w:szCs w:val="22"/>
        </w:rPr>
        <w:footnoteReference w:id="17"/>
      </w:r>
      <w:r w:rsidRPr="002E0DA2">
        <w:rPr>
          <w:szCs w:val="22"/>
        </w:rPr>
        <w:t xml:space="preserve">  In addition, the </w:t>
      </w:r>
      <w:r w:rsidR="00D93F6E">
        <w:rPr>
          <w:szCs w:val="22"/>
        </w:rPr>
        <w:t>Commission</w:t>
      </w:r>
      <w:r w:rsidRPr="002E0DA2" w:rsidR="00D93F6E">
        <w:rPr>
          <w:szCs w:val="22"/>
        </w:rPr>
        <w:t xml:space="preserve"> </w:t>
      </w:r>
      <w:r w:rsidRPr="002E0DA2">
        <w:rPr>
          <w:szCs w:val="22"/>
        </w:rPr>
        <w:t>may take into account considerations of hardship, equity, or more effective implementation of overall policy on an individual basis.</w:t>
      </w:r>
      <w:r>
        <w:rPr>
          <w:rStyle w:val="FootnoteReference"/>
          <w:sz w:val="22"/>
          <w:szCs w:val="22"/>
        </w:rPr>
        <w:footnoteReference w:id="18"/>
      </w:r>
      <w:r w:rsidRPr="002E0DA2">
        <w:rPr>
          <w:szCs w:val="22"/>
        </w:rPr>
        <w:t xml:space="preserve">  Waiver of the Commission’s rules is appropriate when (i) special circumstances warrant a deviation from the general rule, and (ii) such deviation will serve the public interest.</w:t>
      </w:r>
      <w:r>
        <w:rPr>
          <w:rStyle w:val="FootnoteReference"/>
          <w:sz w:val="22"/>
          <w:szCs w:val="22"/>
        </w:rPr>
        <w:footnoteReference w:id="19"/>
      </w:r>
    </w:p>
    <w:p w:rsidR="002E0DA2" w:rsidP="00D51626" w14:paraId="08C94E26" w14:textId="5C09CC04">
      <w:pPr>
        <w:pStyle w:val="ParaNum"/>
        <w:rPr>
          <w:szCs w:val="22"/>
        </w:rPr>
      </w:pPr>
      <w:r w:rsidRPr="00FA2EE8">
        <w:rPr>
          <w:szCs w:val="22"/>
        </w:rPr>
        <w:t xml:space="preserve">The announced new budget </w:t>
      </w:r>
      <w:r w:rsidR="00260E6D">
        <w:rPr>
          <w:szCs w:val="22"/>
        </w:rPr>
        <w:t>control reduction factor</w:t>
      </w:r>
      <w:r w:rsidRPr="00FA2EE8" w:rsidR="00260E6D">
        <w:rPr>
          <w:szCs w:val="22"/>
        </w:rPr>
        <w:t xml:space="preserve"> </w:t>
      </w:r>
      <w:r w:rsidRPr="00FA2EE8">
        <w:rPr>
          <w:szCs w:val="22"/>
        </w:rPr>
        <w:t xml:space="preserve">of </w:t>
      </w:r>
      <w:r w:rsidR="00373E8E">
        <w:rPr>
          <w:szCs w:val="22"/>
        </w:rPr>
        <w:t>nearly</w:t>
      </w:r>
      <w:r w:rsidRPr="00FA2EE8" w:rsidR="00373E8E">
        <w:rPr>
          <w:szCs w:val="22"/>
        </w:rPr>
        <w:t xml:space="preserve"> </w:t>
      </w:r>
      <w:r w:rsidRPr="00FA2EE8">
        <w:rPr>
          <w:szCs w:val="22"/>
        </w:rPr>
        <w:t>8.</w:t>
      </w:r>
      <w:r w:rsidR="00F96CC3">
        <w:rPr>
          <w:szCs w:val="22"/>
        </w:rPr>
        <w:t>6</w:t>
      </w:r>
      <w:r w:rsidRPr="00FA2EE8">
        <w:rPr>
          <w:szCs w:val="22"/>
        </w:rPr>
        <w:t xml:space="preserve">% would be substantially higher than </w:t>
      </w:r>
      <w:r w:rsidR="00FE3AAF">
        <w:rPr>
          <w:szCs w:val="22"/>
        </w:rPr>
        <w:t>last year</w:t>
      </w:r>
      <w:r w:rsidRPr="00FA2EE8">
        <w:rPr>
          <w:szCs w:val="22"/>
        </w:rPr>
        <w:t xml:space="preserve">.  </w:t>
      </w:r>
      <w:r w:rsidR="008C2F8D">
        <w:rPr>
          <w:szCs w:val="22"/>
        </w:rPr>
        <w:t>NTCA– the Rural Broadband Association states that</w:t>
      </w:r>
      <w:r w:rsidRPr="008A3DEF" w:rsidR="008C2F8D">
        <w:rPr>
          <w:szCs w:val="22"/>
        </w:rPr>
        <w:t xml:space="preserve"> </w:t>
      </w:r>
      <w:r w:rsidR="008C2F8D">
        <w:rPr>
          <w:szCs w:val="22"/>
        </w:rPr>
        <w:t xml:space="preserve">limiting increases in carrier support could cause cash flow concerns for carriers, particularly given that carriers have strived to keep customers connected even </w:t>
      </w:r>
      <w:r w:rsidR="00E80C93">
        <w:rPr>
          <w:szCs w:val="22"/>
        </w:rPr>
        <w:t>when bills were unpaid.</w:t>
      </w:r>
      <w:r>
        <w:rPr>
          <w:rStyle w:val="FootnoteReference"/>
          <w:szCs w:val="22"/>
        </w:rPr>
        <w:footnoteReference w:id="20"/>
      </w:r>
      <w:r w:rsidR="0090679B">
        <w:rPr>
          <w:szCs w:val="22"/>
        </w:rPr>
        <w:t xml:space="preserve"> </w:t>
      </w:r>
      <w:r w:rsidR="00E80C93">
        <w:rPr>
          <w:szCs w:val="22"/>
        </w:rPr>
        <w:t xml:space="preserve"> </w:t>
      </w:r>
      <w:r w:rsidRPr="008A3DEF" w:rsidR="00263989">
        <w:rPr>
          <w:szCs w:val="22"/>
        </w:rPr>
        <w:t xml:space="preserve">These circumstances </w:t>
      </w:r>
      <w:r w:rsidR="00E80C93">
        <w:rPr>
          <w:szCs w:val="22"/>
        </w:rPr>
        <w:t>c</w:t>
      </w:r>
      <w:r w:rsidRPr="008A3DEF" w:rsidR="00595413">
        <w:rPr>
          <w:szCs w:val="22"/>
        </w:rPr>
        <w:t xml:space="preserve">ould pose significant burdens </w:t>
      </w:r>
      <w:r w:rsidR="00E80C93">
        <w:rPr>
          <w:szCs w:val="22"/>
        </w:rPr>
        <w:t>on</w:t>
      </w:r>
      <w:r w:rsidRPr="008A3DEF" w:rsidR="00595413">
        <w:rPr>
          <w:szCs w:val="22"/>
        </w:rPr>
        <w:t xml:space="preserve"> legacy carriers, by </w:t>
      </w:r>
      <w:r w:rsidR="00E80C93">
        <w:rPr>
          <w:szCs w:val="22"/>
        </w:rPr>
        <w:t>subjecting them to insufficient cash flow at a time when they are facing increased expenses.</w:t>
      </w:r>
      <w:r w:rsidR="00595413">
        <w:rPr>
          <w:szCs w:val="22"/>
        </w:rPr>
        <w:t xml:space="preserve">  </w:t>
      </w:r>
      <w:r w:rsidRPr="00FA2EE8">
        <w:rPr>
          <w:szCs w:val="22"/>
        </w:rPr>
        <w:t xml:space="preserve">To ensure that these small companies are not subject to financial strain, we find it is in the public interest to waive the application of our rules.  </w:t>
      </w:r>
      <w:r w:rsidRPr="00D51626">
        <w:rPr>
          <w:szCs w:val="22"/>
        </w:rPr>
        <w:t xml:space="preserve">The </w:t>
      </w:r>
      <w:r w:rsidR="00A64E49">
        <w:rPr>
          <w:szCs w:val="22"/>
        </w:rPr>
        <w:t xml:space="preserve">last year of the </w:t>
      </w:r>
      <w:r w:rsidRPr="00D51626">
        <w:rPr>
          <w:szCs w:val="22"/>
        </w:rPr>
        <w:t>COVID-19 pandemic has put all Americans under strain and demonstrated the importance of broadband.</w:t>
      </w:r>
      <w:r>
        <w:rPr>
          <w:rStyle w:val="FootnoteReference"/>
          <w:szCs w:val="22"/>
        </w:rPr>
        <w:footnoteReference w:id="21"/>
      </w:r>
      <w:r w:rsidRPr="00D51626">
        <w:rPr>
          <w:szCs w:val="22"/>
        </w:rPr>
        <w:t xml:space="preserve">  Telecommunications companies, including legacy companies serving some of the most rural areas of the country, </w:t>
      </w:r>
      <w:r w:rsidR="001C11FA">
        <w:rPr>
          <w:szCs w:val="22"/>
        </w:rPr>
        <w:t>may be</w:t>
      </w:r>
      <w:r w:rsidRPr="00D51626">
        <w:rPr>
          <w:szCs w:val="22"/>
        </w:rPr>
        <w:t xml:space="preserve"> subject to increased costs to provide safe working conditions, maintain existing services, and meet the demands of new customers.</w:t>
      </w:r>
      <w:r>
        <w:rPr>
          <w:rStyle w:val="FootnoteReference"/>
          <w:szCs w:val="22"/>
        </w:rPr>
        <w:footnoteReference w:id="22"/>
      </w:r>
      <w:r w:rsidRPr="00D51626">
        <w:rPr>
          <w:szCs w:val="22"/>
        </w:rPr>
        <w:t xml:space="preserve">  </w:t>
      </w:r>
      <w:r w:rsidR="00F02DB8">
        <w:rPr>
          <w:szCs w:val="22"/>
        </w:rPr>
        <w:t xml:space="preserve"> </w:t>
      </w:r>
      <w:r w:rsidR="009669BB">
        <w:rPr>
          <w:szCs w:val="22"/>
        </w:rPr>
        <w:t xml:space="preserve">Granting a waiver here is also </w:t>
      </w:r>
      <w:r w:rsidR="00DA3DF3">
        <w:rPr>
          <w:szCs w:val="22"/>
        </w:rPr>
        <w:t xml:space="preserve">consistent with </w:t>
      </w:r>
      <w:r w:rsidR="009669BB">
        <w:rPr>
          <w:szCs w:val="22"/>
        </w:rPr>
        <w:t xml:space="preserve">relief the Commission provided </w:t>
      </w:r>
      <w:r w:rsidR="00DA3DF3">
        <w:rPr>
          <w:szCs w:val="22"/>
        </w:rPr>
        <w:t>in other contexts in acknowledgment of</w:t>
      </w:r>
      <w:r w:rsidR="009669BB">
        <w:rPr>
          <w:szCs w:val="22"/>
        </w:rPr>
        <w:t xml:space="preserve"> the </w:t>
      </w:r>
      <w:r w:rsidR="006A6477">
        <w:rPr>
          <w:szCs w:val="22"/>
        </w:rPr>
        <w:t xml:space="preserve">unprecedented </w:t>
      </w:r>
      <w:r w:rsidR="009669BB">
        <w:rPr>
          <w:szCs w:val="22"/>
        </w:rPr>
        <w:t>challenges raised by the pandemic</w:t>
      </w:r>
      <w:r w:rsidR="00DA3DF3">
        <w:rPr>
          <w:szCs w:val="22"/>
        </w:rPr>
        <w:t xml:space="preserve"> to carriers and consumers.</w:t>
      </w:r>
      <w:r>
        <w:rPr>
          <w:rStyle w:val="FootnoteReference"/>
          <w:szCs w:val="22"/>
        </w:rPr>
        <w:footnoteReference w:id="23"/>
      </w:r>
    </w:p>
    <w:p w:rsidR="00E80C93" w:rsidRPr="00D51626" w:rsidP="00D51626" w14:paraId="58C287FC" w14:textId="55C780E5">
      <w:pPr>
        <w:pStyle w:val="ParaNum"/>
        <w:rPr>
          <w:szCs w:val="22"/>
        </w:rPr>
      </w:pPr>
      <w:r>
        <w:rPr>
          <w:szCs w:val="22"/>
        </w:rPr>
        <w:t xml:space="preserve">We recognize that lowering the budget control mechanism percentage will put increased pressure on the Fund.  </w:t>
      </w:r>
      <w:r w:rsidR="00A95BCA">
        <w:rPr>
          <w:szCs w:val="22"/>
        </w:rPr>
        <w:t xml:space="preserve">The Commission has long recognized the need to balance of principles of section 254(b) to ensure that support is sufficient with avoiding an excessive burden on all ratepayers that contribute to the Fund.  The Commission must take into account both the affordability of and support for services in high-cost areas and the demands on </w:t>
      </w:r>
      <w:r w:rsidR="00FA394C">
        <w:rPr>
          <w:szCs w:val="22"/>
        </w:rPr>
        <w:t>areas</w:t>
      </w:r>
      <w:r w:rsidR="00A95BCA">
        <w:rPr>
          <w:szCs w:val="22"/>
        </w:rPr>
        <w:t xml:space="preserve"> where customers are net</w:t>
      </w:r>
      <w:r w:rsidR="003013F6">
        <w:rPr>
          <w:szCs w:val="22"/>
        </w:rPr>
        <w:t xml:space="preserve"> F</w:t>
      </w:r>
      <w:r w:rsidR="00CC7315">
        <w:rPr>
          <w:szCs w:val="22"/>
        </w:rPr>
        <w:t>und</w:t>
      </w:r>
      <w:r w:rsidR="00A95BCA">
        <w:rPr>
          <w:szCs w:val="22"/>
        </w:rPr>
        <w:t xml:space="preserve"> contributors.</w:t>
      </w:r>
      <w:r>
        <w:rPr>
          <w:rStyle w:val="FootnoteReference"/>
          <w:szCs w:val="22"/>
        </w:rPr>
        <w:footnoteReference w:id="24"/>
      </w:r>
      <w:r w:rsidR="00A95BCA">
        <w:rPr>
          <w:szCs w:val="22"/>
        </w:rPr>
        <w:t xml:space="preserve">  </w:t>
      </w:r>
      <w:r w:rsidR="00373E8E">
        <w:rPr>
          <w:szCs w:val="22"/>
        </w:rPr>
        <w:t xml:space="preserve">In light of the special circumstances of the pandemic and </w:t>
      </w:r>
      <w:r w:rsidR="00C019A5">
        <w:rPr>
          <w:szCs w:val="22"/>
        </w:rPr>
        <w:t xml:space="preserve">the importance of providing broadband services </w:t>
      </w:r>
      <w:r w:rsidR="00C019A5">
        <w:rPr>
          <w:szCs w:val="22"/>
        </w:rPr>
        <w:t>during this unprecedented time</w:t>
      </w:r>
      <w:r w:rsidR="00373E8E">
        <w:rPr>
          <w:szCs w:val="22"/>
        </w:rPr>
        <w:t>, however, we find it in the public interest to waive the budget control mechanism.</w:t>
      </w:r>
    </w:p>
    <w:p w:rsidR="002E0DA2" w:rsidRPr="00FA2EE8" w:rsidP="002E0DA2" w14:paraId="2DC7B4B0" w14:textId="635729C4">
      <w:pPr>
        <w:pStyle w:val="ParaNum"/>
        <w:rPr>
          <w:szCs w:val="22"/>
        </w:rPr>
      </w:pPr>
      <w:r w:rsidRPr="00FA2EE8">
        <w:rPr>
          <w:szCs w:val="22"/>
        </w:rPr>
        <w:t>We direct the Bureau to work with USAC to recalculate the budget control mechanism at</w:t>
      </w:r>
      <w:r w:rsidR="00BB4FD5">
        <w:rPr>
          <w:szCs w:val="22"/>
        </w:rPr>
        <w:t xml:space="preserve"> 0%</w:t>
      </w:r>
      <w:r w:rsidRPr="00FA2EE8">
        <w:rPr>
          <w:szCs w:val="22"/>
        </w:rPr>
        <w:t xml:space="preserve"> and make the revised information publicly available.  Additionally, to simplify the budget control mechanism this funding year, we also waive, on our own motion, the requirement that the budget control mechanism be adjusted January 1 to take into account the rural growth factor for the HCLS cap.</w:t>
      </w:r>
      <w:r>
        <w:rPr>
          <w:rStyle w:val="FootnoteReference"/>
          <w:szCs w:val="22"/>
        </w:rPr>
        <w:footnoteReference w:id="25"/>
      </w:r>
      <w:r w:rsidRPr="00FA2EE8">
        <w:rPr>
          <w:szCs w:val="22"/>
        </w:rPr>
        <w:t xml:space="preserve">  </w:t>
      </w:r>
      <w:r w:rsidR="00F02DB8">
        <w:rPr>
          <w:szCs w:val="22"/>
        </w:rPr>
        <w:t xml:space="preserve"> </w:t>
      </w:r>
      <w:r>
        <w:rPr>
          <w:szCs w:val="22"/>
        </w:rPr>
        <w:t xml:space="preserve">Using data from FCC Form 507, staff estimates that applying the rural growth factor to HCLS for the first six months of 2022 in advance would result in a reduction in the budget control mechanism to approximately 7%.  Given that we are </w:t>
      </w:r>
      <w:r>
        <w:rPr>
          <w:szCs w:val="22"/>
        </w:rPr>
        <w:t>taking into account</w:t>
      </w:r>
      <w:r>
        <w:rPr>
          <w:szCs w:val="22"/>
        </w:rPr>
        <w:t xml:space="preserve"> the rural growth factor in advance, there is no need for recalculation in January</w:t>
      </w:r>
      <w:r w:rsidRPr="00FA2EE8">
        <w:rPr>
          <w:szCs w:val="22"/>
        </w:rPr>
        <w:t>.</w:t>
      </w:r>
      <w:r w:rsidRPr="00FA2EE8">
        <w:rPr>
          <w:szCs w:val="22"/>
        </w:rPr>
        <w:t xml:space="preserve"> </w:t>
      </w:r>
    </w:p>
    <w:p w:rsidR="006B4894" w:rsidP="006B4894" w14:paraId="3354546E" w14:textId="4C995869">
      <w:pPr>
        <w:pStyle w:val="ParaNum"/>
        <w:rPr>
          <w:szCs w:val="22"/>
        </w:rPr>
      </w:pPr>
      <w:r w:rsidRPr="00FA2EE8">
        <w:rPr>
          <w:szCs w:val="22"/>
        </w:rPr>
        <w:t>Based on staff analysis, it appears that the majority of the increase in support for legacy carriers is due to the conversion of existing voice-and-</w:t>
      </w:r>
      <w:r w:rsidR="00095BB3">
        <w:rPr>
          <w:szCs w:val="22"/>
        </w:rPr>
        <w:t>broadband</w:t>
      </w:r>
      <w:r w:rsidRPr="00FA2EE8" w:rsidR="00095BB3">
        <w:rPr>
          <w:szCs w:val="22"/>
        </w:rPr>
        <w:t xml:space="preserve"> </w:t>
      </w:r>
      <w:r w:rsidRPr="00FA2EE8">
        <w:rPr>
          <w:szCs w:val="22"/>
        </w:rPr>
        <w:t>lines to broadband-only lines</w:t>
      </w:r>
      <w:r w:rsidR="00A35768">
        <w:rPr>
          <w:szCs w:val="22"/>
        </w:rPr>
        <w:t xml:space="preserve"> and increases in </w:t>
      </w:r>
      <w:r w:rsidR="00A94ABD">
        <w:rPr>
          <w:szCs w:val="22"/>
        </w:rPr>
        <w:t>customers subscribing to broadband services</w:t>
      </w:r>
      <w:r w:rsidRPr="00FA2EE8" w:rsidR="00A94ABD">
        <w:rPr>
          <w:szCs w:val="22"/>
        </w:rPr>
        <w:t xml:space="preserve"> </w:t>
      </w:r>
      <w:r w:rsidRPr="00FA2EE8">
        <w:rPr>
          <w:szCs w:val="22"/>
        </w:rPr>
        <w:t xml:space="preserve">rather than increased investment in new broadband or increases in expenses.  </w:t>
      </w:r>
      <w:r w:rsidR="00F02DB8">
        <w:rPr>
          <w:szCs w:val="22"/>
        </w:rPr>
        <w:t xml:space="preserve"> </w:t>
      </w:r>
      <w:r w:rsidR="00E108D8">
        <w:rPr>
          <w:szCs w:val="22"/>
        </w:rPr>
        <w:t>We</w:t>
      </w:r>
      <w:r w:rsidR="00096B7D">
        <w:rPr>
          <w:szCs w:val="22"/>
        </w:rPr>
        <w:t xml:space="preserve"> note that $48 million of the roughly $111 million “overbudget” amount is because of true-ups for calendar year 2019, which is before the COVID</w:t>
      </w:r>
      <w:r w:rsidR="007116D9">
        <w:rPr>
          <w:szCs w:val="22"/>
        </w:rPr>
        <w:t>-19</w:t>
      </w:r>
      <w:r w:rsidR="00096B7D">
        <w:rPr>
          <w:szCs w:val="22"/>
        </w:rPr>
        <w:t xml:space="preserve"> pandemic affected the economy.</w:t>
      </w:r>
      <w:r>
        <w:rPr>
          <w:rStyle w:val="FootnoteReference"/>
          <w:szCs w:val="22"/>
        </w:rPr>
        <w:footnoteReference w:id="26"/>
      </w:r>
      <w:r w:rsidR="00096B7D">
        <w:rPr>
          <w:szCs w:val="22"/>
        </w:rPr>
        <w:t xml:space="preserve">  </w:t>
      </w:r>
      <w:r w:rsidR="00E80C93">
        <w:rPr>
          <w:szCs w:val="22"/>
        </w:rPr>
        <w:t xml:space="preserve">However, </w:t>
      </w:r>
      <w:r w:rsidR="00AC1F27">
        <w:rPr>
          <w:szCs w:val="22"/>
        </w:rPr>
        <w:t xml:space="preserve">we note that we do not yet have final cost data for 2020 as that will be contained in </w:t>
      </w:r>
      <w:r w:rsidR="00F62D67">
        <w:rPr>
          <w:szCs w:val="22"/>
        </w:rPr>
        <w:t>FCC Form 509, which carriers will file at the end of 2021.</w:t>
      </w:r>
      <w:r w:rsidR="00AC1F27">
        <w:rPr>
          <w:szCs w:val="22"/>
        </w:rPr>
        <w:t xml:space="preserve">  </w:t>
      </w:r>
      <w:r w:rsidR="001B2FF6">
        <w:t xml:space="preserve">We direct the Bureau to conduct </w:t>
      </w:r>
      <w:r w:rsidR="007116D9">
        <w:t xml:space="preserve">a more detailed </w:t>
      </w:r>
      <w:r w:rsidR="00D93F6E">
        <w:t xml:space="preserve">analysis </w:t>
      </w:r>
      <w:r w:rsidR="001B2FF6">
        <w:t xml:space="preserve">on </w:t>
      </w:r>
      <w:r w:rsidR="00F62D67">
        <w:t xml:space="preserve">this data and </w:t>
      </w:r>
      <w:r w:rsidR="001B2FF6">
        <w:t>the factors increasing legacy carrier support to determine whether the increase of the budget constraint is a result of the pandemic or</w:t>
      </w:r>
      <w:r w:rsidR="002D42E7">
        <w:t xml:space="preserve"> a more enduring situation</w:t>
      </w:r>
      <w:r w:rsidR="006C76DE">
        <w:rPr>
          <w:szCs w:val="22"/>
        </w:rPr>
        <w:t>.</w:t>
      </w:r>
      <w:r w:rsidR="00026D24">
        <w:rPr>
          <w:szCs w:val="22"/>
        </w:rPr>
        <w:t xml:space="preserve"> </w:t>
      </w:r>
    </w:p>
    <w:p w:rsidR="006674D9" w:rsidRPr="006B4894" w:rsidP="006B4894" w14:paraId="37DDF873" w14:textId="4BD05708">
      <w:pPr>
        <w:pStyle w:val="ParaNum"/>
        <w:rPr>
          <w:szCs w:val="22"/>
        </w:rPr>
      </w:pPr>
      <w:r>
        <w:t>We expect that today’s waiver of the budget control mechanism will reduce the rates for Consumer Broadband-Only Loop (CBOL) services that would otherwise be charged beginning July 1, 2021 by at least some rate-of-return carriers that receive CAF BLS support.</w:t>
      </w:r>
      <w:r>
        <w:rPr>
          <w:rStyle w:val="FootnoteReference"/>
          <w:rFonts w:eastAsiaTheme="minorEastAsia"/>
        </w:rPr>
        <w:footnoteReference w:id="27"/>
      </w:r>
      <w:r>
        <w:t xml:space="preserve">  We recognize that such carriers are in the midst of preparing their annual tariff filings.  To be effective on July 1, 2021, their annual tariff filings made on 15-days’ notice must be filed on June 16, 2021.</w:t>
      </w:r>
      <w:r>
        <w:rPr>
          <w:rStyle w:val="FootnoteReference"/>
          <w:rFonts w:eastAsiaTheme="minorEastAsia"/>
        </w:rPr>
        <w:footnoteReference w:id="28"/>
      </w:r>
      <w:r>
        <w:t xml:space="preserve">  To be effective on 7-days’ notice, they must be filed on June 24, 2021.</w:t>
      </w:r>
      <w:r>
        <w:rPr>
          <w:rStyle w:val="FootnoteReference"/>
          <w:rFonts w:eastAsiaTheme="minorEastAsia"/>
        </w:rPr>
        <w:footnoteReference w:id="29"/>
      </w:r>
      <w:r>
        <w:t xml:space="preserve">  Carriers benefiting from this waiver must file tariff revisions reflecting the effect today’s waiver will have on their rates.  </w:t>
      </w:r>
      <w:r w:rsidR="00F02DB8">
        <w:t xml:space="preserve"> </w:t>
      </w:r>
      <w:r>
        <w:t xml:space="preserve">Recognizing, however, that carriers may not have sufficient notice to revise the annual tariff filings that they have been preparing, we do not require affected carriers to account for the waiver of the budget control mechanism in their upcoming annual tariff filings.  Instead, we require affected carriers to account for the impact of the budget control </w:t>
      </w:r>
      <w:r>
        <w:t xml:space="preserve">mechanism either in their annual tariff filings or in revised tariff filings with an effective date no later than 45 days after adoption of this Order.  </w:t>
      </w:r>
      <w:r w:rsidR="00F02DB8">
        <w:t xml:space="preserve"> </w:t>
      </w:r>
      <w:r>
        <w:t>We waive, on our own motion, the current tariff filing fee for the limited purpose of submitting such filings.</w:t>
      </w:r>
      <w:r>
        <w:rPr>
          <w:rStyle w:val="FootnoteReference"/>
          <w:rFonts w:eastAsiaTheme="minorEastAsia"/>
        </w:rPr>
        <w:footnoteReference w:id="30"/>
      </w:r>
      <w:r>
        <w:t xml:space="preserve">  </w:t>
      </w:r>
      <w:r w:rsidR="00F02DB8">
        <w:t xml:space="preserve"> </w:t>
      </w:r>
      <w:r>
        <w:t xml:space="preserve">For purposes of such tariff revisions, we also find good cause to waive, on our own motion, the prohibition on making changes to rates that have not been in effect for at least 30 days or have not yet become effective and any refund liability that carriers may otherwise incur if rates based on the pre-waiver </w:t>
      </w:r>
      <w:r w:rsidR="003E3331">
        <w:t>budget control reduction factor</w:t>
      </w:r>
      <w:r>
        <w:t xml:space="preserve"> are higher than rates based on the post-waiver </w:t>
      </w:r>
      <w:r w:rsidR="003E3331">
        <w:t>budget control reduction factor</w:t>
      </w:r>
      <w:r>
        <w:t xml:space="preserve"> between July 1, 2021, and the required effective date of the revised rates.</w:t>
      </w:r>
      <w:r>
        <w:rPr>
          <w:rStyle w:val="FootnoteReference"/>
          <w:rFonts w:eastAsiaTheme="minorEastAsia"/>
        </w:rPr>
        <w:footnoteReference w:id="31"/>
      </w:r>
      <w:r>
        <w:t xml:space="preserve">  </w:t>
      </w:r>
    </w:p>
    <w:p w:rsidR="00C53C1F" w:rsidRPr="00026D24" w:rsidP="00026D24" w14:paraId="776E5A06" w14:textId="77777777">
      <w:pPr>
        <w:pStyle w:val="ParaNum"/>
        <w:rPr>
          <w:szCs w:val="22"/>
        </w:rPr>
      </w:pPr>
      <w:r w:rsidRPr="00026D24">
        <w:rPr>
          <w:szCs w:val="22"/>
        </w:rPr>
        <w:t xml:space="preserve">Accordingly, IT IS ORDERED that, pursuant to sections 0.91, 0.291, and 1.3 of the Commission’s rules, 47 CFR §§ 0.91, 0.291, 1.3, </w:t>
      </w:r>
      <w:r w:rsidRPr="00FD7F3F" w:rsidR="00871E45">
        <w:t>that section</w:t>
      </w:r>
      <w:r w:rsidR="0091130A">
        <w:t>s</w:t>
      </w:r>
      <w:r w:rsidRPr="00FD7F3F" w:rsidR="00871E45">
        <w:t xml:space="preserve"> 54.901(</w:t>
      </w:r>
      <w:r w:rsidR="00871E45">
        <w:t>f</w:t>
      </w:r>
      <w:r w:rsidRPr="00FD7F3F" w:rsidR="00871E45">
        <w:t xml:space="preserve">) </w:t>
      </w:r>
      <w:r w:rsidR="0091130A">
        <w:t xml:space="preserve">and 54.1310(d), </w:t>
      </w:r>
      <w:r w:rsidRPr="00026D24" w:rsidR="0091130A">
        <w:rPr>
          <w:szCs w:val="22"/>
        </w:rPr>
        <w:t xml:space="preserve">47 CFR §§ </w:t>
      </w:r>
      <w:r w:rsidR="0091130A">
        <w:rPr>
          <w:szCs w:val="22"/>
        </w:rPr>
        <w:t>54.901(f), 54.1310(d),</w:t>
      </w:r>
      <w:r w:rsidR="0091130A">
        <w:t xml:space="preserve"> ARE </w:t>
      </w:r>
      <w:r w:rsidRPr="00FD7F3F" w:rsidR="00871E45">
        <w:t>WAIVED</w:t>
      </w:r>
      <w:r w:rsidR="00871E45">
        <w:t xml:space="preserve"> </w:t>
      </w:r>
      <w:r w:rsidRPr="00026D24">
        <w:rPr>
          <w:szCs w:val="22"/>
        </w:rPr>
        <w:t>to the extent described above.</w:t>
      </w:r>
    </w:p>
    <w:p w:rsidR="00C53C1F" w:rsidP="00AA0BD1" w14:paraId="5F809229" w14:textId="77777777">
      <w:pPr>
        <w:pStyle w:val="ParaNum"/>
        <w:rPr>
          <w:szCs w:val="22"/>
        </w:rPr>
      </w:pPr>
      <w:r w:rsidRPr="0019171E">
        <w:rPr>
          <w:szCs w:val="22"/>
        </w:rPr>
        <w:t>IT IS FURTHER ORDERED that, pursuant to section 1.10</w:t>
      </w:r>
      <w:r w:rsidR="00871E45">
        <w:rPr>
          <w:szCs w:val="22"/>
        </w:rPr>
        <w:t>3</w:t>
      </w:r>
      <w:r w:rsidRPr="0019171E">
        <w:rPr>
          <w:szCs w:val="22"/>
        </w:rPr>
        <w:t xml:space="preserve"> of the Commission’s rules, 47 CFR § 1.10</w:t>
      </w:r>
      <w:r w:rsidR="00871E45">
        <w:rPr>
          <w:szCs w:val="22"/>
        </w:rPr>
        <w:t>3</w:t>
      </w:r>
      <w:r w:rsidRPr="0019171E">
        <w:rPr>
          <w:szCs w:val="22"/>
        </w:rPr>
        <w:t xml:space="preserve">, this Order SHALL BE EFFECTIVE upon release. </w:t>
      </w:r>
    </w:p>
    <w:p w:rsidR="000F6F76" w:rsidP="000F6F76" w14:paraId="62742401" w14:textId="77777777">
      <w:pPr>
        <w:pStyle w:val="ParaNum"/>
        <w:numPr>
          <w:ilvl w:val="0"/>
          <w:numId w:val="0"/>
        </w:numPr>
        <w:rPr>
          <w:szCs w:val="22"/>
        </w:rPr>
      </w:pPr>
    </w:p>
    <w:p w:rsidR="000F6F76" w:rsidP="0017296B" w14:paraId="1C9636E6" w14:textId="77777777">
      <w:r>
        <w:tab/>
      </w:r>
      <w:r>
        <w:tab/>
      </w:r>
      <w:r>
        <w:tab/>
      </w:r>
      <w:r>
        <w:tab/>
      </w:r>
      <w:r>
        <w:tab/>
      </w:r>
      <w:r>
        <w:tab/>
        <w:t>FEDERAL COMMUNICATIONS COMMISSION</w:t>
      </w:r>
    </w:p>
    <w:p w:rsidR="000F6F76" w:rsidP="0017296B" w14:paraId="49C4C4AF" w14:textId="77777777"/>
    <w:p w:rsidR="000F6F76" w:rsidP="0017296B" w14:paraId="1CBA5115" w14:textId="77777777"/>
    <w:p w:rsidR="000F6F76" w:rsidP="0017296B" w14:paraId="32C54E7F" w14:textId="77777777"/>
    <w:p w:rsidR="000F6F76" w:rsidP="0017296B" w14:paraId="56613CFF" w14:textId="77777777"/>
    <w:p w:rsidR="000F6F76" w:rsidRPr="0019171E" w:rsidP="000F6F76" w14:paraId="6B6DDAD3" w14:textId="77777777">
      <w:pPr>
        <w:pStyle w:val="ParaNum"/>
        <w:numPr>
          <w:ilvl w:val="0"/>
          <w:numId w:val="0"/>
        </w:numPr>
        <w:spacing w:after="0"/>
        <w:ind w:left="2880" w:firstLine="720"/>
        <w:rPr>
          <w:szCs w:val="22"/>
        </w:rPr>
      </w:pPr>
      <w:r>
        <w:tab/>
      </w:r>
      <w:r w:rsidR="00871E45">
        <w:rPr>
          <w:szCs w:val="22"/>
        </w:rPr>
        <w:t>Marlene H. Dortch</w:t>
      </w:r>
      <w:r w:rsidRPr="0019171E">
        <w:rPr>
          <w:szCs w:val="22"/>
        </w:rPr>
        <w:t xml:space="preserve"> </w:t>
      </w:r>
    </w:p>
    <w:p w:rsidR="000F6F76" w:rsidRPr="0019171E" w:rsidP="000F6F76" w14:paraId="7070C8D6" w14:textId="77777777">
      <w:pPr>
        <w:pStyle w:val="ParaNum"/>
        <w:numPr>
          <w:ilvl w:val="0"/>
          <w:numId w:val="0"/>
        </w:numPr>
        <w:spacing w:after="0"/>
        <w:ind w:left="3600" w:firstLine="720"/>
        <w:rPr>
          <w:szCs w:val="22"/>
        </w:rPr>
      </w:pPr>
      <w:r>
        <w:rPr>
          <w:szCs w:val="22"/>
        </w:rPr>
        <w:t>Secretary</w:t>
      </w:r>
      <w:r w:rsidRPr="0019171E" w:rsidR="002E5F37">
        <w:rPr>
          <w:szCs w:val="22"/>
        </w:rPr>
        <w:t xml:space="preserve"> </w:t>
      </w:r>
    </w:p>
    <w:p w:rsidR="00C53C1F" w:rsidP="000F6F76" w14:paraId="31D5A112" w14:textId="77777777">
      <w:pPr>
        <w:pStyle w:val="ParaNum"/>
        <w:numPr>
          <w:ilvl w:val="0"/>
          <w:numId w:val="0"/>
        </w:numPr>
        <w:spacing w:after="0"/>
        <w:ind w:left="3600" w:firstLine="720"/>
        <w:rPr>
          <w:szCs w:val="22"/>
        </w:rPr>
      </w:pPr>
    </w:p>
    <w:p w:rsidR="00871E45" w:rsidRPr="0019171E" w:rsidP="000F6F76" w14:paraId="6B90F598" w14:textId="77777777">
      <w:pPr>
        <w:pStyle w:val="ParaNum"/>
        <w:numPr>
          <w:ilvl w:val="0"/>
          <w:numId w:val="0"/>
        </w:numPr>
        <w:spacing w:after="0"/>
        <w:ind w:left="3600" w:firstLine="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8AAA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C485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F6F76" w14:paraId="6EDB90E1"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8B59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3940" w14:paraId="7AF94CE6" w14:textId="77777777">
      <w:r>
        <w:separator/>
      </w:r>
    </w:p>
  </w:footnote>
  <w:footnote w:type="continuationSeparator" w:id="1">
    <w:p w:rsidR="000B3940" w:rsidP="00C721AC" w14:paraId="570FFE08" w14:textId="77777777">
      <w:pPr>
        <w:spacing w:before="120"/>
        <w:rPr>
          <w:sz w:val="20"/>
        </w:rPr>
      </w:pPr>
      <w:r>
        <w:rPr>
          <w:sz w:val="20"/>
        </w:rPr>
        <w:t xml:space="preserve">(Continued from previous page)  </w:t>
      </w:r>
      <w:r>
        <w:rPr>
          <w:sz w:val="20"/>
        </w:rPr>
        <w:separator/>
      </w:r>
    </w:p>
  </w:footnote>
  <w:footnote w:type="continuationNotice" w:id="2">
    <w:p w:rsidR="000B3940" w:rsidP="00215443" w14:paraId="32598CF7" w14:textId="77777777">
      <w:pPr>
        <w:jc w:val="center"/>
        <w:rPr>
          <w:sz w:val="20"/>
        </w:rPr>
      </w:pPr>
    </w:p>
  </w:footnote>
  <w:footnote w:id="3">
    <w:p w:rsidR="00C007FE" w:rsidP="0009358F" w14:paraId="61AFACD6" w14:textId="77777777">
      <w:pPr>
        <w:pStyle w:val="FootnoteText"/>
      </w:pPr>
      <w:r>
        <w:rPr>
          <w:rStyle w:val="FootnoteReference"/>
        </w:rPr>
        <w:footnoteRef/>
      </w:r>
      <w:r>
        <w:t xml:space="preserve"> 47 CFR §</w:t>
      </w:r>
      <w:r w:rsidR="0091130A">
        <w:t>§</w:t>
      </w:r>
      <w:r>
        <w:t xml:space="preserve"> 54.901(f</w:t>
      </w:r>
      <w:r w:rsidR="0091130A">
        <w:t xml:space="preserve">), 54.1310(d); </w:t>
      </w:r>
      <w:r w:rsidRPr="0091130A" w:rsidR="0091130A">
        <w:rPr>
          <w:i/>
          <w:iCs/>
        </w:rPr>
        <w:t xml:space="preserve">see also </w:t>
      </w:r>
      <w:r>
        <w:t xml:space="preserve">47 CFR § 1.3 (Commission may waive its rules on its own motion).    </w:t>
      </w:r>
    </w:p>
  </w:footnote>
  <w:footnote w:id="4">
    <w:p w:rsidR="00FF236E" w:rsidP="00FF236E" w14:paraId="7F02756F" w14:textId="77777777">
      <w:pPr>
        <w:pStyle w:val="FootnoteText"/>
      </w:pPr>
      <w:r>
        <w:rPr>
          <w:rStyle w:val="FootnoteReference"/>
        </w:rPr>
        <w:footnoteRef/>
      </w:r>
      <w:r>
        <w:t xml:space="preserve">  47 CFR Part 54, Subpart M.</w:t>
      </w:r>
    </w:p>
  </w:footnote>
  <w:footnote w:id="5">
    <w:p w:rsidR="00FF236E" w:rsidP="00FF236E" w14:paraId="1C601751" w14:textId="77777777">
      <w:pPr>
        <w:pStyle w:val="FootnoteText"/>
      </w:pPr>
      <w:r>
        <w:rPr>
          <w:rStyle w:val="FootnoteReference"/>
        </w:rPr>
        <w:footnoteRef/>
      </w:r>
      <w:r>
        <w:t xml:space="preserve"> 47 CFR § 54.901.</w:t>
      </w:r>
    </w:p>
  </w:footnote>
  <w:footnote w:id="6">
    <w:p w:rsidR="00C007FE" w:rsidP="0009358F" w14:paraId="2B866602" w14:textId="5786D342">
      <w:pPr>
        <w:pStyle w:val="FootnoteText"/>
      </w:pPr>
      <w:r>
        <w:rPr>
          <w:rStyle w:val="FootnoteReference"/>
        </w:rPr>
        <w:footnoteRef/>
      </w:r>
      <w:r>
        <w:t xml:space="preserve"> </w:t>
      </w:r>
      <w:r w:rsidRPr="00EC687D">
        <w:rPr>
          <w:i/>
          <w:color w:val="000000"/>
        </w:rPr>
        <w:t>Connect America Fund</w:t>
      </w:r>
      <w:r w:rsidR="007B7CF3">
        <w:rPr>
          <w:i/>
          <w:color w:val="000000"/>
        </w:rPr>
        <w:t>,</w:t>
      </w:r>
      <w:r>
        <w:rPr>
          <w:i/>
          <w:color w:val="000000"/>
        </w:rPr>
        <w:t xml:space="preserve"> et al.</w:t>
      </w:r>
      <w:r>
        <w:rPr>
          <w:color w:val="000000"/>
        </w:rPr>
        <w:t xml:space="preserve">, </w:t>
      </w:r>
      <w:r w:rsidRPr="00EC687D">
        <w:rPr>
          <w:color w:val="000000"/>
        </w:rPr>
        <w:t>WC Docket Nos. 10-90</w:t>
      </w:r>
      <w:r>
        <w:rPr>
          <w:color w:val="000000"/>
        </w:rPr>
        <w:t xml:space="preserve"> et al.</w:t>
      </w:r>
      <w:r w:rsidRPr="00EC687D">
        <w:rPr>
          <w:color w:val="000000"/>
        </w:rPr>
        <w:t xml:space="preserve">, Report and Order and Further Notice of Proposed Rulemaking, 26 FCC </w:t>
      </w:r>
      <w:r w:rsidRPr="00EC687D">
        <w:rPr>
          <w:color w:val="000000"/>
        </w:rPr>
        <w:t>Rcd</w:t>
      </w:r>
      <w:r w:rsidRPr="00EC687D">
        <w:rPr>
          <w:color w:val="000000"/>
        </w:rPr>
        <w:t xml:space="preserve"> 17663</w:t>
      </w:r>
      <w:r>
        <w:rPr>
          <w:color w:val="000000"/>
        </w:rPr>
        <w:t xml:space="preserve">, 17711, para. 126 </w:t>
      </w:r>
      <w:r w:rsidRPr="00EC687D">
        <w:rPr>
          <w:color w:val="000000"/>
        </w:rPr>
        <w:t xml:space="preserve">(2011) </w:t>
      </w:r>
      <w:r w:rsidRPr="00EC687D">
        <w:t>(</w:t>
      </w:r>
      <w:r w:rsidRPr="00EC687D">
        <w:rPr>
          <w:i/>
        </w:rPr>
        <w:t>USF/ICC Transformation Order</w:t>
      </w:r>
      <w:r w:rsidRPr="00EC687D">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t xml:space="preserve"> (</w:t>
      </w:r>
      <w:r w:rsidRPr="00242464">
        <w:rPr>
          <w:i/>
        </w:rPr>
        <w:t>In re: FCC 11-161</w:t>
      </w:r>
      <w:r>
        <w:t>)</w:t>
      </w:r>
      <w:r w:rsidRPr="00C6671E">
        <w:t>.</w:t>
      </w:r>
    </w:p>
  </w:footnote>
  <w:footnote w:id="7">
    <w:p w:rsidR="00C007FE" w:rsidP="0009358F" w14:paraId="5E043384" w14:textId="77777777">
      <w:pPr>
        <w:pStyle w:val="FootnoteText"/>
      </w:pPr>
      <w:r>
        <w:rPr>
          <w:rStyle w:val="FootnoteReference"/>
        </w:rPr>
        <w:footnoteRef/>
      </w:r>
      <w:r>
        <w:t xml:space="preserve"> </w:t>
      </w:r>
      <w:r w:rsidRPr="009F24C1">
        <w:rPr>
          <w:i/>
          <w:iCs/>
        </w:rPr>
        <w:t>Connect America Fund, et al.</w:t>
      </w:r>
      <w:r>
        <w:t xml:space="preserve">, WC Docket No. 10-90, et al., Report and Order, Order on Reconsideration, and Further Notice of Proposed Rulemaking, 31 FCC </w:t>
      </w:r>
      <w:r>
        <w:t>Rcd</w:t>
      </w:r>
      <w:r>
        <w:t xml:space="preserve"> 3087, 3143, para. 146 (</w:t>
      </w:r>
      <w:r w:rsidRPr="009F24C1">
        <w:rPr>
          <w:i/>
          <w:iCs/>
        </w:rPr>
        <w:t>2016 Rate-of-Return Reform Order</w:t>
      </w:r>
      <w:r>
        <w:t xml:space="preserve">).  Because support amounts for the two other types of rate-of-return carriers, model-based (A-CAM) and Alaska Plan, are fixed, the budget control mechanism only affects legacy carriers, </w:t>
      </w:r>
      <w:r w:rsidRPr="00165A85">
        <w:rPr>
          <w:i/>
        </w:rPr>
        <w:t>i.e.</w:t>
      </w:r>
      <w:r>
        <w:t xml:space="preserve">, those carriers receiving Connect America Fund Broadband Loop Support (CAF BLS).  </w:t>
      </w:r>
    </w:p>
  </w:footnote>
  <w:footnote w:id="8">
    <w:p w:rsidR="00D815A9" w:rsidP="00D815A9" w14:paraId="78314E6E" w14:textId="112EE887">
      <w:pPr>
        <w:pStyle w:val="FootnoteText"/>
      </w:pPr>
      <w:r>
        <w:rPr>
          <w:rStyle w:val="FootnoteReference"/>
        </w:rPr>
        <w:footnoteRef/>
      </w:r>
      <w:r w:rsidRPr="003E3331" w:rsidR="003E3331">
        <w:rPr>
          <w:i/>
          <w:snapToGrid w:val="0"/>
          <w:kern w:val="28"/>
          <w:sz w:val="22"/>
        </w:rPr>
        <w:t xml:space="preserve"> </w:t>
      </w:r>
      <w:r w:rsidRPr="003E3331" w:rsidR="003E3331">
        <w:rPr>
          <w:i/>
        </w:rPr>
        <w:t xml:space="preserve">Connect America Fund et al., </w:t>
      </w:r>
      <w:r w:rsidRPr="003E3331" w:rsidR="003E3331">
        <w:t xml:space="preserve">WC Docket Nos. 10-90 et al., Report and Order, Further Notice of Proposed Rulemaking, and Order on Reconsideration, 33 FCC </w:t>
      </w:r>
      <w:r w:rsidRPr="003E3331" w:rsidR="003E3331">
        <w:t>Rcd</w:t>
      </w:r>
      <w:r w:rsidRPr="003E3331" w:rsidR="003E3331">
        <w:t xml:space="preserve"> 11893, </w:t>
      </w:r>
      <w:r w:rsidR="003E3331">
        <w:t>11922-23, para. 95</w:t>
      </w:r>
      <w:r w:rsidRPr="003E3331" w:rsidR="003E3331">
        <w:t xml:space="preserve"> (2018) (</w:t>
      </w:r>
      <w:r w:rsidRPr="003E3331" w:rsidR="003E3331">
        <w:rPr>
          <w:i/>
        </w:rPr>
        <w:t>December 2018 Rate-of-Return Reform Order</w:t>
      </w:r>
      <w:r w:rsidRPr="003E3331" w:rsidR="003E3331">
        <w:t>).</w:t>
      </w:r>
    </w:p>
  </w:footnote>
  <w:footnote w:id="9">
    <w:p w:rsidR="00EA2398" w:rsidP="00EA2398" w14:paraId="45854259" w14:textId="77777777">
      <w:pPr>
        <w:pStyle w:val="FootnoteText"/>
      </w:pPr>
      <w:r>
        <w:rPr>
          <w:rStyle w:val="FootnoteReference"/>
        </w:rPr>
        <w:footnoteRef/>
      </w:r>
      <w:r>
        <w:t xml:space="preserve"> </w:t>
      </w:r>
      <w:r w:rsidRPr="00D51626">
        <w:rPr>
          <w:i/>
          <w:iCs/>
        </w:rPr>
        <w:t xml:space="preserve">See </w:t>
      </w:r>
      <w:r w:rsidRPr="009F24C1">
        <w:rPr>
          <w:i/>
          <w:iCs/>
        </w:rPr>
        <w:t>2016 Rate-of-Return Reform Order</w:t>
      </w:r>
      <w:r w:rsidRPr="00871E45">
        <w:t xml:space="preserve">, </w:t>
      </w:r>
      <w:r>
        <w:t xml:space="preserve">31 FCC </w:t>
      </w:r>
      <w:r>
        <w:t>Rcd</w:t>
      </w:r>
      <w:r>
        <w:t xml:space="preserve"> at 3143, para. 146; </w:t>
      </w:r>
      <w:r>
        <w:rPr>
          <w:i/>
        </w:rPr>
        <w:t>December 2018 Rate-of-Return Reform Order</w:t>
      </w:r>
      <w:r w:rsidRPr="00D51626">
        <w:rPr>
          <w:iCs/>
        </w:rPr>
        <w:t xml:space="preserve">, 33 FCC </w:t>
      </w:r>
      <w:r w:rsidRPr="00D51626">
        <w:rPr>
          <w:iCs/>
        </w:rPr>
        <w:t>Rcd</w:t>
      </w:r>
      <w:r w:rsidRPr="00D51626">
        <w:rPr>
          <w:iCs/>
        </w:rPr>
        <w:t xml:space="preserve"> at 11919, paras. 86-86.</w:t>
      </w:r>
    </w:p>
  </w:footnote>
  <w:footnote w:id="10">
    <w:p w:rsidR="009B3D6D" w14:paraId="3BB96AEC" w14:textId="25F04F8E">
      <w:pPr>
        <w:pStyle w:val="FootnoteText"/>
      </w:pPr>
      <w:r>
        <w:rPr>
          <w:rStyle w:val="FootnoteReference"/>
        </w:rPr>
        <w:footnoteRef/>
      </w:r>
      <w:r>
        <w:t xml:space="preserve"> </w:t>
      </w:r>
      <w:r w:rsidR="00EA3EE5">
        <w:t xml:space="preserve">We note that even after the application of the budget control mechanism, the vast majority of all legacy carriers (more than 90%) will see increased projected support as compared with last year when carriers with reductions in either projected HCLS or BLS support are excluded.  </w:t>
      </w:r>
      <w:r w:rsidR="00EA3EE5">
        <w:rPr>
          <w:i/>
          <w:iCs/>
        </w:rPr>
        <w:t>See</w:t>
      </w:r>
      <w:r w:rsidR="003C2015">
        <w:rPr>
          <w:i/>
          <w:iCs/>
        </w:rPr>
        <w:t xml:space="preserve"> </w:t>
      </w:r>
      <w:r w:rsidR="005C3877">
        <w:t xml:space="preserve">USAC Budget Control Mechanism Announcements, 2021-2022 Budget Analysis, </w:t>
      </w:r>
      <w:hyperlink r:id="rId1" w:history="1">
        <w:r w:rsidRPr="00DD0B1F" w:rsidR="005C3877">
          <w:rPr>
            <w:rStyle w:val="Hyperlink"/>
          </w:rPr>
          <w:t>https://www.usac.org/wp-content/uploads/high-cost/documents/Budget-Analysis/2021-2022-Budget-Analysis.xlsx</w:t>
        </w:r>
      </w:hyperlink>
      <w:r w:rsidR="005C3877">
        <w:t xml:space="preserve"> (last visited May 4, 2021) (USAC 2021-2022 Budget Analysis)</w:t>
      </w:r>
      <w:r w:rsidR="002A6806">
        <w:t xml:space="preserve">; </w:t>
      </w:r>
      <w:r w:rsidR="00F473FD">
        <w:t>USAC Budget Control Mechanism Announcements, 202</w:t>
      </w:r>
      <w:r w:rsidR="00175058">
        <w:t>0</w:t>
      </w:r>
      <w:r w:rsidR="00F473FD">
        <w:t>-202</w:t>
      </w:r>
      <w:r w:rsidR="00175058">
        <w:t>1</w:t>
      </w:r>
      <w:r w:rsidR="00F473FD">
        <w:t xml:space="preserve"> Budget Analysis, </w:t>
      </w:r>
      <w:hyperlink r:id="rId2" w:history="1">
        <w:r w:rsidRPr="006A4F38" w:rsidR="00E30CB3">
          <w:rPr>
            <w:rStyle w:val="Hyperlink"/>
          </w:rPr>
          <w:t>https://www.usac.org/wp-content/uploads/high-cost/documents/Budget-Analysis/2020-2021-Budget-Analysis.xlsx</w:t>
        </w:r>
      </w:hyperlink>
      <w:r w:rsidR="00E30CB3">
        <w:t xml:space="preserve"> </w:t>
      </w:r>
      <w:r w:rsidR="00C85CB8">
        <w:t>(last visited May 4, 2021)</w:t>
      </w:r>
      <w:r w:rsidR="003C2015">
        <w:t xml:space="preserve">.  </w:t>
      </w:r>
      <w:r w:rsidR="00EA3EE5">
        <w:t>Thus, the budget control mechanism is constraining the increase in support rather than causing a decrease in support.</w:t>
      </w:r>
      <w:r w:rsidR="002A6806">
        <w:t xml:space="preserve">  </w:t>
      </w:r>
    </w:p>
  </w:footnote>
  <w:footnote w:id="11">
    <w:p w:rsidR="00C007FE" w:rsidP="0009358F" w14:paraId="47461541" w14:textId="77777777">
      <w:pPr>
        <w:pStyle w:val="FootnoteText"/>
      </w:pPr>
      <w:r>
        <w:rPr>
          <w:rStyle w:val="FootnoteReference"/>
        </w:rPr>
        <w:footnoteRef/>
      </w:r>
      <w:r>
        <w:t xml:space="preserve"> </w:t>
      </w:r>
      <w:r>
        <w:rPr>
          <w:i/>
          <w:iCs/>
        </w:rPr>
        <w:t>Connect America Fund et al.</w:t>
      </w:r>
      <w:r>
        <w:t xml:space="preserve">, WC Docket No. 10-90 et al., Report and Order, Third Order on Reconsideration, and Notice of Proposed Rulemaking, 33 FCC </w:t>
      </w:r>
      <w:r>
        <w:t>Rcd</w:t>
      </w:r>
      <w:r>
        <w:t xml:space="preserve"> 2990, 3023-25, paras. 73-82 (2018) (</w:t>
      </w:r>
      <w:r w:rsidRPr="00E57605">
        <w:rPr>
          <w:i/>
          <w:iCs/>
        </w:rPr>
        <w:t>March 2018 Rate-of-Return Reform Order</w:t>
      </w:r>
      <w:r>
        <w:t>).</w:t>
      </w:r>
    </w:p>
  </w:footnote>
  <w:footnote w:id="12">
    <w:p w:rsidR="00C007FE" w:rsidP="0009358F" w14:paraId="66AA2797" w14:textId="5E2F44BC">
      <w:pPr>
        <w:pStyle w:val="FootnoteText"/>
      </w:pPr>
      <w:r>
        <w:rPr>
          <w:rStyle w:val="FootnoteReference"/>
        </w:rPr>
        <w:footnoteRef/>
      </w:r>
      <w:bookmarkStart w:id="1" w:name="_Hlk73612196"/>
      <w:r w:rsidR="003E3331">
        <w:rPr>
          <w:i/>
          <w:iCs/>
        </w:rPr>
        <w:t xml:space="preserve">December 2018 Rate-of-Return Reform </w:t>
      </w:r>
      <w:r w:rsidRPr="003E3331" w:rsidR="003E3331">
        <w:rPr>
          <w:i/>
          <w:iCs/>
        </w:rPr>
        <w:t>Order</w:t>
      </w:r>
      <w:r w:rsidR="003E3331">
        <w:t>,</w:t>
      </w:r>
      <w:r w:rsidR="00E30CB3">
        <w:t xml:space="preserve"> </w:t>
      </w:r>
      <w:r>
        <w:t xml:space="preserve">33 FCC </w:t>
      </w:r>
      <w:r>
        <w:t>Rcd</w:t>
      </w:r>
      <w:r>
        <w:t xml:space="preserve"> </w:t>
      </w:r>
      <w:r w:rsidR="003E3331">
        <w:t>at</w:t>
      </w:r>
      <w:r>
        <w:t xml:space="preserve"> </w:t>
      </w:r>
      <w:r w:rsidR="00981C12">
        <w:t>11917-</w:t>
      </w:r>
      <w:r>
        <w:t xml:space="preserve">18, </w:t>
      </w:r>
      <w:r w:rsidRPr="00981C12">
        <w:t>para</w:t>
      </w:r>
      <w:r w:rsidR="00981C12">
        <w:t>s</w:t>
      </w:r>
      <w:r w:rsidRPr="00981C12">
        <w:t xml:space="preserve">. </w:t>
      </w:r>
      <w:r w:rsidR="00981C12">
        <w:t xml:space="preserve">79, </w:t>
      </w:r>
      <w:r w:rsidRPr="00981C12">
        <w:t>83</w:t>
      </w:r>
      <w:r w:rsidR="003E3331">
        <w:t>.</w:t>
      </w:r>
      <w:bookmarkEnd w:id="1"/>
    </w:p>
  </w:footnote>
  <w:footnote w:id="13">
    <w:p w:rsidR="00BC5C6C" w:rsidP="00BC5C6C" w14:paraId="7246D21D" w14:textId="684B4A18">
      <w:pPr>
        <w:pStyle w:val="FootnoteText"/>
      </w:pPr>
      <w:r>
        <w:rPr>
          <w:rStyle w:val="FootnoteReference"/>
        </w:rPr>
        <w:footnoteRef/>
      </w:r>
      <w:r>
        <w:t xml:space="preserve"> USAC, Budget Control Mechanism, </w:t>
      </w:r>
      <w:hyperlink r:id="rId3" w:history="1">
        <w:r w:rsidRPr="00175058" w:rsidR="00175058">
          <w:rPr>
            <w:rStyle w:val="Hyperlink"/>
          </w:rPr>
          <w:t>https://www.usac.org/high-cost/resources/rules-orders/budget-control-mechanism/</w:t>
        </w:r>
      </w:hyperlink>
      <w:r>
        <w:t xml:space="preserve"> (last visited May 4, 2021).  </w:t>
      </w:r>
      <w:r w:rsidRPr="00742890">
        <w:t xml:space="preserve">HCLS is subject to an annual cap that changes each year on January 1, based on the rural growth factor.  </w:t>
      </w:r>
      <w:r>
        <w:t xml:space="preserve">Based on the application of the rural growth factor, there was no reduction from January 2020 to June 2020 or January 2021 to June 2021.  </w:t>
      </w:r>
      <w:r w:rsidRPr="00742890">
        <w:t xml:space="preserve">The total and </w:t>
      </w:r>
      <w:r w:rsidRPr="00742890">
        <w:t>carrier-specific</w:t>
      </w:r>
      <w:r w:rsidRPr="00742890">
        <w:t xml:space="preserve"> annual HCLS amounts, as well as the rural growth factor, are published in the annual HCLS filing made by the National Exchange Carrier Association (NECA) the preceding October 1.  47 CFR §§ 54.1302, 54.1303.  The budget control mechanism is published in May and applied to the July 1 to June 30 tariff year.  </w:t>
      </w:r>
      <w:r w:rsidRPr="00742890">
        <w:rPr>
          <w:i/>
          <w:iCs/>
        </w:rPr>
        <w:t>See</w:t>
      </w:r>
      <w:r w:rsidRPr="00742890">
        <w:t xml:space="preserve"> 47 CFR § 54.1310(d)(1).  The annual schedules for HCLS and the budget control mechanism mean that the amount of HCLS changes in the middle of the budget control period, by an amount not known when the budget control calculations are completed</w:t>
      </w:r>
      <w:r>
        <w:t>.</w:t>
      </w:r>
    </w:p>
  </w:footnote>
  <w:footnote w:id="14">
    <w:p w:rsidR="00C007FE" w14:paraId="6524783E" w14:textId="3B0C1C2F">
      <w:pPr>
        <w:pStyle w:val="FootnoteText"/>
      </w:pPr>
      <w:r>
        <w:rPr>
          <w:rStyle w:val="FootnoteReference"/>
        </w:rPr>
        <w:footnoteRef/>
      </w:r>
      <w:r>
        <w:t xml:space="preserve"> </w:t>
      </w:r>
      <w:r w:rsidRPr="008A0FF1" w:rsidR="008A0FF1">
        <w:rPr>
          <w:i/>
          <w:iCs/>
        </w:rPr>
        <w:t xml:space="preserve">See </w:t>
      </w:r>
      <w:r w:rsidR="00A64E49">
        <w:t>USAC 2021-2022 Budget Analysis</w:t>
      </w:r>
      <w:r>
        <w:t>.</w:t>
      </w:r>
    </w:p>
  </w:footnote>
  <w:footnote w:id="15">
    <w:p w:rsidR="0091580E" w14:paraId="25977CE0" w14:textId="34775ACD">
      <w:pPr>
        <w:pStyle w:val="FootnoteText"/>
      </w:pPr>
      <w:r>
        <w:rPr>
          <w:rStyle w:val="FootnoteReference"/>
        </w:rPr>
        <w:footnoteRef/>
      </w:r>
      <w:r>
        <w:t xml:space="preserve"> </w:t>
      </w:r>
      <w:r w:rsidRPr="0014021E" w:rsidR="008B5F6F">
        <w:rPr>
          <w:i/>
          <w:iCs/>
        </w:rPr>
        <w:t>Id</w:t>
      </w:r>
      <w:r w:rsidR="008B5F6F">
        <w:t>.</w:t>
      </w:r>
    </w:p>
  </w:footnote>
  <w:footnote w:id="16">
    <w:p w:rsidR="00C007FE" w:rsidP="002E0DA2" w14:paraId="4325C761" w14:textId="77777777">
      <w:pPr>
        <w:pStyle w:val="FootnoteText"/>
      </w:pPr>
      <w:r>
        <w:rPr>
          <w:rStyle w:val="FootnoteReference"/>
        </w:rPr>
        <w:footnoteRef/>
      </w:r>
      <w:r>
        <w:t xml:space="preserve"> 47 CFR § 1.3. </w:t>
      </w:r>
    </w:p>
  </w:footnote>
  <w:footnote w:id="17">
    <w:p w:rsidR="00C007FE" w:rsidP="002E0DA2" w14:paraId="1B5E9A73"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18">
    <w:p w:rsidR="00C007FE" w:rsidP="002E0DA2" w14:paraId="1757E8D3"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19">
    <w:p w:rsidR="00C007FE" w:rsidP="002E0DA2" w14:paraId="228B9F3A"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20">
    <w:p w:rsidR="00E80C93" w14:paraId="32C6FEF1" w14:textId="5AA20573">
      <w:pPr>
        <w:pStyle w:val="FootnoteText"/>
      </w:pPr>
      <w:r>
        <w:rPr>
          <w:rStyle w:val="FootnoteReference"/>
        </w:rPr>
        <w:footnoteRef/>
      </w:r>
      <w:r>
        <w:t xml:space="preserve"> </w:t>
      </w:r>
      <w:r w:rsidRPr="00D9579A">
        <w:t xml:space="preserve">Letter from Michael R. Romano, Senior Vice President, NTCA–The Rural Broadband Association, to Marlene H. Dortch, Secretary, FCC, WC Docket No. 10-90 (filed </w:t>
      </w:r>
      <w:r w:rsidRPr="00D9579A" w:rsidR="009E500C">
        <w:t>Apr</w:t>
      </w:r>
      <w:r w:rsidR="009E500C">
        <w:t>.</w:t>
      </w:r>
      <w:r w:rsidRPr="00D9579A" w:rsidR="009E500C">
        <w:t xml:space="preserve"> </w:t>
      </w:r>
      <w:r w:rsidRPr="00D9579A">
        <w:t>26, 2021</w:t>
      </w:r>
      <w:r>
        <w:t>) (requesting the Commission consider waiving the application of the budget constraint “in the face of cash flow concerns and other challenges brought on by the pandemic”) (NTCA Letter).</w:t>
      </w:r>
    </w:p>
  </w:footnote>
  <w:footnote w:id="21">
    <w:p w:rsidR="00C007FE" w14:paraId="61682CDD" w14:textId="53D6615B">
      <w:pPr>
        <w:pStyle w:val="FootnoteText"/>
      </w:pPr>
      <w:r>
        <w:rPr>
          <w:rStyle w:val="FootnoteReference"/>
        </w:rPr>
        <w:footnoteRef/>
      </w:r>
      <w:r>
        <w:t xml:space="preserve"> </w:t>
      </w:r>
      <w:r w:rsidR="003E3331">
        <w:rPr>
          <w:i/>
          <w:iCs/>
        </w:rPr>
        <w:t>Id.</w:t>
      </w:r>
    </w:p>
  </w:footnote>
  <w:footnote w:id="22">
    <w:p w:rsidR="00C007FE" w14:paraId="748E0E59" w14:textId="2B552D01">
      <w:pPr>
        <w:pStyle w:val="FootnoteText"/>
      </w:pPr>
      <w:r>
        <w:rPr>
          <w:rStyle w:val="FootnoteReference"/>
        </w:rPr>
        <w:footnoteRef/>
      </w:r>
      <w:r>
        <w:t xml:space="preserve"> FCC, Coronavirus, </w:t>
      </w:r>
      <w:hyperlink r:id="rId4" w:history="1">
        <w:r w:rsidRPr="00A21AF9">
          <w:rPr>
            <w:rStyle w:val="Hyperlink"/>
          </w:rPr>
          <w:t>https://www.fcc.gov/coronavirus</w:t>
        </w:r>
      </w:hyperlink>
      <w:r>
        <w:t xml:space="preserve"> (last visited May 3, 2021) (listing </w:t>
      </w:r>
      <w:r w:rsidR="00D562D2">
        <w:t xml:space="preserve">the FCC’s efforts to </w:t>
      </w:r>
      <w:r w:rsidRPr="002F5DEF">
        <w:rPr>
          <w:color w:val="1D2B3E"/>
        </w:rPr>
        <w:t>ensure that Americans stay connected during the COVID-19 pandemic</w:t>
      </w:r>
      <w:r w:rsidR="00D562D2">
        <w:rPr>
          <w:color w:val="1D2B3E"/>
        </w:rPr>
        <w:t>)</w:t>
      </w:r>
      <w:r>
        <w:t>.</w:t>
      </w:r>
    </w:p>
  </w:footnote>
  <w:footnote w:id="23">
    <w:p w:rsidR="00C007FE" w14:paraId="3C61A732" w14:textId="2E59DA98">
      <w:pPr>
        <w:pStyle w:val="FootnoteText"/>
      </w:pPr>
      <w:r>
        <w:rPr>
          <w:rStyle w:val="FootnoteReference"/>
        </w:rPr>
        <w:footnoteRef/>
      </w:r>
      <w:r>
        <w:t xml:space="preserve"> </w:t>
      </w:r>
      <w:r w:rsidRPr="00B965E7">
        <w:rPr>
          <w:i/>
          <w:iCs/>
        </w:rPr>
        <w:t>See, e.g</w:t>
      </w:r>
      <w:r>
        <w:t>., Rural Health Care Universal Service Support Mechanism, WC Docket No. 02-60, Schools and Libraries Universal Service Support Mechanism, CC Docket No. 02-6, Order</w:t>
      </w:r>
      <w:r w:rsidR="009E500C">
        <w:t xml:space="preserve">, 35 FCC </w:t>
      </w:r>
      <w:r w:rsidR="009E500C">
        <w:t>Rcd</w:t>
      </w:r>
      <w:r w:rsidR="009E500C">
        <w:t xml:space="preserve"> 14544</w:t>
      </w:r>
      <w:r>
        <w:t xml:space="preserve"> (</w:t>
      </w:r>
      <w:r w:rsidR="009E500C">
        <w:t xml:space="preserve">WCB </w:t>
      </w:r>
      <w:r>
        <w:t xml:space="preserve">2020) (extending waivers previously granted </w:t>
      </w:r>
      <w:r>
        <w:t>sua</w:t>
      </w:r>
      <w:r>
        <w:t xml:space="preserve"> sponte with respect to E-Rate and Rural Health Care gift rules); Lifeline and Linkup Modernization, WC Docket No. 11-42, Order</w:t>
      </w:r>
      <w:r w:rsidR="007D648D">
        <w:t xml:space="preserve">, 35 FCC </w:t>
      </w:r>
      <w:r w:rsidR="007D648D">
        <w:t>Rcd</w:t>
      </w:r>
      <w:r w:rsidR="007D648D">
        <w:t xml:space="preserve"> 4482</w:t>
      </w:r>
      <w:r>
        <w:t xml:space="preserve"> (</w:t>
      </w:r>
      <w:r w:rsidR="007D648D">
        <w:t>WCB</w:t>
      </w:r>
      <w:r>
        <w:t xml:space="preserve"> 2020) (adopting a </w:t>
      </w:r>
      <w:r>
        <w:t>sua</w:t>
      </w:r>
      <w:r>
        <w:t xml:space="preserve"> sponte waiver with respect to showings for Lifeline eligibility); Schools and Libraries Universal Service Support Mechanism, CC Docket No. 02-6, Order</w:t>
      </w:r>
      <w:r w:rsidR="007D648D">
        <w:t xml:space="preserve">, 35 FCC </w:t>
      </w:r>
      <w:r w:rsidR="007D648D">
        <w:t>Rcd</w:t>
      </w:r>
      <w:r w:rsidR="007D648D">
        <w:t xml:space="preserve"> 2978</w:t>
      </w:r>
      <w:r>
        <w:t xml:space="preserve"> (</w:t>
      </w:r>
      <w:r w:rsidR="007D648D">
        <w:t xml:space="preserve">WCB </w:t>
      </w:r>
      <w:r>
        <w:t>2020) (waiving a series of E-Rate filing and service implementation deadlines).</w:t>
      </w:r>
    </w:p>
  </w:footnote>
  <w:footnote w:id="24">
    <w:p w:rsidR="00852E31" w14:paraId="10E22DF4" w14:textId="783219EC">
      <w:pPr>
        <w:pStyle w:val="FootnoteText"/>
      </w:pPr>
      <w:r>
        <w:rPr>
          <w:rStyle w:val="FootnoteReference"/>
        </w:rPr>
        <w:footnoteRef/>
      </w:r>
      <w:r>
        <w:t xml:space="preserve"> </w:t>
      </w:r>
      <w:r w:rsidRPr="00FA394C">
        <w:rPr>
          <w:i/>
          <w:iCs/>
        </w:rPr>
        <w:t>See, e.g</w:t>
      </w:r>
      <w:r>
        <w:t xml:space="preserve">., </w:t>
      </w:r>
      <w:r w:rsidRPr="00FA394C">
        <w:rPr>
          <w:i/>
          <w:iCs/>
        </w:rPr>
        <w:t>High-Cost Universal Service Support, et al.,</w:t>
      </w:r>
      <w:r>
        <w:t xml:space="preserve"> WC Docket No. 05-337, Order on Remand and Memorandum Opinion and Order, </w:t>
      </w:r>
      <w:r w:rsidRPr="00FA394C">
        <w:rPr>
          <w:color w:val="1D2B3E"/>
        </w:rPr>
        <w:t xml:space="preserve">25 FCC </w:t>
      </w:r>
      <w:r w:rsidRPr="00FA394C">
        <w:rPr>
          <w:color w:val="1D2B3E"/>
        </w:rPr>
        <w:t>Rcd</w:t>
      </w:r>
      <w:r w:rsidRPr="00FA394C">
        <w:rPr>
          <w:color w:val="1D2B3E"/>
        </w:rPr>
        <w:t xml:space="preserve"> 4072,</w:t>
      </w:r>
      <w:r w:rsidRPr="00852E31">
        <w:t xml:space="preserve"> 4087,</w:t>
      </w:r>
      <w:r>
        <w:t xml:space="preserve"> para. 28 (2010); </w:t>
      </w:r>
      <w:r w:rsidRPr="00EC687D" w:rsidR="00BD3611">
        <w:rPr>
          <w:i/>
        </w:rPr>
        <w:t>USF/ICC Transformation Orde</w:t>
      </w:r>
      <w:r w:rsidR="00BD3611">
        <w:rPr>
          <w:i/>
        </w:rPr>
        <w:t xml:space="preserve">r, </w:t>
      </w:r>
      <w:r w:rsidRPr="00EC687D" w:rsidR="00BD3611">
        <w:rPr>
          <w:color w:val="000000"/>
        </w:rPr>
        <w:t xml:space="preserve">26 FCC </w:t>
      </w:r>
      <w:r w:rsidRPr="00EC687D" w:rsidR="00BD3611">
        <w:rPr>
          <w:color w:val="000000"/>
        </w:rPr>
        <w:t>Rcd</w:t>
      </w:r>
      <w:r w:rsidRPr="00EC687D" w:rsidR="00BD3611">
        <w:rPr>
          <w:color w:val="000000"/>
        </w:rPr>
        <w:t xml:space="preserve"> </w:t>
      </w:r>
      <w:r w:rsidR="00BD3611">
        <w:rPr>
          <w:color w:val="000000"/>
        </w:rPr>
        <w:t xml:space="preserve">at </w:t>
      </w:r>
      <w:r w:rsidRPr="00FA394C" w:rsidR="00BD3611">
        <w:rPr>
          <w:iCs/>
        </w:rPr>
        <w:t>17682-83, paras. 57-58</w:t>
      </w:r>
      <w:r w:rsidR="00BD3611">
        <w:rPr>
          <w:iCs/>
        </w:rPr>
        <w:t>.</w:t>
      </w:r>
    </w:p>
  </w:footnote>
  <w:footnote w:id="25">
    <w:p w:rsidR="00C007FE" w:rsidP="005F2735" w14:paraId="0957EFFA" w14:textId="77777777">
      <w:pPr>
        <w:pStyle w:val="FootnoteText"/>
      </w:pPr>
      <w:r>
        <w:rPr>
          <w:rStyle w:val="FootnoteReference"/>
        </w:rPr>
        <w:footnoteRef/>
      </w:r>
      <w:r>
        <w:t xml:space="preserve"> 47 CFR § 54.1310(d).</w:t>
      </w:r>
    </w:p>
  </w:footnote>
  <w:footnote w:id="26">
    <w:p w:rsidR="00C007FE" w14:paraId="0D9DEFE3" w14:textId="6976B169">
      <w:pPr>
        <w:pStyle w:val="FootnoteText"/>
      </w:pPr>
      <w:r>
        <w:rPr>
          <w:rStyle w:val="FootnoteReference"/>
        </w:rPr>
        <w:footnoteRef/>
      </w:r>
      <w:r>
        <w:t xml:space="preserve"> </w:t>
      </w:r>
      <w:r w:rsidRPr="008A0FF1">
        <w:rPr>
          <w:i/>
          <w:iCs/>
        </w:rPr>
        <w:t xml:space="preserve">See </w:t>
      </w:r>
      <w:r>
        <w:t>USAC 2021-2022 Budget Analysis.</w:t>
      </w:r>
      <w:r w:rsidR="00072FC3">
        <w:t xml:space="preserve">  These true-ups are generally a result of carriers underpredicting the number of lines that would convert from voice</w:t>
      </w:r>
      <w:r w:rsidR="00095BB3">
        <w:t xml:space="preserve">-and-broadband </w:t>
      </w:r>
      <w:r w:rsidR="00072FC3">
        <w:t>lines to broadband-only lines.</w:t>
      </w:r>
    </w:p>
  </w:footnote>
  <w:footnote w:id="27">
    <w:p w:rsidR="006674D9" w:rsidP="006674D9" w14:paraId="4EA745EC" w14:textId="77777777">
      <w:pPr>
        <w:pStyle w:val="FootnoteText"/>
      </w:pPr>
      <w:r>
        <w:rPr>
          <w:rStyle w:val="FootnoteReference"/>
          <w:rFonts w:eastAsiaTheme="minorEastAsia"/>
        </w:rPr>
        <w:footnoteRef/>
      </w:r>
      <w:r>
        <w:t xml:space="preserve"> Such carriers include the CAF BLS support attributable to CBOL, net of the budget control mechanism effect, in their CBOL rate calculation, which is included in one of the Tariff Review Plans (TRPs) used for the upcoming annual access charge tariff filing.  </w:t>
      </w:r>
      <w:r>
        <w:rPr>
          <w:i/>
          <w:iCs/>
        </w:rPr>
        <w:t>See July 1, 2021 Annual Access Charge Tariff Filings</w:t>
      </w:r>
      <w:r>
        <w:t>, WC Docket No. 21-148, Order, DA 21-568 (WCB May 14, 2021) (</w:t>
      </w:r>
      <w:r>
        <w:rPr>
          <w:i/>
          <w:iCs/>
        </w:rPr>
        <w:t>2021 Annual Filing Procedures Order</w:t>
      </w:r>
      <w:r>
        <w:t xml:space="preserve">).  </w:t>
      </w:r>
      <w:r>
        <w:rPr>
          <w:rFonts w:eastAsia="Calibri"/>
          <w:color w:val="000000"/>
        </w:rPr>
        <w:t xml:space="preserve">Pursuant to §54.901(e)(3) and (4), CAF BLS is attributed first to the Interstate Common Line Revenue Requirement and second as available to the CBOL revenue requirement.  We do not expect that the budget control mechanism waiver will impact common line charges (also known as subscriber line charges) because CAF BLS support for CBOL is subordinate to CAF BLS support for common line and because of the existing caps on subscriber line charges. </w:t>
      </w:r>
      <w:r w:rsidRPr="00800CFA">
        <w:rPr>
          <w:rFonts w:eastAsia="Calibri"/>
          <w:i/>
          <w:iCs/>
          <w:color w:val="000000"/>
        </w:rPr>
        <w:t>See</w:t>
      </w:r>
      <w:r>
        <w:rPr>
          <w:rFonts w:eastAsia="Calibri"/>
          <w:color w:val="000000"/>
        </w:rPr>
        <w:t xml:space="preserve"> 47 CFR </w:t>
      </w:r>
      <w:r>
        <w:t>§ 69.104.</w:t>
      </w:r>
      <w:r>
        <w:rPr>
          <w:rFonts w:eastAsia="Calibri"/>
          <w:color w:val="000000"/>
        </w:rPr>
        <w:t xml:space="preserve"> </w:t>
      </w:r>
    </w:p>
  </w:footnote>
  <w:footnote w:id="28">
    <w:p w:rsidR="006674D9" w:rsidP="006674D9" w14:paraId="0232497A" w14:textId="77777777">
      <w:pPr>
        <w:pStyle w:val="FootnoteText"/>
      </w:pPr>
      <w:r>
        <w:rPr>
          <w:rStyle w:val="FootnoteReference"/>
          <w:rFonts w:eastAsiaTheme="minorEastAsia"/>
        </w:rPr>
        <w:footnoteRef/>
      </w:r>
      <w:r>
        <w:t xml:space="preserve"> 47 U.S.C. § 204(a)(3) (“A local exchange carrier may file with the Commission a new or revised charge, classification, regulation, or practice on a streamlined basis…[which]…shall be deemed lawful and shall be effective 7 days (in the case of a reduction in rates) or 15 days (in the case of an increase in rates) after the date on which it is filed with the Commission unless the Commission takes action…before the end of that 7-day or 15-day period, as is appropriate.”); 47 CFR § 61.58(a)(2)(i) (pursuant to section 204(a)(3) of the Act, local exchange carriers may file streamlined tariffs on 7 days’ notice if it proposes only rate decreases, and on 15 days’ notice for any other streamlined tariff including those that propose rate increases).  </w:t>
      </w:r>
      <w:r>
        <w:rPr>
          <w:i/>
          <w:iCs/>
        </w:rPr>
        <w:t>See 2021 Annual Filing Procedures Order</w:t>
      </w:r>
      <w:r>
        <w:t xml:space="preserve">, para. 7; </w:t>
      </w:r>
      <w:r w:rsidRPr="00800CFA">
        <w:rPr>
          <w:i/>
          <w:iCs/>
        </w:rPr>
        <w:t>July</w:t>
      </w:r>
      <w:r>
        <w:rPr>
          <w:i/>
          <w:iCs/>
        </w:rPr>
        <w:t xml:space="preserve"> 1, 2021 Annual Access Charge Tariff Filings</w:t>
      </w:r>
      <w:r>
        <w:t>, WC Docket No. 21-148, Order, DA 21-433 (WCB Apr. 16, 2021). </w:t>
      </w:r>
    </w:p>
  </w:footnote>
  <w:footnote w:id="29">
    <w:p w:rsidR="006674D9" w:rsidP="006674D9" w14:paraId="5E397F85" w14:textId="77777777">
      <w:pPr>
        <w:pStyle w:val="FootnoteText"/>
      </w:pPr>
      <w:r>
        <w:rPr>
          <w:rStyle w:val="FootnoteReference"/>
          <w:rFonts w:eastAsiaTheme="minorEastAsia"/>
        </w:rPr>
        <w:footnoteRef/>
      </w:r>
      <w:r>
        <w:t xml:space="preserve"> 47 U.S.C. § 204(a)(3); </w:t>
      </w:r>
      <w:bookmarkStart w:id="2" w:name="_Hlk72347623"/>
      <w:r>
        <w:t xml:space="preserve">47 CFR § </w:t>
      </w:r>
      <w:bookmarkEnd w:id="2"/>
      <w:r>
        <w:t>61.58(a)(2)(i).</w:t>
      </w:r>
    </w:p>
  </w:footnote>
  <w:footnote w:id="30">
    <w:p w:rsidR="006674D9" w:rsidP="006674D9" w14:paraId="5EDE05FB" w14:textId="77777777">
      <w:pPr>
        <w:pStyle w:val="FootnoteText"/>
      </w:pPr>
      <w:r>
        <w:rPr>
          <w:rStyle w:val="FootnoteReference"/>
          <w:rFonts w:eastAsiaTheme="minorEastAsia"/>
        </w:rPr>
        <w:footnoteRef/>
      </w:r>
      <w:r>
        <w:t xml:space="preserve"> 47 CFR § 1.1105.  </w:t>
      </w:r>
    </w:p>
  </w:footnote>
  <w:footnote w:id="31">
    <w:p w:rsidR="006674D9" w:rsidP="006674D9" w14:paraId="069857E9" w14:textId="77777777">
      <w:pPr>
        <w:pStyle w:val="FootnoteText"/>
      </w:pPr>
      <w:r>
        <w:rPr>
          <w:rStyle w:val="FootnoteReference"/>
          <w:rFonts w:eastAsiaTheme="minorEastAsia"/>
        </w:rPr>
        <w:footnoteRef/>
      </w:r>
      <w:r>
        <w:t xml:space="preserve"> </w:t>
      </w:r>
      <w:r>
        <w:rPr>
          <w:i/>
          <w:iCs/>
        </w:rPr>
        <w:t xml:space="preserve">See </w:t>
      </w:r>
      <w:r>
        <w:t>47 CFR § 61.59.</w:t>
      </w:r>
      <w:r>
        <w:rPr>
          <w:b/>
          <w:bC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7F73FC" w14:textId="2269AD8B">
    <w:pPr>
      <w:pStyle w:val="Header"/>
      <w:rPr>
        <w:b w:val="0"/>
      </w:rPr>
    </w:pPr>
    <w:r>
      <w:tab/>
      <w:t>Federal Communications Commission</w:t>
    </w:r>
    <w:r>
      <w:tab/>
    </w:r>
    <w:r w:rsidR="00ED7C19">
      <w:t>FCC 21-67</w:t>
    </w:r>
  </w:p>
  <w:p w:rsidR="00D25FB5" w:rsidRPr="00465AC6" w:rsidP="00465AC6" w14:paraId="1D9190AC" w14:textId="15CD65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F35B20" w14:textId="0ADB85E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mc:Fallback>
      </mc:AlternateContent>
    </w:r>
    <w:r w:rsidR="002E5F37">
      <w:tab/>
      <w:t>Federal Communications Commission</w:t>
    </w:r>
    <w:r w:rsidR="002E5F37">
      <w:tab/>
    </w:r>
    <w:r w:rsidR="00ED7C19">
      <w:rPr>
        <w:spacing w:val="-2"/>
      </w:rPr>
      <w:t>FCC 21-67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A591D"/>
    <w:multiLevelType w:val="hybridMultilevel"/>
    <w:tmpl w:val="F0826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67"/>
    <w:rsid w:val="00003D17"/>
    <w:rsid w:val="00014765"/>
    <w:rsid w:val="00014CE6"/>
    <w:rsid w:val="00020DA2"/>
    <w:rsid w:val="00020FC8"/>
    <w:rsid w:val="00026D24"/>
    <w:rsid w:val="00030D88"/>
    <w:rsid w:val="00034D89"/>
    <w:rsid w:val="00036039"/>
    <w:rsid w:val="00036A5D"/>
    <w:rsid w:val="00037F90"/>
    <w:rsid w:val="00040620"/>
    <w:rsid w:val="00041C40"/>
    <w:rsid w:val="00042E1C"/>
    <w:rsid w:val="00045480"/>
    <w:rsid w:val="0005068A"/>
    <w:rsid w:val="00052BCE"/>
    <w:rsid w:val="00055FF4"/>
    <w:rsid w:val="00056494"/>
    <w:rsid w:val="00062070"/>
    <w:rsid w:val="00062481"/>
    <w:rsid w:val="00064541"/>
    <w:rsid w:val="00065222"/>
    <w:rsid w:val="0007001F"/>
    <w:rsid w:val="00070295"/>
    <w:rsid w:val="00072FC3"/>
    <w:rsid w:val="00076BFC"/>
    <w:rsid w:val="0007755F"/>
    <w:rsid w:val="00082F36"/>
    <w:rsid w:val="000875BF"/>
    <w:rsid w:val="0009270D"/>
    <w:rsid w:val="00092949"/>
    <w:rsid w:val="0009358F"/>
    <w:rsid w:val="00094463"/>
    <w:rsid w:val="00095BB3"/>
    <w:rsid w:val="00096B7D"/>
    <w:rsid w:val="00096C38"/>
    <w:rsid w:val="00096D8C"/>
    <w:rsid w:val="000A0F07"/>
    <w:rsid w:val="000A1702"/>
    <w:rsid w:val="000A5136"/>
    <w:rsid w:val="000A7A71"/>
    <w:rsid w:val="000A7EE7"/>
    <w:rsid w:val="000B000A"/>
    <w:rsid w:val="000B3940"/>
    <w:rsid w:val="000C0B65"/>
    <w:rsid w:val="000C3C8B"/>
    <w:rsid w:val="000C6674"/>
    <w:rsid w:val="000D19D9"/>
    <w:rsid w:val="000D3DD7"/>
    <w:rsid w:val="000D582E"/>
    <w:rsid w:val="000E05FE"/>
    <w:rsid w:val="000E2D3D"/>
    <w:rsid w:val="000E3D42"/>
    <w:rsid w:val="000E3E95"/>
    <w:rsid w:val="000F01B5"/>
    <w:rsid w:val="000F4D0C"/>
    <w:rsid w:val="000F6BF0"/>
    <w:rsid w:val="000F6F76"/>
    <w:rsid w:val="0010151D"/>
    <w:rsid w:val="0010569F"/>
    <w:rsid w:val="0011279D"/>
    <w:rsid w:val="001157E6"/>
    <w:rsid w:val="00122BD5"/>
    <w:rsid w:val="0012440B"/>
    <w:rsid w:val="00124AC9"/>
    <w:rsid w:val="00131688"/>
    <w:rsid w:val="00133F79"/>
    <w:rsid w:val="001343CC"/>
    <w:rsid w:val="00134A21"/>
    <w:rsid w:val="00136BE2"/>
    <w:rsid w:val="00136C8D"/>
    <w:rsid w:val="0014021E"/>
    <w:rsid w:val="0014459F"/>
    <w:rsid w:val="00145D22"/>
    <w:rsid w:val="00151112"/>
    <w:rsid w:val="00151464"/>
    <w:rsid w:val="001519AF"/>
    <w:rsid w:val="0015359A"/>
    <w:rsid w:val="00160C3D"/>
    <w:rsid w:val="00163DB1"/>
    <w:rsid w:val="00165A85"/>
    <w:rsid w:val="0017013C"/>
    <w:rsid w:val="0017296B"/>
    <w:rsid w:val="00175058"/>
    <w:rsid w:val="00182439"/>
    <w:rsid w:val="00182755"/>
    <w:rsid w:val="0019171E"/>
    <w:rsid w:val="0019216B"/>
    <w:rsid w:val="00192DA3"/>
    <w:rsid w:val="00193A71"/>
    <w:rsid w:val="00194A66"/>
    <w:rsid w:val="001A5D8C"/>
    <w:rsid w:val="001A6364"/>
    <w:rsid w:val="001A7D88"/>
    <w:rsid w:val="001B0632"/>
    <w:rsid w:val="001B0886"/>
    <w:rsid w:val="001B2590"/>
    <w:rsid w:val="001B2FF6"/>
    <w:rsid w:val="001B3CCF"/>
    <w:rsid w:val="001B4C62"/>
    <w:rsid w:val="001C07C1"/>
    <w:rsid w:val="001C11FA"/>
    <w:rsid w:val="001C428C"/>
    <w:rsid w:val="001D004B"/>
    <w:rsid w:val="001D05F5"/>
    <w:rsid w:val="001D1DD6"/>
    <w:rsid w:val="001D2E03"/>
    <w:rsid w:val="001D53F7"/>
    <w:rsid w:val="001D64DA"/>
    <w:rsid w:val="001D6BCF"/>
    <w:rsid w:val="001D7B47"/>
    <w:rsid w:val="001E01CA"/>
    <w:rsid w:val="001E7EF0"/>
    <w:rsid w:val="001E7F6C"/>
    <w:rsid w:val="001F0B5D"/>
    <w:rsid w:val="001F5D04"/>
    <w:rsid w:val="001F62FB"/>
    <w:rsid w:val="0020092C"/>
    <w:rsid w:val="00204206"/>
    <w:rsid w:val="0020503D"/>
    <w:rsid w:val="00207B62"/>
    <w:rsid w:val="00212F92"/>
    <w:rsid w:val="00213B59"/>
    <w:rsid w:val="00214937"/>
    <w:rsid w:val="00215443"/>
    <w:rsid w:val="002201F6"/>
    <w:rsid w:val="00225C77"/>
    <w:rsid w:val="00226555"/>
    <w:rsid w:val="002308EB"/>
    <w:rsid w:val="0023155B"/>
    <w:rsid w:val="002367C1"/>
    <w:rsid w:val="00237770"/>
    <w:rsid w:val="00242464"/>
    <w:rsid w:val="002432B9"/>
    <w:rsid w:val="00245663"/>
    <w:rsid w:val="00247A7D"/>
    <w:rsid w:val="00251A1D"/>
    <w:rsid w:val="002527FA"/>
    <w:rsid w:val="00253800"/>
    <w:rsid w:val="00256A25"/>
    <w:rsid w:val="00260E6D"/>
    <w:rsid w:val="00263989"/>
    <w:rsid w:val="0026634E"/>
    <w:rsid w:val="00267A17"/>
    <w:rsid w:val="00272511"/>
    <w:rsid w:val="00272AA9"/>
    <w:rsid w:val="00275CF5"/>
    <w:rsid w:val="0028301F"/>
    <w:rsid w:val="00285017"/>
    <w:rsid w:val="00287ECC"/>
    <w:rsid w:val="00292378"/>
    <w:rsid w:val="00292880"/>
    <w:rsid w:val="0029487E"/>
    <w:rsid w:val="002969D6"/>
    <w:rsid w:val="002A01D1"/>
    <w:rsid w:val="002A12CB"/>
    <w:rsid w:val="002A1AF5"/>
    <w:rsid w:val="002A2563"/>
    <w:rsid w:val="002A2D2E"/>
    <w:rsid w:val="002A4755"/>
    <w:rsid w:val="002A4CF8"/>
    <w:rsid w:val="002A6806"/>
    <w:rsid w:val="002B3241"/>
    <w:rsid w:val="002B7045"/>
    <w:rsid w:val="002C00E8"/>
    <w:rsid w:val="002C41BB"/>
    <w:rsid w:val="002C6CF5"/>
    <w:rsid w:val="002C7FEA"/>
    <w:rsid w:val="002D2B84"/>
    <w:rsid w:val="002D2E9A"/>
    <w:rsid w:val="002D42E7"/>
    <w:rsid w:val="002D4756"/>
    <w:rsid w:val="002D6031"/>
    <w:rsid w:val="002D66A9"/>
    <w:rsid w:val="002E0DA2"/>
    <w:rsid w:val="002E1A80"/>
    <w:rsid w:val="002E2D68"/>
    <w:rsid w:val="002E30D9"/>
    <w:rsid w:val="002E5F37"/>
    <w:rsid w:val="002E6C2A"/>
    <w:rsid w:val="002E7C2D"/>
    <w:rsid w:val="002E7FB6"/>
    <w:rsid w:val="002F5DEF"/>
    <w:rsid w:val="003013F6"/>
    <w:rsid w:val="0030415B"/>
    <w:rsid w:val="00306ADD"/>
    <w:rsid w:val="00306D71"/>
    <w:rsid w:val="0031015C"/>
    <w:rsid w:val="0031458D"/>
    <w:rsid w:val="00320D41"/>
    <w:rsid w:val="00323FBD"/>
    <w:rsid w:val="003273C3"/>
    <w:rsid w:val="00330552"/>
    <w:rsid w:val="0033671E"/>
    <w:rsid w:val="003375CE"/>
    <w:rsid w:val="00343749"/>
    <w:rsid w:val="003438AC"/>
    <w:rsid w:val="00350101"/>
    <w:rsid w:val="00351D3E"/>
    <w:rsid w:val="0036212B"/>
    <w:rsid w:val="00364119"/>
    <w:rsid w:val="003660ED"/>
    <w:rsid w:val="003667A2"/>
    <w:rsid w:val="00367188"/>
    <w:rsid w:val="00372B6D"/>
    <w:rsid w:val="00373E8E"/>
    <w:rsid w:val="00373F84"/>
    <w:rsid w:val="003759C0"/>
    <w:rsid w:val="00377A41"/>
    <w:rsid w:val="00380538"/>
    <w:rsid w:val="00381080"/>
    <w:rsid w:val="00381EFE"/>
    <w:rsid w:val="00382A19"/>
    <w:rsid w:val="0038452B"/>
    <w:rsid w:val="00384E7B"/>
    <w:rsid w:val="0038528C"/>
    <w:rsid w:val="00390A9D"/>
    <w:rsid w:val="003913B1"/>
    <w:rsid w:val="00391813"/>
    <w:rsid w:val="003928F7"/>
    <w:rsid w:val="003A06AB"/>
    <w:rsid w:val="003A295D"/>
    <w:rsid w:val="003A56B9"/>
    <w:rsid w:val="003A611C"/>
    <w:rsid w:val="003A62A2"/>
    <w:rsid w:val="003A64BA"/>
    <w:rsid w:val="003A7011"/>
    <w:rsid w:val="003B0550"/>
    <w:rsid w:val="003B694F"/>
    <w:rsid w:val="003C15C2"/>
    <w:rsid w:val="003C2015"/>
    <w:rsid w:val="003C707B"/>
    <w:rsid w:val="003C70A5"/>
    <w:rsid w:val="003D2F3C"/>
    <w:rsid w:val="003D558A"/>
    <w:rsid w:val="003D6D38"/>
    <w:rsid w:val="003D785A"/>
    <w:rsid w:val="003E0A75"/>
    <w:rsid w:val="003E3331"/>
    <w:rsid w:val="003E6BD4"/>
    <w:rsid w:val="003F171C"/>
    <w:rsid w:val="003F278F"/>
    <w:rsid w:val="003F39E0"/>
    <w:rsid w:val="00402F2A"/>
    <w:rsid w:val="00405FC3"/>
    <w:rsid w:val="00412FC5"/>
    <w:rsid w:val="004135D9"/>
    <w:rsid w:val="004179D6"/>
    <w:rsid w:val="00417EBE"/>
    <w:rsid w:val="00420D5F"/>
    <w:rsid w:val="00422276"/>
    <w:rsid w:val="004232AC"/>
    <w:rsid w:val="004235AA"/>
    <w:rsid w:val="00423FC0"/>
    <w:rsid w:val="004242F1"/>
    <w:rsid w:val="004249D0"/>
    <w:rsid w:val="00425C80"/>
    <w:rsid w:val="00426F9A"/>
    <w:rsid w:val="00427B84"/>
    <w:rsid w:val="00434365"/>
    <w:rsid w:val="004362CF"/>
    <w:rsid w:val="004366CF"/>
    <w:rsid w:val="0043786B"/>
    <w:rsid w:val="004410AB"/>
    <w:rsid w:val="00441C90"/>
    <w:rsid w:val="00443F05"/>
    <w:rsid w:val="00445A00"/>
    <w:rsid w:val="00451267"/>
    <w:rsid w:val="00451B0F"/>
    <w:rsid w:val="004525AD"/>
    <w:rsid w:val="00452DF6"/>
    <w:rsid w:val="004564B7"/>
    <w:rsid w:val="00460D75"/>
    <w:rsid w:val="0046218F"/>
    <w:rsid w:val="0046567F"/>
    <w:rsid w:val="00465AC6"/>
    <w:rsid w:val="00470BEC"/>
    <w:rsid w:val="00473689"/>
    <w:rsid w:val="00476DBE"/>
    <w:rsid w:val="004831C7"/>
    <w:rsid w:val="00483A61"/>
    <w:rsid w:val="00484668"/>
    <w:rsid w:val="004932DC"/>
    <w:rsid w:val="00496766"/>
    <w:rsid w:val="004A07CF"/>
    <w:rsid w:val="004A0A92"/>
    <w:rsid w:val="004A3F8A"/>
    <w:rsid w:val="004A660F"/>
    <w:rsid w:val="004A754F"/>
    <w:rsid w:val="004A78C1"/>
    <w:rsid w:val="004A7D61"/>
    <w:rsid w:val="004A7E61"/>
    <w:rsid w:val="004B1D19"/>
    <w:rsid w:val="004B3D69"/>
    <w:rsid w:val="004B6694"/>
    <w:rsid w:val="004B7BD6"/>
    <w:rsid w:val="004C2EE3"/>
    <w:rsid w:val="004D0AE3"/>
    <w:rsid w:val="004D2A03"/>
    <w:rsid w:val="004D2D4A"/>
    <w:rsid w:val="004D4AC7"/>
    <w:rsid w:val="004E066B"/>
    <w:rsid w:val="004E070A"/>
    <w:rsid w:val="004E19CA"/>
    <w:rsid w:val="004E4A22"/>
    <w:rsid w:val="004E66B4"/>
    <w:rsid w:val="004F14E9"/>
    <w:rsid w:val="004F3E41"/>
    <w:rsid w:val="004F619E"/>
    <w:rsid w:val="004F77B4"/>
    <w:rsid w:val="00500EDF"/>
    <w:rsid w:val="005054CC"/>
    <w:rsid w:val="005110BB"/>
    <w:rsid w:val="00511968"/>
    <w:rsid w:val="00512F0E"/>
    <w:rsid w:val="00516693"/>
    <w:rsid w:val="00520D6F"/>
    <w:rsid w:val="005210F3"/>
    <w:rsid w:val="00523149"/>
    <w:rsid w:val="00525709"/>
    <w:rsid w:val="00527216"/>
    <w:rsid w:val="005326FA"/>
    <w:rsid w:val="00536956"/>
    <w:rsid w:val="00537189"/>
    <w:rsid w:val="005377D4"/>
    <w:rsid w:val="00542567"/>
    <w:rsid w:val="00542964"/>
    <w:rsid w:val="00542B19"/>
    <w:rsid w:val="0054686B"/>
    <w:rsid w:val="00546BD7"/>
    <w:rsid w:val="00546D59"/>
    <w:rsid w:val="005535A1"/>
    <w:rsid w:val="00553D84"/>
    <w:rsid w:val="00555816"/>
    <w:rsid w:val="00555A33"/>
    <w:rsid w:val="0055614C"/>
    <w:rsid w:val="0056094D"/>
    <w:rsid w:val="00560CA2"/>
    <w:rsid w:val="00566091"/>
    <w:rsid w:val="00566D06"/>
    <w:rsid w:val="00567B35"/>
    <w:rsid w:val="00571E5B"/>
    <w:rsid w:val="00575CF9"/>
    <w:rsid w:val="00575FBF"/>
    <w:rsid w:val="005779BB"/>
    <w:rsid w:val="00580781"/>
    <w:rsid w:val="005829BC"/>
    <w:rsid w:val="005832D9"/>
    <w:rsid w:val="005906B9"/>
    <w:rsid w:val="00592E18"/>
    <w:rsid w:val="00595413"/>
    <w:rsid w:val="00596534"/>
    <w:rsid w:val="00596FAD"/>
    <w:rsid w:val="005A019C"/>
    <w:rsid w:val="005A2915"/>
    <w:rsid w:val="005A7F41"/>
    <w:rsid w:val="005B1100"/>
    <w:rsid w:val="005B1795"/>
    <w:rsid w:val="005B6C53"/>
    <w:rsid w:val="005B7975"/>
    <w:rsid w:val="005C3877"/>
    <w:rsid w:val="005D1011"/>
    <w:rsid w:val="005D4403"/>
    <w:rsid w:val="005D4528"/>
    <w:rsid w:val="005D453E"/>
    <w:rsid w:val="005D4896"/>
    <w:rsid w:val="005D644A"/>
    <w:rsid w:val="005E0037"/>
    <w:rsid w:val="005E14C2"/>
    <w:rsid w:val="005E2BC0"/>
    <w:rsid w:val="005F2713"/>
    <w:rsid w:val="005F2735"/>
    <w:rsid w:val="005F27A6"/>
    <w:rsid w:val="005F5F5C"/>
    <w:rsid w:val="00600442"/>
    <w:rsid w:val="0060105E"/>
    <w:rsid w:val="00605D6E"/>
    <w:rsid w:val="00607BA5"/>
    <w:rsid w:val="00610E76"/>
    <w:rsid w:val="006112E8"/>
    <w:rsid w:val="0061180A"/>
    <w:rsid w:val="00611949"/>
    <w:rsid w:val="006137FA"/>
    <w:rsid w:val="00613DEA"/>
    <w:rsid w:val="006141D7"/>
    <w:rsid w:val="00620913"/>
    <w:rsid w:val="00620B9A"/>
    <w:rsid w:val="0062115D"/>
    <w:rsid w:val="00622833"/>
    <w:rsid w:val="00623F08"/>
    <w:rsid w:val="006245B1"/>
    <w:rsid w:val="00624894"/>
    <w:rsid w:val="00626EB6"/>
    <w:rsid w:val="006342F2"/>
    <w:rsid w:val="00634440"/>
    <w:rsid w:val="00637AFE"/>
    <w:rsid w:val="006400B5"/>
    <w:rsid w:val="00643187"/>
    <w:rsid w:val="00643EA0"/>
    <w:rsid w:val="00655D03"/>
    <w:rsid w:val="00655E0F"/>
    <w:rsid w:val="00656006"/>
    <w:rsid w:val="006609FD"/>
    <w:rsid w:val="00660ECC"/>
    <w:rsid w:val="006613BF"/>
    <w:rsid w:val="0066240B"/>
    <w:rsid w:val="00663217"/>
    <w:rsid w:val="006674D9"/>
    <w:rsid w:val="0067014A"/>
    <w:rsid w:val="006770DF"/>
    <w:rsid w:val="006771DD"/>
    <w:rsid w:val="00683388"/>
    <w:rsid w:val="00683F84"/>
    <w:rsid w:val="00685EF4"/>
    <w:rsid w:val="00687983"/>
    <w:rsid w:val="00694112"/>
    <w:rsid w:val="00696093"/>
    <w:rsid w:val="00696336"/>
    <w:rsid w:val="006968CC"/>
    <w:rsid w:val="006A22C0"/>
    <w:rsid w:val="006A26E4"/>
    <w:rsid w:val="006A423E"/>
    <w:rsid w:val="006A453A"/>
    <w:rsid w:val="006A4F38"/>
    <w:rsid w:val="006A6477"/>
    <w:rsid w:val="006A6A81"/>
    <w:rsid w:val="006A7B80"/>
    <w:rsid w:val="006B0337"/>
    <w:rsid w:val="006B4894"/>
    <w:rsid w:val="006B6C02"/>
    <w:rsid w:val="006C1128"/>
    <w:rsid w:val="006C76DE"/>
    <w:rsid w:val="006C7945"/>
    <w:rsid w:val="006D09C6"/>
    <w:rsid w:val="006D1817"/>
    <w:rsid w:val="006D42C1"/>
    <w:rsid w:val="006D4E51"/>
    <w:rsid w:val="006E21AE"/>
    <w:rsid w:val="006E4BE8"/>
    <w:rsid w:val="006E4D2D"/>
    <w:rsid w:val="006E6277"/>
    <w:rsid w:val="006E7CE3"/>
    <w:rsid w:val="006F7393"/>
    <w:rsid w:val="0070224F"/>
    <w:rsid w:val="0070433B"/>
    <w:rsid w:val="00705E9F"/>
    <w:rsid w:val="00707B11"/>
    <w:rsid w:val="00707FC4"/>
    <w:rsid w:val="00710CC9"/>
    <w:rsid w:val="0071129A"/>
    <w:rsid w:val="007115F7"/>
    <w:rsid w:val="007116D9"/>
    <w:rsid w:val="0072054B"/>
    <w:rsid w:val="00721E8D"/>
    <w:rsid w:val="007221CE"/>
    <w:rsid w:val="00724F36"/>
    <w:rsid w:val="00726417"/>
    <w:rsid w:val="00726680"/>
    <w:rsid w:val="00734F11"/>
    <w:rsid w:val="00734FCB"/>
    <w:rsid w:val="00742890"/>
    <w:rsid w:val="00743743"/>
    <w:rsid w:val="00745327"/>
    <w:rsid w:val="007507C8"/>
    <w:rsid w:val="00751018"/>
    <w:rsid w:val="00752B55"/>
    <w:rsid w:val="007535D9"/>
    <w:rsid w:val="007577ED"/>
    <w:rsid w:val="00760465"/>
    <w:rsid w:val="0076276B"/>
    <w:rsid w:val="007635B3"/>
    <w:rsid w:val="00781D25"/>
    <w:rsid w:val="00785689"/>
    <w:rsid w:val="00786876"/>
    <w:rsid w:val="007941D4"/>
    <w:rsid w:val="0079754B"/>
    <w:rsid w:val="007A1E6D"/>
    <w:rsid w:val="007A2438"/>
    <w:rsid w:val="007A28E1"/>
    <w:rsid w:val="007A4561"/>
    <w:rsid w:val="007A47E2"/>
    <w:rsid w:val="007A637C"/>
    <w:rsid w:val="007A6CCD"/>
    <w:rsid w:val="007B0EB2"/>
    <w:rsid w:val="007B3105"/>
    <w:rsid w:val="007B3BFD"/>
    <w:rsid w:val="007B3E71"/>
    <w:rsid w:val="007B5943"/>
    <w:rsid w:val="007B76D3"/>
    <w:rsid w:val="007B7CF3"/>
    <w:rsid w:val="007C3DD4"/>
    <w:rsid w:val="007C46F5"/>
    <w:rsid w:val="007C62C3"/>
    <w:rsid w:val="007C6662"/>
    <w:rsid w:val="007D10C3"/>
    <w:rsid w:val="007D2016"/>
    <w:rsid w:val="007D344B"/>
    <w:rsid w:val="007D3899"/>
    <w:rsid w:val="007D47C0"/>
    <w:rsid w:val="007D633C"/>
    <w:rsid w:val="007D648D"/>
    <w:rsid w:val="007E1D25"/>
    <w:rsid w:val="007E479D"/>
    <w:rsid w:val="007F0643"/>
    <w:rsid w:val="007F1480"/>
    <w:rsid w:val="007F215F"/>
    <w:rsid w:val="007F2FA3"/>
    <w:rsid w:val="007F3D2B"/>
    <w:rsid w:val="007F432A"/>
    <w:rsid w:val="00800CFA"/>
    <w:rsid w:val="00802060"/>
    <w:rsid w:val="0080266A"/>
    <w:rsid w:val="0080386E"/>
    <w:rsid w:val="00803FEF"/>
    <w:rsid w:val="00810B6F"/>
    <w:rsid w:val="00812472"/>
    <w:rsid w:val="00817081"/>
    <w:rsid w:val="00822CE0"/>
    <w:rsid w:val="00826507"/>
    <w:rsid w:val="008268FE"/>
    <w:rsid w:val="00826957"/>
    <w:rsid w:val="00827A39"/>
    <w:rsid w:val="00833F03"/>
    <w:rsid w:val="00834938"/>
    <w:rsid w:val="00841AB1"/>
    <w:rsid w:val="0084212A"/>
    <w:rsid w:val="0084461A"/>
    <w:rsid w:val="00845364"/>
    <w:rsid w:val="00845ACE"/>
    <w:rsid w:val="00851C03"/>
    <w:rsid w:val="00852E31"/>
    <w:rsid w:val="00854925"/>
    <w:rsid w:val="00854E4A"/>
    <w:rsid w:val="0085609C"/>
    <w:rsid w:val="008560FD"/>
    <w:rsid w:val="0085732B"/>
    <w:rsid w:val="0085764C"/>
    <w:rsid w:val="0086047B"/>
    <w:rsid w:val="00860546"/>
    <w:rsid w:val="00862CB1"/>
    <w:rsid w:val="0086419F"/>
    <w:rsid w:val="0086425B"/>
    <w:rsid w:val="0086425F"/>
    <w:rsid w:val="00867CD2"/>
    <w:rsid w:val="00870264"/>
    <w:rsid w:val="00870ADE"/>
    <w:rsid w:val="00871E45"/>
    <w:rsid w:val="00872B26"/>
    <w:rsid w:val="00872E86"/>
    <w:rsid w:val="00874276"/>
    <w:rsid w:val="0088058B"/>
    <w:rsid w:val="0088686D"/>
    <w:rsid w:val="008876E9"/>
    <w:rsid w:val="00890AFD"/>
    <w:rsid w:val="0089623C"/>
    <w:rsid w:val="00896E4E"/>
    <w:rsid w:val="008A0029"/>
    <w:rsid w:val="008A0FF1"/>
    <w:rsid w:val="008A1D5B"/>
    <w:rsid w:val="008A2435"/>
    <w:rsid w:val="008A32E7"/>
    <w:rsid w:val="008A3DEF"/>
    <w:rsid w:val="008A67EE"/>
    <w:rsid w:val="008B1F92"/>
    <w:rsid w:val="008B2CBD"/>
    <w:rsid w:val="008B3446"/>
    <w:rsid w:val="008B5F6F"/>
    <w:rsid w:val="008B72D1"/>
    <w:rsid w:val="008C1743"/>
    <w:rsid w:val="008C1957"/>
    <w:rsid w:val="008C1F46"/>
    <w:rsid w:val="008C2678"/>
    <w:rsid w:val="008C2F8D"/>
    <w:rsid w:val="008C35EA"/>
    <w:rsid w:val="008C68F1"/>
    <w:rsid w:val="008C6C27"/>
    <w:rsid w:val="008D3AFB"/>
    <w:rsid w:val="008D4424"/>
    <w:rsid w:val="008D5AF6"/>
    <w:rsid w:val="008D6F3C"/>
    <w:rsid w:val="008E05F1"/>
    <w:rsid w:val="008E51A6"/>
    <w:rsid w:val="008E5BD8"/>
    <w:rsid w:val="008E6D38"/>
    <w:rsid w:val="008F0858"/>
    <w:rsid w:val="008F2832"/>
    <w:rsid w:val="008F357B"/>
    <w:rsid w:val="00900E5F"/>
    <w:rsid w:val="00901DFD"/>
    <w:rsid w:val="009029E2"/>
    <w:rsid w:val="00902BA0"/>
    <w:rsid w:val="0090679B"/>
    <w:rsid w:val="009069AB"/>
    <w:rsid w:val="00907269"/>
    <w:rsid w:val="009076A6"/>
    <w:rsid w:val="0091130A"/>
    <w:rsid w:val="00913E8A"/>
    <w:rsid w:val="0091580E"/>
    <w:rsid w:val="00920165"/>
    <w:rsid w:val="00921803"/>
    <w:rsid w:val="00922EE9"/>
    <w:rsid w:val="00926503"/>
    <w:rsid w:val="00926E2A"/>
    <w:rsid w:val="00930A54"/>
    <w:rsid w:val="00931744"/>
    <w:rsid w:val="00932693"/>
    <w:rsid w:val="009326ED"/>
    <w:rsid w:val="0093437D"/>
    <w:rsid w:val="009359C1"/>
    <w:rsid w:val="00940B70"/>
    <w:rsid w:val="00942333"/>
    <w:rsid w:val="00944116"/>
    <w:rsid w:val="009513E7"/>
    <w:rsid w:val="009547DE"/>
    <w:rsid w:val="00954DB3"/>
    <w:rsid w:val="0095612A"/>
    <w:rsid w:val="0095750A"/>
    <w:rsid w:val="0096086B"/>
    <w:rsid w:val="009669BB"/>
    <w:rsid w:val="00967EED"/>
    <w:rsid w:val="00970E6C"/>
    <w:rsid w:val="009726D8"/>
    <w:rsid w:val="009768F7"/>
    <w:rsid w:val="00980E2A"/>
    <w:rsid w:val="00981C12"/>
    <w:rsid w:val="0098215A"/>
    <w:rsid w:val="00992D24"/>
    <w:rsid w:val="00994DE2"/>
    <w:rsid w:val="009950C4"/>
    <w:rsid w:val="009965DC"/>
    <w:rsid w:val="009A1032"/>
    <w:rsid w:val="009A1414"/>
    <w:rsid w:val="009A2C2F"/>
    <w:rsid w:val="009A3CBD"/>
    <w:rsid w:val="009A5C2D"/>
    <w:rsid w:val="009B2B32"/>
    <w:rsid w:val="009B3D6D"/>
    <w:rsid w:val="009B3FAA"/>
    <w:rsid w:val="009B5CC7"/>
    <w:rsid w:val="009B6384"/>
    <w:rsid w:val="009C092B"/>
    <w:rsid w:val="009C295F"/>
    <w:rsid w:val="009C4D85"/>
    <w:rsid w:val="009D0A0D"/>
    <w:rsid w:val="009D7308"/>
    <w:rsid w:val="009E2202"/>
    <w:rsid w:val="009E500C"/>
    <w:rsid w:val="009E535D"/>
    <w:rsid w:val="009E6431"/>
    <w:rsid w:val="009F24C1"/>
    <w:rsid w:val="009F76DB"/>
    <w:rsid w:val="00A004CF"/>
    <w:rsid w:val="00A02650"/>
    <w:rsid w:val="00A028E8"/>
    <w:rsid w:val="00A06F82"/>
    <w:rsid w:val="00A11047"/>
    <w:rsid w:val="00A13205"/>
    <w:rsid w:val="00A1421E"/>
    <w:rsid w:val="00A14B31"/>
    <w:rsid w:val="00A167F9"/>
    <w:rsid w:val="00A21AF9"/>
    <w:rsid w:val="00A23FA0"/>
    <w:rsid w:val="00A2688C"/>
    <w:rsid w:val="00A3056C"/>
    <w:rsid w:val="00A32C3B"/>
    <w:rsid w:val="00A32D66"/>
    <w:rsid w:val="00A35768"/>
    <w:rsid w:val="00A36929"/>
    <w:rsid w:val="00A4217B"/>
    <w:rsid w:val="00A42402"/>
    <w:rsid w:val="00A44B2A"/>
    <w:rsid w:val="00A45F4F"/>
    <w:rsid w:val="00A45F60"/>
    <w:rsid w:val="00A5081B"/>
    <w:rsid w:val="00A50864"/>
    <w:rsid w:val="00A5234F"/>
    <w:rsid w:val="00A5252C"/>
    <w:rsid w:val="00A54989"/>
    <w:rsid w:val="00A574D2"/>
    <w:rsid w:val="00A600A9"/>
    <w:rsid w:val="00A614BD"/>
    <w:rsid w:val="00A642AB"/>
    <w:rsid w:val="00A64E49"/>
    <w:rsid w:val="00A66942"/>
    <w:rsid w:val="00A73978"/>
    <w:rsid w:val="00A75A4D"/>
    <w:rsid w:val="00A833D0"/>
    <w:rsid w:val="00A84AF1"/>
    <w:rsid w:val="00A85981"/>
    <w:rsid w:val="00A875FB"/>
    <w:rsid w:val="00A93352"/>
    <w:rsid w:val="00A946A6"/>
    <w:rsid w:val="00A94ABD"/>
    <w:rsid w:val="00A95BCA"/>
    <w:rsid w:val="00AA0BD1"/>
    <w:rsid w:val="00AA2CF5"/>
    <w:rsid w:val="00AA55B7"/>
    <w:rsid w:val="00AA5B9E"/>
    <w:rsid w:val="00AB0E5D"/>
    <w:rsid w:val="00AB1D0C"/>
    <w:rsid w:val="00AB2407"/>
    <w:rsid w:val="00AB4AD6"/>
    <w:rsid w:val="00AB53DF"/>
    <w:rsid w:val="00AB675D"/>
    <w:rsid w:val="00AC1F27"/>
    <w:rsid w:val="00AC2BE4"/>
    <w:rsid w:val="00AC38C0"/>
    <w:rsid w:val="00AC4F94"/>
    <w:rsid w:val="00AC57A6"/>
    <w:rsid w:val="00AC6C39"/>
    <w:rsid w:val="00AC7B50"/>
    <w:rsid w:val="00AC7F8E"/>
    <w:rsid w:val="00AD0454"/>
    <w:rsid w:val="00AD200C"/>
    <w:rsid w:val="00AD367F"/>
    <w:rsid w:val="00AD46AF"/>
    <w:rsid w:val="00AE0A8A"/>
    <w:rsid w:val="00AE1549"/>
    <w:rsid w:val="00AE4033"/>
    <w:rsid w:val="00AE7610"/>
    <w:rsid w:val="00AF0728"/>
    <w:rsid w:val="00AF41D6"/>
    <w:rsid w:val="00AF5CFE"/>
    <w:rsid w:val="00B02257"/>
    <w:rsid w:val="00B06BE7"/>
    <w:rsid w:val="00B07E5C"/>
    <w:rsid w:val="00B107BC"/>
    <w:rsid w:val="00B11D9C"/>
    <w:rsid w:val="00B123E6"/>
    <w:rsid w:val="00B1413F"/>
    <w:rsid w:val="00B14A7B"/>
    <w:rsid w:val="00B14E79"/>
    <w:rsid w:val="00B15564"/>
    <w:rsid w:val="00B16750"/>
    <w:rsid w:val="00B222AD"/>
    <w:rsid w:val="00B232FC"/>
    <w:rsid w:val="00B24E14"/>
    <w:rsid w:val="00B27840"/>
    <w:rsid w:val="00B31DAC"/>
    <w:rsid w:val="00B34759"/>
    <w:rsid w:val="00B4127E"/>
    <w:rsid w:val="00B436D2"/>
    <w:rsid w:val="00B505DC"/>
    <w:rsid w:val="00B55812"/>
    <w:rsid w:val="00B56C30"/>
    <w:rsid w:val="00B5745F"/>
    <w:rsid w:val="00B6038B"/>
    <w:rsid w:val="00B60F9F"/>
    <w:rsid w:val="00B63379"/>
    <w:rsid w:val="00B660D8"/>
    <w:rsid w:val="00B70D2D"/>
    <w:rsid w:val="00B760A8"/>
    <w:rsid w:val="00B76575"/>
    <w:rsid w:val="00B811F7"/>
    <w:rsid w:val="00B8236D"/>
    <w:rsid w:val="00B85484"/>
    <w:rsid w:val="00B9307D"/>
    <w:rsid w:val="00B965E7"/>
    <w:rsid w:val="00BA1B96"/>
    <w:rsid w:val="00BA5DC6"/>
    <w:rsid w:val="00BA6196"/>
    <w:rsid w:val="00BA61AC"/>
    <w:rsid w:val="00BA6A44"/>
    <w:rsid w:val="00BA7726"/>
    <w:rsid w:val="00BB192E"/>
    <w:rsid w:val="00BB3141"/>
    <w:rsid w:val="00BB4FD5"/>
    <w:rsid w:val="00BC0BC4"/>
    <w:rsid w:val="00BC14E4"/>
    <w:rsid w:val="00BC28E8"/>
    <w:rsid w:val="00BC5C6C"/>
    <w:rsid w:val="00BC6D48"/>
    <w:rsid w:val="00BC6D8C"/>
    <w:rsid w:val="00BD15E4"/>
    <w:rsid w:val="00BD3611"/>
    <w:rsid w:val="00BD57C4"/>
    <w:rsid w:val="00BD7C89"/>
    <w:rsid w:val="00BE1B63"/>
    <w:rsid w:val="00BE2009"/>
    <w:rsid w:val="00BF0E66"/>
    <w:rsid w:val="00C007FE"/>
    <w:rsid w:val="00C019A5"/>
    <w:rsid w:val="00C02645"/>
    <w:rsid w:val="00C02B47"/>
    <w:rsid w:val="00C05932"/>
    <w:rsid w:val="00C05A79"/>
    <w:rsid w:val="00C10D19"/>
    <w:rsid w:val="00C13791"/>
    <w:rsid w:val="00C16CCD"/>
    <w:rsid w:val="00C24273"/>
    <w:rsid w:val="00C2574E"/>
    <w:rsid w:val="00C31C59"/>
    <w:rsid w:val="00C34006"/>
    <w:rsid w:val="00C36B4C"/>
    <w:rsid w:val="00C36DB5"/>
    <w:rsid w:val="00C377A1"/>
    <w:rsid w:val="00C426B1"/>
    <w:rsid w:val="00C432E2"/>
    <w:rsid w:val="00C4472B"/>
    <w:rsid w:val="00C44CE1"/>
    <w:rsid w:val="00C4560C"/>
    <w:rsid w:val="00C462F2"/>
    <w:rsid w:val="00C47E08"/>
    <w:rsid w:val="00C50792"/>
    <w:rsid w:val="00C516E2"/>
    <w:rsid w:val="00C53C1F"/>
    <w:rsid w:val="00C603BC"/>
    <w:rsid w:val="00C61592"/>
    <w:rsid w:val="00C62BCD"/>
    <w:rsid w:val="00C641B9"/>
    <w:rsid w:val="00C66160"/>
    <w:rsid w:val="00C6671E"/>
    <w:rsid w:val="00C7074F"/>
    <w:rsid w:val="00C721AC"/>
    <w:rsid w:val="00C73EF2"/>
    <w:rsid w:val="00C7412A"/>
    <w:rsid w:val="00C80770"/>
    <w:rsid w:val="00C81946"/>
    <w:rsid w:val="00C846CE"/>
    <w:rsid w:val="00C84D02"/>
    <w:rsid w:val="00C85CB8"/>
    <w:rsid w:val="00C8629F"/>
    <w:rsid w:val="00C86680"/>
    <w:rsid w:val="00C90D6A"/>
    <w:rsid w:val="00C91066"/>
    <w:rsid w:val="00CA247E"/>
    <w:rsid w:val="00CA2937"/>
    <w:rsid w:val="00CA468B"/>
    <w:rsid w:val="00CA4FBD"/>
    <w:rsid w:val="00CA6D21"/>
    <w:rsid w:val="00CB0056"/>
    <w:rsid w:val="00CB5198"/>
    <w:rsid w:val="00CB56CA"/>
    <w:rsid w:val="00CB62FE"/>
    <w:rsid w:val="00CC62A6"/>
    <w:rsid w:val="00CC62E1"/>
    <w:rsid w:val="00CC72B6"/>
    <w:rsid w:val="00CC7315"/>
    <w:rsid w:val="00CD0941"/>
    <w:rsid w:val="00CD0B69"/>
    <w:rsid w:val="00CD45ED"/>
    <w:rsid w:val="00CD6DE9"/>
    <w:rsid w:val="00CD7232"/>
    <w:rsid w:val="00CE215B"/>
    <w:rsid w:val="00CE3AD8"/>
    <w:rsid w:val="00CE4150"/>
    <w:rsid w:val="00CE5026"/>
    <w:rsid w:val="00CE50D9"/>
    <w:rsid w:val="00CE6F9A"/>
    <w:rsid w:val="00CF3082"/>
    <w:rsid w:val="00D0218D"/>
    <w:rsid w:val="00D05CC1"/>
    <w:rsid w:val="00D0664E"/>
    <w:rsid w:val="00D10DB9"/>
    <w:rsid w:val="00D13A74"/>
    <w:rsid w:val="00D156BA"/>
    <w:rsid w:val="00D17B18"/>
    <w:rsid w:val="00D20BC9"/>
    <w:rsid w:val="00D2367C"/>
    <w:rsid w:val="00D24D7B"/>
    <w:rsid w:val="00D251EE"/>
    <w:rsid w:val="00D25FB5"/>
    <w:rsid w:val="00D2647C"/>
    <w:rsid w:val="00D26A73"/>
    <w:rsid w:val="00D31443"/>
    <w:rsid w:val="00D31773"/>
    <w:rsid w:val="00D337DA"/>
    <w:rsid w:val="00D34B64"/>
    <w:rsid w:val="00D3722D"/>
    <w:rsid w:val="00D37A02"/>
    <w:rsid w:val="00D43F26"/>
    <w:rsid w:val="00D44223"/>
    <w:rsid w:val="00D46AB6"/>
    <w:rsid w:val="00D51626"/>
    <w:rsid w:val="00D53771"/>
    <w:rsid w:val="00D541C1"/>
    <w:rsid w:val="00D562D2"/>
    <w:rsid w:val="00D5731F"/>
    <w:rsid w:val="00D62EED"/>
    <w:rsid w:val="00D62FDB"/>
    <w:rsid w:val="00D667AE"/>
    <w:rsid w:val="00D66974"/>
    <w:rsid w:val="00D70623"/>
    <w:rsid w:val="00D71FC3"/>
    <w:rsid w:val="00D74324"/>
    <w:rsid w:val="00D74763"/>
    <w:rsid w:val="00D75653"/>
    <w:rsid w:val="00D815A9"/>
    <w:rsid w:val="00D84342"/>
    <w:rsid w:val="00D9023E"/>
    <w:rsid w:val="00D927FE"/>
    <w:rsid w:val="00D93F6E"/>
    <w:rsid w:val="00D9579A"/>
    <w:rsid w:val="00DA118A"/>
    <w:rsid w:val="00DA2529"/>
    <w:rsid w:val="00DA2A3D"/>
    <w:rsid w:val="00DA3DF3"/>
    <w:rsid w:val="00DB130A"/>
    <w:rsid w:val="00DB2D86"/>
    <w:rsid w:val="00DB2EBB"/>
    <w:rsid w:val="00DB412B"/>
    <w:rsid w:val="00DB72F6"/>
    <w:rsid w:val="00DC05A4"/>
    <w:rsid w:val="00DC10A1"/>
    <w:rsid w:val="00DC5621"/>
    <w:rsid w:val="00DC655F"/>
    <w:rsid w:val="00DC6FDC"/>
    <w:rsid w:val="00DC78D2"/>
    <w:rsid w:val="00DC7CFC"/>
    <w:rsid w:val="00DD0B1F"/>
    <w:rsid w:val="00DD0B59"/>
    <w:rsid w:val="00DD488C"/>
    <w:rsid w:val="00DD57CE"/>
    <w:rsid w:val="00DD62B0"/>
    <w:rsid w:val="00DD7D12"/>
    <w:rsid w:val="00DD7EBD"/>
    <w:rsid w:val="00DE0395"/>
    <w:rsid w:val="00DE13F2"/>
    <w:rsid w:val="00DE56FD"/>
    <w:rsid w:val="00DE75BB"/>
    <w:rsid w:val="00DF1A6E"/>
    <w:rsid w:val="00DF34B6"/>
    <w:rsid w:val="00DF62B6"/>
    <w:rsid w:val="00DF680C"/>
    <w:rsid w:val="00E00654"/>
    <w:rsid w:val="00E0425A"/>
    <w:rsid w:val="00E07225"/>
    <w:rsid w:val="00E108D8"/>
    <w:rsid w:val="00E15893"/>
    <w:rsid w:val="00E206BD"/>
    <w:rsid w:val="00E21868"/>
    <w:rsid w:val="00E2492C"/>
    <w:rsid w:val="00E249DB"/>
    <w:rsid w:val="00E25843"/>
    <w:rsid w:val="00E30CB3"/>
    <w:rsid w:val="00E356BE"/>
    <w:rsid w:val="00E36E3B"/>
    <w:rsid w:val="00E40887"/>
    <w:rsid w:val="00E41857"/>
    <w:rsid w:val="00E41B02"/>
    <w:rsid w:val="00E5075A"/>
    <w:rsid w:val="00E5359E"/>
    <w:rsid w:val="00E5409F"/>
    <w:rsid w:val="00E550BB"/>
    <w:rsid w:val="00E57605"/>
    <w:rsid w:val="00E64AC9"/>
    <w:rsid w:val="00E65905"/>
    <w:rsid w:val="00E703F0"/>
    <w:rsid w:val="00E7073A"/>
    <w:rsid w:val="00E72817"/>
    <w:rsid w:val="00E76B3D"/>
    <w:rsid w:val="00E80C93"/>
    <w:rsid w:val="00E83B69"/>
    <w:rsid w:val="00E91EDA"/>
    <w:rsid w:val="00E955ED"/>
    <w:rsid w:val="00E958CA"/>
    <w:rsid w:val="00E96C68"/>
    <w:rsid w:val="00EA2398"/>
    <w:rsid w:val="00EA2C16"/>
    <w:rsid w:val="00EA37D6"/>
    <w:rsid w:val="00EA3EE5"/>
    <w:rsid w:val="00EB081B"/>
    <w:rsid w:val="00EB1945"/>
    <w:rsid w:val="00EB4AC7"/>
    <w:rsid w:val="00EB68FB"/>
    <w:rsid w:val="00EB7586"/>
    <w:rsid w:val="00EC102C"/>
    <w:rsid w:val="00EC32F6"/>
    <w:rsid w:val="00EC3402"/>
    <w:rsid w:val="00EC687D"/>
    <w:rsid w:val="00EC7D48"/>
    <w:rsid w:val="00ED20C6"/>
    <w:rsid w:val="00ED3FC6"/>
    <w:rsid w:val="00ED4726"/>
    <w:rsid w:val="00ED6634"/>
    <w:rsid w:val="00ED770E"/>
    <w:rsid w:val="00ED7C19"/>
    <w:rsid w:val="00EE1159"/>
    <w:rsid w:val="00EE5D54"/>
    <w:rsid w:val="00EE6488"/>
    <w:rsid w:val="00EF6A63"/>
    <w:rsid w:val="00EF7B45"/>
    <w:rsid w:val="00F01409"/>
    <w:rsid w:val="00F021FA"/>
    <w:rsid w:val="00F02DB8"/>
    <w:rsid w:val="00F03847"/>
    <w:rsid w:val="00F06E5F"/>
    <w:rsid w:val="00F15C40"/>
    <w:rsid w:val="00F173DD"/>
    <w:rsid w:val="00F177AD"/>
    <w:rsid w:val="00F212FB"/>
    <w:rsid w:val="00F24659"/>
    <w:rsid w:val="00F24F1F"/>
    <w:rsid w:val="00F25CB0"/>
    <w:rsid w:val="00F308D2"/>
    <w:rsid w:val="00F30C4E"/>
    <w:rsid w:val="00F34469"/>
    <w:rsid w:val="00F35AE3"/>
    <w:rsid w:val="00F43C28"/>
    <w:rsid w:val="00F473FD"/>
    <w:rsid w:val="00F507F1"/>
    <w:rsid w:val="00F519A0"/>
    <w:rsid w:val="00F52D51"/>
    <w:rsid w:val="00F54A34"/>
    <w:rsid w:val="00F57488"/>
    <w:rsid w:val="00F61D42"/>
    <w:rsid w:val="00F62D67"/>
    <w:rsid w:val="00F62E97"/>
    <w:rsid w:val="00F63199"/>
    <w:rsid w:val="00F63BE6"/>
    <w:rsid w:val="00F64209"/>
    <w:rsid w:val="00F64375"/>
    <w:rsid w:val="00F64EEF"/>
    <w:rsid w:val="00F673C3"/>
    <w:rsid w:val="00F70990"/>
    <w:rsid w:val="00F70BEB"/>
    <w:rsid w:val="00F74678"/>
    <w:rsid w:val="00F82757"/>
    <w:rsid w:val="00F83705"/>
    <w:rsid w:val="00F85DBC"/>
    <w:rsid w:val="00F86687"/>
    <w:rsid w:val="00F93BF5"/>
    <w:rsid w:val="00F94156"/>
    <w:rsid w:val="00F95A57"/>
    <w:rsid w:val="00F96CC3"/>
    <w:rsid w:val="00FA091B"/>
    <w:rsid w:val="00FA1900"/>
    <w:rsid w:val="00FA2EE8"/>
    <w:rsid w:val="00FA394C"/>
    <w:rsid w:val="00FA69FC"/>
    <w:rsid w:val="00FA77E3"/>
    <w:rsid w:val="00FB1AEB"/>
    <w:rsid w:val="00FB6BB6"/>
    <w:rsid w:val="00FB71B9"/>
    <w:rsid w:val="00FB7A04"/>
    <w:rsid w:val="00FC1A3D"/>
    <w:rsid w:val="00FD1EC9"/>
    <w:rsid w:val="00FD37AC"/>
    <w:rsid w:val="00FD474C"/>
    <w:rsid w:val="00FD5075"/>
    <w:rsid w:val="00FD5B9B"/>
    <w:rsid w:val="00FD7EAE"/>
    <w:rsid w:val="00FD7F3F"/>
    <w:rsid w:val="00FE29E3"/>
    <w:rsid w:val="00FE3045"/>
    <w:rsid w:val="00FE3AAF"/>
    <w:rsid w:val="00FE4972"/>
    <w:rsid w:val="00FE5D91"/>
    <w:rsid w:val="00FE6228"/>
    <w:rsid w:val="00FF1AEC"/>
    <w:rsid w:val="00FF236E"/>
    <w:rsid w:val="00FF26EF"/>
    <w:rsid w:val="00FF398B"/>
    <w:rsid w:val="113D4713"/>
    <w:rsid w:val="123B2EDC"/>
    <w:rsid w:val="19BF5F2E"/>
    <w:rsid w:val="1BA03AAE"/>
    <w:rsid w:val="223A60B4"/>
    <w:rsid w:val="28FBF8CC"/>
    <w:rsid w:val="2936118C"/>
    <w:rsid w:val="31937CD7"/>
    <w:rsid w:val="337D8CD7"/>
    <w:rsid w:val="3D32C163"/>
    <w:rsid w:val="458B17D2"/>
    <w:rsid w:val="5247F31F"/>
    <w:rsid w:val="53E47B7D"/>
    <w:rsid w:val="543A6E7B"/>
    <w:rsid w:val="5879BEF1"/>
    <w:rsid w:val="5D1624C7"/>
    <w:rsid w:val="5E1B28AD"/>
    <w:rsid w:val="62B7F764"/>
    <w:rsid w:val="6A84F2BA"/>
    <w:rsid w:val="6B744AA6"/>
    <w:rsid w:val="6B9A2C73"/>
    <w:rsid w:val="752EFE50"/>
    <w:rsid w:val="78D3D6FC"/>
    <w:rsid w:val="7AEC1812"/>
    <w:rsid w:val="7B3BB1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0F6E79F1"/>
  <w15:docId w15:val="{F776EAC2-925F-49CB-86C7-EC019D70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B0"/>
    <w:pPr>
      <w:widowControl w:val="0"/>
    </w:pPr>
    <w:rPr>
      <w:snapToGrid w:val="0"/>
      <w:kern w:val="28"/>
      <w:sz w:val="22"/>
    </w:rPr>
  </w:style>
  <w:style w:type="paragraph" w:styleId="Heading1">
    <w:name w:val="heading 1"/>
    <w:basedOn w:val="Normal"/>
    <w:next w:val="ParaNum"/>
    <w:link w:val="Heading1Char"/>
    <w:qFormat/>
    <w:rsid w:val="00DD62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62B0"/>
    <w:pPr>
      <w:keepNext/>
      <w:numPr>
        <w:ilvl w:val="1"/>
        <w:numId w:val="3"/>
      </w:numPr>
      <w:spacing w:after="120"/>
      <w:outlineLvl w:val="1"/>
    </w:pPr>
    <w:rPr>
      <w:b/>
    </w:rPr>
  </w:style>
  <w:style w:type="paragraph" w:styleId="Heading3">
    <w:name w:val="heading 3"/>
    <w:basedOn w:val="Normal"/>
    <w:next w:val="ParaNum"/>
    <w:link w:val="Heading3Char"/>
    <w:qFormat/>
    <w:rsid w:val="00DD62B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D62B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D62B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D62B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D62B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D62B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D62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62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2B0"/>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Char1"/>
    <w:rsid w:val="00DD62B0"/>
    <w:pPr>
      <w:numPr>
        <w:numId w:val="2"/>
      </w:numPr>
      <w:tabs>
        <w:tab w:val="clear" w:pos="1080"/>
        <w:tab w:val="num" w:pos="1440"/>
      </w:tabs>
      <w:spacing w:after="120"/>
    </w:pPr>
  </w:style>
  <w:style w:type="paragraph" w:styleId="EndnoteText">
    <w:name w:val="endnote text"/>
    <w:basedOn w:val="Normal"/>
    <w:link w:val="EndnoteTextChar"/>
    <w:semiHidden/>
    <w:rsid w:val="00DD62B0"/>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DD62B0"/>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
    <w:link w:val="FootnoteTextChar"/>
    <w:rsid w:val="00DD62B0"/>
    <w:pPr>
      <w:spacing w:after="120"/>
    </w:pPr>
  </w:style>
  <w:style w:type="character" w:customStyle="1" w:styleId="UnresolvedMention">
    <w:name w:val="Unresolved Mention"/>
    <w:basedOn w:val="DefaultParagraphFont"/>
    <w:uiPriority w:val="99"/>
    <w:rsid w:val="002F5DEF"/>
    <w:rPr>
      <w:rFonts w:cs="Times New Roman"/>
      <w:color w:val="605E5C"/>
      <w:shd w:val="clear" w:color="auto" w:fill="E1DFDD"/>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D62B0"/>
    <w:rPr>
      <w:rFonts w:ascii="Times New Roman" w:hAnsi="Times New Roman"/>
      <w:dstrike w:val="0"/>
      <w:color w:val="auto"/>
      <w:sz w:val="20"/>
      <w:vertAlign w:val="superscript"/>
    </w:rPr>
  </w:style>
  <w:style w:type="paragraph" w:styleId="TOC1">
    <w:name w:val="toc 1"/>
    <w:basedOn w:val="Normal"/>
    <w:next w:val="Normal"/>
    <w:semiHidden/>
    <w:rsid w:val="00DD62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62B0"/>
    <w:pPr>
      <w:tabs>
        <w:tab w:val="left" w:pos="720"/>
        <w:tab w:val="right" w:leader="dot" w:pos="9360"/>
      </w:tabs>
      <w:suppressAutoHyphens/>
      <w:ind w:left="720" w:right="720" w:hanging="360"/>
    </w:pPr>
    <w:rPr>
      <w:noProof/>
    </w:rPr>
  </w:style>
  <w:style w:type="paragraph" w:styleId="TOC3">
    <w:name w:val="toc 3"/>
    <w:basedOn w:val="Normal"/>
    <w:next w:val="Normal"/>
    <w:semiHidden/>
    <w:rsid w:val="00DD62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62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62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62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62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62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62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62B0"/>
    <w:pPr>
      <w:tabs>
        <w:tab w:val="right" w:pos="9360"/>
      </w:tabs>
      <w:suppressAutoHyphens/>
    </w:pPr>
  </w:style>
  <w:style w:type="character" w:customStyle="1" w:styleId="EquationCaption">
    <w:name w:val="_Equation Caption"/>
    <w:rsid w:val="00DD62B0"/>
  </w:style>
  <w:style w:type="paragraph" w:styleId="Header">
    <w:name w:val="header"/>
    <w:basedOn w:val="Normal"/>
    <w:link w:val="HeaderChar"/>
    <w:autoRedefine/>
    <w:rsid w:val="00DD62B0"/>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DD62B0"/>
    <w:pPr>
      <w:tabs>
        <w:tab w:val="center" w:pos="4320"/>
        <w:tab w:val="right" w:pos="8640"/>
      </w:tabs>
    </w:pPr>
  </w:style>
  <w:style w:type="character" w:customStyle="1" w:styleId="FooterChar">
    <w:name w:val="Footer Char"/>
    <w:link w:val="Footer"/>
    <w:uiPriority w:val="99"/>
    <w:locked/>
    <w:rsid w:val="00DD62B0"/>
    <w:rPr>
      <w:snapToGrid w:val="0"/>
      <w:kern w:val="28"/>
      <w:sz w:val="22"/>
    </w:rPr>
  </w:style>
  <w:style w:type="character" w:styleId="PageNumber">
    <w:name w:val="page number"/>
    <w:basedOn w:val="DefaultParagraphFont"/>
    <w:rsid w:val="00DD62B0"/>
  </w:style>
  <w:style w:type="paragraph" w:styleId="BlockText">
    <w:name w:val="Block Text"/>
    <w:basedOn w:val="Normal"/>
    <w:rsid w:val="00DD62B0"/>
    <w:pPr>
      <w:spacing w:after="240"/>
      <w:ind w:left="1440" w:right="1440"/>
    </w:pPr>
  </w:style>
  <w:style w:type="paragraph" w:customStyle="1" w:styleId="Paratitle">
    <w:name w:val="Para title"/>
    <w:basedOn w:val="Normal"/>
    <w:rsid w:val="00DD62B0"/>
    <w:pPr>
      <w:tabs>
        <w:tab w:val="center" w:pos="9270"/>
      </w:tabs>
      <w:spacing w:after="240"/>
    </w:pPr>
    <w:rPr>
      <w:spacing w:val="-2"/>
    </w:rPr>
  </w:style>
  <w:style w:type="paragraph" w:customStyle="1" w:styleId="Bullet">
    <w:name w:val="Bullet"/>
    <w:basedOn w:val="Normal"/>
    <w:rsid w:val="00DD62B0"/>
    <w:pPr>
      <w:tabs>
        <w:tab w:val="left" w:pos="2160"/>
      </w:tabs>
      <w:spacing w:after="220"/>
      <w:ind w:left="2160" w:hanging="720"/>
    </w:pPr>
  </w:style>
  <w:style w:type="paragraph" w:customStyle="1" w:styleId="TableFormat">
    <w:name w:val="TableFormat"/>
    <w:basedOn w:val="Bullet"/>
    <w:rsid w:val="00DD62B0"/>
    <w:pPr>
      <w:tabs>
        <w:tab w:val="clear" w:pos="2160"/>
        <w:tab w:val="left" w:pos="5040"/>
      </w:tabs>
      <w:ind w:left="5040" w:hanging="3600"/>
    </w:pPr>
  </w:style>
  <w:style w:type="paragraph" w:customStyle="1" w:styleId="TOCTitle">
    <w:name w:val="TOC Title"/>
    <w:basedOn w:val="Normal"/>
    <w:rsid w:val="00DD62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62B0"/>
    <w:pPr>
      <w:jc w:val="center"/>
    </w:pPr>
    <w:rPr>
      <w:rFonts w:ascii="Times New Roman Bold" w:hAnsi="Times New Roman Bold"/>
      <w:b/>
      <w:bCs/>
      <w:caps/>
      <w:szCs w:val="22"/>
    </w:rPr>
  </w:style>
  <w:style w:type="character" w:styleId="Hyperlink">
    <w:name w:val="Hyperlink"/>
    <w:rsid w:val="00DD62B0"/>
    <w:rPr>
      <w:color w:val="0000FF"/>
      <w:u w:val="single"/>
    </w:rPr>
  </w:style>
  <w:style w:type="character" w:styleId="CommentReference">
    <w:name w:val="annotation reference"/>
    <w:basedOn w:val="DefaultParagraphFont"/>
    <w:uiPriority w:val="99"/>
    <w:rsid w:val="00CD0941"/>
    <w:rPr>
      <w:rFonts w:cs="Times New Roman"/>
      <w:sz w:val="16"/>
      <w:szCs w:val="16"/>
    </w:rPr>
  </w:style>
  <w:style w:type="paragraph" w:styleId="CommentText">
    <w:name w:val="annotation text"/>
    <w:basedOn w:val="Normal"/>
    <w:link w:val="CommentTextChar"/>
    <w:uiPriority w:val="99"/>
    <w:rsid w:val="00CD0941"/>
    <w:rPr>
      <w:sz w:val="20"/>
    </w:rPr>
  </w:style>
  <w:style w:type="character" w:customStyle="1" w:styleId="CommentTextChar">
    <w:name w:val="Comment Text Char"/>
    <w:basedOn w:val="DefaultParagraphFont"/>
    <w:link w:val="CommentText"/>
    <w:uiPriority w:val="99"/>
    <w:locked/>
    <w:rsid w:val="00CD0941"/>
    <w:rPr>
      <w:rFonts w:cs="Times New Roman"/>
      <w:kern w:val="28"/>
    </w:rPr>
  </w:style>
  <w:style w:type="paragraph" w:styleId="CommentSubject">
    <w:name w:val="annotation subject"/>
    <w:basedOn w:val="CommentText"/>
    <w:next w:val="CommentText"/>
    <w:link w:val="CommentSubjectChar"/>
    <w:uiPriority w:val="99"/>
    <w:rsid w:val="00CD0941"/>
    <w:rPr>
      <w:b/>
      <w:bCs/>
    </w:rPr>
  </w:style>
  <w:style w:type="character" w:customStyle="1" w:styleId="CommentSubjectChar">
    <w:name w:val="Comment Subject Char"/>
    <w:basedOn w:val="CommentTextChar"/>
    <w:link w:val="CommentSubject"/>
    <w:uiPriority w:val="99"/>
    <w:locked/>
    <w:rsid w:val="00CD0941"/>
    <w:rPr>
      <w:rFonts w:cs="Times New Roman"/>
      <w:b/>
      <w:bCs/>
      <w:kern w:val="28"/>
    </w:rPr>
  </w:style>
  <w:style w:type="paragraph" w:styleId="BalloonText">
    <w:name w:val="Balloon Text"/>
    <w:basedOn w:val="Normal"/>
    <w:link w:val="BalloonTextChar"/>
    <w:uiPriority w:val="99"/>
    <w:semiHidden/>
    <w:unhideWhenUsed/>
    <w:rsid w:val="00CD094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0941"/>
    <w:rPr>
      <w:rFonts w:ascii="Segoe UI" w:hAnsi="Segoe UI" w:cs="Segoe UI"/>
      <w:kern w:val="28"/>
      <w:sz w:val="18"/>
      <w:szCs w:val="18"/>
    </w:rPr>
  </w:style>
  <w:style w:type="character" w:customStyle="1" w:styleId="UnresolvedMention1">
    <w:name w:val="Unresolved Mention1"/>
    <w:basedOn w:val="DefaultParagraphFont"/>
    <w:uiPriority w:val="99"/>
    <w:semiHidden/>
    <w:unhideWhenUsed/>
    <w:rsid w:val="00214937"/>
    <w:rPr>
      <w:rFonts w:cs="Times New Roman"/>
      <w:color w:val="605E5C"/>
      <w:shd w:val="clear" w:color="auto" w:fill="E1DFDD"/>
    </w:rPr>
  </w:style>
  <w:style w:type="character" w:customStyle="1" w:styleId="ParaNumCharChar1">
    <w:name w:val="ParaNum Char Char1"/>
    <w:link w:val="ParaNum"/>
    <w:locked/>
    <w:rsid w:val="0009358F"/>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1"/>
    <w:basedOn w:val="DefaultParagraphFont"/>
    <w:link w:val="FootnoteText"/>
    <w:locked/>
    <w:rsid w:val="0009358F"/>
  </w:style>
  <w:style w:type="character" w:styleId="Strong">
    <w:name w:val="Strong"/>
    <w:basedOn w:val="DefaultParagraphFont"/>
    <w:uiPriority w:val="22"/>
    <w:qFormat/>
    <w:rsid w:val="00D562D2"/>
    <w:rPr>
      <w:rFonts w:cs="Times New Roman"/>
      <w:b/>
      <w:bCs/>
    </w:rPr>
  </w:style>
  <w:style w:type="character" w:customStyle="1" w:styleId="ae-compliance-indent">
    <w:name w:val="ae-compliance-indent"/>
    <w:basedOn w:val="DefaultParagraphFont"/>
    <w:rsid w:val="00D562D2"/>
    <w:rPr>
      <w:rFonts w:cs="Times New Roman"/>
    </w:rPr>
  </w:style>
  <w:style w:type="character" w:styleId="Emphasis">
    <w:name w:val="Emphasis"/>
    <w:basedOn w:val="DefaultParagraphFont"/>
    <w:uiPriority w:val="20"/>
    <w:qFormat/>
    <w:rsid w:val="00A95BCA"/>
    <w:rPr>
      <w:i/>
      <w:iCs/>
    </w:rPr>
  </w:style>
  <w:style w:type="paragraph" w:styleId="Revision">
    <w:name w:val="Revision"/>
    <w:hidden/>
    <w:uiPriority w:val="99"/>
    <w:semiHidden/>
    <w:rsid w:val="00484668"/>
    <w:rPr>
      <w:kern w:val="28"/>
      <w:sz w:val="22"/>
    </w:rPr>
  </w:style>
  <w:style w:type="character" w:styleId="FollowedHyperlink">
    <w:name w:val="FollowedHyperlink"/>
    <w:basedOn w:val="DefaultParagraphFont"/>
    <w:rsid w:val="009E5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high-cost/documents/Budget-Analysis/2021-2022-Budget-Analysis.xlsx" TargetMode="External" /><Relationship Id="rId2" Type="http://schemas.openxmlformats.org/officeDocument/2006/relationships/hyperlink" Target="https://www.usac.org/wp-content/uploads/high-cost/documents/Budget-Analysis/2020-2021-Budget-Analysis.xlsx" TargetMode="External" /><Relationship Id="rId3" Type="http://schemas.openxmlformats.org/officeDocument/2006/relationships/hyperlink" Target="https://www.usac.org/high-cost/resources/rules-orders/budget-control-mechanism/" TargetMode="External" /><Relationship Id="rId4" Type="http://schemas.openxmlformats.org/officeDocument/2006/relationships/hyperlink" Target="https://www.fcc.gov/coronaviru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