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DE72D3" w:rsidRPr="005577AD" w:rsidP="00DE72D3">
      <w:pPr>
        <w:jc w:val="center"/>
        <w:rPr>
          <w:b/>
          <w:bCs/>
          <w:caps/>
          <w:szCs w:val="22"/>
        </w:rPr>
      </w:pPr>
      <w:r>
        <w:rPr>
          <w:b/>
          <w:bCs/>
          <w:caps/>
          <w:szCs w:val="22"/>
        </w:rPr>
        <w:t>chairman ajit pai</w:t>
      </w:r>
    </w:p>
    <w:p w:rsidR="00DE72D3" w:rsidRPr="005577AD" w:rsidP="00DE72D3">
      <w:pPr>
        <w:jc w:val="center"/>
        <w:rPr>
          <w:b/>
          <w:bCs/>
          <w:caps/>
          <w:szCs w:val="22"/>
        </w:rPr>
      </w:pPr>
    </w:p>
    <w:p w:rsidR="00DE72D3" w:rsidRPr="005577AD" w:rsidP="003E0D3E">
      <w:pPr>
        <w:ind w:left="720" w:hanging="720"/>
        <w:rPr>
          <w:i/>
          <w:iCs/>
          <w:szCs w:val="22"/>
        </w:rPr>
      </w:pPr>
      <w:r w:rsidRPr="005577AD">
        <w:rPr>
          <w:iCs/>
          <w:szCs w:val="22"/>
        </w:rPr>
        <w:t>Re:</w:t>
      </w:r>
      <w:r w:rsidRPr="005577AD">
        <w:rPr>
          <w:szCs w:val="22"/>
        </w:rPr>
        <w:t xml:space="preserve">  </w:t>
      </w:r>
      <w:r w:rsidRPr="005577AD">
        <w:rPr>
          <w:szCs w:val="22"/>
        </w:rPr>
        <w:tab/>
      </w:r>
      <w:r w:rsidRPr="00B65215" w:rsidR="00477261">
        <w:rPr>
          <w:i/>
        </w:rPr>
        <w:t>Amendment of Section 73.3613 of the Commission’s Rules Regarding Filing of Contracts</w:t>
      </w:r>
      <w:r w:rsidR="00477261">
        <w:t>,</w:t>
      </w:r>
      <w:r w:rsidRPr="00B65215" w:rsidR="00477261">
        <w:t xml:space="preserve"> MB Docket No. 18-4;</w:t>
      </w:r>
      <w:r w:rsidRPr="00B65215" w:rsidR="00477261">
        <w:rPr>
          <w:i/>
        </w:rPr>
        <w:t xml:space="preserve"> Modernization of Media Regulation Initiative</w:t>
      </w:r>
      <w:r w:rsidRPr="00B65215" w:rsidR="00477261">
        <w:t>, MB Docket No. 17-105.</w:t>
      </w:r>
    </w:p>
    <w:p w:rsidR="00DE72D3" w:rsidRPr="005577AD" w:rsidP="00DE72D3">
      <w:pPr>
        <w:ind w:firstLine="720"/>
        <w:rPr>
          <w:szCs w:val="22"/>
        </w:rPr>
      </w:pPr>
    </w:p>
    <w:p w:rsidR="00477261" w:rsidRPr="00477261" w:rsidP="006E7A00">
      <w:pPr>
        <w:ind w:firstLine="720"/>
        <w:rPr>
          <w:rFonts w:eastAsia="Calibri"/>
          <w:snapToGrid/>
        </w:rPr>
      </w:pPr>
      <w:r w:rsidRPr="00477261">
        <w:rPr>
          <w:rFonts w:eastAsia="Calibri"/>
          <w:snapToGrid/>
        </w:rPr>
        <w:t xml:space="preserve">Back in 1939, </w:t>
      </w:r>
      <w:r w:rsidRPr="00477261">
        <w:rPr>
          <w:rFonts w:eastAsia="Calibri"/>
          <w:i/>
          <w:snapToGrid/>
        </w:rPr>
        <w:t>The Wizard of Oz</w:t>
      </w:r>
      <w:r w:rsidRPr="00477261">
        <w:rPr>
          <w:rFonts w:eastAsia="Calibri"/>
          <w:snapToGrid/>
        </w:rPr>
        <w:t xml:space="preserve"> first hit the silver screen.  That same year, the FCC began requiring broadcast station licensees and permittees to file with us hard copies of certain contracts and other documents relating to station ownership and operation.</w:t>
      </w:r>
    </w:p>
    <w:p w:rsidR="006E7A00" w:rsidP="006E7A00">
      <w:pPr>
        <w:rPr>
          <w:rFonts w:eastAsia="Calibri"/>
          <w:snapToGrid/>
        </w:rPr>
      </w:pPr>
    </w:p>
    <w:p w:rsidR="00477261" w:rsidRPr="00477261" w:rsidP="006E7A00">
      <w:pPr>
        <w:ind w:firstLine="720"/>
        <w:rPr>
          <w:rFonts w:eastAsia="Calibri"/>
          <w:snapToGrid/>
        </w:rPr>
      </w:pPr>
      <w:r w:rsidRPr="00477261">
        <w:rPr>
          <w:rFonts w:eastAsia="Calibri"/>
          <w:snapToGrid/>
        </w:rPr>
        <w:t xml:space="preserve">Many still consider </w:t>
      </w:r>
      <w:r w:rsidRPr="00477261">
        <w:rPr>
          <w:rFonts w:eastAsia="Calibri"/>
          <w:i/>
          <w:snapToGrid/>
        </w:rPr>
        <w:t>The Wizard of Oz</w:t>
      </w:r>
      <w:r w:rsidRPr="00477261">
        <w:rPr>
          <w:rFonts w:eastAsia="Calibri"/>
          <w:snapToGrid/>
        </w:rPr>
        <w:t xml:space="preserve"> to be a timeless classic and one of the greatest films of all time.  But our broadcast contract filing rules haven’t aged so gracefully.</w:t>
      </w:r>
    </w:p>
    <w:p w:rsidR="006E7A00" w:rsidP="006E7A00">
      <w:pPr>
        <w:rPr>
          <w:rFonts w:eastAsia="Calibri"/>
          <w:snapToGrid/>
        </w:rPr>
      </w:pPr>
    </w:p>
    <w:p w:rsidR="00477261" w:rsidRPr="00477261" w:rsidP="006E7A00">
      <w:pPr>
        <w:ind w:firstLine="720"/>
        <w:rPr>
          <w:rFonts w:eastAsia="Calibri"/>
          <w:snapToGrid/>
        </w:rPr>
      </w:pPr>
      <w:r w:rsidRPr="00477261">
        <w:rPr>
          <w:rFonts w:eastAsia="Calibri"/>
          <w:snapToGrid/>
        </w:rPr>
        <w:t>Paper filings may once have been the most efficient mechanism for ensuring these documents were accessible to the FCC and the public.  But in the digital age, this requirement no longer makes sense.  As a result of updates in 2012 to our public file rules, broadcasters are required to make these same documents available via their online public inspection files.  Online access would continue even if we ultimately eliminate the paper filing requirement.</w:t>
      </w:r>
    </w:p>
    <w:p w:rsidR="006E7A00" w:rsidP="006E7A00">
      <w:pPr>
        <w:rPr>
          <w:rFonts w:eastAsia="Calibri"/>
          <w:snapToGrid/>
        </w:rPr>
      </w:pPr>
    </w:p>
    <w:p w:rsidR="00122BD5" w:rsidRPr="00E1314F" w:rsidP="00E1314F">
      <w:pPr>
        <w:ind w:firstLine="720"/>
        <w:rPr>
          <w:rFonts w:eastAsia="Calibri"/>
          <w:i/>
          <w:snapToGrid/>
        </w:rPr>
      </w:pPr>
      <w:r w:rsidRPr="00477261">
        <w:rPr>
          <w:rFonts w:eastAsia="Calibri"/>
          <w:snapToGrid/>
        </w:rPr>
        <w:t xml:space="preserve">I’d like to thank the dedicated staff who worked on this </w:t>
      </w:r>
      <w:r w:rsidRPr="00477261">
        <w:rPr>
          <w:rFonts w:eastAsia="Calibri"/>
          <w:i/>
          <w:snapToGrid/>
        </w:rPr>
        <w:t>Notice</w:t>
      </w:r>
      <w:r w:rsidRPr="00477261">
        <w:rPr>
          <w:rFonts w:eastAsia="Calibri"/>
          <w:snapToGrid/>
        </w:rPr>
        <w:t>: Ben Arden, Michelle Carey, Christopher Clark, Martha Heller, Brendan Holland, and Mary Beth Murphy of the Media Bureau, and Susan Aaron and Dave Konczal from the Office of General Counsel</w:t>
      </w:r>
      <w:r w:rsidRPr="00477261">
        <w:rPr>
          <w:rFonts w:eastAsia="Calibri"/>
          <w:i/>
          <w:snapToGrid/>
        </w:rPr>
        <w:t>.</w:t>
      </w:r>
      <w:r w:rsidRPr="00477261">
        <w:rPr>
          <w:rFonts w:eastAsia="Calibri"/>
          <w:snapToGrid/>
        </w:rPr>
        <w:t xml:space="preserve">  And thanks in advance for your future efforts as we continue to follow the yellow brick road to our destination: a modernized set of media regulations.</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E0D3E">
      <w:rPr>
        <w:spacing w:val="-2"/>
      </w:rPr>
      <w:t>FCC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06AE8"/>
    <w:rsid w:val="00122BD5"/>
    <w:rsid w:val="00133F79"/>
    <w:rsid w:val="00194A66"/>
    <w:rsid w:val="00195834"/>
    <w:rsid w:val="001C776A"/>
    <w:rsid w:val="001D6BCF"/>
    <w:rsid w:val="001E01CA"/>
    <w:rsid w:val="00242BD4"/>
    <w:rsid w:val="00275CF5"/>
    <w:rsid w:val="0028301F"/>
    <w:rsid w:val="00284130"/>
    <w:rsid w:val="00285017"/>
    <w:rsid w:val="002A2D2E"/>
    <w:rsid w:val="00343749"/>
    <w:rsid w:val="003660ED"/>
    <w:rsid w:val="003B0550"/>
    <w:rsid w:val="003B694F"/>
    <w:rsid w:val="003E0D3E"/>
    <w:rsid w:val="003F171C"/>
    <w:rsid w:val="00401A3F"/>
    <w:rsid w:val="00412FC5"/>
    <w:rsid w:val="00422276"/>
    <w:rsid w:val="004242F1"/>
    <w:rsid w:val="00445A00"/>
    <w:rsid w:val="00451B0F"/>
    <w:rsid w:val="00477261"/>
    <w:rsid w:val="004C2EE3"/>
    <w:rsid w:val="004E4A22"/>
    <w:rsid w:val="00511968"/>
    <w:rsid w:val="00535B03"/>
    <w:rsid w:val="0055614C"/>
    <w:rsid w:val="005577AD"/>
    <w:rsid w:val="005E14C2"/>
    <w:rsid w:val="00607BA5"/>
    <w:rsid w:val="00626EB6"/>
    <w:rsid w:val="00655D03"/>
    <w:rsid w:val="00683388"/>
    <w:rsid w:val="00683F84"/>
    <w:rsid w:val="006A6A81"/>
    <w:rsid w:val="006E7A00"/>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141E"/>
    <w:rsid w:val="009F76DB"/>
    <w:rsid w:val="00A21265"/>
    <w:rsid w:val="00A32C3B"/>
    <w:rsid w:val="00A45F4F"/>
    <w:rsid w:val="00A600A9"/>
    <w:rsid w:val="00AA55B7"/>
    <w:rsid w:val="00AA5B9E"/>
    <w:rsid w:val="00AB2407"/>
    <w:rsid w:val="00AB53DF"/>
    <w:rsid w:val="00B00EAD"/>
    <w:rsid w:val="00B07E5C"/>
    <w:rsid w:val="00B65215"/>
    <w:rsid w:val="00B811F7"/>
    <w:rsid w:val="00BA5DC6"/>
    <w:rsid w:val="00BA6196"/>
    <w:rsid w:val="00BC6D8C"/>
    <w:rsid w:val="00C34006"/>
    <w:rsid w:val="00C426B1"/>
    <w:rsid w:val="00C44C04"/>
    <w:rsid w:val="00C64028"/>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314F"/>
    <w:rsid w:val="00E5409F"/>
    <w:rsid w:val="00EE6488"/>
    <w:rsid w:val="00F021FA"/>
    <w:rsid w:val="00F62E97"/>
    <w:rsid w:val="00F64209"/>
    <w:rsid w:val="00F93BF5"/>
    <w:rsid w:val="00FA68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41"/>
    <w:pPr>
      <w:widowControl w:val="0"/>
    </w:pPr>
    <w:rPr>
      <w:snapToGrid w:val="0"/>
      <w:kern w:val="28"/>
      <w:sz w:val="22"/>
    </w:rPr>
  </w:style>
  <w:style w:type="paragraph" w:styleId="Heading1">
    <w:name w:val="heading 1"/>
    <w:basedOn w:val="Normal"/>
    <w:next w:val="ParaNum"/>
    <w:qFormat/>
    <w:rsid w:val="00FA68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A6841"/>
    <w:pPr>
      <w:keepNext/>
      <w:numPr>
        <w:ilvl w:val="1"/>
        <w:numId w:val="3"/>
      </w:numPr>
      <w:spacing w:after="120"/>
      <w:outlineLvl w:val="1"/>
    </w:pPr>
    <w:rPr>
      <w:b/>
    </w:rPr>
  </w:style>
  <w:style w:type="paragraph" w:styleId="Heading3">
    <w:name w:val="heading 3"/>
    <w:basedOn w:val="Normal"/>
    <w:next w:val="ParaNum"/>
    <w:qFormat/>
    <w:rsid w:val="00FA6841"/>
    <w:pPr>
      <w:keepNext/>
      <w:numPr>
        <w:ilvl w:val="2"/>
        <w:numId w:val="3"/>
      </w:numPr>
      <w:tabs>
        <w:tab w:val="left" w:pos="2160"/>
      </w:tabs>
      <w:spacing w:after="120"/>
      <w:outlineLvl w:val="2"/>
    </w:pPr>
    <w:rPr>
      <w:b/>
    </w:rPr>
  </w:style>
  <w:style w:type="paragraph" w:styleId="Heading4">
    <w:name w:val="heading 4"/>
    <w:basedOn w:val="Normal"/>
    <w:next w:val="ParaNum"/>
    <w:qFormat/>
    <w:rsid w:val="00FA6841"/>
    <w:pPr>
      <w:keepNext/>
      <w:numPr>
        <w:ilvl w:val="3"/>
        <w:numId w:val="3"/>
      </w:numPr>
      <w:tabs>
        <w:tab w:val="left" w:pos="2880"/>
      </w:tabs>
      <w:spacing w:after="120"/>
      <w:outlineLvl w:val="3"/>
    </w:pPr>
    <w:rPr>
      <w:b/>
    </w:rPr>
  </w:style>
  <w:style w:type="paragraph" w:styleId="Heading5">
    <w:name w:val="heading 5"/>
    <w:basedOn w:val="Normal"/>
    <w:next w:val="ParaNum"/>
    <w:qFormat/>
    <w:rsid w:val="00FA684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A6841"/>
    <w:pPr>
      <w:numPr>
        <w:ilvl w:val="5"/>
        <w:numId w:val="3"/>
      </w:numPr>
      <w:tabs>
        <w:tab w:val="left" w:pos="4320"/>
      </w:tabs>
      <w:spacing w:after="120"/>
      <w:outlineLvl w:val="5"/>
    </w:pPr>
    <w:rPr>
      <w:b/>
    </w:rPr>
  </w:style>
  <w:style w:type="paragraph" w:styleId="Heading7">
    <w:name w:val="heading 7"/>
    <w:basedOn w:val="Normal"/>
    <w:next w:val="ParaNum"/>
    <w:qFormat/>
    <w:rsid w:val="00FA684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A68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A68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A6841"/>
    <w:pPr>
      <w:numPr>
        <w:numId w:val="2"/>
      </w:numPr>
      <w:tabs>
        <w:tab w:val="clear" w:pos="1080"/>
        <w:tab w:val="num" w:pos="1440"/>
      </w:tabs>
      <w:spacing w:after="120"/>
    </w:pPr>
  </w:style>
  <w:style w:type="paragraph" w:styleId="EndnoteText">
    <w:name w:val="endnote text"/>
    <w:basedOn w:val="Normal"/>
    <w:semiHidden/>
    <w:rsid w:val="00FA6841"/>
    <w:rPr>
      <w:sz w:val="20"/>
    </w:rPr>
  </w:style>
  <w:style w:type="character" w:styleId="EndnoteReference">
    <w:name w:val="endnote reference"/>
    <w:semiHidden/>
    <w:rsid w:val="00FA6841"/>
    <w:rPr>
      <w:vertAlign w:val="superscript"/>
    </w:rPr>
  </w:style>
  <w:style w:type="paragraph" w:styleId="FootnoteText">
    <w:name w:val="footnote text"/>
    <w:rsid w:val="00FA6841"/>
    <w:pPr>
      <w:spacing w:after="120"/>
    </w:pPr>
  </w:style>
  <w:style w:type="character" w:styleId="FootnoteReference">
    <w:name w:val="footnote reference"/>
    <w:rsid w:val="00FA6841"/>
    <w:rPr>
      <w:rFonts w:ascii="Times New Roman" w:hAnsi="Times New Roman"/>
      <w:dstrike w:val="0"/>
      <w:color w:val="auto"/>
      <w:sz w:val="20"/>
      <w:vertAlign w:val="superscript"/>
    </w:rPr>
  </w:style>
  <w:style w:type="paragraph" w:styleId="TOC1">
    <w:name w:val="toc 1"/>
    <w:basedOn w:val="Normal"/>
    <w:next w:val="Normal"/>
    <w:semiHidden/>
    <w:rsid w:val="00FA68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6841"/>
    <w:pPr>
      <w:tabs>
        <w:tab w:val="left" w:pos="720"/>
        <w:tab w:val="right" w:leader="dot" w:pos="9360"/>
      </w:tabs>
      <w:suppressAutoHyphens/>
      <w:ind w:left="720" w:right="720" w:hanging="360"/>
    </w:pPr>
    <w:rPr>
      <w:noProof/>
    </w:rPr>
  </w:style>
  <w:style w:type="paragraph" w:styleId="TOC3">
    <w:name w:val="toc 3"/>
    <w:basedOn w:val="Normal"/>
    <w:next w:val="Normal"/>
    <w:semiHidden/>
    <w:rsid w:val="00FA68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68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68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68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68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68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68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6841"/>
    <w:pPr>
      <w:tabs>
        <w:tab w:val="right" w:pos="9360"/>
      </w:tabs>
      <w:suppressAutoHyphens/>
    </w:pPr>
  </w:style>
  <w:style w:type="character" w:customStyle="1" w:styleId="EquationCaption">
    <w:name w:val="_Equation Caption"/>
    <w:rsid w:val="00FA6841"/>
  </w:style>
  <w:style w:type="paragraph" w:styleId="Header">
    <w:name w:val="header"/>
    <w:basedOn w:val="Normal"/>
    <w:autoRedefine/>
    <w:rsid w:val="00FA6841"/>
    <w:pPr>
      <w:tabs>
        <w:tab w:val="center" w:pos="4680"/>
        <w:tab w:val="right" w:pos="9360"/>
      </w:tabs>
    </w:pPr>
    <w:rPr>
      <w:b/>
    </w:rPr>
  </w:style>
  <w:style w:type="paragraph" w:styleId="Footer">
    <w:name w:val="footer"/>
    <w:basedOn w:val="Normal"/>
    <w:rsid w:val="00FA6841"/>
    <w:pPr>
      <w:tabs>
        <w:tab w:val="center" w:pos="4320"/>
        <w:tab w:val="right" w:pos="8640"/>
      </w:tabs>
    </w:pPr>
  </w:style>
  <w:style w:type="character" w:styleId="PageNumber">
    <w:name w:val="page number"/>
    <w:basedOn w:val="DefaultParagraphFont"/>
    <w:rsid w:val="00FA6841"/>
  </w:style>
  <w:style w:type="paragraph" w:styleId="BlockText">
    <w:name w:val="Block Text"/>
    <w:basedOn w:val="Normal"/>
    <w:rsid w:val="00FA6841"/>
    <w:pPr>
      <w:spacing w:after="240"/>
      <w:ind w:left="1440" w:right="1440"/>
    </w:pPr>
  </w:style>
  <w:style w:type="paragraph" w:customStyle="1" w:styleId="Paratitle">
    <w:name w:val="Para title"/>
    <w:basedOn w:val="Normal"/>
    <w:rsid w:val="00FA6841"/>
    <w:pPr>
      <w:tabs>
        <w:tab w:val="center" w:pos="9270"/>
      </w:tabs>
      <w:spacing w:after="240"/>
    </w:pPr>
    <w:rPr>
      <w:spacing w:val="-2"/>
    </w:rPr>
  </w:style>
  <w:style w:type="paragraph" w:customStyle="1" w:styleId="Bullet">
    <w:name w:val="Bullet"/>
    <w:basedOn w:val="Normal"/>
    <w:rsid w:val="00FA6841"/>
    <w:pPr>
      <w:tabs>
        <w:tab w:val="left" w:pos="2160"/>
      </w:tabs>
      <w:spacing w:after="220"/>
      <w:ind w:left="2160" w:hanging="720"/>
    </w:pPr>
  </w:style>
  <w:style w:type="paragraph" w:customStyle="1" w:styleId="TableFormat">
    <w:name w:val="TableFormat"/>
    <w:basedOn w:val="Bullet"/>
    <w:rsid w:val="00FA6841"/>
    <w:pPr>
      <w:tabs>
        <w:tab w:val="clear" w:pos="2160"/>
        <w:tab w:val="left" w:pos="5040"/>
      </w:tabs>
      <w:ind w:left="5040" w:hanging="3600"/>
    </w:pPr>
  </w:style>
  <w:style w:type="paragraph" w:customStyle="1" w:styleId="TOCTitle">
    <w:name w:val="TOC Title"/>
    <w:basedOn w:val="Normal"/>
    <w:rsid w:val="00FA68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6841"/>
    <w:pPr>
      <w:jc w:val="center"/>
    </w:pPr>
    <w:rPr>
      <w:rFonts w:ascii="Times New Roman Bold" w:hAnsi="Times New Roman Bold"/>
      <w:b/>
      <w:bCs/>
      <w:caps/>
      <w:szCs w:val="22"/>
    </w:rPr>
  </w:style>
  <w:style w:type="character" w:styleId="Hyperlink">
    <w:name w:val="Hyperlink"/>
    <w:rsid w:val="00FA6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A3E8-351E-416B-9115-674A9BFA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2018-01-31T17:53:26Z</dcterms:created>
  <dcterms:modified xsi:type="dcterms:W3CDTF">2018-01-31T17:53:26Z</dcterms:modified>
</cp:coreProperties>
</file>