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6C" w:rsidRPr="00EA5B31" w:rsidRDefault="00E9376C" w:rsidP="0040542F">
      <w:pPr>
        <w:jc w:val="center"/>
        <w:rPr>
          <w:b/>
          <w:color w:val="000000"/>
        </w:rPr>
      </w:pPr>
      <w:bookmarkStart w:id="0" w:name="_GoBack"/>
      <w:bookmarkEnd w:id="0"/>
      <w:r w:rsidRPr="00EA5B31">
        <w:rPr>
          <w:b/>
          <w:color w:val="000000"/>
        </w:rPr>
        <w:t>Before the</w:t>
      </w:r>
    </w:p>
    <w:p w:rsidR="00E9376C" w:rsidRPr="00EA5B31" w:rsidRDefault="00E9376C" w:rsidP="0040542F">
      <w:pPr>
        <w:pStyle w:val="StyleBoldCentered"/>
        <w:rPr>
          <w:rFonts w:ascii="Times New Roman" w:hAnsi="Times New Roman"/>
          <w:color w:val="000000"/>
        </w:rPr>
      </w:pPr>
      <w:r w:rsidRPr="00EA5B31">
        <w:rPr>
          <w:rFonts w:ascii="Times New Roman" w:hAnsi="Times New Roman"/>
          <w:color w:val="000000"/>
        </w:rPr>
        <w:t>F</w:t>
      </w:r>
      <w:r w:rsidRPr="00EA5B31">
        <w:rPr>
          <w:rFonts w:ascii="Times New Roman" w:hAnsi="Times New Roman"/>
          <w:caps w:val="0"/>
          <w:color w:val="000000"/>
        </w:rPr>
        <w:t>ederal Communications Commission</w:t>
      </w:r>
    </w:p>
    <w:p w:rsidR="00E9376C" w:rsidRDefault="00E9376C" w:rsidP="0040542F">
      <w:pPr>
        <w:jc w:val="center"/>
        <w:rPr>
          <w:b/>
          <w:color w:val="000000"/>
        </w:rPr>
      </w:pPr>
      <w:r w:rsidRPr="00EA5B31">
        <w:rPr>
          <w:b/>
          <w:color w:val="000000"/>
        </w:rPr>
        <w:t xml:space="preserve">Washington, DC 20554 </w:t>
      </w:r>
    </w:p>
    <w:p w:rsidR="00EA5A88" w:rsidRPr="00EA5B31" w:rsidRDefault="00EA5A88" w:rsidP="0066735A">
      <w:pPr>
        <w:rPr>
          <w:b/>
          <w:color w:val="000000"/>
        </w:rPr>
      </w:pPr>
    </w:p>
    <w:tbl>
      <w:tblPr>
        <w:tblW w:w="0" w:type="auto"/>
        <w:tblLayout w:type="fixed"/>
        <w:tblLook w:val="0000" w:firstRow="0" w:lastRow="0" w:firstColumn="0" w:lastColumn="0" w:noHBand="0" w:noVBand="0"/>
      </w:tblPr>
      <w:tblGrid>
        <w:gridCol w:w="4518"/>
        <w:gridCol w:w="630"/>
        <w:gridCol w:w="4248"/>
      </w:tblGrid>
      <w:tr w:rsidR="008C10CC" w:rsidRPr="00503DA3" w:rsidTr="00500F04">
        <w:tc>
          <w:tcPr>
            <w:tcW w:w="4518" w:type="dxa"/>
          </w:tcPr>
          <w:p w:rsidR="00E9376C" w:rsidRPr="00EA5B31" w:rsidRDefault="00E9376C" w:rsidP="0040542F">
            <w:pPr>
              <w:tabs>
                <w:tab w:val="center" w:pos="4680"/>
              </w:tabs>
              <w:suppressAutoHyphens/>
              <w:rPr>
                <w:rFonts w:ascii="Calibri" w:eastAsia="Calibri" w:hAnsi="Calibri"/>
                <w:color w:val="000000"/>
                <w:spacing w:val="-2"/>
              </w:rPr>
            </w:pPr>
          </w:p>
          <w:p w:rsidR="00E9376C" w:rsidRPr="00EA5B31" w:rsidRDefault="00E9376C" w:rsidP="00EA5B31">
            <w:pPr>
              <w:rPr>
                <w:rFonts w:eastAsia="Calibri"/>
              </w:rPr>
            </w:pPr>
            <w:r w:rsidRPr="00EA5B31">
              <w:rPr>
                <w:rFonts w:eastAsia="Calibri"/>
              </w:rPr>
              <w:t>In the Matter of</w:t>
            </w:r>
          </w:p>
          <w:p w:rsidR="00E9376C" w:rsidRPr="00EA5B31" w:rsidRDefault="00E9376C" w:rsidP="00EA5B31">
            <w:pPr>
              <w:rPr>
                <w:rFonts w:eastAsia="Calibri"/>
              </w:rPr>
            </w:pPr>
          </w:p>
          <w:p w:rsidR="00F666BA" w:rsidRPr="00503DA3" w:rsidRDefault="00F666BA" w:rsidP="007F2074">
            <w:pPr>
              <w:rPr>
                <w:rFonts w:eastAsia="Calibri"/>
              </w:rPr>
            </w:pPr>
            <w:r w:rsidRPr="00EA5B31">
              <w:rPr>
                <w:rFonts w:eastAsia="Calibri"/>
              </w:rPr>
              <w:t>Kenai Educational Media, Inc.</w:t>
            </w:r>
          </w:p>
          <w:p w:rsidR="00F666BA" w:rsidRPr="00503DA3" w:rsidRDefault="00F666BA" w:rsidP="007F2074">
            <w:pPr>
              <w:rPr>
                <w:rFonts w:eastAsia="Calibri"/>
              </w:rPr>
            </w:pPr>
          </w:p>
          <w:p w:rsidR="00F666BA" w:rsidRPr="00503DA3" w:rsidRDefault="00F666BA" w:rsidP="007F2074">
            <w:pPr>
              <w:rPr>
                <w:rFonts w:eastAsia="Calibri"/>
              </w:rPr>
            </w:pPr>
            <w:r w:rsidRPr="00503DA3">
              <w:rPr>
                <w:rFonts w:eastAsia="Calibri"/>
              </w:rPr>
              <w:t>Licensee of Station KIBH-FM</w:t>
            </w:r>
          </w:p>
          <w:p w:rsidR="00E9376C" w:rsidRPr="00EA5B31" w:rsidRDefault="00F666BA" w:rsidP="00EA5B31">
            <w:pPr>
              <w:rPr>
                <w:rFonts w:eastAsia="Calibri"/>
              </w:rPr>
            </w:pPr>
            <w:r w:rsidRPr="00503DA3">
              <w:rPr>
                <w:rFonts w:eastAsia="Calibri"/>
              </w:rPr>
              <w:t>Seward, Alaska</w:t>
            </w:r>
          </w:p>
          <w:p w:rsidR="00E9376C" w:rsidRPr="00EA5B31" w:rsidRDefault="00E9376C" w:rsidP="0040542F">
            <w:pPr>
              <w:tabs>
                <w:tab w:val="center" w:pos="4680"/>
              </w:tabs>
              <w:suppressAutoHyphens/>
              <w:rPr>
                <w:rFonts w:ascii="Calibri" w:eastAsia="Calibri" w:hAnsi="Calibri"/>
                <w:color w:val="000000"/>
                <w:spacing w:val="-2"/>
              </w:rPr>
            </w:pPr>
          </w:p>
        </w:tc>
        <w:tc>
          <w:tcPr>
            <w:tcW w:w="630" w:type="dxa"/>
          </w:tcPr>
          <w:p w:rsidR="00E9376C" w:rsidRPr="00EA5B31" w:rsidRDefault="00E9376C" w:rsidP="0040542F">
            <w:pPr>
              <w:tabs>
                <w:tab w:val="center" w:pos="4680"/>
              </w:tabs>
              <w:suppressAutoHyphens/>
              <w:rPr>
                <w:rFonts w:eastAsia="Calibri"/>
              </w:rPr>
            </w:pPr>
          </w:p>
          <w:p w:rsidR="00E9376C" w:rsidRPr="00EA5B31" w:rsidRDefault="00E9376C" w:rsidP="0040542F">
            <w:pPr>
              <w:tabs>
                <w:tab w:val="center" w:pos="4680"/>
              </w:tabs>
              <w:suppressAutoHyphens/>
              <w:rPr>
                <w:rFonts w:eastAsia="Calibri"/>
              </w:rPr>
            </w:pPr>
            <w:r w:rsidRPr="00EA5B31">
              <w:rPr>
                <w:rFonts w:eastAsia="Calibri"/>
              </w:rPr>
              <w:t xml:space="preserve">  )</w:t>
            </w:r>
          </w:p>
          <w:p w:rsidR="00E9376C" w:rsidRPr="00EA5B31" w:rsidRDefault="00E9376C" w:rsidP="0040542F">
            <w:pPr>
              <w:tabs>
                <w:tab w:val="center" w:pos="4680"/>
              </w:tabs>
              <w:suppressAutoHyphens/>
              <w:rPr>
                <w:rFonts w:eastAsia="Calibri"/>
              </w:rPr>
            </w:pPr>
            <w:r w:rsidRPr="00EA5B31">
              <w:rPr>
                <w:rFonts w:eastAsia="Calibri"/>
              </w:rPr>
              <w:t xml:space="preserve">  )</w:t>
            </w:r>
          </w:p>
          <w:p w:rsidR="00E9376C" w:rsidRPr="00EA5B31" w:rsidRDefault="00E9376C" w:rsidP="0040542F">
            <w:pPr>
              <w:tabs>
                <w:tab w:val="center" w:pos="4680"/>
              </w:tabs>
              <w:suppressAutoHyphens/>
              <w:rPr>
                <w:rFonts w:eastAsia="Calibri"/>
              </w:rPr>
            </w:pPr>
            <w:r w:rsidRPr="00EA5B31">
              <w:rPr>
                <w:rFonts w:eastAsia="Calibri"/>
              </w:rPr>
              <w:t xml:space="preserve">  )</w:t>
            </w:r>
          </w:p>
          <w:p w:rsidR="00E9376C" w:rsidRPr="00EA5B31" w:rsidRDefault="00E9376C" w:rsidP="0040542F">
            <w:pPr>
              <w:tabs>
                <w:tab w:val="center" w:pos="4680"/>
              </w:tabs>
              <w:suppressAutoHyphens/>
              <w:rPr>
                <w:rFonts w:eastAsia="Calibri"/>
              </w:rPr>
            </w:pPr>
            <w:r w:rsidRPr="00EA5B31">
              <w:rPr>
                <w:rFonts w:eastAsia="Calibri"/>
              </w:rPr>
              <w:t xml:space="preserve">  )</w:t>
            </w:r>
          </w:p>
          <w:p w:rsidR="00E9376C" w:rsidRPr="00EA5B31" w:rsidRDefault="00E9376C" w:rsidP="0040542F">
            <w:pPr>
              <w:tabs>
                <w:tab w:val="center" w:pos="4680"/>
              </w:tabs>
              <w:suppressAutoHyphens/>
              <w:rPr>
                <w:rFonts w:eastAsia="Calibri"/>
              </w:rPr>
            </w:pPr>
            <w:r w:rsidRPr="00EA5B31">
              <w:rPr>
                <w:rFonts w:eastAsia="Calibri"/>
              </w:rPr>
              <w:t xml:space="preserve">  )</w:t>
            </w:r>
          </w:p>
          <w:p w:rsidR="00F666BA" w:rsidRPr="00EA5B31" w:rsidRDefault="00F666BA" w:rsidP="0040542F">
            <w:pPr>
              <w:tabs>
                <w:tab w:val="center" w:pos="4680"/>
              </w:tabs>
              <w:suppressAutoHyphens/>
              <w:rPr>
                <w:rFonts w:eastAsia="Calibri"/>
              </w:rPr>
            </w:pPr>
            <w:r w:rsidRPr="00EA5B31">
              <w:rPr>
                <w:rFonts w:eastAsia="Calibri"/>
              </w:rPr>
              <w:t xml:space="preserve">  )</w:t>
            </w:r>
          </w:p>
          <w:p w:rsidR="00416105" w:rsidRPr="00EA5B31" w:rsidRDefault="00416105" w:rsidP="0040542F">
            <w:pPr>
              <w:tabs>
                <w:tab w:val="center" w:pos="4680"/>
              </w:tabs>
              <w:suppressAutoHyphens/>
              <w:rPr>
                <w:rFonts w:eastAsia="Calibri"/>
              </w:rPr>
            </w:pPr>
            <w:r w:rsidRPr="00EA5B31">
              <w:rPr>
                <w:rFonts w:eastAsia="Calibri"/>
              </w:rPr>
              <w:t xml:space="preserve">  )</w:t>
            </w:r>
          </w:p>
          <w:p w:rsidR="00E9376C" w:rsidRPr="00EA5B31" w:rsidRDefault="00E9376C" w:rsidP="0040542F">
            <w:pPr>
              <w:tabs>
                <w:tab w:val="center" w:pos="4680"/>
              </w:tabs>
              <w:suppressAutoHyphens/>
              <w:rPr>
                <w:rFonts w:eastAsia="Calibri"/>
              </w:rPr>
            </w:pPr>
            <w:r w:rsidRPr="00EA5B31">
              <w:rPr>
                <w:rFonts w:eastAsia="Calibri"/>
              </w:rPr>
              <w:t xml:space="preserve"> </w:t>
            </w:r>
          </w:p>
        </w:tc>
        <w:tc>
          <w:tcPr>
            <w:tcW w:w="4248" w:type="dxa"/>
          </w:tcPr>
          <w:p w:rsidR="00E9376C" w:rsidRPr="00EA5B31" w:rsidRDefault="00E9376C" w:rsidP="0040542F">
            <w:pPr>
              <w:tabs>
                <w:tab w:val="center" w:pos="4680"/>
              </w:tabs>
              <w:suppressAutoHyphens/>
              <w:rPr>
                <w:rFonts w:eastAsia="Calibri"/>
              </w:rPr>
            </w:pPr>
          </w:p>
          <w:p w:rsidR="00413497" w:rsidRPr="007F2074" w:rsidRDefault="00413497" w:rsidP="0040542F">
            <w:pPr>
              <w:rPr>
                <w:rFonts w:eastAsia="Calibri"/>
              </w:rPr>
            </w:pPr>
          </w:p>
          <w:p w:rsidR="00242FE3" w:rsidRPr="00EA5B31" w:rsidRDefault="00F666BA" w:rsidP="0040542F">
            <w:pPr>
              <w:rPr>
                <w:rFonts w:eastAsia="Calibri"/>
              </w:rPr>
            </w:pPr>
            <w:r w:rsidRPr="007F2074">
              <w:rPr>
                <w:rFonts w:eastAsia="Calibri"/>
              </w:rPr>
              <w:t>File No</w:t>
            </w:r>
            <w:r w:rsidR="00C35F59" w:rsidRPr="007F2074">
              <w:rPr>
                <w:rFonts w:eastAsia="Calibri"/>
              </w:rPr>
              <w:t>s</w:t>
            </w:r>
            <w:r w:rsidRPr="007F2074">
              <w:rPr>
                <w:rFonts w:eastAsia="Calibri"/>
              </w:rPr>
              <w:t>.:  EB-FIELDWR-13-000</w:t>
            </w:r>
            <w:r w:rsidR="00386B1E" w:rsidRPr="007F2074">
              <w:rPr>
                <w:rFonts w:eastAsia="Calibri"/>
              </w:rPr>
              <w:t>0</w:t>
            </w:r>
            <w:r w:rsidRPr="007F2074">
              <w:rPr>
                <w:rFonts w:eastAsia="Calibri"/>
              </w:rPr>
              <w:t>9787</w:t>
            </w:r>
            <w:r w:rsidRPr="00EA5B31">
              <w:rPr>
                <w:rFonts w:eastAsia="Calibri"/>
              </w:rPr>
              <w:t xml:space="preserve"> </w:t>
            </w:r>
          </w:p>
          <w:p w:rsidR="00224310" w:rsidRPr="00EA5B31" w:rsidRDefault="00386B1E" w:rsidP="0066735A">
            <w:pPr>
              <w:ind w:left="720"/>
              <w:rPr>
                <w:rFonts w:eastAsia="Calibri"/>
              </w:rPr>
            </w:pPr>
            <w:r w:rsidRPr="007F2074">
              <w:rPr>
                <w:rFonts w:eastAsia="Calibri"/>
              </w:rPr>
              <w:t xml:space="preserve">     EB-FIELDWR-16-00022001</w:t>
            </w:r>
            <w:r w:rsidR="00C762C4" w:rsidRPr="00B2444D">
              <w:rPr>
                <w:rStyle w:val="FootnoteReference"/>
              </w:rPr>
              <w:footnoteReference w:id="2"/>
            </w:r>
            <w:r w:rsidRPr="00EA5B31">
              <w:rPr>
                <w:rFonts w:eastAsia="Calibri"/>
              </w:rPr>
              <w:t xml:space="preserve"> </w:t>
            </w:r>
          </w:p>
          <w:p w:rsidR="00416105" w:rsidRPr="007F2074" w:rsidRDefault="00416105" w:rsidP="0040542F">
            <w:pPr>
              <w:rPr>
                <w:rFonts w:eastAsia="Calibri"/>
              </w:rPr>
            </w:pPr>
          </w:p>
          <w:p w:rsidR="00413497" w:rsidRPr="00EA5B31" w:rsidRDefault="00413497" w:rsidP="0040542F">
            <w:pPr>
              <w:rPr>
                <w:rFonts w:eastAsia="Calibri"/>
              </w:rPr>
            </w:pPr>
            <w:r w:rsidRPr="007F2074">
              <w:rPr>
                <w:rFonts w:eastAsia="Calibri"/>
              </w:rPr>
              <w:t>NAL/Acct. No.:</w:t>
            </w:r>
            <w:r w:rsidRPr="00EA5B31">
              <w:rPr>
                <w:rFonts w:eastAsia="Calibri"/>
              </w:rPr>
              <w:t xml:space="preserve">  </w:t>
            </w:r>
            <w:r w:rsidR="00A330C4" w:rsidRPr="007F2074">
              <w:rPr>
                <w:rFonts w:eastAsia="Calibri"/>
              </w:rPr>
              <w:t xml:space="preserve">201732960001 </w:t>
            </w:r>
          </w:p>
          <w:p w:rsidR="00413497" w:rsidRPr="007F2074" w:rsidRDefault="00413497" w:rsidP="0040542F">
            <w:pPr>
              <w:rPr>
                <w:rFonts w:eastAsia="Calibri"/>
              </w:rPr>
            </w:pPr>
            <w:r w:rsidRPr="007F2074">
              <w:rPr>
                <w:rFonts w:eastAsia="Calibri"/>
              </w:rPr>
              <w:t>FRN:  0021903372</w:t>
            </w:r>
          </w:p>
          <w:p w:rsidR="00E9376C" w:rsidRPr="007F2074" w:rsidRDefault="00413497" w:rsidP="00EC5DDA">
            <w:pPr>
              <w:rPr>
                <w:rFonts w:eastAsia="Calibri"/>
              </w:rPr>
            </w:pPr>
            <w:r w:rsidRPr="007F2074">
              <w:rPr>
                <w:rFonts w:eastAsia="Calibri"/>
              </w:rPr>
              <w:t>Facility ID: 176521</w:t>
            </w:r>
            <w:r w:rsidR="00E9376C" w:rsidRPr="00EA5B31">
              <w:rPr>
                <w:rFonts w:eastAsia="Calibri"/>
              </w:rPr>
              <w:t xml:space="preserve"> </w:t>
            </w:r>
          </w:p>
        </w:tc>
      </w:tr>
      <w:tr w:rsidR="00413497" w:rsidRPr="00503DA3" w:rsidTr="005A5454">
        <w:tc>
          <w:tcPr>
            <w:tcW w:w="4518" w:type="dxa"/>
          </w:tcPr>
          <w:p w:rsidR="00413497" w:rsidRPr="00EA5B31" w:rsidRDefault="00413497" w:rsidP="0040542F">
            <w:pPr>
              <w:tabs>
                <w:tab w:val="center" w:pos="4680"/>
              </w:tabs>
              <w:suppressAutoHyphens/>
              <w:rPr>
                <w:rFonts w:ascii="Calibri" w:eastAsia="Calibri" w:hAnsi="Calibri"/>
                <w:color w:val="000000"/>
                <w:spacing w:val="-2"/>
              </w:rPr>
            </w:pPr>
          </w:p>
        </w:tc>
        <w:tc>
          <w:tcPr>
            <w:tcW w:w="630" w:type="dxa"/>
          </w:tcPr>
          <w:p w:rsidR="00413497" w:rsidRPr="00EA5B31" w:rsidRDefault="00413497" w:rsidP="0040542F">
            <w:pPr>
              <w:tabs>
                <w:tab w:val="center" w:pos="4680"/>
              </w:tabs>
              <w:suppressAutoHyphens/>
              <w:rPr>
                <w:rFonts w:ascii="Calibri" w:eastAsia="Calibri" w:hAnsi="Calibri"/>
                <w:b/>
                <w:color w:val="000000"/>
                <w:spacing w:val="-2"/>
              </w:rPr>
            </w:pPr>
          </w:p>
        </w:tc>
        <w:tc>
          <w:tcPr>
            <w:tcW w:w="4248" w:type="dxa"/>
          </w:tcPr>
          <w:p w:rsidR="00413497" w:rsidRPr="00EA5B31" w:rsidRDefault="00413497" w:rsidP="0040542F">
            <w:pPr>
              <w:tabs>
                <w:tab w:val="center" w:pos="4680"/>
              </w:tabs>
              <w:suppressAutoHyphens/>
              <w:rPr>
                <w:rFonts w:ascii="Calibri" w:eastAsia="Calibri" w:hAnsi="Calibri"/>
                <w:color w:val="000000"/>
                <w:spacing w:val="-2"/>
              </w:rPr>
            </w:pPr>
          </w:p>
        </w:tc>
      </w:tr>
    </w:tbl>
    <w:p w:rsidR="00E9376C" w:rsidRPr="00EA5B31" w:rsidRDefault="00E9376C" w:rsidP="00486D25">
      <w:pPr>
        <w:pStyle w:val="StyleBoldCentered"/>
        <w:rPr>
          <w:rFonts w:ascii="Times New Roman" w:hAnsi="Times New Roman"/>
          <w:color w:val="000000"/>
        </w:rPr>
      </w:pPr>
      <w:r w:rsidRPr="00EA5B31">
        <w:rPr>
          <w:rFonts w:ascii="Times New Roman" w:hAnsi="Times New Roman"/>
          <w:color w:val="000000"/>
        </w:rPr>
        <w:t>NOTICE OF APPARENT LIABILITY FOR FORFEITURE</w:t>
      </w:r>
      <w:r w:rsidR="009830D9" w:rsidRPr="00503DA3">
        <w:rPr>
          <w:rFonts w:ascii="Times New Roman" w:hAnsi="Times New Roman"/>
          <w:color w:val="000000"/>
        </w:rPr>
        <w:t xml:space="preserve"> AND ORDER</w:t>
      </w:r>
    </w:p>
    <w:p w:rsidR="00DB539B" w:rsidRPr="00EA5B31" w:rsidRDefault="00DB539B" w:rsidP="00EA5B31">
      <w:pPr>
        <w:pStyle w:val="StyleBoldCentered"/>
        <w:rPr>
          <w:color w:val="000000"/>
        </w:rPr>
      </w:pPr>
    </w:p>
    <w:p w:rsidR="00652F84" w:rsidRPr="0040542F" w:rsidRDefault="00652F84" w:rsidP="00EA5B31">
      <w:pPr>
        <w:tabs>
          <w:tab w:val="left" w:pos="720"/>
          <w:tab w:val="right" w:pos="9360"/>
        </w:tabs>
        <w:suppressAutoHyphens/>
        <w:rPr>
          <w:spacing w:val="-2"/>
        </w:rPr>
      </w:pPr>
      <w:r w:rsidRPr="0040542F">
        <w:rPr>
          <w:b/>
          <w:spacing w:val="-2"/>
        </w:rPr>
        <w:t xml:space="preserve">Adopted:  </w:t>
      </w:r>
      <w:r w:rsidR="002751F1">
        <w:rPr>
          <w:b/>
          <w:spacing w:val="-2"/>
        </w:rPr>
        <w:t>July 17, 2017</w:t>
      </w:r>
      <w:r w:rsidRPr="0040542F">
        <w:rPr>
          <w:b/>
          <w:spacing w:val="-2"/>
        </w:rPr>
        <w:tab/>
        <w:t xml:space="preserve">Released:  </w:t>
      </w:r>
      <w:r w:rsidR="00F1761F" w:rsidRPr="00F1761F">
        <w:rPr>
          <w:b/>
          <w:spacing w:val="-2"/>
        </w:rPr>
        <w:t>July 1</w:t>
      </w:r>
      <w:r w:rsidR="00F01898">
        <w:rPr>
          <w:b/>
          <w:spacing w:val="-2"/>
        </w:rPr>
        <w:t>9</w:t>
      </w:r>
      <w:r w:rsidR="00F1761F" w:rsidRPr="00F1761F">
        <w:rPr>
          <w:b/>
          <w:spacing w:val="-2"/>
        </w:rPr>
        <w:t>, 2017</w:t>
      </w:r>
    </w:p>
    <w:p w:rsidR="00E9376C" w:rsidRPr="00EA5B31" w:rsidRDefault="00E9376C" w:rsidP="0040542F">
      <w:pPr>
        <w:pStyle w:val="BodyText"/>
        <w:tabs>
          <w:tab w:val="left" w:pos="4680"/>
        </w:tabs>
        <w:jc w:val="center"/>
        <w:rPr>
          <w:color w:val="000000"/>
          <w:sz w:val="22"/>
          <w:u w:val="none"/>
        </w:rPr>
      </w:pPr>
    </w:p>
    <w:p w:rsidR="00CE5F1E" w:rsidRPr="0040542F" w:rsidRDefault="00CE5F1E" w:rsidP="00EA5B31">
      <w:pPr>
        <w:tabs>
          <w:tab w:val="left" w:pos="720"/>
          <w:tab w:val="left" w:pos="5760"/>
        </w:tabs>
        <w:suppressAutoHyphens/>
        <w:jc w:val="both"/>
        <w:rPr>
          <w:spacing w:val="-2"/>
        </w:rPr>
      </w:pPr>
      <w:r w:rsidRPr="0040542F">
        <w:rPr>
          <w:spacing w:val="-2"/>
        </w:rPr>
        <w:t>By the Commission:</w:t>
      </w:r>
    </w:p>
    <w:p w:rsidR="00E9376C" w:rsidRPr="00EA5B31" w:rsidRDefault="00E9376C" w:rsidP="0040542F">
      <w:pPr>
        <w:pStyle w:val="BodyText"/>
        <w:tabs>
          <w:tab w:val="left" w:pos="4680"/>
        </w:tabs>
        <w:rPr>
          <w:b w:val="0"/>
          <w:color w:val="000000"/>
          <w:sz w:val="22"/>
          <w:u w:val="none"/>
        </w:rPr>
      </w:pPr>
    </w:p>
    <w:p w:rsidR="00E9376C" w:rsidRPr="00EA5B31" w:rsidRDefault="00E9376C" w:rsidP="00EA5B31">
      <w:pPr>
        <w:pStyle w:val="Heading1"/>
        <w:rPr>
          <w:rFonts w:ascii="Times New Roman" w:hAnsi="Times New Roman"/>
          <w:color w:val="000000"/>
        </w:rPr>
      </w:pPr>
      <w:r w:rsidRPr="00EA5B31">
        <w:rPr>
          <w:rFonts w:ascii="Times New Roman" w:hAnsi="Times New Roman"/>
          <w:color w:val="000000"/>
        </w:rPr>
        <w:t>INTRODUCTION</w:t>
      </w:r>
    </w:p>
    <w:p w:rsidR="00E9376C" w:rsidRPr="0040542F" w:rsidRDefault="00E9376C" w:rsidP="00B2444D">
      <w:pPr>
        <w:pStyle w:val="ParaNum"/>
        <w:widowControl/>
        <w:rPr>
          <w:spacing w:val="-2"/>
        </w:rPr>
      </w:pPr>
      <w:r w:rsidRPr="0040542F">
        <w:t xml:space="preserve">We propose a </w:t>
      </w:r>
      <w:r w:rsidR="004F394D" w:rsidRPr="0040542F">
        <w:t xml:space="preserve">forfeiture </w:t>
      </w:r>
      <w:r w:rsidRPr="0040542F">
        <w:t>penalty of $</w:t>
      </w:r>
      <w:r w:rsidR="00F666BA" w:rsidRPr="0040542F">
        <w:t xml:space="preserve">66,000 </w:t>
      </w:r>
      <w:r w:rsidRPr="0040542F">
        <w:t>against</w:t>
      </w:r>
      <w:r w:rsidR="003F2B5A" w:rsidRPr="0040542F">
        <w:t xml:space="preserve"> </w:t>
      </w:r>
      <w:r w:rsidR="00F666BA" w:rsidRPr="0040542F">
        <w:rPr>
          <w:spacing w:val="-2"/>
        </w:rPr>
        <w:t>Kenai Educational Media, Inc. (KEMI), licensee of Station KIBH-FM, Seward, Alaska,</w:t>
      </w:r>
      <w:r w:rsidR="00413497" w:rsidRPr="0040542F">
        <w:rPr>
          <w:spacing w:val="-2"/>
        </w:rPr>
        <w:t xml:space="preserve"> </w:t>
      </w:r>
      <w:r w:rsidR="00C855DA" w:rsidRPr="0040542F">
        <w:t xml:space="preserve">for </w:t>
      </w:r>
      <w:r w:rsidRPr="0040542F">
        <w:t xml:space="preserve">apparently </w:t>
      </w:r>
      <w:r w:rsidR="00F666BA" w:rsidRPr="0040542F">
        <w:rPr>
          <w:spacing w:val="-2"/>
        </w:rPr>
        <w:t>violating</w:t>
      </w:r>
      <w:r w:rsidR="00543E21" w:rsidRPr="0040542F">
        <w:rPr>
          <w:spacing w:val="-2"/>
        </w:rPr>
        <w:t xml:space="preserve"> </w:t>
      </w:r>
      <w:r w:rsidR="000B63E8" w:rsidRPr="0040542F">
        <w:rPr>
          <w:spacing w:val="-2"/>
        </w:rPr>
        <w:t xml:space="preserve">multiple </w:t>
      </w:r>
      <w:r w:rsidR="00497008" w:rsidRPr="0040542F">
        <w:rPr>
          <w:spacing w:val="-2"/>
        </w:rPr>
        <w:t>Commission rules.</w:t>
      </w:r>
      <w:r w:rsidR="00626C7B" w:rsidRPr="0040542F">
        <w:rPr>
          <w:spacing w:val="-2"/>
        </w:rPr>
        <w:t xml:space="preserve"> </w:t>
      </w:r>
      <w:r w:rsidR="00497008" w:rsidRPr="0040542F">
        <w:rPr>
          <w:spacing w:val="-2"/>
        </w:rPr>
        <w:t xml:space="preserve"> First, we find that KEMI apparently violated </w:t>
      </w:r>
      <w:r w:rsidR="003B2605" w:rsidRPr="0040542F">
        <w:rPr>
          <w:spacing w:val="-2"/>
        </w:rPr>
        <w:t xml:space="preserve">our </w:t>
      </w:r>
      <w:r w:rsidR="00543E21" w:rsidRPr="0040542F">
        <w:rPr>
          <w:spacing w:val="-2"/>
        </w:rPr>
        <w:t>Eme</w:t>
      </w:r>
      <w:r w:rsidR="00CB37B8" w:rsidRPr="0040542F">
        <w:rPr>
          <w:spacing w:val="-2"/>
        </w:rPr>
        <w:t>rgency Alert System</w:t>
      </w:r>
      <w:r w:rsidR="00664037" w:rsidRPr="0040542F">
        <w:rPr>
          <w:spacing w:val="-2"/>
        </w:rPr>
        <w:t xml:space="preserve"> (EAS)</w:t>
      </w:r>
      <w:r w:rsidR="00C85E98" w:rsidRPr="0040542F">
        <w:rPr>
          <w:spacing w:val="-2"/>
        </w:rPr>
        <w:t xml:space="preserve"> rules</w:t>
      </w:r>
      <w:r w:rsidR="00497008" w:rsidRPr="0040542F">
        <w:rPr>
          <w:spacing w:val="-2"/>
        </w:rPr>
        <w:t xml:space="preserve">, which are </w:t>
      </w:r>
      <w:r w:rsidR="00497008" w:rsidRPr="0040542F">
        <w:rPr>
          <w:color w:val="000000"/>
        </w:rPr>
        <w:t>critical to ensuring that the public can receive accurate</w:t>
      </w:r>
      <w:r w:rsidR="009A4BD1" w:rsidRPr="0040542F">
        <w:rPr>
          <w:color w:val="000000"/>
        </w:rPr>
        <w:t xml:space="preserve"> and expedient</w:t>
      </w:r>
      <w:r w:rsidR="00497008" w:rsidRPr="0040542F">
        <w:rPr>
          <w:color w:val="000000"/>
        </w:rPr>
        <w:t xml:space="preserve"> alerts and warnings during times of </w:t>
      </w:r>
      <w:r w:rsidR="003B0F43" w:rsidRPr="0040542F">
        <w:rPr>
          <w:color w:val="000000"/>
        </w:rPr>
        <w:t xml:space="preserve">national </w:t>
      </w:r>
      <w:r w:rsidR="00497008" w:rsidRPr="0040542F">
        <w:rPr>
          <w:color w:val="000000"/>
        </w:rPr>
        <w:t>emergency.</w:t>
      </w:r>
      <w:r w:rsidR="005C7004">
        <w:rPr>
          <w:rStyle w:val="FootnoteReference"/>
        </w:rPr>
        <w:footnoteReference w:id="3"/>
      </w:r>
      <w:r w:rsidR="00497008" w:rsidRPr="0040542F">
        <w:rPr>
          <w:color w:val="000000"/>
        </w:rPr>
        <w:t xml:space="preserve">  </w:t>
      </w:r>
      <w:r w:rsidR="00A579F0" w:rsidRPr="0040542F">
        <w:rPr>
          <w:color w:val="000000"/>
        </w:rPr>
        <w:t>Second</w:t>
      </w:r>
      <w:r w:rsidR="00497008" w:rsidRPr="0040542F">
        <w:rPr>
          <w:color w:val="000000"/>
        </w:rPr>
        <w:t>, we find that</w:t>
      </w:r>
      <w:r w:rsidR="004D2631" w:rsidRPr="0040542F">
        <w:rPr>
          <w:spacing w:val="-2"/>
        </w:rPr>
        <w:t xml:space="preserve"> </w:t>
      </w:r>
      <w:r w:rsidR="00497008" w:rsidRPr="0040542F">
        <w:rPr>
          <w:spacing w:val="-2"/>
        </w:rPr>
        <w:t xml:space="preserve">KEMI apparently violated </w:t>
      </w:r>
      <w:r w:rsidR="004D2631" w:rsidRPr="0040542F">
        <w:rPr>
          <w:spacing w:val="-2"/>
        </w:rPr>
        <w:t xml:space="preserve">certain broadcast </w:t>
      </w:r>
      <w:r w:rsidR="00BF217E" w:rsidRPr="0040542F">
        <w:rPr>
          <w:spacing w:val="-2"/>
        </w:rPr>
        <w:t xml:space="preserve">technical </w:t>
      </w:r>
      <w:r w:rsidR="004D2631" w:rsidRPr="0040542F">
        <w:rPr>
          <w:spacing w:val="-2"/>
        </w:rPr>
        <w:t>rules</w:t>
      </w:r>
      <w:r w:rsidR="00355A54" w:rsidRPr="0040542F">
        <w:rPr>
          <w:spacing w:val="-2"/>
        </w:rPr>
        <w:t>,</w:t>
      </w:r>
      <w:r w:rsidR="004D2631" w:rsidRPr="0040542F">
        <w:rPr>
          <w:spacing w:val="-2"/>
        </w:rPr>
        <w:t xml:space="preserve"> </w:t>
      </w:r>
      <w:r w:rsidR="003B2605" w:rsidRPr="0040542F">
        <w:rPr>
          <w:spacing w:val="-2"/>
        </w:rPr>
        <w:t xml:space="preserve">which are designed </w:t>
      </w:r>
      <w:r w:rsidR="00497008" w:rsidRPr="0040542F">
        <w:rPr>
          <w:spacing w:val="-2"/>
        </w:rPr>
        <w:t>to avoid harmful interference to other licensees</w:t>
      </w:r>
      <w:r w:rsidR="00E74E2D">
        <w:rPr>
          <w:spacing w:val="-2"/>
        </w:rPr>
        <w:t>,</w:t>
      </w:r>
      <w:r w:rsidR="005C7004">
        <w:rPr>
          <w:rStyle w:val="FootnoteReference"/>
          <w:spacing w:val="-2"/>
        </w:rPr>
        <w:footnoteReference w:id="4"/>
      </w:r>
      <w:r w:rsidR="00497008" w:rsidRPr="0040542F">
        <w:rPr>
          <w:spacing w:val="-2"/>
        </w:rPr>
        <w:t xml:space="preserve">  </w:t>
      </w:r>
      <w:r w:rsidR="00E74E2D">
        <w:rPr>
          <w:spacing w:val="-2"/>
        </w:rPr>
        <w:t>and</w:t>
      </w:r>
      <w:r w:rsidR="00355A54" w:rsidRPr="0040542F">
        <w:rPr>
          <w:spacing w:val="-2"/>
        </w:rPr>
        <w:t xml:space="preserve"> certain broadcast </w:t>
      </w:r>
      <w:r w:rsidR="00BF217E" w:rsidRPr="0040542F">
        <w:rPr>
          <w:spacing w:val="-2"/>
        </w:rPr>
        <w:t xml:space="preserve">operating </w:t>
      </w:r>
      <w:r w:rsidR="00355A54" w:rsidRPr="0040542F">
        <w:rPr>
          <w:spacing w:val="-2"/>
        </w:rPr>
        <w:t>rules</w:t>
      </w:r>
      <w:r w:rsidR="009A1B28">
        <w:rPr>
          <w:spacing w:val="-2"/>
        </w:rPr>
        <w:t>.</w:t>
      </w:r>
      <w:r w:rsidR="005C7004">
        <w:rPr>
          <w:rStyle w:val="FootnoteReference"/>
          <w:spacing w:val="-2"/>
        </w:rPr>
        <w:footnoteReference w:id="5"/>
      </w:r>
      <w:r w:rsidR="00355A54" w:rsidRPr="0040542F">
        <w:rPr>
          <w:spacing w:val="-2"/>
        </w:rPr>
        <w:t xml:space="preserve">  </w:t>
      </w:r>
      <w:r w:rsidR="00497008" w:rsidRPr="0040542F">
        <w:rPr>
          <w:spacing w:val="-2"/>
        </w:rPr>
        <w:t xml:space="preserve">Finally, we find that KEMI apparently violated </w:t>
      </w:r>
      <w:r w:rsidR="004D2631" w:rsidRPr="0040542F">
        <w:rPr>
          <w:spacing w:val="-2"/>
        </w:rPr>
        <w:t>the</w:t>
      </w:r>
      <w:r w:rsidR="009A4BD1" w:rsidRPr="0040542F">
        <w:rPr>
          <w:spacing w:val="-2"/>
        </w:rPr>
        <w:t xml:space="preserve"> Commission’s</w:t>
      </w:r>
      <w:r w:rsidR="004D2631" w:rsidRPr="0040542F">
        <w:rPr>
          <w:spacing w:val="-2"/>
        </w:rPr>
        <w:t xml:space="preserve"> rule requiring </w:t>
      </w:r>
      <w:r w:rsidR="00A579F0" w:rsidRPr="0040542F">
        <w:rPr>
          <w:spacing w:val="-2"/>
        </w:rPr>
        <w:t xml:space="preserve">that </w:t>
      </w:r>
      <w:r w:rsidR="00BF217E" w:rsidRPr="0040542F">
        <w:rPr>
          <w:spacing w:val="-2"/>
        </w:rPr>
        <w:t>licensees respond</w:t>
      </w:r>
      <w:r w:rsidR="004D2631" w:rsidRPr="0040542F">
        <w:rPr>
          <w:spacing w:val="-2"/>
        </w:rPr>
        <w:t xml:space="preserve"> to </w:t>
      </w:r>
      <w:r w:rsidR="005A5454" w:rsidRPr="0040542F">
        <w:rPr>
          <w:spacing w:val="-2"/>
        </w:rPr>
        <w:t xml:space="preserve">Notices of Violation and </w:t>
      </w:r>
      <w:r w:rsidR="004D2631" w:rsidRPr="0040542F">
        <w:rPr>
          <w:spacing w:val="-2"/>
        </w:rPr>
        <w:t xml:space="preserve">Commission </w:t>
      </w:r>
      <w:r w:rsidR="00BF217E" w:rsidRPr="0040542F">
        <w:rPr>
          <w:spacing w:val="-2"/>
        </w:rPr>
        <w:t>requests for information</w:t>
      </w:r>
      <w:r w:rsidR="004D2631" w:rsidRPr="0040542F">
        <w:rPr>
          <w:spacing w:val="-2"/>
        </w:rPr>
        <w:t>.</w:t>
      </w:r>
      <w:r w:rsidR="005C7004">
        <w:rPr>
          <w:rStyle w:val="FootnoteReference"/>
          <w:spacing w:val="-2"/>
        </w:rPr>
        <w:footnoteReference w:id="6"/>
      </w:r>
      <w:r w:rsidR="004F394D" w:rsidRPr="0040542F">
        <w:rPr>
          <w:spacing w:val="-2"/>
        </w:rPr>
        <w:t xml:space="preserve"> </w:t>
      </w:r>
    </w:p>
    <w:p w:rsidR="00842528" w:rsidRPr="00EA5B31" w:rsidRDefault="00E9376C" w:rsidP="00B2444D">
      <w:pPr>
        <w:pStyle w:val="Heading1"/>
        <w:widowControl/>
        <w:rPr>
          <w:rFonts w:ascii="Times New Roman" w:hAnsi="Times New Roman"/>
          <w:color w:val="000000"/>
          <w:spacing w:val="-2"/>
        </w:rPr>
      </w:pPr>
      <w:r w:rsidRPr="00EA5B31">
        <w:rPr>
          <w:rFonts w:ascii="Times New Roman" w:hAnsi="Times New Roman"/>
          <w:color w:val="000000"/>
        </w:rPr>
        <w:t>BACKGROUND</w:t>
      </w:r>
      <w:r w:rsidR="002B725D" w:rsidRPr="00EA5B31">
        <w:rPr>
          <w:rFonts w:ascii="Times New Roman" w:hAnsi="Times New Roman"/>
          <w:color w:val="000000"/>
        </w:rPr>
        <w:t xml:space="preserve"> </w:t>
      </w:r>
    </w:p>
    <w:p w:rsidR="00EA06E8" w:rsidRPr="00DB539B" w:rsidRDefault="00842528" w:rsidP="0066735A">
      <w:pPr>
        <w:pStyle w:val="ParaNum"/>
        <w:rPr>
          <w:spacing w:val="-2"/>
        </w:rPr>
      </w:pPr>
      <w:r w:rsidRPr="0040542F">
        <w:t>On June 18, 2013, an agent from the Enforcement Bureau’s Anchorage Resident Agent Office (Anchorage Office) inspected the main studio of KIBH-FM</w:t>
      </w:r>
      <w:r w:rsidR="007E2EB0">
        <w:t>, a non-commercial educational station,</w:t>
      </w:r>
      <w:r w:rsidRPr="0040542F">
        <w:t xml:space="preserve"> </w:t>
      </w:r>
      <w:r w:rsidRPr="0040542F">
        <w:lastRenderedPageBreak/>
        <w:t xml:space="preserve">at 222 Fourth Avenue, Seward, Alaska.  At the time of the inspection, this location was also the </w:t>
      </w:r>
      <w:r w:rsidR="00BF217E" w:rsidRPr="0040542F">
        <w:t xml:space="preserve">station’s authorized </w:t>
      </w:r>
      <w:r w:rsidRPr="0040542F">
        <w:t>transmitter location under a grant of special temporary authority (STA).</w:t>
      </w:r>
      <w:r w:rsidRPr="00DB4424">
        <w:rPr>
          <w:rStyle w:val="FootnoteReference"/>
          <w:sz w:val="22"/>
        </w:rPr>
        <w:footnoteReference w:id="7"/>
      </w:r>
      <w:r w:rsidRPr="0040542F">
        <w:rPr>
          <w:spacing w:val="-2"/>
        </w:rPr>
        <w:t xml:space="preserve">  </w:t>
      </w:r>
      <w:r w:rsidRPr="0040542F">
        <w:t xml:space="preserve">The inspection revealed several </w:t>
      </w:r>
      <w:r w:rsidR="00D96B40" w:rsidRPr="0040542F">
        <w:t xml:space="preserve">apparent </w:t>
      </w:r>
      <w:r w:rsidRPr="0040542F">
        <w:t xml:space="preserve">infractions of the </w:t>
      </w:r>
      <w:r w:rsidR="00A579F0" w:rsidRPr="0040542F">
        <w:t>Commission’s r</w:t>
      </w:r>
      <w:r w:rsidRPr="0040542F">
        <w:t xml:space="preserve">ules, including but not limited to: </w:t>
      </w:r>
      <w:r w:rsidR="00266E10" w:rsidRPr="0040542F">
        <w:t xml:space="preserve">violations of </w:t>
      </w:r>
      <w:r w:rsidRPr="0040542F">
        <w:t xml:space="preserve">a number of </w:t>
      </w:r>
      <w:r w:rsidR="00CB37B8" w:rsidRPr="0040542F">
        <w:t>EAS</w:t>
      </w:r>
      <w:r w:rsidRPr="0040542F">
        <w:t xml:space="preserve"> </w:t>
      </w:r>
      <w:r w:rsidR="00A579F0" w:rsidRPr="0040542F">
        <w:t>r</w:t>
      </w:r>
      <w:r w:rsidR="00CB37B8" w:rsidRPr="0040542F">
        <w:t>ules</w:t>
      </w:r>
      <w:r w:rsidR="00B45D25" w:rsidRPr="0040542F">
        <w:t>;</w:t>
      </w:r>
      <w:r w:rsidRPr="00DB4424">
        <w:rPr>
          <w:rStyle w:val="FootnoteReference"/>
          <w:sz w:val="22"/>
        </w:rPr>
        <w:footnoteReference w:id="8"/>
      </w:r>
      <w:r w:rsidRPr="0040542F">
        <w:t xml:space="preserve"> </w:t>
      </w:r>
      <w:r w:rsidR="00266E10" w:rsidRPr="0040542F">
        <w:t xml:space="preserve">failure </w:t>
      </w:r>
      <w:r w:rsidRPr="0040542F">
        <w:t xml:space="preserve">to </w:t>
      </w:r>
      <w:r w:rsidR="00BF217E" w:rsidRPr="0040542F">
        <w:t>post the station</w:t>
      </w:r>
      <w:r w:rsidRPr="0040542F">
        <w:t xml:space="preserve"> license</w:t>
      </w:r>
      <w:r w:rsidR="00B45D25" w:rsidRPr="0040542F">
        <w:t>;</w:t>
      </w:r>
      <w:r w:rsidRPr="00DB4424">
        <w:rPr>
          <w:rStyle w:val="FootnoteReference"/>
          <w:sz w:val="22"/>
        </w:rPr>
        <w:footnoteReference w:id="9"/>
      </w:r>
      <w:r w:rsidRPr="0040542F">
        <w:t xml:space="preserve"> </w:t>
      </w:r>
      <w:r w:rsidR="00266E10" w:rsidRPr="0040542F">
        <w:t xml:space="preserve">failure </w:t>
      </w:r>
      <w:r w:rsidRPr="0040542F">
        <w:t xml:space="preserve">to maintain a </w:t>
      </w:r>
      <w:r w:rsidR="00BF217E" w:rsidRPr="0040542F">
        <w:t>local p</w:t>
      </w:r>
      <w:r w:rsidRPr="0040542F">
        <w:t xml:space="preserve">ublic </w:t>
      </w:r>
      <w:r w:rsidR="00BF217E" w:rsidRPr="0040542F">
        <w:t>i</w:t>
      </w:r>
      <w:r w:rsidRPr="0040542F">
        <w:t xml:space="preserve">nspection </w:t>
      </w:r>
      <w:r w:rsidR="00BF217E" w:rsidRPr="0040542F">
        <w:t>f</w:t>
      </w:r>
      <w:r w:rsidRPr="0040542F">
        <w:t>ile</w:t>
      </w:r>
      <w:r w:rsidR="00B45D25" w:rsidRPr="0040542F">
        <w:t>;</w:t>
      </w:r>
      <w:r w:rsidRPr="00DB4424">
        <w:rPr>
          <w:rStyle w:val="FootnoteReference"/>
          <w:sz w:val="22"/>
        </w:rPr>
        <w:footnoteReference w:id="10"/>
      </w:r>
      <w:r w:rsidRPr="0040542F">
        <w:t xml:space="preserve"> and fail</w:t>
      </w:r>
      <w:r w:rsidR="00266E10" w:rsidRPr="0040542F">
        <w:t>ure</w:t>
      </w:r>
      <w:r w:rsidRPr="0040542F">
        <w:t xml:space="preserve"> to maintain </w:t>
      </w:r>
      <w:r w:rsidR="00722F76" w:rsidRPr="0040542F">
        <w:t xml:space="preserve">certain </w:t>
      </w:r>
      <w:r w:rsidRPr="0040542F">
        <w:t>required logs.</w:t>
      </w:r>
      <w:r w:rsidRPr="00DB4424">
        <w:rPr>
          <w:rStyle w:val="FootnoteReference"/>
          <w:sz w:val="22"/>
        </w:rPr>
        <w:footnoteReference w:id="11"/>
      </w:r>
      <w:r w:rsidRPr="0040542F">
        <w:t xml:space="preserve">  In addition, KEMI appeared to violate rules governing main studio staffing</w:t>
      </w:r>
      <w:r w:rsidR="00B45D25" w:rsidRPr="0040542F">
        <w:t>;</w:t>
      </w:r>
      <w:r w:rsidRPr="00DB4424">
        <w:rPr>
          <w:rStyle w:val="FootnoteReference"/>
          <w:sz w:val="22"/>
        </w:rPr>
        <w:footnoteReference w:id="12"/>
      </w:r>
      <w:r w:rsidRPr="0040542F">
        <w:t xml:space="preserve"> </w:t>
      </w:r>
      <w:r w:rsidR="0083338E" w:rsidRPr="0040542F">
        <w:t xml:space="preserve">transmission system </w:t>
      </w:r>
      <w:r w:rsidR="00BF217E" w:rsidRPr="0040542F">
        <w:t xml:space="preserve">monitoring and </w:t>
      </w:r>
      <w:r w:rsidRPr="0040542F">
        <w:t>control</w:t>
      </w:r>
      <w:r w:rsidR="00B45D25" w:rsidRPr="0040542F">
        <w:t>;</w:t>
      </w:r>
      <w:r w:rsidRPr="00DB4424">
        <w:rPr>
          <w:rStyle w:val="FootnoteReference"/>
          <w:sz w:val="22"/>
        </w:rPr>
        <w:footnoteReference w:id="13"/>
      </w:r>
      <w:r w:rsidRPr="0040542F">
        <w:t xml:space="preserve"> and designation of a chief operator</w:t>
      </w:r>
      <w:r w:rsidR="002C32BF" w:rsidRPr="0040542F">
        <w:t xml:space="preserve"> of the station</w:t>
      </w:r>
      <w:r w:rsidRPr="0040542F">
        <w:t>.</w:t>
      </w:r>
      <w:r w:rsidRPr="00DB4424">
        <w:rPr>
          <w:rStyle w:val="FootnoteReference"/>
          <w:sz w:val="22"/>
        </w:rPr>
        <w:footnoteReference w:id="14"/>
      </w:r>
      <w:r w:rsidR="0015743C" w:rsidRPr="0040542F">
        <w:rPr>
          <w:spacing w:val="-2"/>
        </w:rPr>
        <w:t xml:space="preserve"> </w:t>
      </w:r>
      <w:r w:rsidR="002C32BF" w:rsidRPr="0040542F">
        <w:rPr>
          <w:spacing w:val="-2"/>
        </w:rPr>
        <w:t xml:space="preserve"> </w:t>
      </w:r>
      <w:r w:rsidRPr="0040542F">
        <w:t>On August 12, 2013,</w:t>
      </w:r>
      <w:r w:rsidR="00DD405C" w:rsidRPr="0040542F">
        <w:t xml:space="preserve"> pursuant to </w:t>
      </w:r>
      <w:r w:rsidR="00A3684B">
        <w:t>S</w:t>
      </w:r>
      <w:r w:rsidR="00DD405C" w:rsidRPr="0040542F">
        <w:t>ection 1.89 of the Commission’s rules,</w:t>
      </w:r>
      <w:r w:rsidRPr="0040542F">
        <w:t xml:space="preserve"> the Anchorage Office issued a Notice of Violation</w:t>
      </w:r>
      <w:r w:rsidR="00B45D25" w:rsidRPr="0040542F">
        <w:t xml:space="preserve"> (NOV)</w:t>
      </w:r>
      <w:r w:rsidRPr="0040542F">
        <w:t xml:space="preserve"> (August 2013 NOV) to KEMI for the apparent violations noted during the June 18, 2013, inspection.</w:t>
      </w:r>
      <w:r w:rsidR="00501DD0" w:rsidRPr="0040542F">
        <w:rPr>
          <w:rStyle w:val="FootnoteReference"/>
          <w:sz w:val="22"/>
        </w:rPr>
        <w:footnoteReference w:id="15"/>
      </w:r>
      <w:r w:rsidRPr="0040542F">
        <w:t xml:space="preserve">  </w:t>
      </w:r>
      <w:r w:rsidR="00FD37A8" w:rsidRPr="0040542F">
        <w:t>The August 2013 NOV required KIBH to “submit a written statement within twenty (20) days of release of this Notice,” including an explanation of each violation, specific actions taken to correct each violation and a timeline for completion of each pending corrective action, accompanied by an affidavit or declaration under penalty of perjury signed by an authorized officer of KEMI with personal knowledge of the matters asserted.</w:t>
      </w:r>
      <w:r w:rsidR="00FD37A8" w:rsidRPr="0040542F">
        <w:rPr>
          <w:rStyle w:val="FootnoteReference"/>
          <w:sz w:val="22"/>
        </w:rPr>
        <w:footnoteReference w:id="16"/>
      </w:r>
      <w:r w:rsidR="00FD37A8" w:rsidRPr="0040542F">
        <w:t xml:space="preserve"> </w:t>
      </w:r>
      <w:r w:rsidRPr="0040542F">
        <w:t xml:space="preserve"> </w:t>
      </w:r>
      <w:r w:rsidR="00EA06E8" w:rsidRPr="00EA06E8">
        <w:t>The Anchorage Office did not receive a</w:t>
      </w:r>
      <w:r w:rsidR="00EA06E8" w:rsidRPr="00592B08">
        <w:t xml:space="preserve"> response to the August 2013 NOV. </w:t>
      </w:r>
    </w:p>
    <w:p w:rsidR="002B725D" w:rsidRPr="0040542F" w:rsidRDefault="00AA0539" w:rsidP="00B2444D">
      <w:pPr>
        <w:pStyle w:val="ParaNum"/>
        <w:widowControl/>
        <w:rPr>
          <w:spacing w:val="-2"/>
        </w:rPr>
      </w:pPr>
      <w:r w:rsidRPr="0040542F">
        <w:t>Subsequently, the Anchorage Office sent KEMI a Warning Letter</w:t>
      </w:r>
      <w:r w:rsidR="00993938" w:rsidRPr="0040542F">
        <w:t xml:space="preserve"> in September 2013,</w:t>
      </w:r>
      <w:r w:rsidRPr="0040542F">
        <w:t xml:space="preserve"> and two additional NOVs</w:t>
      </w:r>
      <w:r w:rsidR="00993938" w:rsidRPr="0040542F">
        <w:t xml:space="preserve"> in November 2013 and April 2016</w:t>
      </w:r>
      <w:r w:rsidRPr="0040542F">
        <w:t xml:space="preserve">, directing KEMI to </w:t>
      </w:r>
      <w:r w:rsidR="002569A5" w:rsidRPr="0040542F">
        <w:t xml:space="preserve">provide specific information concerning the apparent violations described in </w:t>
      </w:r>
      <w:r w:rsidR="00F84786" w:rsidRPr="0040542F">
        <w:t>the August 2013 NOV</w:t>
      </w:r>
      <w:r w:rsidR="00321E6A">
        <w:t>.</w:t>
      </w:r>
      <w:r w:rsidR="002569A5" w:rsidRPr="0040542F">
        <w:rPr>
          <w:rStyle w:val="FootnoteReference"/>
          <w:sz w:val="22"/>
        </w:rPr>
        <w:footnoteReference w:id="17"/>
      </w:r>
      <w:r w:rsidR="00F84786" w:rsidRPr="0040542F">
        <w:t xml:space="preserve"> </w:t>
      </w:r>
      <w:r w:rsidR="00321E6A">
        <w:t xml:space="preserve">The NOVs also stated </w:t>
      </w:r>
      <w:r w:rsidR="00F84786" w:rsidRPr="0040542F">
        <w:t>that</w:t>
      </w:r>
      <w:r w:rsidR="000F6F3B" w:rsidRPr="0040542F">
        <w:t xml:space="preserve"> </w:t>
      </w:r>
      <w:r w:rsidR="00F84786" w:rsidRPr="0040542F">
        <w:t xml:space="preserve">failure to do so </w:t>
      </w:r>
      <w:r w:rsidR="00321E6A">
        <w:t xml:space="preserve">would </w:t>
      </w:r>
      <w:r w:rsidR="00F84786" w:rsidRPr="0040542F">
        <w:t xml:space="preserve">constitute an apparent </w:t>
      </w:r>
      <w:r w:rsidR="00266E10" w:rsidRPr="0040542F">
        <w:t xml:space="preserve">violation </w:t>
      </w:r>
      <w:r w:rsidR="00F84786" w:rsidRPr="0040542F">
        <w:t xml:space="preserve">of Section 73.1015 of the Commission’s </w:t>
      </w:r>
      <w:r w:rsidR="00730068" w:rsidRPr="0040542F">
        <w:t>r</w:t>
      </w:r>
      <w:r w:rsidR="00F84786" w:rsidRPr="0040542F">
        <w:t>ules.</w:t>
      </w:r>
      <w:r w:rsidR="00F84786" w:rsidRPr="00DB4424">
        <w:rPr>
          <w:rStyle w:val="FootnoteReference"/>
          <w:sz w:val="22"/>
        </w:rPr>
        <w:footnoteReference w:id="18"/>
      </w:r>
      <w:r w:rsidR="00F84786" w:rsidRPr="0040542F">
        <w:t xml:space="preserve"> </w:t>
      </w:r>
      <w:r w:rsidR="006C1677" w:rsidRPr="0040542F">
        <w:t xml:space="preserve"> </w:t>
      </w:r>
      <w:r w:rsidR="00D229E8" w:rsidRPr="0040542F">
        <w:t>All such communications were sent to KEMI at its address of record at the Commission.</w:t>
      </w:r>
      <w:r w:rsidR="00D229E8" w:rsidRPr="0040542F">
        <w:rPr>
          <w:rStyle w:val="FootnoteReference"/>
          <w:sz w:val="22"/>
        </w:rPr>
        <w:footnoteReference w:id="19"/>
      </w:r>
      <w:r w:rsidR="00D229E8" w:rsidRPr="0040542F">
        <w:t xml:space="preserve"> </w:t>
      </w:r>
    </w:p>
    <w:p w:rsidR="002B725D" w:rsidRPr="00EA5B31" w:rsidRDefault="002B725D" w:rsidP="00B2444D">
      <w:pPr>
        <w:pStyle w:val="Heading1"/>
        <w:widowControl/>
        <w:rPr>
          <w:rFonts w:ascii="Times New Roman" w:hAnsi="Times New Roman"/>
          <w:spacing w:val="-2"/>
        </w:rPr>
      </w:pPr>
      <w:r w:rsidRPr="00EA5B31">
        <w:rPr>
          <w:rFonts w:ascii="Times New Roman" w:hAnsi="Times New Roman"/>
          <w:spacing w:val="-2"/>
        </w:rPr>
        <w:t xml:space="preserve">  </w:t>
      </w:r>
      <w:r w:rsidRPr="00EA5B31">
        <w:rPr>
          <w:rFonts w:ascii="Times New Roman" w:hAnsi="Times New Roman"/>
        </w:rPr>
        <w:t>DISCUSSION</w:t>
      </w:r>
      <w:r w:rsidR="00923CE5" w:rsidRPr="00EA5B31">
        <w:rPr>
          <w:rFonts w:ascii="Times New Roman" w:hAnsi="Times New Roman"/>
        </w:rPr>
        <w:t xml:space="preserve">  </w:t>
      </w:r>
    </w:p>
    <w:p w:rsidR="00543E21" w:rsidRPr="0040542F" w:rsidRDefault="008B0DBC" w:rsidP="00B2444D">
      <w:pPr>
        <w:pStyle w:val="ParaNum"/>
        <w:widowControl/>
        <w:rPr>
          <w:spacing w:val="-2"/>
        </w:rPr>
      </w:pPr>
      <w:r w:rsidRPr="0040542F">
        <w:t xml:space="preserve"> </w:t>
      </w:r>
      <w:r w:rsidR="00807791" w:rsidRPr="0040542F">
        <w:rPr>
          <w:spacing w:val="-2"/>
        </w:rPr>
        <w:t xml:space="preserve">We find that KEMI </w:t>
      </w:r>
      <w:r w:rsidR="00807791" w:rsidRPr="0040542F">
        <w:t xml:space="preserve">apparently willfully violated </w:t>
      </w:r>
      <w:r w:rsidR="00D96B40" w:rsidRPr="0040542F">
        <w:t xml:space="preserve">the aforementioned provisions contained in </w:t>
      </w:r>
      <w:r w:rsidR="00807791" w:rsidRPr="0040542F">
        <w:t xml:space="preserve">Parts 11 and 73 of the </w:t>
      </w:r>
      <w:r w:rsidR="00B27E13" w:rsidRPr="0040542F">
        <w:t xml:space="preserve">Commission’s </w:t>
      </w:r>
      <w:r w:rsidR="0092790D" w:rsidRPr="0040542F">
        <w:t>r</w:t>
      </w:r>
      <w:r w:rsidR="00807791" w:rsidRPr="0040542F">
        <w:t>ules</w:t>
      </w:r>
      <w:r w:rsidR="0022576D" w:rsidRPr="0040542F">
        <w:t>,</w:t>
      </w:r>
      <w:r w:rsidR="000D47D7" w:rsidRPr="0040542F">
        <w:t xml:space="preserve"> and willfully and repeatedly violated </w:t>
      </w:r>
      <w:r w:rsidR="00882581">
        <w:t>Section</w:t>
      </w:r>
      <w:r w:rsidR="0022576D" w:rsidRPr="0040542F">
        <w:t>s 1.89(b) and 73.10</w:t>
      </w:r>
      <w:r w:rsidR="005372DF">
        <w:t>1</w:t>
      </w:r>
      <w:r w:rsidR="0022576D" w:rsidRPr="0040542F">
        <w:t xml:space="preserve">5 </w:t>
      </w:r>
      <w:r w:rsidR="000D47D7" w:rsidRPr="0040542F">
        <w:t>of the Commission’s rules</w:t>
      </w:r>
      <w:r w:rsidR="00807791" w:rsidRPr="0040542F">
        <w:t>.</w:t>
      </w:r>
      <w:r w:rsidR="00807791" w:rsidRPr="00DB4424">
        <w:rPr>
          <w:rStyle w:val="FootnoteReference"/>
          <w:sz w:val="22"/>
        </w:rPr>
        <w:footnoteReference w:id="20"/>
      </w:r>
      <w:r w:rsidR="00807791" w:rsidRPr="0040542F">
        <w:t xml:space="preserve">  </w:t>
      </w:r>
      <w:r w:rsidR="00731ABF" w:rsidRPr="0040542F">
        <w:rPr>
          <w:spacing w:val="-3"/>
        </w:rPr>
        <w:t>Section 503(b) of the Communications Act of 1934, as amended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00731ABF" w:rsidRPr="00DB4424">
        <w:rPr>
          <w:rStyle w:val="FootnoteReference"/>
          <w:spacing w:val="-3"/>
          <w:sz w:val="22"/>
        </w:rPr>
        <w:footnoteReference w:id="21"/>
      </w:r>
      <w:r w:rsidR="00731ABF" w:rsidRPr="0040542F">
        <w:rPr>
          <w:spacing w:val="-3"/>
        </w:rPr>
        <w:t xml:space="preserve">  Section 312(f)(1) of the Act defines “willful” as the “conscious and deliberate commission or omission of [any] act, irrespective of any intent to violate” the law.</w:t>
      </w:r>
      <w:r w:rsidR="00731ABF" w:rsidRPr="00DB4424">
        <w:rPr>
          <w:rStyle w:val="FootnoteReference"/>
          <w:spacing w:val="-3"/>
          <w:sz w:val="22"/>
        </w:rPr>
        <w:footnoteReference w:id="22"/>
      </w:r>
      <w:r w:rsidR="00731ABF" w:rsidRPr="0040542F">
        <w:rPr>
          <w:spacing w:val="-3"/>
        </w:rPr>
        <w:t xml:space="preserve">  The legislative history of Section 312(f)(1) of the Act clarifies that this definition of willful applies to both Sections 312 and 503(b) of the Act,</w:t>
      </w:r>
      <w:r w:rsidR="00731ABF" w:rsidRPr="00DB4424">
        <w:rPr>
          <w:rStyle w:val="FootnoteReference"/>
          <w:spacing w:val="-3"/>
          <w:sz w:val="22"/>
        </w:rPr>
        <w:footnoteReference w:id="23"/>
      </w:r>
      <w:r w:rsidR="00731ABF" w:rsidRPr="0040542F">
        <w:rPr>
          <w:spacing w:val="-3"/>
        </w:rPr>
        <w:t xml:space="preserve"> and the Commission has so interpreted the term in the Section 503(b) context.</w:t>
      </w:r>
      <w:r w:rsidR="00731ABF" w:rsidRPr="00DB4424">
        <w:rPr>
          <w:rStyle w:val="FootnoteReference"/>
          <w:spacing w:val="-3"/>
          <w:sz w:val="22"/>
        </w:rPr>
        <w:footnoteReference w:id="24"/>
      </w:r>
      <w:r w:rsidR="00731ABF" w:rsidRPr="0040542F">
        <w:rPr>
          <w:spacing w:val="-3"/>
        </w:rPr>
        <w:t xml:space="preserve">  </w:t>
      </w:r>
      <w:r w:rsidR="00731ABF" w:rsidRPr="0040542F">
        <w:t>The Commission may also assess a forfeiture for violations that are merely repeated, and not willful.</w:t>
      </w:r>
      <w:r w:rsidR="00731ABF" w:rsidRPr="00DB4424">
        <w:rPr>
          <w:rStyle w:val="FootnoteReference"/>
          <w:sz w:val="22"/>
        </w:rPr>
        <w:footnoteReference w:id="25"/>
      </w:r>
      <w:r w:rsidR="00731ABF" w:rsidRPr="0040542F">
        <w:t xml:space="preserve">  </w:t>
      </w:r>
      <w:r w:rsidR="00731ABF" w:rsidRPr="0040542F">
        <w:rPr>
          <w:spacing w:val="-3"/>
        </w:rPr>
        <w:t>The term “repeated” means the commission or omission of such act more than once or for more than one day.</w:t>
      </w:r>
      <w:r w:rsidR="00731ABF" w:rsidRPr="00DB4424">
        <w:rPr>
          <w:rStyle w:val="FootnoteReference"/>
          <w:spacing w:val="-3"/>
          <w:sz w:val="22"/>
        </w:rPr>
        <w:footnoteReference w:id="26"/>
      </w:r>
      <w:r w:rsidRPr="0040542F">
        <w:t xml:space="preserve"> </w:t>
      </w:r>
    </w:p>
    <w:p w:rsidR="00543E21" w:rsidRPr="0040542F" w:rsidRDefault="00543E21" w:rsidP="00B2444D">
      <w:pPr>
        <w:pStyle w:val="Heading2"/>
        <w:widowControl/>
        <w:rPr>
          <w:b w:val="0"/>
        </w:rPr>
      </w:pPr>
      <w:r w:rsidRPr="0040542F">
        <w:t xml:space="preserve">Violations of Emergency Alert System Rules </w:t>
      </w:r>
      <w:r w:rsidR="00C60A07">
        <w:t xml:space="preserve">  </w:t>
      </w:r>
    </w:p>
    <w:p w:rsidR="00F938E4" w:rsidRPr="0040542F" w:rsidRDefault="00543E21" w:rsidP="00B2444D">
      <w:pPr>
        <w:pStyle w:val="ParaNum"/>
        <w:widowControl/>
        <w:rPr>
          <w:spacing w:val="-2"/>
        </w:rPr>
      </w:pPr>
      <w:r w:rsidRPr="0040542F">
        <w:rPr>
          <w:spacing w:val="-2"/>
        </w:rPr>
        <w:t xml:space="preserve">As </w:t>
      </w:r>
      <w:r w:rsidR="00267F63">
        <w:rPr>
          <w:spacing w:val="-2"/>
        </w:rPr>
        <w:t>stated</w:t>
      </w:r>
      <w:r w:rsidR="00267F63" w:rsidRPr="0040542F">
        <w:rPr>
          <w:spacing w:val="-2"/>
        </w:rPr>
        <w:t xml:space="preserve"> </w:t>
      </w:r>
      <w:r w:rsidRPr="0040542F">
        <w:rPr>
          <w:spacing w:val="-2"/>
        </w:rPr>
        <w:t xml:space="preserve">above, the </w:t>
      </w:r>
      <w:r w:rsidR="00F938E4" w:rsidRPr="0040542F">
        <w:rPr>
          <w:spacing w:val="-2"/>
        </w:rPr>
        <w:t xml:space="preserve">Field </w:t>
      </w:r>
      <w:r w:rsidR="00A24E7D" w:rsidRPr="0040542F">
        <w:rPr>
          <w:spacing w:val="-2"/>
        </w:rPr>
        <w:t xml:space="preserve">Agent’s </w:t>
      </w:r>
      <w:r w:rsidRPr="0040542F">
        <w:rPr>
          <w:spacing w:val="-2"/>
        </w:rPr>
        <w:t xml:space="preserve">inspection </w:t>
      </w:r>
      <w:r w:rsidR="00A24E7D" w:rsidRPr="0040542F">
        <w:rPr>
          <w:spacing w:val="-2"/>
        </w:rPr>
        <w:t xml:space="preserve">of the KEMI facilities </w:t>
      </w:r>
      <w:r w:rsidRPr="0040542F">
        <w:rPr>
          <w:spacing w:val="-2"/>
        </w:rPr>
        <w:t xml:space="preserve">revealed a number of apparent violations of the Part 11 EAS rules.  </w:t>
      </w:r>
      <w:r w:rsidR="00235440" w:rsidRPr="0040542F">
        <w:rPr>
          <w:spacing w:val="-2"/>
        </w:rPr>
        <w:t xml:space="preserve">First, </w:t>
      </w:r>
      <w:r w:rsidR="00235440" w:rsidRPr="0040542F">
        <w:t xml:space="preserve">Section 11.15 of the </w:t>
      </w:r>
      <w:r w:rsidR="00B90A68" w:rsidRPr="0040542F">
        <w:t>Commission’s r</w:t>
      </w:r>
      <w:r w:rsidR="00235440" w:rsidRPr="0040542F">
        <w:t xml:space="preserve">ules </w:t>
      </w:r>
      <w:r w:rsidR="005A44A4" w:rsidRPr="0040542F">
        <w:t xml:space="preserve">requires that </w:t>
      </w:r>
      <w:r w:rsidR="00D44F57" w:rsidRPr="0040542F">
        <w:t xml:space="preserve">a copy of the </w:t>
      </w:r>
      <w:r w:rsidR="00D44F57" w:rsidRPr="0040542F">
        <w:rPr>
          <w:spacing w:val="-2"/>
        </w:rPr>
        <w:t xml:space="preserve">EAS Operating Handbook </w:t>
      </w:r>
      <w:r w:rsidR="00D44F57" w:rsidRPr="0040542F">
        <w:t xml:space="preserve">“must be located at normal duty positions or EAS equipment locations when an operator is required </w:t>
      </w:r>
      <w:r w:rsidR="00D44F57" w:rsidRPr="0040542F">
        <w:rPr>
          <w:spacing w:val="-2"/>
        </w:rPr>
        <w:t xml:space="preserve">to </w:t>
      </w:r>
      <w:r w:rsidR="00D44F57" w:rsidRPr="0040542F">
        <w:t xml:space="preserve">be on duty and be immediately available to staff responsible for authenticating </w:t>
      </w:r>
      <w:r w:rsidR="00C645A3">
        <w:t>me</w:t>
      </w:r>
      <w:r w:rsidR="00FF3AAA" w:rsidRPr="0040542F">
        <w:t xml:space="preserve">ssages </w:t>
      </w:r>
      <w:r w:rsidR="00D44F57" w:rsidRPr="0040542F">
        <w:t>and initiating actions.”</w:t>
      </w:r>
      <w:r w:rsidR="00A24E7D" w:rsidRPr="00DB4424">
        <w:rPr>
          <w:rStyle w:val="FootnoteReference"/>
          <w:sz w:val="22"/>
        </w:rPr>
        <w:footnoteReference w:id="27"/>
      </w:r>
      <w:r w:rsidR="005A44A4" w:rsidRPr="0040542F">
        <w:t xml:space="preserve">  </w:t>
      </w:r>
      <w:r w:rsidR="00E67FC6" w:rsidRPr="0040542F">
        <w:t>Upon</w:t>
      </w:r>
      <w:r w:rsidR="00CB37B8" w:rsidRPr="0040542F">
        <w:t xml:space="preserve"> inspection, the Field Agent found</w:t>
      </w:r>
      <w:r w:rsidR="00A24E7D" w:rsidRPr="0040542F">
        <w:rPr>
          <w:spacing w:val="-2"/>
        </w:rPr>
        <w:t xml:space="preserve"> </w:t>
      </w:r>
      <w:r w:rsidR="006C3D95" w:rsidRPr="0040542F">
        <w:t xml:space="preserve">that </w:t>
      </w:r>
      <w:r w:rsidR="006C3D95" w:rsidRPr="0040542F">
        <w:rPr>
          <w:spacing w:val="-2"/>
        </w:rPr>
        <w:t>KEMI had no such Handbook.</w:t>
      </w:r>
      <w:r w:rsidR="006C3D95" w:rsidRPr="00DB4424">
        <w:rPr>
          <w:rStyle w:val="FootnoteReference"/>
          <w:spacing w:val="-2"/>
          <w:sz w:val="22"/>
        </w:rPr>
        <w:footnoteReference w:id="28"/>
      </w:r>
      <w:r w:rsidR="006C3D95" w:rsidRPr="0040542F">
        <w:rPr>
          <w:spacing w:val="-2"/>
        </w:rPr>
        <w:t xml:space="preserve"> </w:t>
      </w:r>
      <w:r w:rsidR="00A24E7D" w:rsidRPr="0040542F">
        <w:rPr>
          <w:spacing w:val="-2"/>
        </w:rPr>
        <w:t xml:space="preserve"> </w:t>
      </w:r>
    </w:p>
    <w:p w:rsidR="00235440" w:rsidRPr="0040542F" w:rsidRDefault="00A24E7D" w:rsidP="00B2444D">
      <w:pPr>
        <w:pStyle w:val="ParaNum"/>
        <w:widowControl/>
        <w:rPr>
          <w:spacing w:val="-2"/>
        </w:rPr>
      </w:pPr>
      <w:r w:rsidRPr="0040542F">
        <w:rPr>
          <w:spacing w:val="-2"/>
        </w:rPr>
        <w:t xml:space="preserve">Second, under Section 11.35(a) of the </w:t>
      </w:r>
      <w:r w:rsidR="00B90A68" w:rsidRPr="0040542F">
        <w:rPr>
          <w:spacing w:val="-2"/>
        </w:rPr>
        <w:t xml:space="preserve">Commission’s </w:t>
      </w:r>
      <w:r w:rsidRPr="0040542F">
        <w:rPr>
          <w:spacing w:val="-2"/>
        </w:rPr>
        <w:t>rules,</w:t>
      </w:r>
      <w:r w:rsidR="00F938E4" w:rsidRPr="0040542F">
        <w:rPr>
          <w:spacing w:val="-2"/>
        </w:rPr>
        <w:t xml:space="preserve"> </w:t>
      </w:r>
      <w:r w:rsidR="00F938E4" w:rsidRPr="0040542F">
        <w:t>“EAS Participants are responsible for ensuring that EAS Encoders, EAS Decoders, Attention Signal generating and receiving equipment, and Intermediate Devices used as part of the EAS to decode and/or encode messages in the EAS Protocol and/or the Common Alerting Protocol are installed so that the monitoring and transmitting functions are available during the times the stations and system are in operation.”</w:t>
      </w:r>
      <w:r w:rsidR="00F938E4" w:rsidRPr="00DB4424">
        <w:rPr>
          <w:rStyle w:val="FootnoteReference"/>
          <w:sz w:val="22"/>
        </w:rPr>
        <w:footnoteReference w:id="29"/>
      </w:r>
      <w:r w:rsidR="00F938E4" w:rsidRPr="0040542F">
        <w:t xml:space="preserve">  During his inspection, the Agent found that KEMI appeared to have violated this rule by failing to have such EAS equipment </w:t>
      </w:r>
      <w:r w:rsidR="003B0CA2" w:rsidRPr="0040542F">
        <w:t xml:space="preserve">installed such that the appropriate monitoring and transmitting functions were available.  Specifically, </w:t>
      </w:r>
      <w:r w:rsidR="00F938E4" w:rsidRPr="0040542F">
        <w:t xml:space="preserve">the EAS device/system was </w:t>
      </w:r>
      <w:r w:rsidR="00925075">
        <w:t xml:space="preserve">set to broadcast </w:t>
      </w:r>
      <w:r w:rsidR="006D525E">
        <w:t xml:space="preserve">emergency alert messages intended for </w:t>
      </w:r>
      <w:r w:rsidR="00F938E4" w:rsidRPr="0040542F">
        <w:t>another station, KWAP-AM in Wasilla, Alaska, in the Matanuska-Susitna Borough opera</w:t>
      </w:r>
      <w:r w:rsidR="006D525E">
        <w:t>tional area, and not</w:t>
      </w:r>
      <w:r w:rsidR="00F938E4" w:rsidRPr="0040542F">
        <w:t xml:space="preserve"> </w:t>
      </w:r>
      <w:r w:rsidR="006D525E">
        <w:t xml:space="preserve">for </w:t>
      </w:r>
      <w:r w:rsidR="00F938E4" w:rsidRPr="0040542F">
        <w:t>the KIBH-FM station in the Kenai Peninsula Borough operational area.</w:t>
      </w:r>
    </w:p>
    <w:p w:rsidR="00A9516E" w:rsidRPr="0040542F" w:rsidRDefault="00543E21" w:rsidP="00B2444D">
      <w:pPr>
        <w:pStyle w:val="ParaNum"/>
        <w:widowControl/>
        <w:rPr>
          <w:spacing w:val="-2"/>
        </w:rPr>
      </w:pPr>
      <w:r w:rsidRPr="0040542F">
        <w:t xml:space="preserve">Finally, </w:t>
      </w:r>
      <w:r w:rsidR="003B0CA2" w:rsidRPr="0040542F">
        <w:t xml:space="preserve">under Section 11.52(d)(1) of the </w:t>
      </w:r>
      <w:r w:rsidR="00B90A68" w:rsidRPr="0040542F">
        <w:t>Commission’s r</w:t>
      </w:r>
      <w:r w:rsidR="003B0CA2" w:rsidRPr="0040542F">
        <w:t>ules, EAS Participants must monitor two EAS sources.</w:t>
      </w:r>
      <w:r w:rsidR="006C3D95" w:rsidRPr="00DB4424">
        <w:rPr>
          <w:rStyle w:val="FootnoteReference"/>
          <w:sz w:val="22"/>
        </w:rPr>
        <w:footnoteReference w:id="30"/>
      </w:r>
      <w:r w:rsidR="006C3D95" w:rsidRPr="0040542F">
        <w:t xml:space="preserve">  During the inspection, our Agent found that KEMI appeared to </w:t>
      </w:r>
      <w:r w:rsidR="00A6227C" w:rsidRPr="0040542F">
        <w:t xml:space="preserve">be in violation of </w:t>
      </w:r>
      <w:r w:rsidR="006C3D95" w:rsidRPr="0040542F">
        <w:t xml:space="preserve">this requirement, because the KIBH-FM EAS system was monitoring only one source for EAS messaging, </w:t>
      </w:r>
      <w:r w:rsidR="00A027FD" w:rsidRPr="0040542F">
        <w:t>the National Oceanic and</w:t>
      </w:r>
      <w:r w:rsidR="009A79F2" w:rsidRPr="0040542F">
        <w:t xml:space="preserve"> Atmospheric Administration</w:t>
      </w:r>
      <w:r w:rsidR="00A027FD" w:rsidRPr="0040542F">
        <w:t>’s (</w:t>
      </w:r>
      <w:r w:rsidR="00EF705E" w:rsidRPr="0040542F">
        <w:t>NOAA’s</w:t>
      </w:r>
      <w:r w:rsidR="00A027FD" w:rsidRPr="0040542F">
        <w:t>)</w:t>
      </w:r>
      <w:r w:rsidR="00EF705E" w:rsidRPr="0040542F">
        <w:t xml:space="preserve"> Weather Radio (</w:t>
      </w:r>
      <w:r w:rsidR="006C3D95" w:rsidRPr="0040542F">
        <w:t>NWR</w:t>
      </w:r>
      <w:r w:rsidR="00EF705E" w:rsidRPr="0040542F">
        <w:t>)</w:t>
      </w:r>
      <w:r w:rsidR="006C3D95" w:rsidRPr="0040542F">
        <w:t xml:space="preserve"> in Seward.</w:t>
      </w:r>
      <w:r w:rsidR="006C3D95" w:rsidRPr="00DB4424">
        <w:rPr>
          <w:rStyle w:val="FootnoteReference"/>
          <w:sz w:val="22"/>
        </w:rPr>
        <w:footnoteReference w:id="31"/>
      </w:r>
    </w:p>
    <w:p w:rsidR="004B5340" w:rsidRPr="0040542F" w:rsidRDefault="004B5340" w:rsidP="00B2444D">
      <w:pPr>
        <w:pStyle w:val="Heading2"/>
        <w:widowControl/>
        <w:rPr>
          <w:spacing w:val="-2"/>
        </w:rPr>
      </w:pPr>
      <w:r w:rsidRPr="0040542F">
        <w:t xml:space="preserve">Violations of Broadcast Rules </w:t>
      </w:r>
    </w:p>
    <w:p w:rsidR="00BB10EC" w:rsidRPr="0040542F" w:rsidRDefault="004A725C" w:rsidP="00B2444D">
      <w:pPr>
        <w:pStyle w:val="ParaNum"/>
        <w:widowControl/>
        <w:rPr>
          <w:spacing w:val="-2"/>
        </w:rPr>
      </w:pPr>
      <w:r w:rsidRPr="0040542F">
        <w:rPr>
          <w:spacing w:val="-2"/>
        </w:rPr>
        <w:t>The</w:t>
      </w:r>
      <w:r w:rsidR="00F95462" w:rsidRPr="0040542F">
        <w:rPr>
          <w:spacing w:val="-2"/>
        </w:rPr>
        <w:t xml:space="preserve"> field</w:t>
      </w:r>
      <w:r w:rsidRPr="0040542F">
        <w:rPr>
          <w:spacing w:val="-2"/>
        </w:rPr>
        <w:t xml:space="preserve"> inspection also revealed apparent violations of a number of </w:t>
      </w:r>
      <w:r w:rsidR="00973ACE" w:rsidRPr="0040542F">
        <w:rPr>
          <w:spacing w:val="-2"/>
        </w:rPr>
        <w:t xml:space="preserve">the Commission’s </w:t>
      </w:r>
      <w:r w:rsidRPr="0040542F">
        <w:rPr>
          <w:spacing w:val="-2"/>
        </w:rPr>
        <w:t xml:space="preserve">broadcast </w:t>
      </w:r>
      <w:r w:rsidR="00B90A68" w:rsidRPr="0040542F">
        <w:rPr>
          <w:spacing w:val="-2"/>
        </w:rPr>
        <w:t>r</w:t>
      </w:r>
      <w:r w:rsidRPr="0040542F">
        <w:rPr>
          <w:spacing w:val="-2"/>
        </w:rPr>
        <w:t>ules.</w:t>
      </w:r>
      <w:r w:rsidR="00A57BBB">
        <w:rPr>
          <w:spacing w:val="-2"/>
        </w:rPr>
        <w:t xml:space="preserve">  </w:t>
      </w:r>
      <w:r w:rsidR="00FF3AAA" w:rsidRPr="0040542F">
        <w:rPr>
          <w:spacing w:val="-2"/>
        </w:rPr>
        <w:t xml:space="preserve">First, </w:t>
      </w:r>
      <w:r w:rsidRPr="0040542F">
        <w:rPr>
          <w:spacing w:val="-2"/>
        </w:rPr>
        <w:t xml:space="preserve">KEMI </w:t>
      </w:r>
      <w:r w:rsidR="00FF3AAA" w:rsidRPr="0040542F">
        <w:rPr>
          <w:spacing w:val="-2"/>
        </w:rPr>
        <w:t xml:space="preserve">failed to post </w:t>
      </w:r>
      <w:r w:rsidR="00FF3AAA" w:rsidRPr="0040542F">
        <w:t xml:space="preserve">a valid </w:t>
      </w:r>
      <w:r w:rsidRPr="0040542F">
        <w:t>license</w:t>
      </w:r>
      <w:r w:rsidR="001408D2" w:rsidRPr="0040542F">
        <w:t xml:space="preserve"> in apparent violation of </w:t>
      </w:r>
      <w:r w:rsidR="00882581">
        <w:t>Section</w:t>
      </w:r>
      <w:r w:rsidR="001408D2" w:rsidRPr="0040542F">
        <w:t xml:space="preserve"> 73.1230 of the </w:t>
      </w:r>
      <w:r w:rsidR="000134E9">
        <w:t xml:space="preserve">Commission’s </w:t>
      </w:r>
      <w:r w:rsidR="001408D2" w:rsidRPr="0040542F">
        <w:t>rules.</w:t>
      </w:r>
      <w:r w:rsidR="007B00DB" w:rsidRPr="0040542F">
        <w:rPr>
          <w:rStyle w:val="FootnoteReference"/>
          <w:sz w:val="22"/>
        </w:rPr>
        <w:footnoteReference w:id="32"/>
      </w:r>
      <w:r w:rsidR="00A61082">
        <w:t xml:space="preserve"> </w:t>
      </w:r>
      <w:r w:rsidRPr="0040542F">
        <w:t xml:space="preserve"> </w:t>
      </w:r>
      <w:r w:rsidR="001408D2" w:rsidRPr="0040542F">
        <w:t xml:space="preserve">Second, KEMI apparently </w:t>
      </w:r>
      <w:r w:rsidR="001408D2" w:rsidRPr="0040542F">
        <w:rPr>
          <w:spacing w:val="-2"/>
        </w:rPr>
        <w:t xml:space="preserve">failed to </w:t>
      </w:r>
      <w:r w:rsidR="00726EAD" w:rsidRPr="0040542F">
        <w:rPr>
          <w:spacing w:val="-2"/>
        </w:rPr>
        <w:t xml:space="preserve">maintain </w:t>
      </w:r>
      <w:r w:rsidR="00726EAD" w:rsidRPr="0040542F">
        <w:t>a station p</w:t>
      </w:r>
      <w:r w:rsidRPr="0040542F">
        <w:t xml:space="preserve">ublic </w:t>
      </w:r>
      <w:r w:rsidR="00726EAD" w:rsidRPr="0040542F">
        <w:t>i</w:t>
      </w:r>
      <w:r w:rsidRPr="0040542F">
        <w:t xml:space="preserve">nspection </w:t>
      </w:r>
      <w:r w:rsidR="00726EAD" w:rsidRPr="0040542F">
        <w:t>f</w:t>
      </w:r>
      <w:r w:rsidRPr="0040542F">
        <w:t>ile</w:t>
      </w:r>
      <w:r w:rsidR="00C7585D" w:rsidRPr="0040542F">
        <w:t xml:space="preserve"> as required by </w:t>
      </w:r>
      <w:r w:rsidR="00882581">
        <w:t>Section</w:t>
      </w:r>
      <w:r w:rsidR="00C7585D" w:rsidRPr="0040542F">
        <w:t xml:space="preserve"> 73.3527 of the </w:t>
      </w:r>
      <w:r w:rsidR="000134E9">
        <w:t xml:space="preserve">Commission’s </w:t>
      </w:r>
      <w:r w:rsidR="00C7585D" w:rsidRPr="0040542F">
        <w:t>rules</w:t>
      </w:r>
      <w:r w:rsidRPr="0040542F">
        <w:t>.</w:t>
      </w:r>
      <w:r w:rsidRPr="00DB4424">
        <w:rPr>
          <w:rStyle w:val="FootnoteReference"/>
          <w:sz w:val="22"/>
        </w:rPr>
        <w:footnoteReference w:id="33"/>
      </w:r>
      <w:r w:rsidRPr="0040542F">
        <w:t xml:space="preserve">  </w:t>
      </w:r>
      <w:r w:rsidR="00E67FC6" w:rsidRPr="0040542F">
        <w:t xml:space="preserve">KEMI </w:t>
      </w:r>
      <w:r w:rsidR="00CB37B8" w:rsidRPr="0040542F">
        <w:t>also</w:t>
      </w:r>
      <w:r w:rsidRPr="0040542F">
        <w:t xml:space="preserve"> </w:t>
      </w:r>
      <w:r w:rsidR="00E67FC6" w:rsidRPr="0040542F">
        <w:t>failed to retain</w:t>
      </w:r>
      <w:r w:rsidRPr="0040542F">
        <w:t xml:space="preserve"> the logs required by </w:t>
      </w:r>
      <w:r w:rsidR="00882581">
        <w:t>Section</w:t>
      </w:r>
      <w:r w:rsidRPr="0040542F">
        <w:t xml:space="preserve"> 73.1840 of the </w:t>
      </w:r>
      <w:r w:rsidR="00B90A68" w:rsidRPr="0040542F">
        <w:t>Commission’s r</w:t>
      </w:r>
      <w:r w:rsidRPr="0040542F">
        <w:t>ules.</w:t>
      </w:r>
      <w:r w:rsidRPr="00DB4424">
        <w:rPr>
          <w:rStyle w:val="FootnoteReference"/>
          <w:sz w:val="22"/>
        </w:rPr>
        <w:footnoteReference w:id="34"/>
      </w:r>
      <w:r w:rsidRPr="0040542F">
        <w:t xml:space="preserve">  </w:t>
      </w:r>
      <w:r w:rsidR="00E67FC6" w:rsidRPr="0040542F">
        <w:t>Additionally</w:t>
      </w:r>
      <w:r w:rsidR="00321AA4" w:rsidRPr="0040542F">
        <w:t>, i</w:t>
      </w:r>
      <w:r w:rsidRPr="0040542F">
        <w:t xml:space="preserve">nstead of </w:t>
      </w:r>
      <w:r w:rsidR="00E67FC6" w:rsidRPr="0040542F">
        <w:t xml:space="preserve">maintaining </w:t>
      </w:r>
      <w:r w:rsidRPr="0040542F">
        <w:t xml:space="preserve">a main studio staff of at least one full-time manager and one full-time staff person </w:t>
      </w:r>
      <w:r w:rsidR="00321AA4" w:rsidRPr="0040542F">
        <w:t xml:space="preserve">as required by Section 73.1125(a) of the </w:t>
      </w:r>
      <w:r w:rsidR="00B90A68" w:rsidRPr="0040542F">
        <w:t>Commission’s r</w:t>
      </w:r>
      <w:r w:rsidR="00321AA4" w:rsidRPr="0040542F">
        <w:t xml:space="preserve">ules, </w:t>
      </w:r>
      <w:r w:rsidRPr="0040542F">
        <w:t>only one volunteer was present at the main studio</w:t>
      </w:r>
      <w:r w:rsidR="00482F63" w:rsidRPr="0040542F">
        <w:t xml:space="preserve"> on the date of inspection</w:t>
      </w:r>
      <w:r w:rsidRPr="0040542F">
        <w:t>.</w:t>
      </w:r>
      <w:r w:rsidRPr="00DB4424">
        <w:rPr>
          <w:rStyle w:val="FootnoteReference"/>
          <w:sz w:val="22"/>
        </w:rPr>
        <w:footnoteReference w:id="35"/>
      </w:r>
      <w:r w:rsidRPr="0040542F">
        <w:t xml:space="preserve">  Moreover, </w:t>
      </w:r>
      <w:r w:rsidR="00FB2DAF" w:rsidRPr="0040542F">
        <w:t xml:space="preserve">during the inspection, KEMI’s representative could not produce a written document designating </w:t>
      </w:r>
      <w:r w:rsidR="009617FA" w:rsidRPr="0040542F">
        <w:t>a</w:t>
      </w:r>
      <w:r w:rsidRPr="0040542F">
        <w:t xml:space="preserve"> </w:t>
      </w:r>
      <w:r w:rsidR="00726EAD" w:rsidRPr="0040542F">
        <w:t>c</w:t>
      </w:r>
      <w:r w:rsidRPr="0040542F">
        <w:t xml:space="preserve">hief </w:t>
      </w:r>
      <w:r w:rsidR="00726EAD" w:rsidRPr="0040542F">
        <w:t>o</w:t>
      </w:r>
      <w:r w:rsidRPr="0040542F">
        <w:t>perator</w:t>
      </w:r>
      <w:r w:rsidR="009617FA" w:rsidRPr="0040542F">
        <w:t xml:space="preserve"> for the station</w:t>
      </w:r>
      <w:r w:rsidRPr="0040542F">
        <w:t xml:space="preserve">, as required by Section 73.1870 of the </w:t>
      </w:r>
      <w:r w:rsidR="00B90A68" w:rsidRPr="0040542F">
        <w:t>Commission’s r</w:t>
      </w:r>
      <w:r w:rsidRPr="0040542F">
        <w:t>ules.</w:t>
      </w:r>
      <w:r w:rsidRPr="00DB4424">
        <w:rPr>
          <w:rStyle w:val="FootnoteReference"/>
          <w:sz w:val="22"/>
        </w:rPr>
        <w:footnoteReference w:id="36"/>
      </w:r>
      <w:r w:rsidRPr="0040542F">
        <w:t xml:space="preserve">  Finally, </w:t>
      </w:r>
      <w:r w:rsidR="00FB2DAF" w:rsidRPr="0040542F">
        <w:t xml:space="preserve">the </w:t>
      </w:r>
      <w:r w:rsidR="00C71CBF">
        <w:t xml:space="preserve">agent </w:t>
      </w:r>
      <w:r w:rsidR="00FB2DAF" w:rsidRPr="0040542F">
        <w:t>observed</w:t>
      </w:r>
      <w:r w:rsidRPr="0040542F">
        <w:t xml:space="preserve"> that </w:t>
      </w:r>
      <w:r w:rsidR="004A1574" w:rsidRPr="0040542F">
        <w:t xml:space="preserve">KEMI restricted </w:t>
      </w:r>
      <w:r w:rsidRPr="0040542F">
        <w:t xml:space="preserve">access to the </w:t>
      </w:r>
      <w:r w:rsidR="00726EAD" w:rsidRPr="0040542F">
        <w:t xml:space="preserve">station </w:t>
      </w:r>
      <w:r w:rsidRPr="0040542F">
        <w:t xml:space="preserve">transmission facilities to specific hours of the day, six days of the week, and that no automated system (ATS) or remote control facility had been installed.  Thus, KEMI could not </w:t>
      </w:r>
      <w:r w:rsidR="00E67FC6" w:rsidRPr="0040542F">
        <w:t xml:space="preserve">ensure </w:t>
      </w:r>
      <w:r w:rsidR="005662CB" w:rsidRPr="0040542F">
        <w:t xml:space="preserve">that the station was operating at all times within tolerances specified by </w:t>
      </w:r>
      <w:r w:rsidRPr="0040542F">
        <w:t>Commission’s</w:t>
      </w:r>
      <w:r w:rsidR="005662CB" w:rsidRPr="0040542F">
        <w:t xml:space="preserve"> applicable</w:t>
      </w:r>
      <w:r w:rsidRPr="0040542F">
        <w:t xml:space="preserve"> technical rules</w:t>
      </w:r>
      <w:r w:rsidR="005662CB" w:rsidRPr="0040542F">
        <w:t xml:space="preserve"> and in accordance with the terms of the station authorization</w:t>
      </w:r>
      <w:r w:rsidRPr="0040542F">
        <w:t xml:space="preserve">, as required by Section 73.1400 of the </w:t>
      </w:r>
      <w:r w:rsidR="00B90A68" w:rsidRPr="0040542F">
        <w:t>Commission’s r</w:t>
      </w:r>
      <w:r w:rsidRPr="0040542F">
        <w:t>ules.</w:t>
      </w:r>
      <w:r w:rsidRPr="00DB4424">
        <w:rPr>
          <w:rStyle w:val="FootnoteReference"/>
          <w:sz w:val="22"/>
        </w:rPr>
        <w:footnoteReference w:id="37"/>
      </w:r>
      <w:r w:rsidR="004B5340" w:rsidRPr="0040542F">
        <w:rPr>
          <w:spacing w:val="-2"/>
        </w:rPr>
        <w:t xml:space="preserve"> </w:t>
      </w:r>
    </w:p>
    <w:p w:rsidR="00BB10EC" w:rsidRPr="0040542F" w:rsidRDefault="00BB10EC" w:rsidP="00B2444D">
      <w:pPr>
        <w:pStyle w:val="Heading2"/>
        <w:widowControl/>
        <w:rPr>
          <w:spacing w:val="-2"/>
        </w:rPr>
      </w:pPr>
      <w:r w:rsidRPr="0040542F">
        <w:t>Failure to Respond to Commission Communications</w:t>
      </w:r>
    </w:p>
    <w:p w:rsidR="00510D11" w:rsidRPr="0040542F" w:rsidRDefault="006943F0" w:rsidP="00B2444D">
      <w:pPr>
        <w:pStyle w:val="ParaNum"/>
        <w:widowControl/>
        <w:rPr>
          <w:spacing w:val="-2"/>
        </w:rPr>
      </w:pPr>
      <w:r w:rsidRPr="0040542F">
        <w:t>In addition to the foregoing, KEMI apparently violated Commission rules requiring</w:t>
      </w:r>
      <w:r w:rsidR="00A03FB9" w:rsidRPr="0040542F">
        <w:t xml:space="preserve"> responses to Commission communications</w:t>
      </w:r>
      <w:r w:rsidRPr="0040542F">
        <w:t xml:space="preserve">. </w:t>
      </w:r>
      <w:r w:rsidR="00E92924" w:rsidRPr="0040542F">
        <w:t xml:space="preserve">Section 73.1015 of the </w:t>
      </w:r>
      <w:r w:rsidR="00B90A68" w:rsidRPr="0040542F">
        <w:t>Commission’s r</w:t>
      </w:r>
      <w:r w:rsidR="00E92924" w:rsidRPr="0040542F">
        <w:t>ules states:</w:t>
      </w:r>
    </w:p>
    <w:p w:rsidR="00510D11" w:rsidRPr="0040542F" w:rsidRDefault="00510D11" w:rsidP="00EA5B31">
      <w:pPr>
        <w:pStyle w:val="ParaNum"/>
        <w:widowControl/>
        <w:numPr>
          <w:ilvl w:val="0"/>
          <w:numId w:val="0"/>
        </w:numPr>
        <w:ind w:left="720"/>
      </w:pPr>
      <w:r w:rsidRPr="0040542F">
        <w:t>The Commission or its representatives may, in writing, require from any applicant, permittee, or licensee written statements of fact relevant to a determination whether an application should be granted or denied, or to a determination whether a license should be revoked, or to any other matter within the jurisdiction of the Commission</w:t>
      </w:r>
      <w:r w:rsidR="00F95462" w:rsidRPr="0040542F">
        <w:t>…</w:t>
      </w:r>
      <w:r w:rsidR="004B5340" w:rsidRPr="0040542F">
        <w:t>.</w:t>
      </w:r>
      <w:r w:rsidRPr="00DB4424">
        <w:rPr>
          <w:rStyle w:val="FootnoteReference"/>
          <w:sz w:val="22"/>
        </w:rPr>
        <w:footnoteReference w:id="38"/>
      </w:r>
      <w:r w:rsidRPr="0040542F">
        <w:t xml:space="preserve"> </w:t>
      </w:r>
    </w:p>
    <w:p w:rsidR="00510D11" w:rsidRPr="0040542F" w:rsidRDefault="00510D11" w:rsidP="00B2444D">
      <w:pPr>
        <w:pStyle w:val="ParaNum"/>
        <w:widowControl/>
        <w:numPr>
          <w:ilvl w:val="0"/>
          <w:numId w:val="0"/>
        </w:numPr>
      </w:pPr>
      <w:r w:rsidRPr="0040542F">
        <w:t>Section 1.89 of the Commission’s rules governs the issuance of notices of violations and states, in relevant part:</w:t>
      </w:r>
    </w:p>
    <w:p w:rsidR="00510D11" w:rsidRPr="0040542F" w:rsidRDefault="00510D11" w:rsidP="00B2444D">
      <w:pPr>
        <w:pStyle w:val="ParaNum"/>
        <w:widowControl/>
        <w:numPr>
          <w:ilvl w:val="0"/>
          <w:numId w:val="0"/>
        </w:numPr>
        <w:ind w:left="720"/>
        <w:rPr>
          <w:spacing w:val="-2"/>
        </w:rPr>
      </w:pPr>
      <w:r w:rsidRPr="0040542F">
        <w:t>Within 10 days from receipt of notice or such other period as may be specified, the recipient shall send a written answer, in duplicate, directly to the Commission office originating the official notice. If an answer cannot be sent or an acknowledgment cannot be made within such 10–day period by reason of illness or other unavoidable circumstance, acknowledgment and answer shall be made at the earliest practicable date with a satisfactory explanation of the delay.</w:t>
      </w:r>
      <w:r w:rsidRPr="0040542F">
        <w:rPr>
          <w:rStyle w:val="FootnoteReference"/>
          <w:sz w:val="22"/>
        </w:rPr>
        <w:footnoteReference w:id="39"/>
      </w:r>
    </w:p>
    <w:p w:rsidR="00510D11" w:rsidRPr="005E66D3" w:rsidRDefault="004B5340" w:rsidP="00EA5B31">
      <w:pPr>
        <w:pStyle w:val="ParaNum"/>
        <w:widowControl/>
        <w:rPr>
          <w:spacing w:val="-2"/>
        </w:rPr>
      </w:pPr>
      <w:r w:rsidRPr="0040542F" w:rsidDel="002159BC">
        <w:t xml:space="preserve">KEMI </w:t>
      </w:r>
      <w:r w:rsidR="00B8209A" w:rsidRPr="0040542F" w:rsidDel="002159BC">
        <w:t xml:space="preserve">appears to have violated </w:t>
      </w:r>
      <w:r w:rsidR="00A03FB9" w:rsidRPr="0040542F" w:rsidDel="002159BC">
        <w:t xml:space="preserve">both of these </w:t>
      </w:r>
      <w:r w:rsidR="00B90A68" w:rsidRPr="0040542F" w:rsidDel="002159BC">
        <w:t>r</w:t>
      </w:r>
      <w:r w:rsidR="00B8209A" w:rsidRPr="0040542F" w:rsidDel="002159BC">
        <w:t>ule</w:t>
      </w:r>
      <w:r w:rsidR="00A03FB9" w:rsidRPr="0040542F" w:rsidDel="002159BC">
        <w:t>s</w:t>
      </w:r>
      <w:r w:rsidR="00B8209A" w:rsidRPr="0040542F" w:rsidDel="002159BC">
        <w:t>, by failing to respond to three</w:t>
      </w:r>
      <w:r w:rsidRPr="0040542F" w:rsidDel="002159BC">
        <w:t xml:space="preserve"> </w:t>
      </w:r>
      <w:r w:rsidR="00F95462" w:rsidRPr="0040542F" w:rsidDel="002159BC">
        <w:t xml:space="preserve">Commission </w:t>
      </w:r>
      <w:r w:rsidRPr="0040542F" w:rsidDel="002159BC">
        <w:t xml:space="preserve">Notices of Violation and a Warning </w:t>
      </w:r>
      <w:r w:rsidR="00726EAD" w:rsidRPr="0040542F" w:rsidDel="002159BC">
        <w:t>L</w:t>
      </w:r>
      <w:r w:rsidRPr="0040542F" w:rsidDel="002159BC">
        <w:t>etter</w:t>
      </w:r>
      <w:r w:rsidR="00B8209A" w:rsidRPr="0040542F" w:rsidDel="002159BC">
        <w:t xml:space="preserve"> </w:t>
      </w:r>
      <w:r w:rsidR="00A52FE0" w:rsidRPr="0040542F" w:rsidDel="002159BC">
        <w:t xml:space="preserve">over the course of </w:t>
      </w:r>
      <w:r w:rsidR="00B8209A" w:rsidRPr="0040542F" w:rsidDel="002159BC">
        <w:t xml:space="preserve">three </w:t>
      </w:r>
      <w:r w:rsidRPr="0040542F" w:rsidDel="002159BC">
        <w:t>years</w:t>
      </w:r>
      <w:r w:rsidR="00035EF4" w:rsidRPr="0040542F" w:rsidDel="002159BC">
        <w:t xml:space="preserve"> and by failing to provide the information called for therein</w:t>
      </w:r>
      <w:r w:rsidRPr="0040542F" w:rsidDel="002159BC">
        <w:t xml:space="preserve">.  </w:t>
      </w:r>
      <w:r w:rsidR="006218EA" w:rsidRPr="0040542F" w:rsidDel="002159BC">
        <w:t>I</w:t>
      </w:r>
      <w:r w:rsidRPr="0040542F" w:rsidDel="002159BC">
        <w:t xml:space="preserve">n its September 30, 2013, license renewal application, KEMI acknowledged receipt of the </w:t>
      </w:r>
      <w:r w:rsidR="00892C47">
        <w:t xml:space="preserve">August 2013 NOV and the </w:t>
      </w:r>
      <w:r w:rsidRPr="0040542F" w:rsidDel="002159BC">
        <w:t>September 2013 Warning</w:t>
      </w:r>
      <w:r w:rsidR="00892C47">
        <w:t>.</w:t>
      </w:r>
      <w:r w:rsidR="00857488" w:rsidRPr="0040542F">
        <w:rPr>
          <w:rStyle w:val="FootnoteReference"/>
          <w:sz w:val="22"/>
        </w:rPr>
        <w:footnoteReference w:id="40"/>
      </w:r>
      <w:r w:rsidR="00E74E2D">
        <w:t xml:space="preserve">  </w:t>
      </w:r>
      <w:r w:rsidR="00E74E2D" w:rsidRPr="0040542F" w:rsidDel="002159BC">
        <w:t>The November 2013 NOV was mailed to KEMI at its address of record by First Class U.S. Mail and by Certified Mail, and the First Class mailing was not returned as undeliverable.</w:t>
      </w:r>
      <w:r w:rsidR="00E74E2D">
        <w:t xml:space="preserve"> </w:t>
      </w:r>
      <w:r w:rsidR="00892C47">
        <w:t xml:space="preserve"> Finally,</w:t>
      </w:r>
      <w:r w:rsidR="00E10417" w:rsidRPr="0040542F" w:rsidDel="002159BC">
        <w:t xml:space="preserve"> KEMI </w:t>
      </w:r>
      <w:r w:rsidR="00035EF4" w:rsidRPr="0040542F" w:rsidDel="002159BC">
        <w:t>signed a receipt for the April 2016 NOV</w:t>
      </w:r>
      <w:r w:rsidR="00892C47">
        <w:t xml:space="preserve"> but did not respond</w:t>
      </w:r>
      <w:r w:rsidR="00363DAE" w:rsidRPr="0040542F">
        <w:t>.</w:t>
      </w:r>
      <w:r w:rsidR="00363DAE" w:rsidRPr="0040542F">
        <w:rPr>
          <w:rStyle w:val="FootnoteReference"/>
          <w:sz w:val="22"/>
        </w:rPr>
        <w:t xml:space="preserve"> </w:t>
      </w:r>
      <w:r w:rsidRPr="0040542F" w:rsidDel="002159BC">
        <w:t xml:space="preserve"> </w:t>
      </w:r>
      <w:r w:rsidR="004A725C" w:rsidRPr="0040542F" w:rsidDel="002159BC">
        <w:t xml:space="preserve"> </w:t>
      </w:r>
      <w:r w:rsidR="00A52FE0" w:rsidRPr="0040542F" w:rsidDel="002159BC">
        <w:t>By failing to respond to the three NOVs</w:t>
      </w:r>
      <w:r w:rsidR="00FA275D" w:rsidRPr="0040542F" w:rsidDel="002159BC">
        <w:t xml:space="preserve"> by the deadlines stated therein</w:t>
      </w:r>
      <w:r w:rsidR="00A52FE0" w:rsidRPr="0040542F" w:rsidDel="002159BC">
        <w:t xml:space="preserve">, KEMI apparently violated </w:t>
      </w:r>
      <w:r w:rsidR="00882581">
        <w:t>Section</w:t>
      </w:r>
      <w:r w:rsidR="00A52FE0" w:rsidRPr="0040542F" w:rsidDel="002159BC">
        <w:t>s 1.89(b) and 73.</w:t>
      </w:r>
      <w:r w:rsidR="00A52FE0" w:rsidRPr="00FF66B7" w:rsidDel="002159BC">
        <w:t xml:space="preserve">1015 of the Commission’s </w:t>
      </w:r>
      <w:r w:rsidR="00A52FE0" w:rsidRPr="005E66D3" w:rsidDel="002159BC">
        <w:t>rules</w:t>
      </w:r>
      <w:r w:rsidR="00A52FE0" w:rsidRPr="00B2444D" w:rsidDel="002159BC">
        <w:t xml:space="preserve">, and it apparently violated </w:t>
      </w:r>
      <w:r w:rsidR="00882581" w:rsidRPr="00B2444D">
        <w:t>Section</w:t>
      </w:r>
      <w:r w:rsidR="00A52FE0" w:rsidRPr="00B2444D" w:rsidDel="002159BC">
        <w:t xml:space="preserve"> 73.1015 when it failed to respond to the </w:t>
      </w:r>
      <w:r w:rsidR="00FA275D" w:rsidRPr="00B2444D" w:rsidDel="002159BC">
        <w:t xml:space="preserve">August 2013 NOV by the deadline established in the </w:t>
      </w:r>
      <w:r w:rsidR="00A52FE0" w:rsidRPr="00B2444D" w:rsidDel="002159BC">
        <w:t>Warning Letter</w:t>
      </w:r>
      <w:r w:rsidR="00A52FE0" w:rsidRPr="005E66D3" w:rsidDel="002159BC">
        <w:t>.</w:t>
      </w:r>
      <w:r w:rsidR="005E66D3">
        <w:rPr>
          <w:rStyle w:val="FootnoteReference"/>
        </w:rPr>
        <w:footnoteReference w:id="41"/>
      </w:r>
    </w:p>
    <w:p w:rsidR="00E9376C" w:rsidRPr="0040542F" w:rsidRDefault="00E9376C" w:rsidP="00B2444D">
      <w:pPr>
        <w:pStyle w:val="Heading2"/>
        <w:widowControl/>
      </w:pPr>
      <w:r w:rsidRPr="00EA5B31">
        <w:rPr>
          <w:color w:val="000000"/>
        </w:rPr>
        <w:t xml:space="preserve">Proposed Forfeiture </w:t>
      </w:r>
      <w:r w:rsidR="00E92924" w:rsidRPr="0040542F">
        <w:t xml:space="preserve">Amount and Reporting Requirement </w:t>
      </w:r>
    </w:p>
    <w:p w:rsidR="00E92924" w:rsidRPr="0040542F" w:rsidRDefault="00FA3399" w:rsidP="00B2444D">
      <w:pPr>
        <w:pStyle w:val="ParaNum"/>
        <w:widowControl/>
      </w:pPr>
      <w:r w:rsidRPr="0040542F">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EA5B31">
        <w:rPr>
          <w:rStyle w:val="FootnoteReference"/>
          <w:spacing w:val="-2"/>
          <w:sz w:val="22"/>
        </w:rPr>
        <w:footnoteReference w:id="42"/>
      </w:r>
      <w:r w:rsidRPr="0040542F">
        <w:t xml:space="preserve">  Here, </w:t>
      </w:r>
      <w:r w:rsidR="00E92924" w:rsidRPr="0040542F">
        <w:t>Section 503(b)(2)(A) of the Act authorizes us to assess a forfeiture against KEMI of up to $</w:t>
      </w:r>
      <w:r w:rsidR="009817E5">
        <w:t>48,114</w:t>
      </w:r>
      <w:r w:rsidR="00E92924" w:rsidRPr="0040542F">
        <w:t xml:space="preserve"> for each violation or each day of a continuing violation, up to a statutory maximum of $</w:t>
      </w:r>
      <w:r w:rsidR="009817E5">
        <w:t>481,147</w:t>
      </w:r>
      <w:r w:rsidR="00E92924" w:rsidRPr="0040542F">
        <w:rPr>
          <w:spacing w:val="-2"/>
        </w:rPr>
        <w:t xml:space="preserve"> </w:t>
      </w:r>
      <w:r w:rsidR="00E92924" w:rsidRPr="0040542F">
        <w:t>for a single act or failure to act.</w:t>
      </w:r>
      <w:r w:rsidR="00E92924" w:rsidRPr="00EA5B31">
        <w:rPr>
          <w:rStyle w:val="FootnoteReference"/>
          <w:spacing w:val="-2"/>
          <w:sz w:val="22"/>
        </w:rPr>
        <w:footnoteReference w:id="43"/>
      </w:r>
      <w:r w:rsidR="00E92924" w:rsidRPr="0040542F">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00E92924" w:rsidRPr="00EA5B31">
        <w:rPr>
          <w:rStyle w:val="FootnoteReference"/>
          <w:spacing w:val="-2"/>
          <w:sz w:val="22"/>
        </w:rPr>
        <w:footnoteReference w:id="44"/>
      </w:r>
      <w:r w:rsidR="00E92924" w:rsidRPr="0040542F">
        <w:t xml:space="preserve">  In addition, the Commission has established forfeiture guidelines</w:t>
      </w:r>
      <w:r w:rsidR="00F95462" w:rsidRPr="0040542F">
        <w:t xml:space="preserve"> which set forth</w:t>
      </w:r>
      <w:r w:rsidR="00417F11" w:rsidRPr="0040542F">
        <w:t xml:space="preserve"> </w:t>
      </w:r>
      <w:r w:rsidR="00E92924" w:rsidRPr="0040542F">
        <w:t>base penalties for certain violations and identify criteria that we consider when determining the appropriate penalty in any given case.</w:t>
      </w:r>
      <w:r w:rsidR="00E92924" w:rsidRPr="00EA5B31">
        <w:rPr>
          <w:rStyle w:val="FootnoteReference"/>
          <w:spacing w:val="-2"/>
          <w:sz w:val="22"/>
        </w:rPr>
        <w:footnoteReference w:id="45"/>
      </w:r>
      <w:r w:rsidR="00E92924" w:rsidRPr="0040542F">
        <w:rPr>
          <w:vertAlign w:val="superscript"/>
        </w:rPr>
        <w:t xml:space="preserve"> </w:t>
      </w:r>
      <w:r w:rsidR="00E92924" w:rsidRPr="0040542F">
        <w:t xml:space="preserve"> Under these guidelines, we may adjust a forfeiture upward for violations that are egregious, intentional, or repeated, that cause substantial harm or generate substantial economic gain for the violator</w:t>
      </w:r>
      <w:r w:rsidR="00F47E81">
        <w:t>,</w:t>
      </w:r>
      <w:r w:rsidR="00417F11" w:rsidRPr="0040542F">
        <w:t xml:space="preserve"> or where there are prior violations of any FCC requirements</w:t>
      </w:r>
      <w:r w:rsidR="00E92924" w:rsidRPr="0040542F">
        <w:t>.</w:t>
      </w:r>
      <w:r w:rsidR="00C76E2C" w:rsidRPr="00EA5B31">
        <w:rPr>
          <w:rStyle w:val="FootnoteReference"/>
        </w:rPr>
        <w:footnoteReference w:id="46"/>
      </w:r>
      <w:r w:rsidR="00E92924" w:rsidRPr="0040542F">
        <w:rPr>
          <w:vertAlign w:val="superscript"/>
        </w:rPr>
        <w:t xml:space="preserve">   </w:t>
      </w:r>
      <w:r w:rsidR="00EA5433" w:rsidRPr="0040542F">
        <w:t xml:space="preserve"> </w:t>
      </w:r>
    </w:p>
    <w:p w:rsidR="00991635" w:rsidRPr="0040542F" w:rsidRDefault="00E92924" w:rsidP="00B2444D">
      <w:pPr>
        <w:pStyle w:val="ParaNum"/>
        <w:widowControl/>
      </w:pPr>
      <w:r w:rsidRPr="0040542F">
        <w:t xml:space="preserve">As noted above, KEMI apparently failed to have EAS equipment that was properly operating, </w:t>
      </w:r>
      <w:r w:rsidR="00991635" w:rsidRPr="0040542F">
        <w:t xml:space="preserve">in that </w:t>
      </w:r>
      <w:r w:rsidR="005C3029" w:rsidRPr="0040542F">
        <w:t>the programming and identification of the EAS device/system was for another broadcast station, KWAP-AM in Wasilla, Alaska, in the Matanuska-Susitna Borough operational area, and not for station KIBH-FM in the Kenai Peninsula Borough operational area</w:t>
      </w:r>
      <w:r w:rsidR="00991635" w:rsidRPr="0040542F">
        <w:t xml:space="preserve">, </w:t>
      </w:r>
      <w:r w:rsidRPr="0040542F">
        <w:t xml:space="preserve">in violation of Section 11.35(a) of the </w:t>
      </w:r>
      <w:r w:rsidR="00B90A68" w:rsidRPr="0040542F">
        <w:t>Commission’s r</w:t>
      </w:r>
      <w:r w:rsidRPr="0040542F">
        <w:t>ules</w:t>
      </w:r>
      <w:r w:rsidR="00991635" w:rsidRPr="0040542F">
        <w:t>.</w:t>
      </w:r>
      <w:r w:rsidRPr="00EA5B31">
        <w:rPr>
          <w:rStyle w:val="FootnoteReference"/>
          <w:sz w:val="22"/>
        </w:rPr>
        <w:footnoteReference w:id="47"/>
      </w:r>
      <w:r w:rsidRPr="0040542F">
        <w:t xml:space="preserve">  In addition, KEMI apparently failed to conduct required monitoring of </w:t>
      </w:r>
      <w:r w:rsidR="002816C1" w:rsidRPr="0040542F">
        <w:t xml:space="preserve">two sources with </w:t>
      </w:r>
      <w:r w:rsidRPr="0040542F">
        <w:t>the EAS equipment it did have, in violation of Section 11.</w:t>
      </w:r>
      <w:r w:rsidR="00991635" w:rsidRPr="0040542F">
        <w:t>52(d</w:t>
      </w:r>
      <w:r w:rsidRPr="0040542F">
        <w:t xml:space="preserve">) of the </w:t>
      </w:r>
      <w:r w:rsidR="0092790D" w:rsidRPr="0040542F">
        <w:t>Commission’s r</w:t>
      </w:r>
      <w:r w:rsidRPr="0040542F">
        <w:t>ules.</w:t>
      </w:r>
      <w:r w:rsidRPr="00EA5B31">
        <w:rPr>
          <w:rStyle w:val="FootnoteReference"/>
          <w:sz w:val="22"/>
        </w:rPr>
        <w:footnoteReference w:id="48"/>
      </w:r>
      <w:r w:rsidRPr="0040542F">
        <w:t xml:space="preserve">  Also, KEMI apparently failed to </w:t>
      </w:r>
      <w:r w:rsidRPr="0040542F">
        <w:rPr>
          <w:spacing w:val="-2"/>
        </w:rPr>
        <w:t xml:space="preserve">keep an EAS Operating Handbook </w:t>
      </w:r>
      <w:r w:rsidR="00536D25" w:rsidRPr="0040542F">
        <w:t xml:space="preserve">at normal duty positions or EAS equipment locations when an operator is required to be on duty and make the EAS Operating Handbook immediately </w:t>
      </w:r>
      <w:r w:rsidR="00536D25" w:rsidRPr="00EA5B31">
        <w:t xml:space="preserve">available to </w:t>
      </w:r>
      <w:r w:rsidR="00536D25" w:rsidRPr="0040542F">
        <w:t>staff responsible for authenticating messages and initiating actions</w:t>
      </w:r>
      <w:r w:rsidRPr="0040542F">
        <w:t xml:space="preserve">, in violation of Section 11.15 of the </w:t>
      </w:r>
      <w:r w:rsidR="000134E9">
        <w:t xml:space="preserve">Commission’s </w:t>
      </w:r>
      <w:r w:rsidR="0092790D" w:rsidRPr="0040542F">
        <w:t>r</w:t>
      </w:r>
      <w:r w:rsidRPr="0040542F">
        <w:t>ules.</w:t>
      </w:r>
      <w:r w:rsidRPr="00EA5B31">
        <w:rPr>
          <w:rStyle w:val="FootnoteReference"/>
          <w:sz w:val="22"/>
        </w:rPr>
        <w:footnoteReference w:id="49"/>
      </w:r>
      <w:r w:rsidRPr="0040542F">
        <w:t xml:space="preserve">  The base forfeiture amounts for these apparent EAS violations total $11,000.</w:t>
      </w:r>
    </w:p>
    <w:p w:rsidR="00991635" w:rsidRPr="0040542F" w:rsidRDefault="002B204D" w:rsidP="00B2444D">
      <w:pPr>
        <w:pStyle w:val="ParaNum"/>
        <w:widowControl/>
      </w:pPr>
      <w:r w:rsidRPr="0040542F">
        <w:t xml:space="preserve">We also observed above that </w:t>
      </w:r>
      <w:r w:rsidR="00991635" w:rsidRPr="0040542F">
        <w:t xml:space="preserve">KEMI appears to have violated </w:t>
      </w:r>
      <w:r w:rsidRPr="0040542F">
        <w:t xml:space="preserve">a number of </w:t>
      </w:r>
      <w:r w:rsidR="00991635" w:rsidRPr="0040542F">
        <w:t xml:space="preserve">broadcast regulations.  KEMI apparently failed to maintain a </w:t>
      </w:r>
      <w:r w:rsidR="002816C1" w:rsidRPr="0040542F">
        <w:t xml:space="preserve">local </w:t>
      </w:r>
      <w:r w:rsidR="00991635" w:rsidRPr="0040542F">
        <w:t xml:space="preserve">public inspection file, in violation of Section 73.3527 of the </w:t>
      </w:r>
      <w:r w:rsidR="00B90A68" w:rsidRPr="0040542F">
        <w:t>Commission’s r</w:t>
      </w:r>
      <w:r w:rsidR="00991635" w:rsidRPr="0040542F">
        <w:t>ules.</w:t>
      </w:r>
      <w:r w:rsidR="00991635" w:rsidRPr="00EA5B31">
        <w:rPr>
          <w:rStyle w:val="FootnoteReference"/>
          <w:sz w:val="22"/>
        </w:rPr>
        <w:footnoteReference w:id="50"/>
      </w:r>
      <w:r w:rsidR="00991635" w:rsidRPr="0040542F">
        <w:t xml:space="preserve">  Furthermore, KEMI appears to have failed to </w:t>
      </w:r>
      <w:r w:rsidR="002816C1" w:rsidRPr="0040542F">
        <w:t xml:space="preserve">maintain </w:t>
      </w:r>
      <w:r w:rsidR="00991635" w:rsidRPr="0040542F">
        <w:t xml:space="preserve">a meaningful staff presence at the main studio, in violation of Section 73.1125(a) of the </w:t>
      </w:r>
      <w:r w:rsidR="00B90A68" w:rsidRPr="0040542F">
        <w:t>Commission’s r</w:t>
      </w:r>
      <w:r w:rsidR="00991635" w:rsidRPr="0040542F">
        <w:t>ules.</w:t>
      </w:r>
      <w:r w:rsidR="00991635" w:rsidRPr="00EA5B31">
        <w:rPr>
          <w:rStyle w:val="FootnoteReference"/>
          <w:sz w:val="22"/>
        </w:rPr>
        <w:footnoteReference w:id="51"/>
      </w:r>
      <w:r w:rsidR="00991635" w:rsidRPr="0040542F">
        <w:t xml:space="preserve">  In addition, KEMI </w:t>
      </w:r>
      <w:r w:rsidR="00E65B6C" w:rsidRPr="0040542F">
        <w:t xml:space="preserve">restricted access to the station transmission facilities to specific hours of the day, six days of the week, and </w:t>
      </w:r>
      <w:r w:rsidR="00991635" w:rsidRPr="0040542F">
        <w:t>had not installed an automated or remote control system</w:t>
      </w:r>
      <w:r w:rsidR="00E65B6C" w:rsidRPr="0040542F">
        <w:t>. Thus, KEMI could not ensure compliance with the Commission</w:t>
      </w:r>
      <w:r w:rsidR="004C21E3" w:rsidRPr="0040542F">
        <w:t>’s technical rules at all times</w:t>
      </w:r>
      <w:r w:rsidR="00991635" w:rsidRPr="0040542F">
        <w:t xml:space="preserve">, in apparent violation of Section 73.1400 of the </w:t>
      </w:r>
      <w:r w:rsidR="000134E9">
        <w:t xml:space="preserve">Commission’s </w:t>
      </w:r>
      <w:r w:rsidR="0092790D" w:rsidRPr="0040542F">
        <w:t>r</w:t>
      </w:r>
      <w:r w:rsidR="00991635" w:rsidRPr="0040542F">
        <w:t>ules.</w:t>
      </w:r>
      <w:r w:rsidR="00991635" w:rsidRPr="00EA5B31">
        <w:rPr>
          <w:rStyle w:val="FootnoteReference"/>
          <w:sz w:val="22"/>
        </w:rPr>
        <w:footnoteReference w:id="52"/>
      </w:r>
      <w:r w:rsidR="00991635" w:rsidRPr="0040542F">
        <w:t xml:space="preserve">  KEMI </w:t>
      </w:r>
      <w:r w:rsidR="009F31A9">
        <w:t xml:space="preserve">also </w:t>
      </w:r>
      <w:r w:rsidR="00991635" w:rsidRPr="0040542F">
        <w:t xml:space="preserve">failed to post </w:t>
      </w:r>
      <w:r w:rsidR="004C21E3" w:rsidRPr="0040542F">
        <w:t>a valid stat</w:t>
      </w:r>
      <w:r w:rsidR="00A64F27" w:rsidRPr="0040542F">
        <w:t>i</w:t>
      </w:r>
      <w:r w:rsidR="004C21E3" w:rsidRPr="0040542F">
        <w:t>on</w:t>
      </w:r>
      <w:r w:rsidR="00D86B82" w:rsidRPr="0040542F">
        <w:t xml:space="preserve"> </w:t>
      </w:r>
      <w:r w:rsidR="00991635" w:rsidRPr="0040542F">
        <w:t>license, to</w:t>
      </w:r>
      <w:r w:rsidR="00D86B82" w:rsidRPr="0040542F">
        <w:t xml:space="preserve"> </w:t>
      </w:r>
      <w:r w:rsidR="004C21E3" w:rsidRPr="0040542F">
        <w:t xml:space="preserve">retain required </w:t>
      </w:r>
      <w:r w:rsidR="00991635" w:rsidRPr="0040542F">
        <w:t xml:space="preserve">station logs, or to </w:t>
      </w:r>
      <w:r w:rsidR="00A64F27" w:rsidRPr="0040542F">
        <w:t xml:space="preserve">produce a written document </w:t>
      </w:r>
      <w:r w:rsidR="00991635" w:rsidRPr="0040542F">
        <w:t>designat</w:t>
      </w:r>
      <w:r w:rsidR="00A64F27" w:rsidRPr="0040542F">
        <w:t>ing</w:t>
      </w:r>
      <w:r w:rsidR="00991635" w:rsidRPr="0040542F">
        <w:t xml:space="preserve"> </w:t>
      </w:r>
      <w:r w:rsidR="00A64F27" w:rsidRPr="0040542F">
        <w:t>a</w:t>
      </w:r>
      <w:r w:rsidR="00D86B82" w:rsidRPr="0040542F">
        <w:t xml:space="preserve"> </w:t>
      </w:r>
      <w:r w:rsidR="00991635" w:rsidRPr="0040542F">
        <w:t>chief operator</w:t>
      </w:r>
      <w:r w:rsidR="00F95462" w:rsidRPr="0040542F">
        <w:t xml:space="preserve"> of the station</w:t>
      </w:r>
      <w:r w:rsidR="00991635" w:rsidRPr="0040542F">
        <w:t>, in apparent violation of Sections 73.1230, 73.1840(a), and 73.1870(a)</w:t>
      </w:r>
      <w:r w:rsidR="00417F11" w:rsidRPr="0040542F">
        <w:t xml:space="preserve"> and (b)(3)</w:t>
      </w:r>
      <w:r w:rsidR="00991635" w:rsidRPr="0040542F">
        <w:t xml:space="preserve"> of the </w:t>
      </w:r>
      <w:r w:rsidR="00B90A68" w:rsidRPr="0040542F">
        <w:t>Commission’s r</w:t>
      </w:r>
      <w:r w:rsidR="00991635" w:rsidRPr="0040542F">
        <w:t>ules.</w:t>
      </w:r>
      <w:r w:rsidR="00991635" w:rsidRPr="00EA5B31">
        <w:rPr>
          <w:rStyle w:val="FootnoteReference"/>
          <w:sz w:val="22"/>
        </w:rPr>
        <w:footnoteReference w:id="53"/>
      </w:r>
      <w:r w:rsidR="00991635" w:rsidRPr="0040542F">
        <w:t xml:space="preserve">  The base forfeiture amounts for these apparent broadcast regulation violations total $23,000.  </w:t>
      </w:r>
    </w:p>
    <w:p w:rsidR="00016BFB" w:rsidRPr="0040542F" w:rsidRDefault="00991635" w:rsidP="00B2444D">
      <w:pPr>
        <w:pStyle w:val="ParaNum"/>
        <w:widowControl/>
      </w:pPr>
      <w:r w:rsidRPr="0040542F">
        <w:t>Finally, KEMI failed to respond to three NOVs and a warning letter, in apparent violation of Section</w:t>
      </w:r>
      <w:r w:rsidR="005C3029" w:rsidRPr="0040542F">
        <w:t>s 1.89(b) and</w:t>
      </w:r>
      <w:r w:rsidRPr="0040542F">
        <w:t xml:space="preserve"> 73.1015 of the </w:t>
      </w:r>
      <w:r w:rsidR="00B90A68" w:rsidRPr="0040542F">
        <w:t>Commission’s r</w:t>
      </w:r>
      <w:r w:rsidRPr="0040542F">
        <w:t>ules.</w:t>
      </w:r>
      <w:r w:rsidRPr="00EA5B31">
        <w:rPr>
          <w:rStyle w:val="FootnoteReference"/>
          <w:sz w:val="22"/>
        </w:rPr>
        <w:footnoteReference w:id="54"/>
      </w:r>
      <w:r w:rsidRPr="0040542F">
        <w:t xml:space="preserve">  The base forfeiture amount for failure to respond to Commission communications is $4,000.</w:t>
      </w:r>
      <w:r w:rsidRPr="00EA5B31">
        <w:rPr>
          <w:rStyle w:val="FootnoteReference"/>
          <w:sz w:val="22"/>
        </w:rPr>
        <w:footnoteReference w:id="55"/>
      </w:r>
      <w:r w:rsidRPr="0040542F">
        <w:t xml:space="preserve">  Accordingly, the base forfeiture amount for KEMI’s failure to respond to </w:t>
      </w:r>
      <w:r w:rsidR="00E74E2D">
        <w:t xml:space="preserve">four separate </w:t>
      </w:r>
      <w:r w:rsidRPr="0040542F">
        <w:t xml:space="preserve">Commission communications is $16,000.  Adding this to the amounts discussed above results in a total base forfeiture amount of $50,000.    </w:t>
      </w:r>
      <w:r w:rsidR="00E92924" w:rsidRPr="0040542F">
        <w:t xml:space="preserve"> </w:t>
      </w:r>
    </w:p>
    <w:p w:rsidR="00E30369" w:rsidRPr="0040542F" w:rsidRDefault="0026140D" w:rsidP="00B2444D">
      <w:pPr>
        <w:pStyle w:val="ParaNum"/>
        <w:widowControl/>
        <w:rPr>
          <w:spacing w:val="-2"/>
        </w:rPr>
      </w:pPr>
      <w:r w:rsidRPr="0040542F">
        <w:t xml:space="preserve"> As </w:t>
      </w:r>
      <w:r w:rsidR="00F95462" w:rsidRPr="0040542F">
        <w:t xml:space="preserve">mentioned </w:t>
      </w:r>
      <w:r w:rsidRPr="0040542F">
        <w:t>above, we have discretion to depart from these guidelines, taking into account the particular facts of each individual case.</w:t>
      </w:r>
      <w:r w:rsidRPr="00EA5B31">
        <w:rPr>
          <w:rStyle w:val="FootnoteReference"/>
          <w:spacing w:val="-2"/>
          <w:sz w:val="22"/>
        </w:rPr>
        <w:footnoteReference w:id="56"/>
      </w:r>
      <w:r w:rsidRPr="0040542F">
        <w:t xml:space="preserve">  Given the totality of the circumstances, and consistent with the </w:t>
      </w:r>
      <w:r w:rsidRPr="0040542F">
        <w:rPr>
          <w:i/>
          <w:iCs/>
        </w:rPr>
        <w:t>Forfeiture Policy Statement</w:t>
      </w:r>
      <w:r w:rsidRPr="0040542F">
        <w:t>, we conclude that a</w:t>
      </w:r>
      <w:r w:rsidR="000134E9">
        <w:t>n</w:t>
      </w:r>
      <w:r w:rsidRPr="0040542F">
        <w:t xml:space="preserve"> upward adjustment is warranted.  Section 1.80 of the Commission’s rules lists repeated or continuous violations as an upward adjustment factor.</w:t>
      </w:r>
      <w:r w:rsidRPr="00EA5B31">
        <w:rPr>
          <w:rStyle w:val="FootnoteReference"/>
          <w:sz w:val="22"/>
        </w:rPr>
        <w:footnoteReference w:id="57"/>
      </w:r>
      <w:r w:rsidRPr="0040542F">
        <w:t xml:space="preserve">  KEMI’s failures to respond to the </w:t>
      </w:r>
      <w:r w:rsidR="00F95462" w:rsidRPr="0040542F">
        <w:t xml:space="preserve">Commission </w:t>
      </w:r>
      <w:r w:rsidRPr="0040542F">
        <w:t xml:space="preserve">documents discussed above appear to be both repeated and continuing violations.  As noted above, for purposes of the Communications Act, “repeated” is defined as occurring more than once, </w:t>
      </w:r>
      <w:r w:rsidR="00F95462" w:rsidRPr="0040542F">
        <w:t>and</w:t>
      </w:r>
      <w:r w:rsidRPr="0040542F">
        <w:t xml:space="preserve"> </w:t>
      </w:r>
      <w:r w:rsidR="00F95462" w:rsidRPr="0040542F">
        <w:t>“</w:t>
      </w:r>
      <w:r w:rsidRPr="0040542F">
        <w:t>continuing</w:t>
      </w:r>
      <w:r w:rsidR="00F95462" w:rsidRPr="0040542F">
        <w:t>”</w:t>
      </w:r>
      <w:r w:rsidRPr="0040542F">
        <w:t xml:space="preserve"> </w:t>
      </w:r>
      <w:r w:rsidR="00F95462" w:rsidRPr="0040542F">
        <w:t>as</w:t>
      </w:r>
      <w:r w:rsidRPr="0040542F">
        <w:t xml:space="preserve"> continuing for more than one day.</w:t>
      </w:r>
      <w:r w:rsidRPr="00EA5B31">
        <w:rPr>
          <w:rStyle w:val="FootnoteReference"/>
          <w:sz w:val="22"/>
        </w:rPr>
        <w:footnoteReference w:id="58"/>
      </w:r>
      <w:r w:rsidRPr="0040542F">
        <w:t xml:space="preserve">  Accordingly, the violations</w:t>
      </w:r>
      <w:r w:rsidR="00D07DBA" w:rsidRPr="0040542F">
        <w:t xml:space="preserve"> for failure</w:t>
      </w:r>
      <w:r w:rsidRPr="0040542F">
        <w:t xml:space="preserve"> to respond to Commission documents are “repeated” because KEMI apparently failed to respond to Commission documents on four occasions.</w:t>
      </w:r>
      <w:r w:rsidRPr="00EA5B31">
        <w:rPr>
          <w:rStyle w:val="FootnoteReference"/>
          <w:sz w:val="22"/>
        </w:rPr>
        <w:footnoteReference w:id="59"/>
      </w:r>
      <w:r w:rsidRPr="0040542F">
        <w:t xml:space="preserve">  In addition, these violations are “continuing” because, under </w:t>
      </w:r>
      <w:r w:rsidRPr="0040542F">
        <w:rPr>
          <w:color w:val="000000"/>
        </w:rPr>
        <w:t xml:space="preserve">Commission and Bureau precedent, </w:t>
      </w:r>
      <w:r w:rsidRPr="0040542F">
        <w:t>failure to respond to a Commission document is a continuing violation until cured.</w:t>
      </w:r>
      <w:r w:rsidRPr="00EA5B31">
        <w:rPr>
          <w:rStyle w:val="FootnoteReference"/>
          <w:sz w:val="22"/>
        </w:rPr>
        <w:footnoteReference w:id="60"/>
      </w:r>
      <w:r w:rsidRPr="0040542F">
        <w:t xml:space="preserve">  Based on all these factors, we find that </w:t>
      </w:r>
      <w:r w:rsidR="00086B3B">
        <w:t>a 100 percent</w:t>
      </w:r>
      <w:r w:rsidRPr="0040542F">
        <w:t xml:space="preserve"> upward adjustment to the base forfeiture amount </w:t>
      </w:r>
      <w:r w:rsidR="00086B3B">
        <w:t>for the failures to respond to Commission communications,</w:t>
      </w:r>
      <w:r w:rsidR="00C77BF4">
        <w:t xml:space="preserve"> </w:t>
      </w:r>
      <w:r w:rsidR="00086B3B">
        <w:t>or</w:t>
      </w:r>
      <w:r w:rsidRPr="0040542F">
        <w:t xml:space="preserve"> $16,000</w:t>
      </w:r>
      <w:r w:rsidR="00086B3B">
        <w:t>,</w:t>
      </w:r>
      <w:r w:rsidRPr="0040542F">
        <w:t xml:space="preserve"> is warranted.  Accordingly, after applying the </w:t>
      </w:r>
      <w:r w:rsidRPr="0040542F">
        <w:rPr>
          <w:i/>
        </w:rPr>
        <w:t>Forfeiture Policy Statement</w:t>
      </w:r>
      <w:r w:rsidRPr="0040542F">
        <w:t xml:space="preserve">, Section 1.80 of the </w:t>
      </w:r>
      <w:r w:rsidR="00B90A68" w:rsidRPr="0040542F">
        <w:t>Commission’s r</w:t>
      </w:r>
      <w:r w:rsidRPr="0040542F">
        <w:t>ules, and the statutory factors, we find that KEMI is apparently liable for a proposed forfeiture amount of $66,000.</w:t>
      </w:r>
    </w:p>
    <w:p w:rsidR="002302F1" w:rsidRPr="00EA5B31" w:rsidRDefault="002302F1" w:rsidP="00B2444D">
      <w:pPr>
        <w:pStyle w:val="Heading1"/>
        <w:widowControl/>
        <w:rPr>
          <w:rFonts w:ascii="Times New Roman" w:hAnsi="Times New Roman"/>
        </w:rPr>
      </w:pPr>
      <w:r w:rsidRPr="00EA5B31">
        <w:rPr>
          <w:rFonts w:ascii="Times New Roman" w:hAnsi="Times New Roman"/>
        </w:rPr>
        <w:t>Conclusion</w:t>
      </w:r>
      <w:r w:rsidR="00923CE5" w:rsidRPr="00EA5B31">
        <w:rPr>
          <w:rFonts w:ascii="Times New Roman" w:hAnsi="Times New Roman"/>
        </w:rPr>
        <w:t xml:space="preserve"> </w:t>
      </w:r>
    </w:p>
    <w:p w:rsidR="00E67A85" w:rsidRPr="0040542F" w:rsidRDefault="0093792B" w:rsidP="00B2444D">
      <w:pPr>
        <w:pStyle w:val="ParaNum"/>
        <w:widowControl/>
      </w:pPr>
      <w:r w:rsidRPr="007C088F">
        <w:t>We have determined that KEMI apparently willfully violated provisions contained in Parts 11 and 73 of the Commission’s rules and willfully and repeatedly violated Sections 1.89(b) and 73.1015 of the Commission’s rules.  As such, KEMI is apparently liable for a forfeiture of $66,000.  We direct KEMI to submit a written statement, pursuant to Section 1.16 of the Commission’s rules,</w:t>
      </w:r>
      <w:r w:rsidRPr="007C088F">
        <w:rPr>
          <w:rStyle w:val="FootnoteReference"/>
        </w:rPr>
        <w:footnoteReference w:id="61"/>
      </w:r>
      <w:r w:rsidRPr="007C088F">
        <w:t xml:space="preserve"> signed under penalty of perjury, that it has come into compliance with the EAS rules and broadcast rules discussed in this NAL above.</w:t>
      </w:r>
      <w:r w:rsidRPr="007C088F">
        <w:rPr>
          <w:rStyle w:val="FootnoteReference"/>
        </w:rPr>
        <w:footnoteReference w:id="62"/>
      </w:r>
      <w:r w:rsidRPr="007C088F">
        <w:t xml:space="preserve">  KEMI must submit this statement within thirty (30) days of the release date of this NAL, to the address listed in paragraph 19 below.  Continued failure to respond to Commission directives could lead to further sanctions, including additional forfeitures, revocation, or a cease and desist order.         </w:t>
      </w:r>
      <w:r w:rsidR="00F61C66">
        <w:t xml:space="preserve"> </w:t>
      </w:r>
    </w:p>
    <w:p w:rsidR="00BD1563" w:rsidRPr="0040542F" w:rsidRDefault="00E67A85" w:rsidP="00B2444D">
      <w:pPr>
        <w:pStyle w:val="ParaNum"/>
        <w:keepNext/>
        <w:widowControl/>
        <w:numPr>
          <w:ilvl w:val="0"/>
          <w:numId w:val="0"/>
        </w:numPr>
      </w:pPr>
      <w:r w:rsidRPr="00EA5B31">
        <w:rPr>
          <w:b/>
          <w:color w:val="000000"/>
        </w:rPr>
        <w:t>V.</w:t>
      </w:r>
      <w:r w:rsidRPr="00EA5B31">
        <w:rPr>
          <w:b/>
          <w:color w:val="000000"/>
        </w:rPr>
        <w:tab/>
      </w:r>
      <w:r w:rsidR="00BD1563" w:rsidRPr="00EA5B31">
        <w:rPr>
          <w:b/>
          <w:color w:val="000000"/>
        </w:rPr>
        <w:t>OR</w:t>
      </w:r>
      <w:r w:rsidR="00E67FC6" w:rsidRPr="00EA5B31">
        <w:rPr>
          <w:b/>
          <w:color w:val="000000"/>
        </w:rPr>
        <w:t>D</w:t>
      </w:r>
      <w:r w:rsidR="00BD1563" w:rsidRPr="00EA5B31">
        <w:rPr>
          <w:b/>
          <w:color w:val="000000"/>
        </w:rPr>
        <w:t xml:space="preserve">ERING CLAUSES </w:t>
      </w:r>
    </w:p>
    <w:p w:rsidR="00BD1563" w:rsidRPr="0040542F" w:rsidRDefault="00BD1563" w:rsidP="00B2444D">
      <w:pPr>
        <w:pStyle w:val="ParaNum"/>
        <w:keepNext/>
        <w:widowControl/>
      </w:pPr>
      <w:r w:rsidRPr="0040542F">
        <w:rPr>
          <w:spacing w:val="-2"/>
        </w:rPr>
        <w:t>Accordingly,</w:t>
      </w:r>
      <w:r w:rsidRPr="0040542F">
        <w:rPr>
          <w:b/>
          <w:spacing w:val="-2"/>
        </w:rPr>
        <w:t xml:space="preserve"> IT IS ORDERED</w:t>
      </w:r>
      <w:r w:rsidRPr="0040542F">
        <w:rPr>
          <w:spacing w:val="-2"/>
        </w:rPr>
        <w:t xml:space="preserve"> that, pursuant to Section 503(b) of the Communications Act of 1934, as amended,</w:t>
      </w:r>
      <w:r w:rsidRPr="00EA5B31">
        <w:rPr>
          <w:rStyle w:val="FootnoteReference"/>
          <w:sz w:val="22"/>
        </w:rPr>
        <w:footnoteReference w:id="63"/>
      </w:r>
      <w:r w:rsidRPr="0040542F">
        <w:rPr>
          <w:spacing w:val="-2"/>
        </w:rPr>
        <w:t xml:space="preserve"> and Section 1.80 of the Commission’s rules,</w:t>
      </w:r>
      <w:r w:rsidRPr="00EA5B31">
        <w:rPr>
          <w:rStyle w:val="FootnoteReference"/>
          <w:sz w:val="22"/>
        </w:rPr>
        <w:footnoteReference w:id="64"/>
      </w:r>
      <w:r w:rsidRPr="0040542F">
        <w:rPr>
          <w:spacing w:val="-2"/>
        </w:rPr>
        <w:t xml:space="preserve"> Kenai Educational Media, Inc., is hereby </w:t>
      </w:r>
      <w:r w:rsidRPr="0040542F">
        <w:rPr>
          <w:b/>
          <w:spacing w:val="-2"/>
        </w:rPr>
        <w:t xml:space="preserve">NOTIFIED </w:t>
      </w:r>
      <w:r w:rsidRPr="0040542F">
        <w:rPr>
          <w:spacing w:val="-2"/>
        </w:rPr>
        <w:t>of</w:t>
      </w:r>
      <w:r w:rsidR="00F95462" w:rsidRPr="0040542F">
        <w:rPr>
          <w:spacing w:val="-2"/>
        </w:rPr>
        <w:t xml:space="preserve"> its</w:t>
      </w:r>
      <w:r w:rsidRPr="0040542F">
        <w:rPr>
          <w:spacing w:val="-2"/>
        </w:rPr>
        <w:t xml:space="preserve"> </w:t>
      </w:r>
      <w:r w:rsidRPr="0040542F">
        <w:rPr>
          <w:b/>
          <w:spacing w:val="-2"/>
        </w:rPr>
        <w:t xml:space="preserve">APPARENT LIABILITY FOR A FORFEITURE </w:t>
      </w:r>
      <w:r w:rsidRPr="0040542F">
        <w:rPr>
          <w:spacing w:val="-2"/>
        </w:rPr>
        <w:t xml:space="preserve">in the amount of Sixty-Six </w:t>
      </w:r>
      <w:r w:rsidRPr="0040542F">
        <w:t xml:space="preserve">Thousand Dollars ($66,000) for violation of Sections </w:t>
      </w:r>
      <w:r w:rsidR="00D07DBA" w:rsidRPr="0040542F">
        <w:t xml:space="preserve">1.89(b), </w:t>
      </w:r>
      <w:r w:rsidRPr="0040542F">
        <w:t>11.15; 11.35(a); 11.52(d)(1); 73.1015; 73.1125(a); 73.1230; 73.1400; 73.1840(a); 73.1870(a) and (b)(3); and 73.3527(a) of the Commission’s rules.</w:t>
      </w:r>
      <w:r w:rsidRPr="00EA5B31">
        <w:rPr>
          <w:rStyle w:val="FootnoteReference"/>
          <w:sz w:val="22"/>
        </w:rPr>
        <w:footnoteReference w:id="65"/>
      </w:r>
    </w:p>
    <w:p w:rsidR="004D01C0" w:rsidRPr="00DB539B" w:rsidRDefault="00BD1563" w:rsidP="00B2444D">
      <w:pPr>
        <w:pStyle w:val="ParaNum"/>
        <w:widowControl/>
      </w:pPr>
      <w:r w:rsidRPr="0040542F">
        <w:rPr>
          <w:b/>
          <w:spacing w:val="-2"/>
        </w:rPr>
        <w:t xml:space="preserve"> IT IS FURTHER ORDERED</w:t>
      </w:r>
      <w:r w:rsidRPr="0040542F">
        <w:rPr>
          <w:spacing w:val="-2"/>
        </w:rPr>
        <w:t xml:space="preserve"> that, pursuant to Section 1.80 of the Commission’s rules, within thirty (30) calendar days of the release date of this Notice of Apparent Liability for Forfeiture, Kenai Educational Media, Inc.,</w:t>
      </w:r>
      <w:r w:rsidRPr="0040542F">
        <w:rPr>
          <w:b/>
          <w:spacing w:val="-2"/>
        </w:rPr>
        <w:t xml:space="preserve"> SHALL PAY</w:t>
      </w:r>
      <w:r w:rsidRPr="0040542F">
        <w:rPr>
          <w:spacing w:val="-2"/>
        </w:rPr>
        <w:t xml:space="preserve"> the full amount of the proposed forfeiture or </w:t>
      </w:r>
      <w:r w:rsidRPr="0040542F">
        <w:rPr>
          <w:b/>
          <w:spacing w:val="-2"/>
        </w:rPr>
        <w:t>SHALL FILE</w:t>
      </w:r>
      <w:r w:rsidRPr="0040542F">
        <w:rPr>
          <w:spacing w:val="-2"/>
        </w:rPr>
        <w:t xml:space="preserve"> a written statement seeking reduction or cancellation of the proposed forfeiture, consistent with paragraph</w:t>
      </w:r>
      <w:r w:rsidR="00CB743D">
        <w:rPr>
          <w:spacing w:val="-2"/>
        </w:rPr>
        <w:t xml:space="preserve"> </w:t>
      </w:r>
      <w:r w:rsidR="00417F11" w:rsidRPr="0040542F">
        <w:rPr>
          <w:spacing w:val="-2"/>
        </w:rPr>
        <w:t>22</w:t>
      </w:r>
      <w:r w:rsidRPr="0040542F">
        <w:rPr>
          <w:spacing w:val="-2"/>
        </w:rPr>
        <w:t xml:space="preserve"> below.</w:t>
      </w:r>
    </w:p>
    <w:p w:rsidR="00BD1563" w:rsidRPr="0040542F" w:rsidRDefault="004D01C0" w:rsidP="00B2444D">
      <w:pPr>
        <w:pStyle w:val="ParaNum"/>
        <w:widowControl/>
      </w:pPr>
      <w:r>
        <w:rPr>
          <w:b/>
        </w:rPr>
        <w:t>IT IS FURTHER ORDERED</w:t>
      </w:r>
      <w:r>
        <w:t xml:space="preserve"> that Kenai Educational Media, Inc. </w:t>
      </w:r>
      <w:r>
        <w:rPr>
          <w:b/>
        </w:rPr>
        <w:t>SHALL SUBMIT</w:t>
      </w:r>
      <w:r>
        <w:t xml:space="preserve"> a statement as described in paragraph 16 of this NAL within thirty (30) calendar days of the release date of this Notice of Apparent Liability for Forfeiture and Order.  The statement must be mailed to </w:t>
      </w:r>
      <w:r w:rsidRPr="0040542F">
        <w:t>Office of the Secretary, Federal Communications Commission, 445 12th Street, SW, Washington, DC 20554, ATTN:  Enforcement Bureau</w:t>
      </w:r>
      <w:r>
        <w:t>,</w:t>
      </w:r>
      <w:r w:rsidRPr="0040542F">
        <w:t xml:space="preserve"> </w:t>
      </w:r>
      <w:r>
        <w:t xml:space="preserve">Office of the </w:t>
      </w:r>
      <w:r w:rsidRPr="0040542F">
        <w:t xml:space="preserve">Field </w:t>
      </w:r>
      <w:r>
        <w:t>Director</w:t>
      </w:r>
      <w:r w:rsidRPr="0040542F">
        <w:t xml:space="preserve">, Steven Spaeth, </w:t>
      </w:r>
      <w:r>
        <w:t xml:space="preserve">Senior </w:t>
      </w:r>
      <w:r w:rsidRPr="0040542F">
        <w:t>Field Counsel, Room 4-A335</w:t>
      </w:r>
      <w:r>
        <w:t xml:space="preserve">.  Kenai Educational Media, Inc. shall also e-mail the written statement to </w:t>
      </w:r>
      <w:hyperlink r:id="rId8" w:history="1">
        <w:r w:rsidRPr="004D01C0">
          <w:rPr>
            <w:rStyle w:val="Hyperlink"/>
          </w:rPr>
          <w:t>WR-Response@fcc.gov</w:t>
        </w:r>
      </w:hyperlink>
      <w:r>
        <w:rPr>
          <w:spacing w:val="-2"/>
        </w:rPr>
        <w:t xml:space="preserve"> </w:t>
      </w:r>
      <w:r w:rsidRPr="0040542F">
        <w:t xml:space="preserve">and </w:t>
      </w:r>
      <w:hyperlink r:id="rId9" w:history="1">
        <w:r w:rsidR="004E03C5" w:rsidRPr="00A116DB">
          <w:rPr>
            <w:rStyle w:val="Hyperlink"/>
          </w:rPr>
          <w:t>Steven.Spaeth@fcc.gov</w:t>
        </w:r>
      </w:hyperlink>
      <w:r w:rsidRPr="0040542F">
        <w:t xml:space="preserve">. </w:t>
      </w:r>
      <w:r>
        <w:rPr>
          <w:spacing w:val="-2"/>
        </w:rPr>
        <w:t xml:space="preserve">  </w:t>
      </w:r>
    </w:p>
    <w:p w:rsidR="00BD1563" w:rsidRPr="0040542F" w:rsidRDefault="00BD1563" w:rsidP="00B2444D">
      <w:pPr>
        <w:pStyle w:val="ParaNum"/>
        <w:widowControl/>
      </w:pPr>
      <w:r w:rsidRPr="0040542F">
        <w:t xml:space="preserve">Payment of the forfeiture must be made by check or similar instrument, wire transfer, or credit card, and must include the NAL/Account Number and FRN referenced above.  </w:t>
      </w:r>
      <w:r w:rsidRPr="0040542F">
        <w:rPr>
          <w:spacing w:val="-2"/>
        </w:rPr>
        <w:t xml:space="preserve">Kenai Educational Media, Inc., </w:t>
      </w:r>
      <w:r w:rsidRPr="0040542F">
        <w:t xml:space="preserve">shall send electronic notification of payment to </w:t>
      </w:r>
      <w:hyperlink r:id="rId10" w:history="1">
        <w:r w:rsidR="004E03C5" w:rsidRPr="00A116DB">
          <w:rPr>
            <w:rStyle w:val="Hyperlink"/>
          </w:rPr>
          <w:t>WR-Response@fcc.gov</w:t>
        </w:r>
      </w:hyperlink>
      <w:r w:rsidRPr="0040542F">
        <w:t xml:space="preserve"> and </w:t>
      </w:r>
      <w:hyperlink r:id="rId11" w:history="1">
        <w:r w:rsidR="004E03C5" w:rsidRPr="00A116DB">
          <w:rPr>
            <w:rStyle w:val="Hyperlink"/>
          </w:rPr>
          <w:t>Steven.Spaeth@fcc.gov</w:t>
        </w:r>
      </w:hyperlink>
      <w:r w:rsidRPr="0040542F">
        <w:t xml:space="preserve"> on the date said payment is made.  Regardless of the form of payment, a completed FCC Form 159 (Remittance Advice) must be submitted.</w:t>
      </w:r>
      <w:r w:rsidRPr="00EA5B31">
        <w:rPr>
          <w:rStyle w:val="FootnoteReference"/>
          <w:sz w:val="22"/>
        </w:rPr>
        <w:footnoteReference w:id="66"/>
      </w:r>
      <w:r w:rsidRPr="0040542F">
        <w:t xml:space="preserve">  When completing the FCC Form 159, enter the Account Number in block number 23A (call sign/other ID) and enter the letters “FORF” in block number 24A (payment type code).  Below are additional instructions that should be followed based on the form of payment selected: </w:t>
      </w:r>
      <w:r w:rsidRPr="0040542F">
        <w:rPr>
          <w:spacing w:val="-2"/>
        </w:rPr>
        <w:t xml:space="preserve"> </w:t>
      </w:r>
    </w:p>
    <w:p w:rsidR="00BD1563" w:rsidRPr="0040542F" w:rsidRDefault="00BD1563" w:rsidP="0066735A">
      <w:pPr>
        <w:pStyle w:val="ListParagraph"/>
        <w:widowControl/>
        <w:numPr>
          <w:ilvl w:val="0"/>
          <w:numId w:val="17"/>
        </w:numPr>
        <w:spacing w:after="120"/>
      </w:pPr>
      <w:r w:rsidRPr="0040542F">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BD1563" w:rsidRPr="0040542F" w:rsidRDefault="00BD1563" w:rsidP="0066735A">
      <w:pPr>
        <w:pStyle w:val="ListParagraph"/>
        <w:widowControl/>
        <w:numPr>
          <w:ilvl w:val="0"/>
          <w:numId w:val="17"/>
        </w:numPr>
        <w:spacing w:after="120"/>
      </w:pPr>
      <w:r w:rsidRPr="0040542F">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BD1563" w:rsidRPr="0040542F" w:rsidRDefault="00BD1563" w:rsidP="0066735A">
      <w:pPr>
        <w:pStyle w:val="ListParagraph"/>
        <w:widowControl/>
        <w:numPr>
          <w:ilvl w:val="0"/>
          <w:numId w:val="17"/>
        </w:numPr>
        <w:spacing w:after="120"/>
      </w:pPr>
      <w:r w:rsidRPr="0040542F">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sidRPr="0040542F">
        <w:rPr>
          <w:spacing w:val="-2"/>
        </w:rPr>
        <w:t xml:space="preserve">   </w:t>
      </w:r>
    </w:p>
    <w:p w:rsidR="00BD1563" w:rsidRPr="0040542F" w:rsidRDefault="00BD1563" w:rsidP="00B2444D">
      <w:pPr>
        <w:pStyle w:val="ParaNum"/>
        <w:widowControl/>
      </w:pPr>
      <w:r w:rsidRPr="0040542F">
        <w:t>Any request for making full payment over time under an installment plan should be sent to:  Chief Financial Officer—Financial Operations, Federal Communications Commission, 445 12th Street, SW, Room 1-A625, Washington, DC 20554.</w:t>
      </w:r>
      <w:r w:rsidRPr="00EA5B31">
        <w:rPr>
          <w:rStyle w:val="FootnoteReference"/>
          <w:sz w:val="22"/>
        </w:rPr>
        <w:footnoteReference w:id="67"/>
      </w:r>
      <w:r w:rsidRPr="0040542F">
        <w:t xml:space="preserve">  Questions regarding payment procedures should be directed to the Financial Operations Group Help Desk by phone, 1-877-480-3201, or by e-mail, </w:t>
      </w:r>
      <w:hyperlink r:id="rId12" w:history="1">
        <w:r w:rsidR="004E03C5" w:rsidRPr="00A116DB">
          <w:rPr>
            <w:rStyle w:val="Hyperlink"/>
          </w:rPr>
          <w:t>ARINQUIRIES@fcc.gov</w:t>
        </w:r>
      </w:hyperlink>
      <w:r w:rsidRPr="0040542F">
        <w:t xml:space="preserve">. </w:t>
      </w:r>
    </w:p>
    <w:p w:rsidR="00BD1563" w:rsidRPr="0040542F" w:rsidRDefault="00BD1563" w:rsidP="00B2444D">
      <w:pPr>
        <w:pStyle w:val="ParaNum"/>
        <w:widowControl/>
      </w:pPr>
      <w:r w:rsidRPr="0040542F">
        <w:t xml:space="preserve">The written statement seeking reduction or cancellation of the proposed forfeiture, if any, must include a detailed factual statement supported by appropriate documentation and affidavits pursuant to Sections 1.16 and 1.80(f)(3) of the </w:t>
      </w:r>
      <w:r w:rsidR="00B90A68" w:rsidRPr="0040542F">
        <w:t>Commission’s r</w:t>
      </w:r>
      <w:r w:rsidRPr="0040542F">
        <w:t>ules.</w:t>
      </w:r>
      <w:r w:rsidRPr="00EA5B31">
        <w:rPr>
          <w:rStyle w:val="FootnoteReference"/>
          <w:sz w:val="22"/>
        </w:rPr>
        <w:footnoteReference w:id="68"/>
      </w:r>
      <w:r w:rsidRPr="0040542F">
        <w:t xml:space="preserve">  The written statement must be mailed to the Office of the Secretary, Federal Communications Commission, 445 12th Street, SW, Washington, DC 20554, ATTN:  Enforcement Bureau</w:t>
      </w:r>
      <w:r w:rsidR="004D01C0">
        <w:t>,</w:t>
      </w:r>
      <w:r w:rsidRPr="0040542F">
        <w:t xml:space="preserve"> </w:t>
      </w:r>
      <w:r w:rsidR="00F331CD">
        <w:t xml:space="preserve">Office of the </w:t>
      </w:r>
      <w:r w:rsidRPr="0040542F">
        <w:t xml:space="preserve">Field </w:t>
      </w:r>
      <w:r w:rsidR="00F331CD">
        <w:t>Director</w:t>
      </w:r>
      <w:r w:rsidRPr="0040542F">
        <w:t xml:space="preserve">, Steven Spaeth, </w:t>
      </w:r>
      <w:r w:rsidR="00F331CD">
        <w:t xml:space="preserve">Senior </w:t>
      </w:r>
      <w:r w:rsidRPr="0040542F">
        <w:t xml:space="preserve">Field Counsel, Room 4-A335, and must include the NAL/Account Number referenced in the caption.  The statement must also be e-mailed to </w:t>
      </w:r>
      <w:hyperlink r:id="rId13" w:history="1">
        <w:r w:rsidR="004E03C5" w:rsidRPr="00A116DB">
          <w:rPr>
            <w:rStyle w:val="Hyperlink"/>
          </w:rPr>
          <w:t>WR-Response@fcc.gov</w:t>
        </w:r>
      </w:hyperlink>
      <w:r w:rsidRPr="0040542F">
        <w:t xml:space="preserve"> and </w:t>
      </w:r>
      <w:hyperlink r:id="rId14" w:history="1">
        <w:r w:rsidR="004E03C5" w:rsidRPr="00A116DB">
          <w:rPr>
            <w:rStyle w:val="Hyperlink"/>
          </w:rPr>
          <w:t>Steven.Spaeth@fcc.gov</w:t>
        </w:r>
      </w:hyperlink>
      <w:r w:rsidRPr="0040542F">
        <w:t xml:space="preserve">. </w:t>
      </w:r>
    </w:p>
    <w:p w:rsidR="00BD1563" w:rsidRPr="0040542F" w:rsidRDefault="00BD1563" w:rsidP="00B2444D">
      <w:pPr>
        <w:pStyle w:val="ParaNum"/>
        <w:widowControl/>
      </w:pPr>
      <w:r w:rsidRPr="0040542F">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E9376C" w:rsidRPr="0040542F" w:rsidRDefault="00BD1563" w:rsidP="0066735A">
      <w:pPr>
        <w:pStyle w:val="ParaNum"/>
        <w:keepNext/>
        <w:spacing w:after="0"/>
      </w:pPr>
      <w:r w:rsidRPr="0040542F">
        <w:rPr>
          <w:b/>
          <w:spacing w:val="-2"/>
        </w:rPr>
        <w:t>IT IS FURTHER ORDERED</w:t>
      </w:r>
      <w:r w:rsidRPr="0040542F">
        <w:rPr>
          <w:spacing w:val="-2"/>
        </w:rPr>
        <w:t xml:space="preserve"> that a copy of this Notice of Apparent Liability for Forfeiture shall be sent by both Certified Mail, Return Receipt Requested, and regular mail to Kenai Educational Media, Inc., 2001 Seward Highway, Suite B, Seward, AK, 99664.</w:t>
      </w:r>
      <w:r w:rsidRPr="0040542F">
        <w:t xml:space="preserve"> </w:t>
      </w:r>
    </w:p>
    <w:p w:rsidR="00841809" w:rsidRPr="00EA5B31" w:rsidRDefault="00841809" w:rsidP="00EA5A88">
      <w:pPr>
        <w:keepNext/>
        <w:rPr>
          <w:color w:val="000000"/>
        </w:rPr>
      </w:pPr>
    </w:p>
    <w:p w:rsidR="00F60397" w:rsidRPr="00EA5B31" w:rsidRDefault="00F60397" w:rsidP="00EA5A88">
      <w:pPr>
        <w:keepNext/>
        <w:rPr>
          <w:color w:val="000000"/>
        </w:rPr>
      </w:pPr>
      <w:r w:rsidRPr="00EA5B31">
        <w:rPr>
          <w:color w:val="000000"/>
        </w:rPr>
        <w:tab/>
      </w:r>
      <w:r w:rsidRPr="00EA5B31">
        <w:rPr>
          <w:color w:val="000000"/>
        </w:rPr>
        <w:tab/>
      </w:r>
      <w:r w:rsidRPr="00EA5B31">
        <w:rPr>
          <w:color w:val="000000"/>
        </w:rPr>
        <w:tab/>
      </w:r>
      <w:r w:rsidRPr="00EA5B31">
        <w:rPr>
          <w:color w:val="000000"/>
        </w:rPr>
        <w:tab/>
      </w:r>
      <w:r w:rsidRPr="00EA5B31">
        <w:rPr>
          <w:color w:val="000000"/>
        </w:rPr>
        <w:tab/>
      </w:r>
      <w:r w:rsidRPr="00EA5B31">
        <w:rPr>
          <w:color w:val="000000"/>
        </w:rPr>
        <w:tab/>
        <w:t>FEDERAL COMMUNICATIONS COMMISSION</w:t>
      </w:r>
    </w:p>
    <w:p w:rsidR="00F60397" w:rsidRPr="00EA5B31" w:rsidRDefault="00F60397" w:rsidP="00F01898">
      <w:pPr>
        <w:keepNext/>
        <w:rPr>
          <w:color w:val="000000"/>
        </w:rPr>
      </w:pPr>
    </w:p>
    <w:p w:rsidR="00F60397" w:rsidRPr="00EA5B31" w:rsidRDefault="00F60397" w:rsidP="009670F8">
      <w:pPr>
        <w:keepNext/>
        <w:rPr>
          <w:color w:val="000000"/>
        </w:rPr>
      </w:pPr>
    </w:p>
    <w:p w:rsidR="00F60397" w:rsidRPr="00EA5B31" w:rsidRDefault="00F60397" w:rsidP="009670F8">
      <w:pPr>
        <w:keepNext/>
        <w:rPr>
          <w:color w:val="000000"/>
        </w:rPr>
      </w:pPr>
    </w:p>
    <w:p w:rsidR="00C6052B" w:rsidRPr="00EA5B31" w:rsidRDefault="00C6052B" w:rsidP="009670F8">
      <w:pPr>
        <w:keepNext/>
        <w:rPr>
          <w:color w:val="000000"/>
        </w:rPr>
      </w:pPr>
    </w:p>
    <w:p w:rsidR="00CE5F1E" w:rsidRPr="0040542F" w:rsidRDefault="007A60AA" w:rsidP="009670F8">
      <w:pPr>
        <w:keepNext/>
      </w:pPr>
      <w:r w:rsidRPr="0040542F">
        <w:tab/>
      </w:r>
      <w:r w:rsidRPr="0040542F">
        <w:tab/>
      </w:r>
      <w:r w:rsidRPr="0040542F">
        <w:tab/>
      </w:r>
      <w:r w:rsidRPr="0040542F">
        <w:tab/>
      </w:r>
      <w:r w:rsidRPr="0040542F">
        <w:tab/>
      </w:r>
      <w:r w:rsidRPr="0040542F">
        <w:tab/>
      </w:r>
      <w:r w:rsidR="00CE5F1E" w:rsidRPr="0040542F">
        <w:t>Marlene H. Dortch</w:t>
      </w:r>
    </w:p>
    <w:p w:rsidR="00CE5F1E" w:rsidRDefault="00F83C78" w:rsidP="009670F8">
      <w:pPr>
        <w:keepNext/>
      </w:pPr>
      <w:r w:rsidRPr="0040542F">
        <w:tab/>
      </w:r>
      <w:r w:rsidRPr="0040542F">
        <w:tab/>
      </w:r>
      <w:r w:rsidRPr="0040542F">
        <w:tab/>
      </w:r>
      <w:r w:rsidRPr="0040542F">
        <w:tab/>
      </w:r>
      <w:r w:rsidRPr="0040542F">
        <w:tab/>
      </w:r>
      <w:r w:rsidRPr="0040542F">
        <w:tab/>
      </w:r>
      <w:r w:rsidR="00CE5F1E" w:rsidRPr="0040542F">
        <w:t>Secretary</w:t>
      </w:r>
    </w:p>
    <w:p w:rsidR="00F73F4C" w:rsidRPr="00EA5B31" w:rsidRDefault="00F73F4C" w:rsidP="009670F8">
      <w:pPr>
        <w:keepNext/>
      </w:pPr>
    </w:p>
    <w:sectPr w:rsidR="00F73F4C" w:rsidRPr="00EA5B31" w:rsidSect="0066735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B0" w:rsidRDefault="00915EB0">
      <w:r>
        <w:separator/>
      </w:r>
    </w:p>
  </w:endnote>
  <w:endnote w:type="continuationSeparator" w:id="0">
    <w:p w:rsidR="00915EB0" w:rsidRDefault="00915EB0">
      <w:r>
        <w:continuationSeparator/>
      </w:r>
    </w:p>
  </w:endnote>
  <w:endnote w:type="continuationNotice" w:id="1">
    <w:p w:rsidR="00915EB0" w:rsidRDefault="0091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Pr="0066735A" w:rsidRDefault="00EC5DDA" w:rsidP="0066735A">
    <w:pPr>
      <w:pStyle w:val="Footer"/>
      <w:jc w:val="center"/>
    </w:pPr>
    <w:r>
      <w:fldChar w:fldCharType="begin"/>
    </w:r>
    <w:r>
      <w:instrText xml:space="preserve"> PAGE   \* MERGEFORMAT </w:instrText>
    </w:r>
    <w:r>
      <w:fldChar w:fldCharType="separate"/>
    </w:r>
    <w:r w:rsidR="00C0706E">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B0" w:rsidRDefault="00915EB0">
      <w:r>
        <w:separator/>
      </w:r>
    </w:p>
  </w:footnote>
  <w:footnote w:type="continuationSeparator" w:id="0">
    <w:p w:rsidR="00915EB0" w:rsidRDefault="00915EB0" w:rsidP="00F60397">
      <w:r w:rsidRPr="00F60397">
        <w:rPr>
          <w:sz w:val="20"/>
        </w:rPr>
        <w:t>(Continued from previous page)</w:t>
      </w:r>
      <w:r>
        <w:rPr>
          <w:sz w:val="20"/>
        </w:rPr>
        <w:t xml:space="preserve"> </w:t>
      </w:r>
      <w:r>
        <w:separator/>
      </w:r>
    </w:p>
  </w:footnote>
  <w:footnote w:type="continuationNotice" w:id="1">
    <w:p w:rsidR="00915EB0" w:rsidRPr="00F60397" w:rsidRDefault="00915EB0" w:rsidP="00AE54D6">
      <w:pPr>
        <w:jc w:val="right"/>
        <w:rPr>
          <w:sz w:val="20"/>
        </w:rPr>
      </w:pPr>
      <w:r w:rsidRPr="00F60397">
        <w:rPr>
          <w:sz w:val="20"/>
        </w:rPr>
        <w:t>(continued…)</w:t>
      </w:r>
    </w:p>
  </w:footnote>
  <w:footnote w:id="2">
    <w:p w:rsidR="00C762C4" w:rsidRDefault="00C762C4" w:rsidP="00C762C4">
      <w:pPr>
        <w:pStyle w:val="FootnoteText"/>
      </w:pPr>
      <w:r>
        <w:rPr>
          <w:rStyle w:val="FootnoteReference"/>
        </w:rPr>
        <w:footnoteRef/>
      </w:r>
      <w:r>
        <w:t xml:space="preserve"> </w:t>
      </w:r>
      <w:r w:rsidRPr="00082167">
        <w:rPr>
          <w:snapToGrid w:val="0"/>
        </w:rPr>
        <w:t xml:space="preserve">The investigation began under File No. EB-FIELDWR-13-00009787, </w:t>
      </w:r>
      <w:r w:rsidRPr="00082167">
        <w:rPr>
          <w:snapToGrid w:val="0"/>
          <w:spacing w:val="-2"/>
        </w:rPr>
        <w:t xml:space="preserve">and was subsequently assigned </w:t>
      </w:r>
      <w:r w:rsidRPr="00082167">
        <w:rPr>
          <w:snapToGrid w:val="0"/>
        </w:rPr>
        <w:t>File No. EB-FIELDWR-16-00022001.  Any future correspondence with the Commission concerning this matter should</w:t>
      </w:r>
      <w:r>
        <w:rPr>
          <w:snapToGrid w:val="0"/>
        </w:rPr>
        <w:t xml:space="preserve"> reflect the new case number.  </w:t>
      </w:r>
    </w:p>
  </w:footnote>
  <w:footnote w:id="3">
    <w:p w:rsidR="005C7004" w:rsidRDefault="005C7004">
      <w:pPr>
        <w:pStyle w:val="FootnoteText"/>
      </w:pPr>
      <w:r>
        <w:rPr>
          <w:rStyle w:val="FootnoteReference"/>
        </w:rPr>
        <w:footnoteRef/>
      </w:r>
      <w:r>
        <w:t xml:space="preserve"> </w:t>
      </w:r>
      <w:r>
        <w:rPr>
          <w:i/>
        </w:rPr>
        <w:t xml:space="preserve">See </w:t>
      </w:r>
      <w:r>
        <w:t>47 CFR</w:t>
      </w:r>
      <w:r w:rsidRPr="00C752FD">
        <w:t xml:space="preserve"> §§</w:t>
      </w:r>
      <w:r>
        <w:t xml:space="preserve"> </w:t>
      </w:r>
      <w:r w:rsidRPr="00C752FD">
        <w:t>11.15</w:t>
      </w:r>
      <w:r w:rsidR="005A7713">
        <w:t xml:space="preserve"> (EAS Operating Handbook Requirement);</w:t>
      </w:r>
      <w:r w:rsidRPr="00C752FD">
        <w:t xml:space="preserve"> 11.35(a)</w:t>
      </w:r>
      <w:r w:rsidR="005A7713">
        <w:t xml:space="preserve"> (EAS equipment must be installed so that monitoring and transmitting functions are available while the station is in operation);</w:t>
      </w:r>
      <w:r w:rsidRPr="00C752FD">
        <w:t xml:space="preserve"> 11.52(d)(1)</w:t>
      </w:r>
      <w:r>
        <w:t xml:space="preserve"> </w:t>
      </w:r>
      <w:r w:rsidR="00637EF8">
        <w:t>(</w:t>
      </w:r>
      <w:r w:rsidR="000D7C40">
        <w:t xml:space="preserve">EAS participants must monitor two EAS sources). </w:t>
      </w:r>
    </w:p>
  </w:footnote>
  <w:footnote w:id="4">
    <w:p w:rsidR="005C7004" w:rsidRPr="00E74E2D" w:rsidRDefault="005C7004" w:rsidP="0066735A">
      <w:pPr>
        <w:pStyle w:val="FootnoteText"/>
      </w:pPr>
      <w:r>
        <w:rPr>
          <w:rStyle w:val="FootnoteReference"/>
        </w:rPr>
        <w:footnoteRef/>
      </w:r>
      <w:r>
        <w:t xml:space="preserve"> </w:t>
      </w:r>
      <w:r w:rsidRPr="00C762C4">
        <w:rPr>
          <w:i/>
        </w:rPr>
        <w:t xml:space="preserve">See </w:t>
      </w:r>
      <w:r w:rsidRPr="00C762C4">
        <w:t xml:space="preserve">47 CFR §§ 73.1125(a) (main studio requirements); 73.1400 (transmission </w:t>
      </w:r>
      <w:r w:rsidRPr="00E74E2D">
        <w:t xml:space="preserve">system monitoring and control requirements); 73.1870(a) and (b)(3) (designation of a chief operator of the station).  </w:t>
      </w:r>
      <w:r w:rsidR="00882581" w:rsidRPr="00E74E2D">
        <w:t xml:space="preserve">We note that the Commission has invited comment on </w:t>
      </w:r>
      <w:r w:rsidR="00CA6550" w:rsidRPr="00E74E2D">
        <w:t xml:space="preserve">eliminating the main studio requirements in Section 73.1125(a) of the Commission’s rules.  </w:t>
      </w:r>
      <w:r w:rsidR="0093792B" w:rsidRPr="00E74E2D">
        <w:rPr>
          <w:i/>
          <w:iCs/>
          <w:spacing w:val="-2"/>
        </w:rPr>
        <w:t>Elimination of Main Studio Rule</w:t>
      </w:r>
      <w:r w:rsidR="0093792B" w:rsidRPr="00E74E2D">
        <w:rPr>
          <w:spacing w:val="-2"/>
        </w:rPr>
        <w:t xml:space="preserve">, </w:t>
      </w:r>
      <w:r w:rsidR="0093792B" w:rsidRPr="00E74E2D">
        <w:rPr>
          <w:iCs/>
          <w:spacing w:val="-2"/>
        </w:rPr>
        <w:t>Notice of Proposed Rulemaking</w:t>
      </w:r>
      <w:r w:rsidR="0093792B" w:rsidRPr="00E74E2D">
        <w:rPr>
          <w:spacing w:val="-2"/>
        </w:rPr>
        <w:t xml:space="preserve">, FCC 17-59 (May 18, 2017).  </w:t>
      </w:r>
      <w:r w:rsidR="00913D15" w:rsidRPr="00213CD0">
        <w:t>I</w:t>
      </w:r>
      <w:r w:rsidR="00EB3A6B" w:rsidRPr="00213CD0">
        <w:t>nviting comment on a rule change does not relieve</w:t>
      </w:r>
      <w:r w:rsidR="00913D15" w:rsidRPr="00213CD0">
        <w:t xml:space="preserve"> a</w:t>
      </w:r>
      <w:r w:rsidR="00EB3A6B" w:rsidRPr="00213CD0">
        <w:t xml:space="preserve"> licensee from </w:t>
      </w:r>
      <w:r w:rsidR="00913D15" w:rsidRPr="00213CD0">
        <w:t>its</w:t>
      </w:r>
      <w:r w:rsidR="00EB3A6B" w:rsidRPr="00213CD0">
        <w:t xml:space="preserve"> obligation to </w:t>
      </w:r>
      <w:r w:rsidR="00907A70" w:rsidRPr="00213CD0">
        <w:t>comply</w:t>
      </w:r>
      <w:r w:rsidR="00EB3A6B" w:rsidRPr="00213CD0">
        <w:t xml:space="preserve"> with the rule while </w:t>
      </w:r>
      <w:r w:rsidR="00907A70" w:rsidRPr="00213CD0">
        <w:t>it</w:t>
      </w:r>
      <w:r w:rsidR="00913D15" w:rsidRPr="00213CD0">
        <w:t xml:space="preserve"> is </w:t>
      </w:r>
      <w:r w:rsidR="00EB3A6B" w:rsidRPr="00213CD0">
        <w:t xml:space="preserve">in effect.  </w:t>
      </w:r>
      <w:r w:rsidR="00907A70" w:rsidRPr="00213CD0">
        <w:t>I</w:t>
      </w:r>
      <w:r w:rsidR="00EB3A6B" w:rsidRPr="00213CD0">
        <w:t>n this case, KEMI’s apparent failure to comply with this rule has persisted for years.</w:t>
      </w:r>
      <w:r w:rsidR="009D00D7" w:rsidRPr="00213CD0">
        <w:t xml:space="preserve">  </w:t>
      </w:r>
      <w:r w:rsidR="009D00D7" w:rsidRPr="00213CD0">
        <w:rPr>
          <w:i/>
        </w:rPr>
        <w:t>See infra</w:t>
      </w:r>
      <w:r w:rsidR="009D00D7" w:rsidRPr="00213CD0">
        <w:t xml:space="preserve"> paras. 2-3. </w:t>
      </w:r>
    </w:p>
  </w:footnote>
  <w:footnote w:id="5">
    <w:p w:rsidR="005C7004" w:rsidRPr="00E74E2D" w:rsidRDefault="005C7004">
      <w:pPr>
        <w:pStyle w:val="FootnoteText"/>
      </w:pPr>
      <w:r w:rsidRPr="00E74E2D">
        <w:rPr>
          <w:rStyle w:val="FootnoteReference"/>
        </w:rPr>
        <w:footnoteRef/>
      </w:r>
      <w:r w:rsidRPr="00E74E2D">
        <w:t xml:space="preserve"> </w:t>
      </w:r>
      <w:r w:rsidRPr="00E74E2D">
        <w:rPr>
          <w:i/>
        </w:rPr>
        <w:t xml:space="preserve">See </w:t>
      </w:r>
      <w:r w:rsidRPr="00E74E2D">
        <w:t>47 CFR §§ 73.3527(a) (maintenance of a station local public inspection file); 73.</w:t>
      </w:r>
      <w:r w:rsidRPr="007B074C">
        <w:t>1840(a)</w:t>
      </w:r>
      <w:r w:rsidRPr="00292341">
        <w:t xml:space="preserve"> (retention of required station logs); 73.1230 (</w:t>
      </w:r>
      <w:r w:rsidRPr="004F50F0">
        <w:t>posting</w:t>
      </w:r>
      <w:r w:rsidRPr="00ED4F15">
        <w:t xml:space="preserve"> of</w:t>
      </w:r>
      <w:r w:rsidRPr="00E74E2D">
        <w:t xml:space="preserve"> station license).  </w:t>
      </w:r>
    </w:p>
  </w:footnote>
  <w:footnote w:id="6">
    <w:p w:rsidR="005C7004" w:rsidRDefault="005C7004">
      <w:pPr>
        <w:pStyle w:val="FootnoteText"/>
      </w:pPr>
      <w:r>
        <w:rPr>
          <w:rStyle w:val="FootnoteReference"/>
        </w:rPr>
        <w:footnoteRef/>
      </w:r>
      <w:r>
        <w:t xml:space="preserve"> </w:t>
      </w:r>
      <w:r>
        <w:rPr>
          <w:i/>
        </w:rPr>
        <w:t xml:space="preserve">See </w:t>
      </w:r>
      <w:r>
        <w:t>47 CFR</w:t>
      </w:r>
      <w:r w:rsidRPr="00C752FD">
        <w:t xml:space="preserve"> §§</w:t>
      </w:r>
      <w:r>
        <w:t xml:space="preserve"> </w:t>
      </w:r>
      <w:r w:rsidRPr="00332EFE">
        <w:t>1.89(b)</w:t>
      </w:r>
      <w:r>
        <w:t xml:space="preserve"> (duty to respond to a notice of violation); 73.1015 (requirement to respond to Commission request for information). </w:t>
      </w:r>
    </w:p>
  </w:footnote>
  <w:footnote w:id="7">
    <w:p w:rsidR="00842528" w:rsidRDefault="00842528" w:rsidP="00842528">
      <w:pPr>
        <w:pStyle w:val="FootnoteText"/>
      </w:pPr>
      <w:r>
        <w:rPr>
          <w:rStyle w:val="FootnoteReference"/>
        </w:rPr>
        <w:footnoteRef/>
      </w:r>
      <w:r>
        <w:t xml:space="preserve"> </w:t>
      </w:r>
      <w:r w:rsidRPr="00CB407E">
        <w:rPr>
          <w:i/>
        </w:rPr>
        <w:t xml:space="preserve">See </w:t>
      </w:r>
      <w:r w:rsidR="00A63B05">
        <w:t xml:space="preserve">Special Temporary Authority No. </w:t>
      </w:r>
      <w:r>
        <w:t>BSTA-20130424AAG</w:t>
      </w:r>
      <w:r w:rsidR="00A63B05">
        <w:t xml:space="preserve"> (MB, Audio Div., granted Apr. 25, 2013) (on file in CDBS)</w:t>
      </w:r>
      <w:r>
        <w:t xml:space="preserve">. </w:t>
      </w:r>
    </w:p>
  </w:footnote>
  <w:footnote w:id="8">
    <w:p w:rsidR="00842528" w:rsidRPr="00C752FD" w:rsidRDefault="00842528" w:rsidP="00842528">
      <w:pPr>
        <w:pStyle w:val="FootnoteText"/>
      </w:pPr>
      <w:r w:rsidRPr="00C752FD">
        <w:rPr>
          <w:rStyle w:val="FootnoteReference"/>
        </w:rPr>
        <w:footnoteRef/>
      </w:r>
      <w:r w:rsidRPr="00C752FD">
        <w:t xml:space="preserve"> 47 </w:t>
      </w:r>
      <w:r>
        <w:t>CFR</w:t>
      </w:r>
      <w:r w:rsidRPr="00C752FD">
        <w:t xml:space="preserve"> §§ 11.15, 11.35(a), 11.52(d)(1). </w:t>
      </w:r>
    </w:p>
  </w:footnote>
  <w:footnote w:id="9">
    <w:p w:rsidR="00842528" w:rsidRDefault="00842528" w:rsidP="00842528">
      <w:pPr>
        <w:pStyle w:val="FootnoteText"/>
      </w:pPr>
      <w:r>
        <w:rPr>
          <w:rStyle w:val="FootnoteReference"/>
        </w:rPr>
        <w:footnoteRef/>
      </w:r>
      <w:r>
        <w:t xml:space="preserve"> 47 CFR § 73.1230. </w:t>
      </w:r>
    </w:p>
  </w:footnote>
  <w:footnote w:id="10">
    <w:p w:rsidR="00842528" w:rsidRPr="00441CD1" w:rsidRDefault="00842528" w:rsidP="00842528">
      <w:pPr>
        <w:pStyle w:val="FootnoteText"/>
      </w:pPr>
      <w:r w:rsidRPr="00441CD1">
        <w:rPr>
          <w:rStyle w:val="FootnoteReference"/>
        </w:rPr>
        <w:footnoteRef/>
      </w:r>
      <w:r w:rsidRPr="00441CD1">
        <w:t xml:space="preserve"> </w:t>
      </w:r>
      <w:r>
        <w:t xml:space="preserve">47 CFR § </w:t>
      </w:r>
      <w:r w:rsidRPr="00441CD1">
        <w:t>73.3527(a)</w:t>
      </w:r>
      <w:r>
        <w:t>.</w:t>
      </w:r>
    </w:p>
  </w:footnote>
  <w:footnote w:id="11">
    <w:p w:rsidR="00842528" w:rsidRDefault="00842528" w:rsidP="00842528">
      <w:pPr>
        <w:pStyle w:val="FootnoteText"/>
      </w:pPr>
      <w:r>
        <w:rPr>
          <w:rStyle w:val="FootnoteReference"/>
        </w:rPr>
        <w:footnoteRef/>
      </w:r>
      <w:r w:rsidR="00FF0045">
        <w:t xml:space="preserve"> </w:t>
      </w:r>
      <w:r>
        <w:t xml:space="preserve">47 CFR § </w:t>
      </w:r>
      <w:r w:rsidRPr="00441CD1">
        <w:t>73.</w:t>
      </w:r>
      <w:r>
        <w:t>1840</w:t>
      </w:r>
      <w:r w:rsidRPr="00441CD1">
        <w:t>(a)</w:t>
      </w:r>
      <w:r>
        <w:t>.</w:t>
      </w:r>
      <w:r w:rsidR="0000413F">
        <w:t xml:space="preserve">  </w:t>
      </w:r>
      <w:r w:rsidR="003D6B5B">
        <w:t>At the June 8, 2013</w:t>
      </w:r>
      <w:r w:rsidR="001A1966">
        <w:t>,</w:t>
      </w:r>
      <w:r w:rsidR="003D6B5B">
        <w:t xml:space="preserve"> inspection, a KEMI representative could </w:t>
      </w:r>
      <w:r w:rsidR="00E74E2D">
        <w:t xml:space="preserve">not </w:t>
      </w:r>
      <w:r w:rsidR="003D6B5B">
        <w:t xml:space="preserve">produce </w:t>
      </w:r>
      <w:r w:rsidR="00E74E2D">
        <w:t xml:space="preserve">any </w:t>
      </w:r>
      <w:r w:rsidR="003D6B5B">
        <w:t>records for the station’s operation (including equipment, transmitter, calibrations, and EAS) for the prior two years.</w:t>
      </w:r>
    </w:p>
  </w:footnote>
  <w:footnote w:id="12">
    <w:p w:rsidR="00842528" w:rsidRPr="0083338E" w:rsidRDefault="00842528" w:rsidP="0083338E">
      <w:pPr>
        <w:pStyle w:val="FootnoteText"/>
      </w:pPr>
      <w:r>
        <w:rPr>
          <w:rStyle w:val="FootnoteReference"/>
        </w:rPr>
        <w:footnoteRef/>
      </w:r>
      <w:r>
        <w:t xml:space="preserve"> 47 CFR § 73.1125(a)</w:t>
      </w:r>
      <w:r w:rsidR="005838C6">
        <w:t xml:space="preserve">; </w:t>
      </w:r>
      <w:r w:rsidR="0083338E" w:rsidRPr="00E7672C">
        <w:rPr>
          <w:i/>
        </w:rPr>
        <w:t>Amendment of Sections 73.1125 &amp; 73.1130 of the Commission's Rules, the Main Studio &amp; Program Origination Rules for Radio &amp; Television Broad. Stations</w:t>
      </w:r>
      <w:r w:rsidR="0083338E" w:rsidRPr="00E7672C">
        <w:t xml:space="preserve">, Memorandum Opinion and Order, 3 FCC Rcd 5024, 5026, </w:t>
      </w:r>
      <w:r w:rsidR="0083338E" w:rsidRPr="00E7672C">
        <w:rPr>
          <w:i/>
        </w:rPr>
        <w:t>erratum</w:t>
      </w:r>
      <w:r w:rsidR="0083338E" w:rsidRPr="00E7672C">
        <w:t xml:space="preserve">, 3 FCC Rcd 5717 (1988) (holding that </w:t>
      </w:r>
      <w:r w:rsidR="002A509F">
        <w:t xml:space="preserve">the </w:t>
      </w:r>
      <w:r w:rsidR="0083338E" w:rsidRPr="00E7672C">
        <w:t>rule requires stations to “maintain a meaningful management and staff presence”)</w:t>
      </w:r>
      <w:r w:rsidR="00DE6A4C">
        <w:t>.</w:t>
      </w:r>
      <w:r>
        <w:t xml:space="preserve">  </w:t>
      </w:r>
    </w:p>
  </w:footnote>
  <w:footnote w:id="13">
    <w:p w:rsidR="00842528" w:rsidRDefault="00842528" w:rsidP="00842528">
      <w:pPr>
        <w:pStyle w:val="FootnoteText"/>
      </w:pPr>
      <w:r>
        <w:rPr>
          <w:rStyle w:val="FootnoteReference"/>
        </w:rPr>
        <w:footnoteRef/>
      </w:r>
      <w:r>
        <w:t xml:space="preserve"> 47 CFR § </w:t>
      </w:r>
      <w:r w:rsidR="005A7FC8" w:rsidRPr="00441CD1">
        <w:t>73.</w:t>
      </w:r>
      <w:r w:rsidR="005A7FC8">
        <w:t xml:space="preserve">1400.  </w:t>
      </w:r>
    </w:p>
  </w:footnote>
  <w:footnote w:id="14">
    <w:p w:rsidR="00842528" w:rsidRDefault="00842528" w:rsidP="00842528">
      <w:pPr>
        <w:pStyle w:val="FootnoteText"/>
      </w:pPr>
      <w:r>
        <w:rPr>
          <w:rStyle w:val="FootnoteReference"/>
        </w:rPr>
        <w:footnoteRef/>
      </w:r>
      <w:r>
        <w:t xml:space="preserve"> 47 CFR §</w:t>
      </w:r>
      <w:r w:rsidR="005A7FC8">
        <w:t>§</w:t>
      </w:r>
      <w:r>
        <w:t xml:space="preserve"> </w:t>
      </w:r>
      <w:r w:rsidR="005A7FC8" w:rsidRPr="00441CD1">
        <w:t>73.</w:t>
      </w:r>
      <w:r w:rsidR="005A7FC8">
        <w:t>1870</w:t>
      </w:r>
      <w:r w:rsidR="005A7FC8" w:rsidRPr="00441CD1">
        <w:t>(a)</w:t>
      </w:r>
      <w:r w:rsidR="005A7FC8">
        <w:t xml:space="preserve"> and (b)(3). </w:t>
      </w:r>
    </w:p>
  </w:footnote>
  <w:footnote w:id="15">
    <w:p w:rsidR="00501DD0" w:rsidRDefault="00501DD0">
      <w:pPr>
        <w:pStyle w:val="FootnoteText"/>
      </w:pPr>
      <w:r>
        <w:rPr>
          <w:rStyle w:val="FootnoteReference"/>
        </w:rPr>
        <w:footnoteRef/>
      </w:r>
      <w:r>
        <w:t xml:space="preserve"> </w:t>
      </w:r>
      <w:r w:rsidR="00A81C91" w:rsidRPr="00603E9A">
        <w:t>NOV # V201</w:t>
      </w:r>
      <w:r w:rsidR="001B2D50">
        <w:t>3</w:t>
      </w:r>
      <w:r w:rsidR="00A81C91" w:rsidRPr="00603E9A">
        <w:t>327800</w:t>
      </w:r>
      <w:r w:rsidR="001B2D50">
        <w:t>25</w:t>
      </w:r>
      <w:r w:rsidR="00A81C91" w:rsidRPr="00603E9A">
        <w:t xml:space="preserve"> </w:t>
      </w:r>
      <w:r w:rsidR="001428AA">
        <w:t xml:space="preserve">at paras. 2, 4 </w:t>
      </w:r>
      <w:r w:rsidR="00A81C91" w:rsidRPr="00603E9A">
        <w:t>(</w:t>
      </w:r>
      <w:r w:rsidR="001B2D50">
        <w:t>Aug. 12,</w:t>
      </w:r>
      <w:r w:rsidR="00A81C91" w:rsidRPr="00603E9A">
        <w:t xml:space="preserve"> 2013)</w:t>
      </w:r>
      <w:r w:rsidR="001B2D50">
        <w:t xml:space="preserve"> (</w:t>
      </w:r>
      <w:r>
        <w:t>August 2</w:t>
      </w:r>
      <w:r w:rsidR="00D57E89">
        <w:t>013 NOV</w:t>
      </w:r>
      <w:r w:rsidR="001428AA">
        <w:t>)</w:t>
      </w:r>
      <w:r w:rsidR="00E74E2D">
        <w:t>(</w:t>
      </w:r>
      <w:r w:rsidR="001428AA">
        <w:t>incorporated herein by this reference</w:t>
      </w:r>
      <w:r w:rsidR="001B2D50">
        <w:t>)</w:t>
      </w:r>
      <w:r w:rsidR="00D57E89">
        <w:t xml:space="preserve">. </w:t>
      </w:r>
      <w:r w:rsidR="001428AA">
        <w:t xml:space="preserve"> The August 2013 NOV is also available in the Commission’s Consolidated Data Base System (CDBS), in File No. BRED-20130930BXB.  This is the file for KEMI’s pending license renewal application, discussed briefly below.  Other NOVs and a warning letter relevant to this proceeding and discussed further below are also available in this CDBS file, and are also on file with the Enforcement Bureau.</w:t>
      </w:r>
    </w:p>
  </w:footnote>
  <w:footnote w:id="16">
    <w:p w:rsidR="00FD37A8" w:rsidRPr="00D57E89" w:rsidRDefault="00FD37A8" w:rsidP="00FD37A8">
      <w:pPr>
        <w:pStyle w:val="FootnoteText"/>
      </w:pPr>
      <w:r>
        <w:rPr>
          <w:rStyle w:val="FootnoteReference"/>
        </w:rPr>
        <w:footnoteRef/>
      </w:r>
      <w:r>
        <w:t xml:space="preserve"> </w:t>
      </w:r>
      <w:r w:rsidRPr="00501DD0">
        <w:rPr>
          <w:i/>
        </w:rPr>
        <w:t>See</w:t>
      </w:r>
      <w:r>
        <w:t xml:space="preserve"> August 2013 NOV</w:t>
      </w:r>
      <w:r w:rsidR="00904D45">
        <w:t xml:space="preserve"> at</w:t>
      </w:r>
      <w:r>
        <w:t xml:space="preserve"> paras. 4</w:t>
      </w:r>
      <w:r w:rsidR="00D57E89">
        <w:t>-5</w:t>
      </w:r>
      <w:r>
        <w:t>.</w:t>
      </w:r>
    </w:p>
  </w:footnote>
  <w:footnote w:id="17">
    <w:p w:rsidR="00EF47FA" w:rsidRPr="00B74D31" w:rsidRDefault="002569A5" w:rsidP="0066735A">
      <w:pPr>
        <w:pStyle w:val="FootnoteText"/>
      </w:pPr>
      <w:r w:rsidRPr="001428AA">
        <w:rPr>
          <w:rStyle w:val="FootnoteReference"/>
        </w:rPr>
        <w:footnoteRef/>
      </w:r>
      <w:r w:rsidRPr="001428AA">
        <w:t xml:space="preserve"> </w:t>
      </w:r>
      <w:r w:rsidR="00EF47FA" w:rsidRPr="001428AA">
        <w:t>Letter from David J. Carlton, Resident Agent, Anchorage Resident Agent Office, Western Region, Enforcement Bureau, to Annette Shacklett, President, Kenai Educational Media, Inc. (September 2013 Warning)</w:t>
      </w:r>
      <w:r w:rsidR="001428AA" w:rsidRPr="001428AA">
        <w:t xml:space="preserve"> </w:t>
      </w:r>
      <w:r w:rsidR="00A63B05">
        <w:t>(</w:t>
      </w:r>
      <w:r w:rsidR="001428AA" w:rsidRPr="001428AA">
        <w:t>incorporated herein by this reference)</w:t>
      </w:r>
      <w:r w:rsidR="00EF47FA" w:rsidRPr="001428AA">
        <w:t xml:space="preserve">; </w:t>
      </w:r>
      <w:r w:rsidR="00543444" w:rsidRPr="001428AA">
        <w:t>NOV # V201432780006 (Nov. 7, 2013)</w:t>
      </w:r>
      <w:r w:rsidR="0091546D" w:rsidRPr="001428AA">
        <w:t xml:space="preserve"> (November 2013 NOV)</w:t>
      </w:r>
      <w:r w:rsidR="001428AA" w:rsidRPr="001428AA">
        <w:t xml:space="preserve"> </w:t>
      </w:r>
      <w:r w:rsidR="00A63B05">
        <w:t>(</w:t>
      </w:r>
      <w:r w:rsidR="001428AA" w:rsidRPr="001428AA">
        <w:t>incorporated herein by this reference)</w:t>
      </w:r>
      <w:r w:rsidR="00EF47FA" w:rsidRPr="001428AA">
        <w:t xml:space="preserve">; </w:t>
      </w:r>
      <w:r w:rsidR="00543444" w:rsidRPr="001428AA">
        <w:t xml:space="preserve">NOV # V201632780001, </w:t>
      </w:r>
      <w:r w:rsidR="00543444" w:rsidRPr="001428AA">
        <w:rPr>
          <w:rStyle w:val="coidrelatedinfocitations1"/>
        </w:rPr>
        <w:t>2016 WL 1645237</w:t>
      </w:r>
      <w:r w:rsidR="00543444" w:rsidRPr="001428AA">
        <w:t xml:space="preserve"> (Apr. 20, 2016)</w:t>
      </w:r>
      <w:r w:rsidR="0091546D" w:rsidRPr="001428AA">
        <w:t xml:space="preserve"> (April 2016 NOV)</w:t>
      </w:r>
      <w:r w:rsidR="001428AA" w:rsidRPr="001428AA">
        <w:t xml:space="preserve"> </w:t>
      </w:r>
      <w:r w:rsidR="00A63B05">
        <w:t>(</w:t>
      </w:r>
      <w:r w:rsidR="001428AA" w:rsidRPr="001428AA">
        <w:t>incorporated herein by this reference)</w:t>
      </w:r>
      <w:r w:rsidR="00543444" w:rsidRPr="001428AA">
        <w:t>.</w:t>
      </w:r>
      <w:r w:rsidR="00EF47FA" w:rsidRPr="001428AA">
        <w:t xml:space="preserve"> </w:t>
      </w:r>
    </w:p>
  </w:footnote>
  <w:footnote w:id="18">
    <w:p w:rsidR="00F84786" w:rsidRPr="00F84786" w:rsidRDefault="00F84786">
      <w:pPr>
        <w:pStyle w:val="FootnoteText"/>
      </w:pPr>
      <w:r>
        <w:rPr>
          <w:rStyle w:val="FootnoteReference"/>
        </w:rPr>
        <w:footnoteRef/>
      </w:r>
      <w:r>
        <w:t xml:space="preserve"> 47 CFR § 73.1015.  </w:t>
      </w:r>
    </w:p>
  </w:footnote>
  <w:footnote w:id="19">
    <w:p w:rsidR="00B1344C" w:rsidRDefault="00D229E8" w:rsidP="0066735A">
      <w:pPr>
        <w:pStyle w:val="FootnoteText"/>
      </w:pPr>
      <w:r>
        <w:rPr>
          <w:rStyle w:val="FootnoteReference"/>
        </w:rPr>
        <w:footnoteRef/>
      </w:r>
      <w:r>
        <w:t xml:space="preserve"> </w:t>
      </w:r>
      <w:r w:rsidR="007625E7" w:rsidRPr="00B2444D">
        <w:t xml:space="preserve">The Anchorage Office sent the September 2013 Warning and the three NOVs by certified mail and first class mail to KEMI’s address of record. Although KEMI did not accept delivery of or sign the receipt for the certified mail copy of the November 2013 NOV, we </w:t>
      </w:r>
      <w:r w:rsidR="004B0A4B" w:rsidRPr="00B2444D">
        <w:t xml:space="preserve">observe </w:t>
      </w:r>
      <w:r w:rsidR="007625E7" w:rsidRPr="00B2444D">
        <w:t xml:space="preserve">that the Post Office did not return the first class mail copy of this NOV, or the other NOVs or the September 2013 Warning, to the Anchorage Office.  Accordingly, we presume that the Post Office delivered the first-class mail copy of the NOVs and the Warning to KEMI and that KEMI received the mailings.  KEMI acknowledged receipt of the August 2013 NOV in its September 30, 2013, KIBH-FM license renewal application and attached copies of </w:t>
      </w:r>
      <w:r w:rsidR="00845AD4" w:rsidRPr="00B2444D">
        <w:t xml:space="preserve">that </w:t>
      </w:r>
      <w:r w:rsidR="007625E7" w:rsidRPr="00B2444D">
        <w:t>NOV and Warning Letter</w:t>
      </w:r>
      <w:r w:rsidR="00845AD4" w:rsidRPr="00B2444D">
        <w:t xml:space="preserve"> to its license renewal application</w:t>
      </w:r>
      <w:r w:rsidR="007625E7" w:rsidRPr="00B2444D">
        <w:t>. (File No. BRED-20130930BXB, Section II, Question 4 Exh. 6, Attachment 6 (filed Sept. 30, 2013)).  It also signed a receipt for the April 2016 NOV.</w:t>
      </w:r>
      <w:r w:rsidR="00133EEB" w:rsidRPr="00B2444D">
        <w:t xml:space="preserve">  </w:t>
      </w:r>
      <w:r w:rsidR="00A63B05" w:rsidRPr="00B2444D">
        <w:t xml:space="preserve">This receipt is on file in EBATS File No. EB-FIELDWR-16-00022001.  </w:t>
      </w:r>
      <w:r w:rsidR="00133EEB" w:rsidRPr="00B2444D">
        <w:rPr>
          <w:i/>
        </w:rPr>
        <w:t>See</w:t>
      </w:r>
      <w:r w:rsidR="00133EEB" w:rsidRPr="00B2444D">
        <w:t xml:space="preserve"> 47 CFR § 1.5 (</w:t>
      </w:r>
      <w:r w:rsidR="009C6F14" w:rsidRPr="00B2444D">
        <w:t>l</w:t>
      </w:r>
      <w:r w:rsidR="00133EEB" w:rsidRPr="00B2444D">
        <w:t xml:space="preserve">icensees are required to provide an address of record to the Commission, and ensure that correspondence delivered to that address will promptly reach the licensee or someone authorized by </w:t>
      </w:r>
      <w:r w:rsidR="00E74E2D">
        <w:t xml:space="preserve">him </w:t>
      </w:r>
      <w:r w:rsidR="00133EEB" w:rsidRPr="00B2444D">
        <w:t>to act on his behalf).</w:t>
      </w:r>
      <w:r w:rsidR="007625E7" w:rsidRPr="00B2444D">
        <w:t xml:space="preserve"> </w:t>
      </w:r>
      <w:r w:rsidR="00133EEB" w:rsidRPr="00B2444D">
        <w:t xml:space="preserve"> </w:t>
      </w:r>
      <w:r w:rsidR="00267F63" w:rsidRPr="00B2444D">
        <w:t>The November 2013 NOV is also available on the Commission’s website at</w:t>
      </w:r>
      <w:r w:rsidR="00B1344C" w:rsidRPr="00B2444D">
        <w:t xml:space="preserve"> </w:t>
      </w:r>
      <w:hyperlink r:id="rId1" w:history="1">
        <w:r w:rsidR="00B1344C" w:rsidRPr="00B2444D">
          <w:rPr>
            <w:rStyle w:val="Hyperlink"/>
          </w:rPr>
          <w:t>https://apps.fcc.gov/edocs_public/attachmatch/DOC-324054A1.pdf</w:t>
        </w:r>
      </w:hyperlink>
      <w:r w:rsidR="00B1344C" w:rsidRPr="00B2444D">
        <w:t xml:space="preserve"> </w:t>
      </w:r>
      <w:r w:rsidR="00267F63" w:rsidRPr="00B2444D">
        <w:t>(last visited May 2</w:t>
      </w:r>
      <w:r w:rsidR="00B1344C" w:rsidRPr="00B2444D">
        <w:t>3</w:t>
      </w:r>
      <w:r w:rsidR="00267F63" w:rsidRPr="00B2444D">
        <w:t>, 2017).</w:t>
      </w:r>
    </w:p>
  </w:footnote>
  <w:footnote w:id="20">
    <w:p w:rsidR="00807791" w:rsidRDefault="00807791" w:rsidP="00807791">
      <w:pPr>
        <w:pStyle w:val="FootnoteText"/>
      </w:pPr>
      <w:r>
        <w:rPr>
          <w:rStyle w:val="FootnoteReference"/>
        </w:rPr>
        <w:footnoteRef/>
      </w:r>
      <w:r>
        <w:t xml:space="preserve"> </w:t>
      </w:r>
      <w:r w:rsidRPr="0048500F">
        <w:t xml:space="preserve">47 </w:t>
      </w:r>
      <w:r>
        <w:t>CFR</w:t>
      </w:r>
      <w:r w:rsidRPr="0048500F">
        <w:t xml:space="preserve"> §§ </w:t>
      </w:r>
      <w:r w:rsidR="00A03FB9" w:rsidRPr="00332EFE">
        <w:t>1.89(b),</w:t>
      </w:r>
      <w:r w:rsidR="00A03FB9">
        <w:t xml:space="preserve"> </w:t>
      </w:r>
      <w:r w:rsidRPr="0048500F">
        <w:t>11.15</w:t>
      </w:r>
      <w:r w:rsidR="00FF3AAA">
        <w:t>,</w:t>
      </w:r>
      <w:r w:rsidRPr="0048500F">
        <w:t xml:space="preserve"> 11.35(a)</w:t>
      </w:r>
      <w:r w:rsidR="00FF3AAA">
        <w:t>,</w:t>
      </w:r>
      <w:r w:rsidRPr="0048500F">
        <w:t xml:space="preserve"> 11.52(d)(1)</w:t>
      </w:r>
      <w:r w:rsidR="00FF3AAA">
        <w:t>,</w:t>
      </w:r>
      <w:r w:rsidRPr="0048500F">
        <w:t xml:space="preserve"> 73.1015</w:t>
      </w:r>
      <w:r w:rsidR="00FF3AAA">
        <w:t>,</w:t>
      </w:r>
      <w:r w:rsidRPr="0048500F">
        <w:t xml:space="preserve"> </w:t>
      </w:r>
      <w:r>
        <w:t>73.1125(a)</w:t>
      </w:r>
      <w:r w:rsidR="00FF3AAA">
        <w:t>,</w:t>
      </w:r>
      <w:r>
        <w:t xml:space="preserve"> </w:t>
      </w:r>
      <w:r w:rsidRPr="0048500F">
        <w:t>73.1230; 73.1400</w:t>
      </w:r>
      <w:r w:rsidR="00FF3AAA">
        <w:t>,</w:t>
      </w:r>
      <w:r w:rsidRPr="0048500F">
        <w:t xml:space="preserve"> 73.1840(a)</w:t>
      </w:r>
      <w:r w:rsidR="00FF3AAA">
        <w:t>,</w:t>
      </w:r>
      <w:r w:rsidRPr="0048500F">
        <w:t xml:space="preserve"> 73.1870(a)</w:t>
      </w:r>
      <w:r w:rsidR="00FF3AAA">
        <w:t>,</w:t>
      </w:r>
      <w:r>
        <w:t xml:space="preserve"> (b)(3)</w:t>
      </w:r>
      <w:r w:rsidR="00FF3AAA">
        <w:t>,</w:t>
      </w:r>
      <w:r>
        <w:t xml:space="preserve"> 73.3527(a).</w:t>
      </w:r>
    </w:p>
  </w:footnote>
  <w:footnote w:id="21">
    <w:p w:rsidR="00731ABF" w:rsidRDefault="00731ABF" w:rsidP="00731ABF">
      <w:pPr>
        <w:pStyle w:val="FootnoteText"/>
      </w:pPr>
      <w:r>
        <w:rPr>
          <w:rStyle w:val="FootnoteReference"/>
        </w:rPr>
        <w:footnoteRef/>
      </w:r>
      <w:r>
        <w:t xml:space="preserve"> 47 U.S.C. § 503(b).</w:t>
      </w:r>
    </w:p>
  </w:footnote>
  <w:footnote w:id="22">
    <w:p w:rsidR="00731ABF" w:rsidRDefault="00731ABF" w:rsidP="00731ABF">
      <w:pPr>
        <w:pStyle w:val="FootnoteText"/>
      </w:pPr>
      <w:r>
        <w:rPr>
          <w:rStyle w:val="FootnoteReference"/>
        </w:rPr>
        <w:footnoteRef/>
      </w:r>
      <w:r>
        <w:t xml:space="preserve"> 47 U.S.C. § 312(f)(1).</w:t>
      </w:r>
    </w:p>
  </w:footnote>
  <w:footnote w:id="23">
    <w:p w:rsidR="00731ABF" w:rsidRDefault="00731ABF" w:rsidP="00731ABF">
      <w:pPr>
        <w:pStyle w:val="FootnoteTex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w:t>
      </w:r>
      <w:r w:rsidRPr="00811CB2">
        <w:rPr>
          <w:rStyle w:val="documentbody"/>
        </w:rPr>
        <w:t>”).</w:t>
      </w:r>
    </w:p>
  </w:footnote>
  <w:footnote w:id="24">
    <w:p w:rsidR="00731ABF" w:rsidRPr="00484313" w:rsidRDefault="00731ABF" w:rsidP="00731ABF">
      <w:pPr>
        <w:pStyle w:val="FootnoteText"/>
      </w:pPr>
      <w:r w:rsidRPr="008869A4">
        <w:rPr>
          <w:rStyle w:val="FootnoteReference"/>
        </w:rPr>
        <w:footnoteRef/>
      </w:r>
      <w:r w:rsidRPr="008869A4">
        <w:rPr>
          <w:i/>
        </w:rPr>
        <w:t xml:space="preserve"> See, e.g., Application for Review of Southern California Broadcasting Co.</w:t>
      </w:r>
      <w:r w:rsidRPr="008869A4">
        <w:t>, Memorandum Opinion and Order, 6 FCC Rcd 4387, 4388, para. 5 (1991) (</w:t>
      </w:r>
      <w:r w:rsidRPr="008869A4">
        <w:rPr>
          <w:i/>
        </w:rPr>
        <w:t>Southern California Broadcasting Co.</w:t>
      </w:r>
      <w:r w:rsidRPr="008869A4">
        <w:t xml:space="preserve">), </w:t>
      </w:r>
      <w:r w:rsidRPr="008869A4">
        <w:rPr>
          <w:i/>
        </w:rPr>
        <w:t xml:space="preserve">recons. denied, </w:t>
      </w:r>
      <w:r w:rsidRPr="008869A4">
        <w:t>7 FCC Rcd 3454 (1992)</w:t>
      </w:r>
      <w:r w:rsidR="00DB733B">
        <w:t xml:space="preserve">; </w:t>
      </w:r>
      <w:r w:rsidR="00DB733B">
        <w:rPr>
          <w:i/>
        </w:rPr>
        <w:t>see</w:t>
      </w:r>
      <w:r w:rsidRPr="008869A4">
        <w:rPr>
          <w:i/>
        </w:rPr>
        <w:t xml:space="preserve"> also</w:t>
      </w:r>
      <w:r w:rsidRPr="008869A4">
        <w:t xml:space="preserve"> </w:t>
      </w:r>
      <w:r w:rsidRPr="00030158">
        <w:rPr>
          <w:i/>
        </w:rPr>
        <w:t>WDKA Acquisition Corporation, Licensee Of Station WDKA(TV), Paducah, Kentucky</w:t>
      </w:r>
      <w:r w:rsidRPr="00030158">
        <w:t xml:space="preserve">, Forfeiture Order, 28 FCC Rcd 16398, 16400, para. 8 (MB 2013), </w:t>
      </w:r>
      <w:r w:rsidRPr="00030158">
        <w:rPr>
          <w:i/>
        </w:rPr>
        <w:t>citing Sitka Broadcasting Co., Inc</w:t>
      </w:r>
      <w:r w:rsidRPr="00030158">
        <w:t xml:space="preserve">., Memorandum Opinion and Order, 70 FCC 2d 2375 (1978) (licensees have a responsibility to be aware of, and comply with, all applicable statutes, regulations, rules and Orders, and inadvertent errors, oversights, or failures to become familiar with Commission requirements are willful violations).   </w:t>
      </w:r>
    </w:p>
  </w:footnote>
  <w:footnote w:id="25">
    <w:p w:rsidR="00731ABF" w:rsidRDefault="00731ABF" w:rsidP="00731ABF">
      <w:pPr>
        <w:pStyle w:val="FootnoteText"/>
      </w:pPr>
      <w:r>
        <w:rPr>
          <w:rStyle w:val="FootnoteReference"/>
        </w:rPr>
        <w:footnoteRef/>
      </w:r>
      <w:r>
        <w:rPr>
          <w:i/>
        </w:rPr>
        <w:t xml:space="preserve"> </w:t>
      </w:r>
      <w:r>
        <w:t>47 U.S.C. §</w:t>
      </w:r>
      <w:r w:rsidR="00E74E2D">
        <w:t xml:space="preserve"> </w:t>
      </w:r>
      <w:r>
        <w:t xml:space="preserve">503(b) (any person found to have “willfully </w:t>
      </w:r>
      <w:r>
        <w:rPr>
          <w:i/>
        </w:rPr>
        <w:t xml:space="preserve">or </w:t>
      </w:r>
      <w:r>
        <w:t>repeatedly” failed to comply with the Act or Commission rules is liable for a forfeiture) (emphasis added); 47 CFR §</w:t>
      </w:r>
      <w:r w:rsidR="00E74E2D">
        <w:t xml:space="preserve"> </w:t>
      </w:r>
      <w:r>
        <w:t>1.80(a) (same)</w:t>
      </w:r>
      <w:r w:rsidR="00DB733B">
        <w:t xml:space="preserve">; </w:t>
      </w:r>
      <w:r w:rsidR="00DB733B">
        <w:rPr>
          <w:i/>
        </w:rPr>
        <w:t>see</w:t>
      </w:r>
      <w:r>
        <w:rPr>
          <w:i/>
        </w:rPr>
        <w:t>, e.g.,</w:t>
      </w:r>
      <w:r>
        <w:t xml:space="preserve"> </w:t>
      </w:r>
      <w:r>
        <w:rPr>
          <w:i/>
        </w:rPr>
        <w:t>Callais Cablevision, Inc.</w:t>
      </w:r>
      <w:r>
        <w:t>, Notice of Apparent Liability for Monetary Forfeiture, 16 FCC Rcd 1359, 1362, para. 10 (2001) (</w:t>
      </w:r>
      <w:r>
        <w:rPr>
          <w:i/>
        </w:rPr>
        <w:t>Callais Cablevision</w:t>
      </w:r>
      <w:r>
        <w:t xml:space="preserve">) (proposing a forfeiture for, </w:t>
      </w:r>
      <w:r>
        <w:rPr>
          <w:i/>
        </w:rPr>
        <w:t>inter alia</w:t>
      </w:r>
      <w:r>
        <w:t xml:space="preserve">, a cable television operator’s repeated signal leakage); </w:t>
      </w:r>
      <w:r>
        <w:rPr>
          <w:i/>
        </w:rPr>
        <w:t>Southern California Broadcasting Co.</w:t>
      </w:r>
      <w:r>
        <w:t xml:space="preserve">, 6 FCC Rcd at 4388, para. 5.   </w:t>
      </w:r>
    </w:p>
  </w:footnote>
  <w:footnote w:id="26">
    <w:p w:rsidR="00731ABF" w:rsidRDefault="00731ABF" w:rsidP="00731ABF">
      <w:pPr>
        <w:pStyle w:val="FootnoteText"/>
      </w:pPr>
      <w:r>
        <w:rPr>
          <w:rStyle w:val="FootnoteReference"/>
        </w:rPr>
        <w:footnoteRef/>
      </w:r>
      <w:r>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Pr>
          <w:i/>
        </w:rPr>
        <w:t xml:space="preserve">See Callais Cablevision, </w:t>
      </w:r>
      <w:r>
        <w:t>16 FCC Rcd</w:t>
      </w:r>
      <w:r>
        <w:rPr>
          <w:i/>
        </w:rPr>
        <w:t xml:space="preserve"> </w:t>
      </w:r>
      <w:r>
        <w:t>at 1362, para.</w:t>
      </w:r>
      <w:r w:rsidR="00DB733B">
        <w:t> </w:t>
      </w:r>
      <w:r>
        <w:t xml:space="preserve">9.  </w:t>
      </w:r>
    </w:p>
  </w:footnote>
  <w:footnote w:id="27">
    <w:p w:rsidR="00A24E7D" w:rsidRPr="00EA5B31" w:rsidRDefault="00A24E7D">
      <w:pPr>
        <w:pStyle w:val="FootnoteText"/>
        <w:rPr>
          <w:i/>
        </w:rPr>
      </w:pPr>
      <w:r>
        <w:rPr>
          <w:rStyle w:val="FootnoteReference"/>
        </w:rPr>
        <w:footnoteRef/>
      </w:r>
      <w:r>
        <w:t xml:space="preserve"> 47 CFR § 11.15. </w:t>
      </w:r>
      <w:r w:rsidR="007D7F4D">
        <w:t xml:space="preserve"> </w:t>
      </w:r>
      <w:r w:rsidR="00D44F57" w:rsidRPr="00445C09">
        <w:t xml:space="preserve">The EAS Operating Handbook is issued by the FCC and contains instructions </w:t>
      </w:r>
      <w:r w:rsidR="00445C09">
        <w:t>for actions to be tak</w:t>
      </w:r>
      <w:r w:rsidR="00E74E2D">
        <w:t>en</w:t>
      </w:r>
      <w:r w:rsidR="00445C09">
        <w:t xml:space="preserve"> by personnel at the EAS Participant facilities in specific</w:t>
      </w:r>
      <w:r w:rsidR="00D44F57" w:rsidRPr="00445C09">
        <w:t xml:space="preserve"> situations.</w:t>
      </w:r>
      <w:r w:rsidR="00D44F57">
        <w:t xml:space="preserve">  </w:t>
      </w:r>
      <w:r w:rsidR="00D44F57">
        <w:rPr>
          <w:i/>
        </w:rPr>
        <w:t>Id.</w:t>
      </w:r>
    </w:p>
  </w:footnote>
  <w:footnote w:id="28">
    <w:p w:rsidR="006C3D95" w:rsidRDefault="006C3D95" w:rsidP="006C3D95">
      <w:pPr>
        <w:pStyle w:val="FootnoteText"/>
      </w:pPr>
      <w:r>
        <w:rPr>
          <w:rStyle w:val="FootnoteReference"/>
        </w:rPr>
        <w:footnoteRef/>
      </w:r>
      <w:r>
        <w:t xml:space="preserve"> August 2013 NOV at para. 2.a. </w:t>
      </w:r>
    </w:p>
  </w:footnote>
  <w:footnote w:id="29">
    <w:p w:rsidR="00F938E4" w:rsidRDefault="00F938E4" w:rsidP="00F938E4">
      <w:pPr>
        <w:pStyle w:val="FootnoteText"/>
      </w:pPr>
      <w:r>
        <w:rPr>
          <w:rStyle w:val="FootnoteReference"/>
        </w:rPr>
        <w:footnoteRef/>
      </w:r>
      <w:r>
        <w:t xml:space="preserve"> 47 CFR § 11.35(a).</w:t>
      </w:r>
    </w:p>
  </w:footnote>
  <w:footnote w:id="30">
    <w:p w:rsidR="00D56F73" w:rsidRDefault="006C3D95" w:rsidP="0066735A">
      <w:pPr>
        <w:pStyle w:val="FootnoteText"/>
      </w:pPr>
      <w:r w:rsidRPr="00993938">
        <w:rPr>
          <w:rStyle w:val="FootnoteReference"/>
        </w:rPr>
        <w:footnoteRef/>
      </w:r>
      <w:r w:rsidRPr="00993938">
        <w:t xml:space="preserve"> 47 CFR § 11.52(d)(1) (“</w:t>
      </w:r>
      <w:r w:rsidRPr="00993938">
        <w:rPr>
          <w:color w:val="000000"/>
        </w:rPr>
        <w:t>EAS Participants must monitor two EAS sources”).</w:t>
      </w:r>
      <w:r w:rsidRPr="00EA5B31">
        <w:t xml:space="preserve"> </w:t>
      </w:r>
      <w:r w:rsidRPr="00993938">
        <w:t xml:space="preserve"> </w:t>
      </w:r>
      <w:r w:rsidR="00993938" w:rsidRPr="00993938">
        <w:t>Under the State of Alaska EAS Plan in effect at the time of the inspection</w:t>
      </w:r>
      <w:r w:rsidR="00602BAD">
        <w:t xml:space="preserve">, </w:t>
      </w:r>
      <w:r w:rsidR="00993938" w:rsidRPr="00993938">
        <w:t xml:space="preserve">one of the two EAS sources that KEMI was required to monitor was KSRM-AM.  State of Alaska Emergency Alert System Plan, Final Draft, at Appendix D, Table D-1 (Jan. 13, 1998).  With respect to the other EAS source, KEMI had a </w:t>
      </w:r>
      <w:r w:rsidR="00993938" w:rsidRPr="00913C06">
        <w:t xml:space="preserve">choice </w:t>
      </w:r>
      <w:r w:rsidR="00993938" w:rsidRPr="00EA5B31">
        <w:t xml:space="preserve">of four stations:  (1) the </w:t>
      </w:r>
      <w:r w:rsidR="009A79F2" w:rsidRPr="00EA5B31">
        <w:t>National Oceanic and Atmospheric Administration</w:t>
      </w:r>
      <w:r w:rsidR="00993938" w:rsidRPr="00EA5B31">
        <w:t xml:space="preserve">’s (NOAA’s) Weather Radio (NWR); </w:t>
      </w:r>
      <w:r w:rsidR="00C645A3" w:rsidRPr="00B2444D">
        <w:t xml:space="preserve">(2) </w:t>
      </w:r>
      <w:r w:rsidR="00993938" w:rsidRPr="00EA5B31">
        <w:t xml:space="preserve">KFQD, </w:t>
      </w:r>
      <w:r w:rsidR="00C645A3" w:rsidRPr="00B2444D">
        <w:t xml:space="preserve">(3) </w:t>
      </w:r>
      <w:r w:rsidR="00993938" w:rsidRPr="00EA5B31">
        <w:t xml:space="preserve">the Alaska Public Radio Network (APRN), or </w:t>
      </w:r>
      <w:r w:rsidR="00C645A3" w:rsidRPr="00B2444D">
        <w:t xml:space="preserve">(4) </w:t>
      </w:r>
      <w:r w:rsidR="00993938" w:rsidRPr="00EA5B31">
        <w:t>KIMO.</w:t>
      </w:r>
      <w:r w:rsidR="00993938" w:rsidRPr="00993938">
        <w:t xml:space="preserve">  </w:t>
      </w:r>
    </w:p>
    <w:p w:rsidR="00D56F73" w:rsidRDefault="00993938" w:rsidP="00DB539B">
      <w:pPr>
        <w:pStyle w:val="ListParagraph"/>
        <w:numPr>
          <w:ilvl w:val="0"/>
          <w:numId w:val="27"/>
        </w:numPr>
        <w:rPr>
          <w:sz w:val="20"/>
        </w:rPr>
      </w:pPr>
      <w:r w:rsidRPr="00DB539B">
        <w:rPr>
          <w:sz w:val="20"/>
        </w:rPr>
        <w:t>NWR is</w:t>
      </w:r>
      <w:r w:rsidR="002D08E7" w:rsidRPr="0093792B">
        <w:rPr>
          <w:sz w:val="20"/>
        </w:rPr>
        <w:t xml:space="preserve"> </w:t>
      </w:r>
      <w:r w:rsidR="002D08E7" w:rsidRPr="00DB539B">
        <w:rPr>
          <w:sz w:val="20"/>
        </w:rPr>
        <w:t>also referred to as “National Weather Service (NWS)” Radio</w:t>
      </w:r>
      <w:r w:rsidRPr="00DB539B">
        <w:rPr>
          <w:sz w:val="20"/>
        </w:rPr>
        <w:t xml:space="preserve">.  </w:t>
      </w:r>
    </w:p>
    <w:p w:rsidR="00D56F73" w:rsidRDefault="00993938" w:rsidP="00DB539B">
      <w:pPr>
        <w:pStyle w:val="ListParagraph"/>
        <w:numPr>
          <w:ilvl w:val="0"/>
          <w:numId w:val="27"/>
        </w:numPr>
        <w:rPr>
          <w:sz w:val="20"/>
        </w:rPr>
      </w:pPr>
      <w:r w:rsidRPr="00DB539B">
        <w:rPr>
          <w:sz w:val="20"/>
        </w:rPr>
        <w:t xml:space="preserve">KQFD operates </w:t>
      </w:r>
      <w:r w:rsidR="002D08E7" w:rsidRPr="00DB539B">
        <w:rPr>
          <w:sz w:val="20"/>
        </w:rPr>
        <w:t>in Fairbanks, Alaska, on 750 AM and 103.7 FM</w:t>
      </w:r>
      <w:r w:rsidRPr="00DB539B">
        <w:rPr>
          <w:sz w:val="20"/>
        </w:rPr>
        <w:t xml:space="preserve">.  </w:t>
      </w:r>
    </w:p>
    <w:p w:rsidR="00D56F73" w:rsidRDefault="00993938" w:rsidP="00DB539B">
      <w:pPr>
        <w:pStyle w:val="ListParagraph"/>
        <w:numPr>
          <w:ilvl w:val="0"/>
          <w:numId w:val="27"/>
        </w:numPr>
        <w:rPr>
          <w:sz w:val="20"/>
        </w:rPr>
      </w:pPr>
      <w:r w:rsidRPr="00DB539B">
        <w:rPr>
          <w:sz w:val="20"/>
        </w:rPr>
        <w:t xml:space="preserve">APRN is </w:t>
      </w:r>
      <w:r w:rsidR="002D08E7" w:rsidRPr="00DB539B">
        <w:rPr>
          <w:sz w:val="20"/>
        </w:rPr>
        <w:t>a network of National Public Radio (NPR) affiliates in Alaska</w:t>
      </w:r>
      <w:r w:rsidRPr="00DB539B">
        <w:rPr>
          <w:sz w:val="20"/>
        </w:rPr>
        <w:t xml:space="preserve">.  Radio stations in this network include KSKA, 91.1 FM in Anchorage, Alaska, and KDLL, 91.9 FM in Kenai, Alaska.  </w:t>
      </w:r>
    </w:p>
    <w:p w:rsidR="00D56F73" w:rsidRDefault="00993938" w:rsidP="0066735A">
      <w:pPr>
        <w:pStyle w:val="ListParagraph"/>
        <w:numPr>
          <w:ilvl w:val="0"/>
          <w:numId w:val="27"/>
        </w:numPr>
        <w:spacing w:after="60"/>
        <w:rPr>
          <w:sz w:val="20"/>
        </w:rPr>
      </w:pPr>
      <w:r w:rsidRPr="00DB539B">
        <w:rPr>
          <w:sz w:val="20"/>
        </w:rPr>
        <w:t xml:space="preserve">KIMO </w:t>
      </w:r>
      <w:r w:rsidRPr="00F3256D">
        <w:rPr>
          <w:sz w:val="20"/>
        </w:rPr>
        <w:t>was</w:t>
      </w:r>
      <w:r w:rsidR="002D08E7" w:rsidRPr="00B2444D">
        <w:rPr>
          <w:sz w:val="20"/>
        </w:rPr>
        <w:t xml:space="preserve"> </w:t>
      </w:r>
      <w:r w:rsidR="002D08E7" w:rsidRPr="00F3256D">
        <w:rPr>
          <w:sz w:val="20"/>
        </w:rPr>
        <w:t>formerly</w:t>
      </w:r>
      <w:r w:rsidR="002D08E7" w:rsidRPr="00DB539B">
        <w:rPr>
          <w:sz w:val="20"/>
        </w:rPr>
        <w:t xml:space="preserve"> the ABC affiliate in Anchorage, Alaska, </w:t>
      </w:r>
      <w:r w:rsidRPr="00DB539B">
        <w:rPr>
          <w:sz w:val="20"/>
        </w:rPr>
        <w:t>operating on Channel 13.  This station has since changed its call sign</w:t>
      </w:r>
      <w:r w:rsidR="00E13503">
        <w:rPr>
          <w:sz w:val="20"/>
        </w:rPr>
        <w:t xml:space="preserve"> to </w:t>
      </w:r>
      <w:r w:rsidR="002D08E7" w:rsidRPr="00DB539B">
        <w:rPr>
          <w:sz w:val="20"/>
        </w:rPr>
        <w:t>KYUR</w:t>
      </w:r>
      <w:r w:rsidRPr="00DB539B">
        <w:rPr>
          <w:sz w:val="20"/>
        </w:rPr>
        <w:t xml:space="preserve">.  </w:t>
      </w:r>
    </w:p>
    <w:p w:rsidR="006C3D95" w:rsidRPr="00993938" w:rsidRDefault="00993938" w:rsidP="00EA5B31">
      <w:pPr>
        <w:pStyle w:val="ListParagraph"/>
        <w:spacing w:after="120"/>
        <w:ind w:left="0"/>
      </w:pPr>
      <w:r w:rsidRPr="00DB539B">
        <w:rPr>
          <w:sz w:val="20"/>
        </w:rPr>
        <w:t>In 2016, the Commission approved a revised Sta</w:t>
      </w:r>
      <w:r w:rsidRPr="00A57BBB">
        <w:rPr>
          <w:sz w:val="20"/>
        </w:rPr>
        <w:t xml:space="preserve">te EAS Plan.  State of Alaska Emergency Alert System Plan, Final Draft, at Appendix D, Table D-1 (2016). </w:t>
      </w:r>
    </w:p>
  </w:footnote>
  <w:footnote w:id="31">
    <w:p w:rsidR="006C3D95" w:rsidRPr="005932AA" w:rsidRDefault="006C3D95" w:rsidP="006C3D95">
      <w:pPr>
        <w:pStyle w:val="FootnoteText"/>
      </w:pPr>
      <w:r>
        <w:rPr>
          <w:rStyle w:val="FootnoteReference"/>
        </w:rPr>
        <w:footnoteRef/>
      </w:r>
      <w:r>
        <w:t xml:space="preserve"> August 2013 NOV at para. 2.c</w:t>
      </w:r>
      <w:r w:rsidR="007739D5">
        <w:t>.</w:t>
      </w:r>
      <w:r w:rsidR="002E74EE">
        <w:t xml:space="preserve"> (noting that KEMI monitored only the “</w:t>
      </w:r>
      <w:r w:rsidR="002E74EE">
        <w:rPr>
          <w:szCs w:val="22"/>
        </w:rPr>
        <w:t>National Weather Service (NWS, Seward)</w:t>
      </w:r>
      <w:r w:rsidR="002E74EE">
        <w:t>”).</w:t>
      </w:r>
      <w:r w:rsidR="00C302CC">
        <w:t xml:space="preserve">  “NWR” and “NWS” refer to the same service.  </w:t>
      </w:r>
      <w:r w:rsidR="00C302CC">
        <w:rPr>
          <w:i/>
        </w:rPr>
        <w:t>Id</w:t>
      </w:r>
      <w:r w:rsidR="00C302CC">
        <w:t xml:space="preserve">. </w:t>
      </w:r>
    </w:p>
  </w:footnote>
  <w:footnote w:id="32">
    <w:p w:rsidR="007B00DB" w:rsidRDefault="007B00DB" w:rsidP="0066735A">
      <w:pPr>
        <w:pStyle w:val="FootnoteText"/>
      </w:pPr>
      <w:r>
        <w:rPr>
          <w:rStyle w:val="FootnoteReference"/>
        </w:rPr>
        <w:footnoteRef/>
      </w:r>
      <w:r>
        <w:t xml:space="preserve"> </w:t>
      </w:r>
      <w:r w:rsidR="001408D2" w:rsidRPr="001408D2">
        <w:t>47 CFR §§ 73.1230.</w:t>
      </w:r>
      <w:r w:rsidR="001408D2">
        <w:t xml:space="preserve">  The </w:t>
      </w:r>
      <w:r w:rsidR="005957D9">
        <w:t>field</w:t>
      </w:r>
      <w:r w:rsidR="001408D2">
        <w:t xml:space="preserve"> inspection “found no documents of any instrument of authorization posted, or in a binder, and available for inspection for KIBH-FM operations.”  August 2013 NOV at para. 2.e.</w:t>
      </w:r>
      <w:r w:rsidR="00B61E9C">
        <w:t xml:space="preserve"> </w:t>
      </w:r>
    </w:p>
  </w:footnote>
  <w:footnote w:id="33">
    <w:p w:rsidR="004A725C" w:rsidRDefault="004A725C" w:rsidP="0066735A">
      <w:pPr>
        <w:pStyle w:val="FootnoteText"/>
      </w:pPr>
      <w:r>
        <w:rPr>
          <w:rStyle w:val="FootnoteReference"/>
        </w:rPr>
        <w:footnoteRef/>
      </w:r>
      <w:r>
        <w:t xml:space="preserve"> </w:t>
      </w:r>
      <w:r w:rsidRPr="003449E9">
        <w:t>47 CFR §§ 73.3527(a)</w:t>
      </w:r>
      <w:r w:rsidR="003449E9" w:rsidRPr="003449E9">
        <w:t>(2)</w:t>
      </w:r>
      <w:r w:rsidR="005957D9">
        <w:t xml:space="preserve">, </w:t>
      </w:r>
      <w:r w:rsidR="002E3521">
        <w:t>(b).</w:t>
      </w:r>
      <w:r w:rsidR="00C841B4">
        <w:t xml:space="preserve">  At the </w:t>
      </w:r>
      <w:r w:rsidR="002F24BB">
        <w:t>field</w:t>
      </w:r>
      <w:r w:rsidR="00C841B4">
        <w:t xml:space="preserve"> inspection, “the KEMI representative was unable to produce a complete public inspection file . . . .”  August 2013 NOV at para. 2.i</w:t>
      </w:r>
      <w:r w:rsidR="00C841B4" w:rsidRPr="0068050F">
        <w:t>.</w:t>
      </w:r>
      <w:r w:rsidR="002E3521" w:rsidRPr="0068050F">
        <w:t xml:space="preserve">  </w:t>
      </w:r>
      <w:r w:rsidR="002E3521" w:rsidRPr="00B2444D">
        <w:t xml:space="preserve">As of the date of this Notice of </w:t>
      </w:r>
      <w:r w:rsidR="004F48FD" w:rsidRPr="0068050F">
        <w:t xml:space="preserve">Apparent </w:t>
      </w:r>
      <w:r w:rsidR="002E3521" w:rsidRPr="00B2444D">
        <w:t xml:space="preserve">Liability for Forfeiture, KEMI has not uploaded any files for KIBH-FM to the Commission’s public inspection file website, </w:t>
      </w:r>
      <w:hyperlink r:id="rId2" w:history="1">
        <w:r w:rsidR="004E03C5" w:rsidRPr="00A116DB">
          <w:rPr>
            <w:rStyle w:val="Hyperlink"/>
          </w:rPr>
          <w:t>https://publicfiles.fcc.gov/fm-profile/kibh-fm</w:t>
        </w:r>
      </w:hyperlink>
      <w:r w:rsidR="002E3521" w:rsidRPr="00B2444D">
        <w:t>.</w:t>
      </w:r>
    </w:p>
  </w:footnote>
  <w:footnote w:id="34">
    <w:p w:rsidR="004A725C" w:rsidRPr="00E67FC6" w:rsidRDefault="004A725C" w:rsidP="0066735A">
      <w:pPr>
        <w:pStyle w:val="FootnoteText"/>
      </w:pPr>
      <w:r>
        <w:rPr>
          <w:rStyle w:val="FootnoteReference"/>
        </w:rPr>
        <w:footnoteRef/>
      </w:r>
      <w:r>
        <w:t xml:space="preserve"> </w:t>
      </w:r>
      <w:r w:rsidRPr="00A07824">
        <w:t>47 CFR § 73.1840(a)</w:t>
      </w:r>
      <w:r w:rsidR="00BA1679">
        <w:t>;</w:t>
      </w:r>
      <w:r w:rsidR="00BA1679" w:rsidRPr="00A07824" w:rsidDel="00BA1679">
        <w:t xml:space="preserve"> </w:t>
      </w:r>
      <w:r w:rsidR="00BA1679">
        <w:rPr>
          <w:i/>
        </w:rPr>
        <w:t>s</w:t>
      </w:r>
      <w:r w:rsidR="00A07824">
        <w:rPr>
          <w:i/>
        </w:rPr>
        <w:t>ee also id.</w:t>
      </w:r>
      <w:r w:rsidR="00A07824">
        <w:t xml:space="preserve"> §</w:t>
      </w:r>
      <w:r w:rsidR="00BA1679">
        <w:t>§</w:t>
      </w:r>
      <w:r w:rsidR="00A07824">
        <w:t xml:space="preserve"> 73.1800(a)</w:t>
      </w:r>
      <w:r w:rsidR="00BA1679">
        <w:t>,</w:t>
      </w:r>
      <w:r w:rsidR="00A07824">
        <w:t xml:space="preserve"> 73.1820 (station log requirements).  At the </w:t>
      </w:r>
      <w:r w:rsidR="00BA1679">
        <w:t>field</w:t>
      </w:r>
      <w:r w:rsidR="00A07824">
        <w:t xml:space="preserve"> inspection, the KEMI representative could not produce any records for the station’s operation (including records pertaining to equipment, the transmitter, calibrations, or EAS) for the prior two years.</w:t>
      </w:r>
    </w:p>
  </w:footnote>
  <w:footnote w:id="35">
    <w:p w:rsidR="004A725C" w:rsidRPr="000216B0" w:rsidRDefault="004A725C" w:rsidP="004A725C">
      <w:pPr>
        <w:pStyle w:val="FootnoteText"/>
      </w:pPr>
      <w:r w:rsidRPr="00E67FC6">
        <w:rPr>
          <w:rStyle w:val="FootnoteReference"/>
        </w:rPr>
        <w:footnoteRef/>
      </w:r>
      <w:r w:rsidRPr="005973E6">
        <w:t xml:space="preserve"> </w:t>
      </w:r>
      <w:r w:rsidR="006C3D95" w:rsidRPr="005973E6">
        <w:t>4</w:t>
      </w:r>
      <w:r w:rsidR="00184284" w:rsidRPr="005973E6">
        <w:t>7</w:t>
      </w:r>
      <w:r w:rsidR="00184284" w:rsidRPr="000216B0">
        <w:t xml:space="preserve"> CFR § 73.1125(a)</w:t>
      </w:r>
      <w:r w:rsidR="00184284" w:rsidRPr="00746D19">
        <w:t>;</w:t>
      </w:r>
      <w:r w:rsidR="00746D19" w:rsidRPr="00746D19">
        <w:rPr>
          <w:i/>
        </w:rPr>
        <w:t xml:space="preserve"> </w:t>
      </w:r>
      <w:r w:rsidR="00746D19" w:rsidRPr="00E7672C">
        <w:rPr>
          <w:i/>
        </w:rPr>
        <w:t>Amendment of Sections 73.1125 &amp; 73.1130 of the Commission's Rules, the Main Studio &amp; Program Origination Rules for Radio &amp; Television Broad. Stations</w:t>
      </w:r>
      <w:r w:rsidR="00746D19" w:rsidRPr="00E7672C">
        <w:t xml:space="preserve">, Memorandum Opinion and Order, 3 FCC Rcd 5024, 5026, </w:t>
      </w:r>
      <w:r w:rsidR="00746D19" w:rsidRPr="00E7672C">
        <w:rPr>
          <w:i/>
        </w:rPr>
        <w:t>erratum</w:t>
      </w:r>
      <w:r w:rsidR="00746D19" w:rsidRPr="00E7672C">
        <w:t>, 3 FCC Rcd 5717 (1988) (holding that rule requires stations to “maintain a meaningful management and staff presence”)</w:t>
      </w:r>
      <w:r w:rsidR="00746D19">
        <w:t>;</w:t>
      </w:r>
      <w:r w:rsidR="00746D19" w:rsidRPr="00EA5B31">
        <w:t xml:space="preserve"> </w:t>
      </w:r>
      <w:r w:rsidR="003E2B00" w:rsidRPr="00011843">
        <w:rPr>
          <w:i/>
        </w:rPr>
        <w:t>Application for Review of</w:t>
      </w:r>
      <w:r w:rsidR="003E2B00" w:rsidRPr="00011843">
        <w:t xml:space="preserve"> </w:t>
      </w:r>
      <w:r w:rsidRPr="00E67FC6">
        <w:rPr>
          <w:i/>
        </w:rPr>
        <w:t>Jones Eastern of the Outer Banks, Inc.</w:t>
      </w:r>
      <w:r w:rsidRPr="005973E6">
        <w:t>,</w:t>
      </w:r>
      <w:r w:rsidR="003E2B00" w:rsidRPr="005973E6">
        <w:t xml:space="preserve"> </w:t>
      </w:r>
      <w:r w:rsidR="003E2B00" w:rsidRPr="00011843">
        <w:rPr>
          <w:i/>
        </w:rPr>
        <w:t>Licensee, Radio Station WRSF(FM) Columbia, North Carolina</w:t>
      </w:r>
      <w:r w:rsidR="003E2B00" w:rsidRPr="00011843">
        <w:t>,</w:t>
      </w:r>
      <w:r w:rsidRPr="00E67FC6">
        <w:t xml:space="preserve"> </w:t>
      </w:r>
      <w:r w:rsidR="003E2B00" w:rsidRPr="00E67FC6">
        <w:t xml:space="preserve">Memorandum Opinion and Order, </w:t>
      </w:r>
      <w:r w:rsidRPr="005973E6">
        <w:t xml:space="preserve">6 FCC Rcd 3615, 3616, para. 9 (1991), </w:t>
      </w:r>
      <w:r w:rsidRPr="005973E6">
        <w:rPr>
          <w:i/>
        </w:rPr>
        <w:t>clarified</w:t>
      </w:r>
      <w:r w:rsidRPr="005973E6">
        <w:t>, 7 FCC Rcd 6800 (1992) (</w:t>
      </w:r>
      <w:r w:rsidRPr="000A3AEF">
        <w:t>interpreting the main studio staffing requirement under</w:t>
      </w:r>
      <w:r w:rsidRPr="005973E6">
        <w:t xml:space="preserve"> 47 CFR § 73.1125(a)</w:t>
      </w:r>
      <w:r w:rsidR="000A3AEF">
        <w:t xml:space="preserve"> to require full-time managerial and full-time staff personnel</w:t>
      </w:r>
      <w:r w:rsidRPr="005973E6">
        <w:t>).</w:t>
      </w:r>
      <w:r w:rsidR="00746D19">
        <w:t xml:space="preserve">  </w:t>
      </w:r>
      <w:r w:rsidR="00746D19" w:rsidRPr="00A52FE0">
        <w:t>August 2013 NOV</w:t>
      </w:r>
      <w:r w:rsidR="00746D19" w:rsidRPr="00A52FE0">
        <w:rPr>
          <w:i/>
        </w:rPr>
        <w:t xml:space="preserve"> </w:t>
      </w:r>
      <w:r w:rsidR="00746D19" w:rsidRPr="00A52FE0">
        <w:t>at para. 2.d.</w:t>
      </w:r>
      <w:r w:rsidR="00746D19" w:rsidRPr="00973ACE">
        <w:t xml:space="preserve"> </w:t>
      </w:r>
      <w:r w:rsidR="00746D19" w:rsidRPr="00973ACE">
        <w:rPr>
          <w:i/>
        </w:rPr>
        <w:t xml:space="preserve"> </w:t>
      </w:r>
    </w:p>
  </w:footnote>
  <w:footnote w:id="36">
    <w:p w:rsidR="004A725C" w:rsidRDefault="004A725C" w:rsidP="004A725C">
      <w:pPr>
        <w:pStyle w:val="FootnoteText"/>
      </w:pPr>
      <w:r>
        <w:rPr>
          <w:rStyle w:val="FootnoteReference"/>
        </w:rPr>
        <w:footnoteRef/>
      </w:r>
      <w:r>
        <w:t xml:space="preserve"> </w:t>
      </w:r>
      <w:r w:rsidR="00FB2DAF">
        <w:t xml:space="preserve">August 2013 NOV at para. 2.h; </w:t>
      </w:r>
      <w:r>
        <w:t xml:space="preserve">47 CFR §§ </w:t>
      </w:r>
      <w:r w:rsidRPr="00441CD1">
        <w:t>73.</w:t>
      </w:r>
      <w:r>
        <w:t>1870</w:t>
      </w:r>
      <w:r w:rsidRPr="00441CD1">
        <w:t>(a)</w:t>
      </w:r>
      <w:r>
        <w:t>, (b)(3)</w:t>
      </w:r>
      <w:r w:rsidR="00FB2DAF">
        <w:t>.</w:t>
      </w:r>
      <w:r>
        <w:t xml:space="preserve">  </w:t>
      </w:r>
    </w:p>
  </w:footnote>
  <w:footnote w:id="37">
    <w:p w:rsidR="004A725C" w:rsidRDefault="004A725C" w:rsidP="004A725C">
      <w:pPr>
        <w:pStyle w:val="FootnoteText"/>
      </w:pPr>
      <w:r>
        <w:rPr>
          <w:rStyle w:val="FootnoteReference"/>
        </w:rPr>
        <w:footnoteRef/>
      </w:r>
      <w:r>
        <w:t xml:space="preserve"> 47 CFR § </w:t>
      </w:r>
      <w:r w:rsidRPr="00441CD1">
        <w:t>73.</w:t>
      </w:r>
      <w:r>
        <w:t>1400</w:t>
      </w:r>
      <w:r w:rsidR="00BB38C6">
        <w:t>.</w:t>
      </w:r>
      <w:r>
        <w:t xml:space="preserve">   </w:t>
      </w:r>
    </w:p>
  </w:footnote>
  <w:footnote w:id="38">
    <w:p w:rsidR="00510D11" w:rsidRDefault="00510D11" w:rsidP="00510D11">
      <w:pPr>
        <w:pStyle w:val="FootnoteText"/>
      </w:pPr>
      <w:r>
        <w:rPr>
          <w:rStyle w:val="FootnoteReference"/>
        </w:rPr>
        <w:footnoteRef/>
      </w:r>
      <w:r>
        <w:t xml:space="preserve"> 47 CFR § 73.1015.</w:t>
      </w:r>
    </w:p>
  </w:footnote>
  <w:footnote w:id="39">
    <w:p w:rsidR="00510D11" w:rsidRDefault="00510D11" w:rsidP="00510D11">
      <w:pPr>
        <w:pStyle w:val="FootnoteText"/>
      </w:pPr>
      <w:r>
        <w:rPr>
          <w:rStyle w:val="FootnoteReference"/>
        </w:rPr>
        <w:footnoteRef/>
      </w:r>
      <w:r>
        <w:t xml:space="preserve"> 47 CFR § 1</w:t>
      </w:r>
      <w:r w:rsidR="00363DAE">
        <w:t>.</w:t>
      </w:r>
      <w:r>
        <w:t>8</w:t>
      </w:r>
      <w:r w:rsidR="00363DAE">
        <w:t>9</w:t>
      </w:r>
      <w:r>
        <w:t>(b).</w:t>
      </w:r>
    </w:p>
  </w:footnote>
  <w:footnote w:id="40">
    <w:p w:rsidR="00857488" w:rsidRDefault="00857488" w:rsidP="00857488">
      <w:pPr>
        <w:pStyle w:val="FootnoteText"/>
      </w:pPr>
      <w:r>
        <w:rPr>
          <w:rStyle w:val="FootnoteReference"/>
        </w:rPr>
        <w:footnoteRef/>
      </w:r>
      <w:r>
        <w:t xml:space="preserve"> Application No. BRED-20130930BXB, Section II, Question 4 and Exh. 6, Attachment 6; para. 3, </w:t>
      </w:r>
      <w:r>
        <w:rPr>
          <w:i/>
        </w:rPr>
        <w:t>supra</w:t>
      </w:r>
      <w:r>
        <w:t xml:space="preserve">. </w:t>
      </w:r>
    </w:p>
  </w:footnote>
  <w:footnote w:id="41">
    <w:p w:rsidR="005E66D3" w:rsidRDefault="005E66D3">
      <w:pPr>
        <w:pStyle w:val="FootnoteText"/>
      </w:pPr>
      <w:r>
        <w:rPr>
          <w:rStyle w:val="FootnoteReference"/>
        </w:rPr>
        <w:footnoteRef/>
      </w:r>
      <w:r>
        <w:t xml:space="preserve"> The September 2013 Warning directed KEMI to respond to the August 2013 NOV by September 23, 2013.    September 2013 Warning at 1.  </w:t>
      </w:r>
    </w:p>
  </w:footnote>
  <w:footnote w:id="42">
    <w:p w:rsidR="00FA3399" w:rsidRDefault="00FA3399" w:rsidP="00FA3399">
      <w:pPr>
        <w:pStyle w:val="FootnoteText"/>
      </w:pPr>
      <w:r>
        <w:rPr>
          <w:rStyle w:val="FootnoteReference"/>
        </w:rPr>
        <w:footnoteRef/>
      </w:r>
      <w:r>
        <w:t xml:space="preserve"> 47 U.S.C. § 503(b).  </w:t>
      </w:r>
    </w:p>
  </w:footnote>
  <w:footnote w:id="43">
    <w:p w:rsidR="00E92924" w:rsidRPr="00EA5B31" w:rsidRDefault="00E92924" w:rsidP="0066735A">
      <w:pPr>
        <w:pStyle w:val="FootnoteText"/>
        <w:rPr>
          <w:color w:val="000000"/>
        </w:rPr>
      </w:pPr>
      <w:r w:rsidRPr="00EA5B31">
        <w:rPr>
          <w:rStyle w:val="FootnoteReference"/>
          <w:color w:val="000000"/>
        </w:rPr>
        <w:footnoteRef/>
      </w:r>
      <w:r w:rsidRPr="00EA5B31">
        <w:rPr>
          <w:color w:val="000000"/>
        </w:rPr>
        <w:t xml:space="preserve"> </w:t>
      </w:r>
      <w:r w:rsidRPr="00EA5B31">
        <w:rPr>
          <w:i/>
          <w:color w:val="000000"/>
        </w:rPr>
        <w:t>See</w:t>
      </w:r>
      <w:r w:rsidRPr="00EA5B31">
        <w:rPr>
          <w:color w:val="000000"/>
        </w:rPr>
        <w:t xml:space="preserve"> 47 U.S.C. § 503(b)(2)(A); 47 CFR §§ 1.80(b)(1), (9).  These amounts reflect inflation adjustments to the forfeitures specified in Section 503(b)(2)(A) ($25,000 per violation or per day of a continuing violation and $250,000 per any single act or failure to act).  The Federal Civil Penalties Inflation Adjustment Act of 1990, Pub. L. No. 101-410, 104 Stat. 890, as amended by the Debt Collection Improvement Act of 1996, Pub. L. No. 104-134, Sec. 31001, 110 Stat. 1321 (DCIA),</w:t>
      </w:r>
      <w:r w:rsidRPr="00EA5B31">
        <w:t xml:space="preserve"> as further amended by the Federal Reports Elimination Act of 1998, Pub. L. No. 105-362, Sec. 1301, 112 Stat. 3280, </w:t>
      </w:r>
      <w:r w:rsidRPr="00EA5B31">
        <w:rPr>
          <w:color w:val="000000"/>
        </w:rPr>
        <w:t>and as further amended by the Federal Civil Penalties Inflation Adjustment Act Improvements Act of 2015, Sec. 701, Pub. L. No. 114-74, 129 Stat. 599</w:t>
      </w:r>
      <w:r w:rsidR="00F60CE5" w:rsidRPr="00EA5B31">
        <w:rPr>
          <w:color w:val="000000"/>
        </w:rPr>
        <w:t xml:space="preserve"> (2015 Inflation Adjustment Act) (collectively, Federal Civil Penalties Inflation Adjustment Act, as amended), </w:t>
      </w:r>
      <w:r w:rsidRPr="00EA5B31">
        <w:rPr>
          <w:color w:val="000000"/>
        </w:rPr>
        <w:t xml:space="preserve">codified as amended </w:t>
      </w:r>
      <w:r w:rsidR="00F60CE5" w:rsidRPr="00EA5B31">
        <w:rPr>
          <w:color w:val="000000"/>
        </w:rPr>
        <w:t xml:space="preserve">at </w:t>
      </w:r>
      <w:r w:rsidRPr="00EA5B31">
        <w:rPr>
          <w:color w:val="000000"/>
        </w:rPr>
        <w:t>28 U.S.C. § 2461 note), require</w:t>
      </w:r>
      <w:r w:rsidR="00F60CE5" w:rsidRPr="00EA5B31">
        <w:rPr>
          <w:color w:val="000000"/>
        </w:rPr>
        <w:t>d</w:t>
      </w:r>
      <w:r w:rsidRPr="00EA5B31">
        <w:rPr>
          <w:color w:val="000000"/>
        </w:rPr>
        <w:t xml:space="preserve"> the Commission to adjust its penalties for inflation and publish interim final rules with the initial penalty adjustment amounts by July 1, 2016</w:t>
      </w:r>
      <w:r w:rsidR="00F60CE5" w:rsidRPr="00EA5B31">
        <w:rPr>
          <w:color w:val="000000"/>
        </w:rPr>
        <w:t>,</w:t>
      </w:r>
      <w:r w:rsidRPr="00EA5B31">
        <w:rPr>
          <w:color w:val="000000"/>
        </w:rPr>
        <w:t xml:space="preserve"> and new penalty levels must take effect no later than August 1, 2016.  </w:t>
      </w:r>
      <w:r w:rsidRPr="00EA5B31">
        <w:rPr>
          <w:i/>
          <w:color w:val="000000"/>
        </w:rPr>
        <w:t>See</w:t>
      </w:r>
      <w:r w:rsidRPr="00EA5B31">
        <w:rPr>
          <w:color w:val="000000"/>
        </w:rPr>
        <w:t xml:space="preserve"> 28 U.S.C. § 2461 note.  The Commission published those interim final rules on June 30, 2016.  </w:t>
      </w:r>
      <w:r w:rsidRPr="00EA5B31">
        <w:rPr>
          <w:i/>
          <w:color w:val="000000"/>
        </w:rPr>
        <w:t>See</w:t>
      </w:r>
      <w:r w:rsidRPr="00EA5B31">
        <w:rPr>
          <w:color w:val="000000"/>
        </w:rPr>
        <w:t xml:space="preserve"> </w:t>
      </w:r>
      <w:r w:rsidRPr="00EA5B31">
        <w:rPr>
          <w:i/>
          <w:color w:val="000000"/>
        </w:rPr>
        <w:t>Amendment of Section 1.80(b) of the Commission’s Rules, Adjustment of Civil Monetary Penalties to Reflect Inflation</w:t>
      </w:r>
      <w:r w:rsidRPr="00EA5B31">
        <w:rPr>
          <w:color w:val="000000"/>
        </w:rPr>
        <w:t xml:space="preserve">, Order, 31 FCC Rcd 6793 (EB 2016); </w:t>
      </w:r>
      <w:r w:rsidRPr="00EA5B31">
        <w:rPr>
          <w:i/>
          <w:color w:val="000000"/>
        </w:rPr>
        <w:t>see also</w:t>
      </w:r>
      <w:r w:rsidRPr="00EA5B31">
        <w:rPr>
          <w:color w:val="000000"/>
        </w:rPr>
        <w:t xml:space="preserve"> </w:t>
      </w:r>
      <w:r w:rsidRPr="00EA5B31">
        <w:rPr>
          <w:i/>
          <w:color w:val="000000"/>
        </w:rPr>
        <w:t>Adjustment of Civil Monetary Penalties to Reflect Inflation</w:t>
      </w:r>
      <w:r w:rsidRPr="00EA5B31">
        <w:rPr>
          <w:color w:val="000000"/>
        </w:rPr>
        <w:t xml:space="preserve">, 81 Fed. Reg. 42554 (June 30, 2016) (setting August 1, 2016, as the effective date for the increases).  </w:t>
      </w:r>
      <w:r w:rsidR="00F60CE5" w:rsidRPr="00EA5B31">
        <w:rPr>
          <w:color w:val="000000"/>
        </w:rPr>
        <w:t xml:space="preserve">The Federal Civil Penalties Inflation Adjustment Act of 1990, as amended, also requires agencies, starting in 2017, to adjust annually the civil monetary penalties covered thereunder, and to publish each such annual adjustment by January 15 of each year.  28 U.S.C. § 2461 note, citing the Federal Civil Penalties Inflation Adjustment Act of 1990 as amended, § 4(a).  </w:t>
      </w:r>
      <w:r w:rsidR="00F60CE5" w:rsidRPr="00EA5B31">
        <w:rPr>
          <w:i/>
          <w:color w:val="000000"/>
        </w:rPr>
        <w:t>See also</w:t>
      </w:r>
      <w:r w:rsidR="00F60CE5" w:rsidRPr="00EA5B31">
        <w:rPr>
          <w:color w:val="000000"/>
        </w:rPr>
        <w:t xml:space="preserve"> Office of Mgmt. &amp; Budget, Exec. Office of the President, Memorandum for the Heads of Executive Departments and Agencies re Implementation of the 2017 annual adjustment pursuant to the Federal Civil Penalties Inflation Adjustment Act Improvements Act of 2015, M-17-11, Dec. 16, 2016 at 1, </w:t>
      </w:r>
      <w:hyperlink r:id="rId3" w:history="1">
        <w:r w:rsidR="004E03C5" w:rsidRPr="00A116DB">
          <w:rPr>
            <w:rStyle w:val="Hyperlink"/>
          </w:rPr>
          <w:t>https://www.whitehouse.gov/sites/default/files/omb/memoranda/2017/m-17-11_0.pdf</w:t>
        </w:r>
      </w:hyperlink>
      <w:r w:rsidR="00F60CE5" w:rsidRPr="00EA5B31">
        <w:rPr>
          <w:color w:val="000000"/>
        </w:rPr>
        <w:t xml:space="preserve">.  The Bureau released the order making the 2017 annual adjustment on December 30, 2016.  </w:t>
      </w:r>
      <w:r w:rsidR="00F60CE5" w:rsidRPr="00EA5B31">
        <w:rPr>
          <w:i/>
          <w:color w:val="000000"/>
        </w:rPr>
        <w:t>See</w:t>
      </w:r>
      <w:r w:rsidR="00F60CE5" w:rsidRPr="00EA5B31">
        <w:rPr>
          <w:color w:val="000000"/>
        </w:rPr>
        <w:t xml:space="preserve"> </w:t>
      </w:r>
      <w:r w:rsidR="00F60CE5" w:rsidRPr="00EA5B31">
        <w:rPr>
          <w:i/>
          <w:color w:val="000000"/>
        </w:rPr>
        <w:t>Amendment of Section 1.80(b) of the Commission’s Rules, Adjustment of Civil Monetary Penalties to Reflect Inflation</w:t>
      </w:r>
      <w:r w:rsidR="00F60CE5" w:rsidRPr="00EA5B31">
        <w:rPr>
          <w:color w:val="000000"/>
        </w:rPr>
        <w:t xml:space="preserve">, Order, 31 FCC Rcd 13485 (EB 2016); </w:t>
      </w:r>
      <w:r w:rsidR="00F60CE5" w:rsidRPr="00EA5B31">
        <w:rPr>
          <w:i/>
          <w:color w:val="000000"/>
        </w:rPr>
        <w:t>see also</w:t>
      </w:r>
      <w:r w:rsidR="00F60CE5" w:rsidRPr="00EA5B31">
        <w:rPr>
          <w:color w:val="000000"/>
        </w:rPr>
        <w:t xml:space="preserve"> </w:t>
      </w:r>
      <w:r w:rsidR="00F60CE5" w:rsidRPr="00EA5B31">
        <w:rPr>
          <w:i/>
          <w:color w:val="000000"/>
        </w:rPr>
        <w:t>Adjustment of Civil Monetary Penalties to Reflect Inflation</w:t>
      </w:r>
      <w:r w:rsidR="00F60CE5" w:rsidRPr="00EA5B31">
        <w:rPr>
          <w:color w:val="000000"/>
        </w:rPr>
        <w:t xml:space="preserve">, 82 Fed. Reg. 8170 (Jan. 24, 2017) (setting January 24, 2017, as the effective date for the increases).  </w:t>
      </w:r>
      <w:r w:rsidR="00F60CE5" w:rsidRPr="00EA5B31">
        <w:rPr>
          <w:shd w:val="clear" w:color="auto" w:fill="FFFFFF"/>
        </w:rPr>
        <w:t>The 2015 Inflation Adjustment Act provides that the new penalty levels shall apply to penalties assessed after the effective date of the increase, “including [penalties] whose associated violation predated such increase.”</w:t>
      </w:r>
      <w:r w:rsidR="00F60CE5" w:rsidRPr="00EA5B31">
        <w:rPr>
          <w:color w:val="000000"/>
        </w:rPr>
        <w:t xml:space="preserve">  </w:t>
      </w:r>
      <w:r w:rsidR="00F60CE5" w:rsidRPr="00EA5B31">
        <w:rPr>
          <w:i/>
          <w:color w:val="000000"/>
        </w:rPr>
        <w:t>See</w:t>
      </w:r>
      <w:r w:rsidR="00F60CE5" w:rsidRPr="00EA5B31">
        <w:rPr>
          <w:color w:val="000000"/>
        </w:rPr>
        <w:t xml:space="preserve"> 28 U.S.C. § 2461 note, citing the Federal Civil Penalties Inflation Adjustment Act, as amended, § 6.</w:t>
      </w:r>
      <w:r w:rsidRPr="00EA5B31">
        <w:rPr>
          <w:color w:val="000000"/>
        </w:rPr>
        <w:t xml:space="preserve">  </w:t>
      </w:r>
      <w:r w:rsidR="00F60CE5" w:rsidRPr="00EA5B31">
        <w:rPr>
          <w:color w:val="000000"/>
        </w:rPr>
        <w:t xml:space="preserve"> </w:t>
      </w:r>
    </w:p>
  </w:footnote>
  <w:footnote w:id="44">
    <w:p w:rsidR="00E92924" w:rsidRPr="00EA5B31" w:rsidRDefault="00E92924" w:rsidP="00E92924">
      <w:pPr>
        <w:pStyle w:val="FootnoteText"/>
        <w:rPr>
          <w:color w:val="000000"/>
          <w:lang w:val="es-ES"/>
        </w:rPr>
      </w:pPr>
      <w:r w:rsidRPr="00EA5B31">
        <w:rPr>
          <w:rStyle w:val="FootnoteReference"/>
          <w:color w:val="000000"/>
        </w:rPr>
        <w:footnoteRef/>
      </w:r>
      <w:r w:rsidRPr="00EA5B31">
        <w:rPr>
          <w:color w:val="000000"/>
          <w:lang w:val="es-ES"/>
        </w:rPr>
        <w:t xml:space="preserve"> 47 U.S.C. § 503(b)(2)(E</w:t>
      </w:r>
      <w:r w:rsidRPr="00503DA3">
        <w:rPr>
          <w:color w:val="000000"/>
          <w:lang w:val="es-ES"/>
        </w:rPr>
        <w:t>)</w:t>
      </w:r>
      <w:r w:rsidR="00E46A92" w:rsidRPr="00503DA3">
        <w:rPr>
          <w:color w:val="000000"/>
          <w:lang w:val="es-ES"/>
        </w:rPr>
        <w:t xml:space="preserve">; </w:t>
      </w:r>
      <w:r w:rsidR="00E46A92" w:rsidRPr="00503DA3">
        <w:rPr>
          <w:color w:val="000000"/>
        </w:rPr>
        <w:t>47 CFR § 1.80(b)(8</w:t>
      </w:r>
      <w:r w:rsidR="00417F11" w:rsidRPr="00EA5B31">
        <w:rPr>
          <w:color w:val="000000"/>
          <w:lang w:val="es-ES"/>
        </w:rPr>
        <w:t>)</w:t>
      </w:r>
      <w:r w:rsidRPr="00EA5B31">
        <w:rPr>
          <w:color w:val="000000"/>
          <w:lang w:val="es-ES"/>
        </w:rPr>
        <w:t>.</w:t>
      </w:r>
    </w:p>
  </w:footnote>
  <w:footnote w:id="45">
    <w:p w:rsidR="00E92924" w:rsidRPr="00EA5B31" w:rsidRDefault="00E92924" w:rsidP="00E92924">
      <w:pPr>
        <w:pStyle w:val="FootnoteText"/>
        <w:rPr>
          <w:color w:val="000000"/>
        </w:rPr>
      </w:pPr>
      <w:r w:rsidRPr="00EA5B31">
        <w:rPr>
          <w:rStyle w:val="FootnoteReference"/>
          <w:color w:val="000000"/>
        </w:rPr>
        <w:footnoteRef/>
      </w:r>
      <w:r w:rsidRPr="00EA5B31">
        <w:rPr>
          <w:color w:val="000000"/>
        </w:rPr>
        <w:t xml:space="preserve"> 47 CFR § 1.80(b)(8), Note</w:t>
      </w:r>
      <w:r w:rsidRPr="00503DA3">
        <w:rPr>
          <w:color w:val="000000"/>
        </w:rPr>
        <w:t>.</w:t>
      </w:r>
      <w:r w:rsidRPr="00EA5B31">
        <w:rPr>
          <w:color w:val="000000"/>
        </w:rPr>
        <w:t xml:space="preserve"> </w:t>
      </w:r>
    </w:p>
  </w:footnote>
  <w:footnote w:id="46">
    <w:p w:rsidR="00C76E2C" w:rsidRPr="00EA5B31" w:rsidRDefault="00C76E2C">
      <w:pPr>
        <w:pStyle w:val="FootnoteText"/>
      </w:pPr>
      <w:r w:rsidRPr="00EA5B31">
        <w:rPr>
          <w:rStyle w:val="FootnoteReference"/>
        </w:rPr>
        <w:footnoteRef/>
      </w:r>
      <w:r w:rsidRPr="00EA5B31">
        <w:t xml:space="preserve"> </w:t>
      </w:r>
      <w:r w:rsidRPr="00EA5B31">
        <w:rPr>
          <w:i/>
        </w:rPr>
        <w:t>Id</w:t>
      </w:r>
      <w:r w:rsidRPr="00EA5B31">
        <w:t>.</w:t>
      </w:r>
      <w:r>
        <w:t xml:space="preserve"> </w:t>
      </w:r>
    </w:p>
  </w:footnote>
  <w:footnote w:id="47">
    <w:p w:rsidR="00E92924" w:rsidRDefault="00E92924" w:rsidP="00E92924">
      <w:pPr>
        <w:pStyle w:val="FootnoteText"/>
      </w:pPr>
      <w:r w:rsidRPr="00AB369D">
        <w:rPr>
          <w:rStyle w:val="FootnoteReference"/>
        </w:rPr>
        <w:footnoteRef/>
      </w:r>
      <w:r w:rsidRPr="00AB369D">
        <w:t xml:space="preserve"> 47 CFR § 11.35(a). </w:t>
      </w:r>
      <w:r w:rsidR="00637EF8">
        <w:t xml:space="preserve"> </w:t>
      </w:r>
      <w:r w:rsidRPr="00AB369D">
        <w:t>The base forfeiture amount for this apparent violation</w:t>
      </w:r>
      <w:r w:rsidRPr="00EA5B31">
        <w:t xml:space="preserve">, </w:t>
      </w:r>
      <w:r w:rsidR="00CB7B19" w:rsidRPr="00EA5B31">
        <w:t xml:space="preserve">EAS equipment not </w:t>
      </w:r>
      <w:r w:rsidRPr="00EA5B31">
        <w:t>install</w:t>
      </w:r>
      <w:r w:rsidR="00CB7B19" w:rsidRPr="00EA5B31">
        <w:t>ed</w:t>
      </w:r>
      <w:r w:rsidRPr="00EA5B31">
        <w:t xml:space="preserve"> </w:t>
      </w:r>
      <w:r w:rsidR="00E46A92" w:rsidRPr="00B2444D">
        <w:t xml:space="preserve">or </w:t>
      </w:r>
      <w:r w:rsidR="00CB7B19" w:rsidRPr="00EA5B31">
        <w:t>operational</w:t>
      </w:r>
      <w:r w:rsidR="00CB7B19" w:rsidRPr="00AB369D">
        <w:t xml:space="preserve">, </w:t>
      </w:r>
      <w:r w:rsidRPr="00AB369D">
        <w:t xml:space="preserve">is </w:t>
      </w:r>
      <w:r w:rsidRPr="009F31A9">
        <w:t>$8,000.</w:t>
      </w:r>
      <w:r w:rsidR="00D86B82" w:rsidRPr="009F31A9">
        <w:t xml:space="preserve">  47 CFR </w:t>
      </w:r>
      <w:r w:rsidR="00D86B82" w:rsidRPr="009F31A9">
        <w:rPr>
          <w:color w:val="000000"/>
        </w:rPr>
        <w:t>§ 1.80(b</w:t>
      </w:r>
      <w:r w:rsidR="00417F11" w:rsidRPr="009F31A9">
        <w:rPr>
          <w:color w:val="000000"/>
        </w:rPr>
        <w:t>)</w:t>
      </w:r>
      <w:r w:rsidR="003F6FCE" w:rsidRPr="009F31A9">
        <w:rPr>
          <w:color w:val="000000"/>
        </w:rPr>
        <w:t>(8), Note</w:t>
      </w:r>
      <w:r w:rsidR="00D86B82" w:rsidRPr="009F31A9">
        <w:rPr>
          <w:color w:val="000000"/>
        </w:rPr>
        <w:t>.</w:t>
      </w:r>
    </w:p>
  </w:footnote>
  <w:footnote w:id="48">
    <w:p w:rsidR="00E92924" w:rsidRDefault="00E92924" w:rsidP="00E92924">
      <w:pPr>
        <w:pStyle w:val="FootnoteText"/>
      </w:pPr>
      <w:r>
        <w:rPr>
          <w:rStyle w:val="FootnoteReference"/>
        </w:rPr>
        <w:footnoteRef/>
      </w:r>
      <w:r>
        <w:t xml:space="preserve"> The base forfeiture amount for this apparent violation, failing to conduct required monitoring, is $2,000.  </w:t>
      </w:r>
      <w:r w:rsidR="00D86B82">
        <w:t xml:space="preserve">47 CFR </w:t>
      </w:r>
      <w:r w:rsidR="00D86B82" w:rsidRPr="00503DA3">
        <w:rPr>
          <w:color w:val="000000"/>
        </w:rPr>
        <w:t>§ 1.80(b)</w:t>
      </w:r>
      <w:r w:rsidR="003F6FCE" w:rsidRPr="00503DA3">
        <w:rPr>
          <w:color w:val="000000"/>
        </w:rPr>
        <w:t>(8), Note</w:t>
      </w:r>
      <w:r w:rsidR="00D86B82" w:rsidRPr="00503DA3">
        <w:rPr>
          <w:color w:val="000000"/>
        </w:rPr>
        <w:t>.</w:t>
      </w:r>
      <w:r>
        <w:t xml:space="preserve">  </w:t>
      </w:r>
    </w:p>
  </w:footnote>
  <w:footnote w:id="49">
    <w:p w:rsidR="00E92924" w:rsidRDefault="00E92924" w:rsidP="00E92924">
      <w:pPr>
        <w:pStyle w:val="FootnoteText"/>
      </w:pPr>
      <w:r>
        <w:rPr>
          <w:rStyle w:val="FootnoteReference"/>
        </w:rPr>
        <w:footnoteRef/>
      </w:r>
      <w:r>
        <w:t xml:space="preserve"> 47 CFR § 11.15.  The base forfeiture amount for this apparent violation, fail</w:t>
      </w:r>
      <w:r w:rsidR="00D86B82">
        <w:t>ure</w:t>
      </w:r>
      <w:r>
        <w:t xml:space="preserve"> to </w:t>
      </w:r>
      <w:r w:rsidR="005C3029">
        <w:t>maintain</w:t>
      </w:r>
      <w:r>
        <w:t xml:space="preserve"> required records, is $1,000.  </w:t>
      </w:r>
      <w:r w:rsidR="00D86B82">
        <w:t xml:space="preserve">47 CFR </w:t>
      </w:r>
      <w:r w:rsidR="00D86B82" w:rsidRPr="00503DA3">
        <w:rPr>
          <w:color w:val="000000"/>
        </w:rPr>
        <w:t>§ 1.80(b)</w:t>
      </w:r>
      <w:r w:rsidR="003F6FCE" w:rsidRPr="00503DA3">
        <w:rPr>
          <w:color w:val="000000"/>
        </w:rPr>
        <w:t>(8), Note</w:t>
      </w:r>
      <w:r w:rsidR="00D86B82" w:rsidRPr="00503DA3">
        <w:rPr>
          <w:color w:val="000000"/>
        </w:rPr>
        <w:t>.</w:t>
      </w:r>
      <w:r>
        <w:t xml:space="preserve">  </w:t>
      </w:r>
    </w:p>
  </w:footnote>
  <w:footnote w:id="50">
    <w:p w:rsidR="00991635" w:rsidRDefault="00991635" w:rsidP="00991635">
      <w:pPr>
        <w:pStyle w:val="FootnoteText"/>
      </w:pPr>
      <w:r>
        <w:rPr>
          <w:rStyle w:val="FootnoteReference"/>
        </w:rPr>
        <w:footnoteRef/>
      </w:r>
      <w:r>
        <w:t xml:space="preserve"> 47 CFR § 73.3527.  The base forfeiture amount for this apparent violation</w:t>
      </w:r>
      <w:r w:rsidR="00536D25">
        <w:t>, violation of public file rules,</w:t>
      </w:r>
      <w:r>
        <w:t xml:space="preserve"> is $10,000.  </w:t>
      </w:r>
      <w:r w:rsidR="00D86B82">
        <w:t xml:space="preserve">47 CFR </w:t>
      </w:r>
      <w:r w:rsidR="00D86B82" w:rsidRPr="00503DA3">
        <w:rPr>
          <w:color w:val="000000"/>
        </w:rPr>
        <w:t>§ 1.80(b)</w:t>
      </w:r>
      <w:r w:rsidR="003F6FCE" w:rsidRPr="00503DA3">
        <w:rPr>
          <w:color w:val="000000"/>
        </w:rPr>
        <w:t>(8), Note</w:t>
      </w:r>
      <w:r w:rsidR="00D86B82" w:rsidRPr="00503DA3">
        <w:rPr>
          <w:color w:val="000000"/>
        </w:rPr>
        <w:t>.</w:t>
      </w:r>
      <w:r>
        <w:t xml:space="preserve">  </w:t>
      </w:r>
    </w:p>
  </w:footnote>
  <w:footnote w:id="51">
    <w:p w:rsidR="00991635" w:rsidRDefault="00991635" w:rsidP="00991635">
      <w:pPr>
        <w:pStyle w:val="FootnoteText"/>
      </w:pPr>
      <w:r>
        <w:rPr>
          <w:rStyle w:val="FootnoteReference"/>
        </w:rPr>
        <w:footnoteRef/>
      </w:r>
      <w:r>
        <w:t xml:space="preserve"> 47 CFR § 73.1125(a</w:t>
      </w:r>
      <w:r w:rsidR="00417F11">
        <w:t>)</w:t>
      </w:r>
      <w:r w:rsidR="00536D25">
        <w:t xml:space="preserve">; </w:t>
      </w:r>
      <w:r w:rsidR="00536D25" w:rsidRPr="00E7672C">
        <w:rPr>
          <w:i/>
        </w:rPr>
        <w:t>Amendment of Sections 73.1125 &amp; 73.1130 of the Commission's Rules, the Main Studio &amp; Program Origination Rules for Radio &amp; Television Broad. Stations</w:t>
      </w:r>
      <w:r w:rsidR="00536D25" w:rsidRPr="00E7672C">
        <w:t xml:space="preserve">, Memorandum Opinion and Order, 3 FCC Rcd 5024, 5026, </w:t>
      </w:r>
      <w:r w:rsidR="00536D25" w:rsidRPr="00E7672C">
        <w:rPr>
          <w:i/>
        </w:rPr>
        <w:t>erratum</w:t>
      </w:r>
      <w:r w:rsidR="00536D25" w:rsidRPr="00E7672C">
        <w:t>, 3 FCC Rcd 5717 (1988) (holding that rule requires stations to “maintain a meaningful management and staff presence”)</w:t>
      </w:r>
      <w:r>
        <w:t>.  The base forfeiture amount for violation of the main studio rule is $7,000</w:t>
      </w:r>
      <w:r w:rsidRPr="00035EF4">
        <w:t>.</w:t>
      </w:r>
      <w:r>
        <w:t xml:space="preserve">  </w:t>
      </w:r>
      <w:r w:rsidR="00D86B82">
        <w:t xml:space="preserve">47 CFR </w:t>
      </w:r>
      <w:r w:rsidR="00D86B82" w:rsidRPr="00503DA3">
        <w:rPr>
          <w:color w:val="000000"/>
        </w:rPr>
        <w:t>§ 1.80(b)</w:t>
      </w:r>
      <w:r w:rsidR="003F6FCE" w:rsidRPr="00503DA3">
        <w:rPr>
          <w:color w:val="000000"/>
        </w:rPr>
        <w:t>(8), Note</w:t>
      </w:r>
      <w:r w:rsidR="00D86B82" w:rsidRPr="00503DA3">
        <w:rPr>
          <w:color w:val="000000"/>
        </w:rPr>
        <w:t>.</w:t>
      </w:r>
    </w:p>
  </w:footnote>
  <w:footnote w:id="52">
    <w:p w:rsidR="00991635" w:rsidRDefault="00991635" w:rsidP="00991635">
      <w:pPr>
        <w:pStyle w:val="FootnoteText"/>
      </w:pPr>
      <w:r>
        <w:rPr>
          <w:rStyle w:val="FootnoteReference"/>
        </w:rPr>
        <w:footnoteRef/>
      </w:r>
      <w:r>
        <w:t xml:space="preserve"> 47 CFR § 73.1400.  The base forfeiture amount for violation of the transmitter control and metering requirements is $3,000.  </w:t>
      </w:r>
      <w:r w:rsidR="00D86B82">
        <w:t xml:space="preserve">47 CFR </w:t>
      </w:r>
      <w:r w:rsidR="00D86B82" w:rsidRPr="00503DA3">
        <w:rPr>
          <w:color w:val="000000"/>
        </w:rPr>
        <w:t>§ 1.80(b)</w:t>
      </w:r>
      <w:r w:rsidR="003F6FCE" w:rsidRPr="00503DA3">
        <w:rPr>
          <w:color w:val="000000"/>
        </w:rPr>
        <w:t>(8), Note</w:t>
      </w:r>
      <w:r w:rsidR="00D86B82" w:rsidRPr="00503DA3">
        <w:rPr>
          <w:color w:val="000000"/>
        </w:rPr>
        <w:t>.</w:t>
      </w:r>
      <w:r>
        <w:t xml:space="preserve">     </w:t>
      </w:r>
    </w:p>
  </w:footnote>
  <w:footnote w:id="53">
    <w:p w:rsidR="00991635" w:rsidRDefault="00991635" w:rsidP="00991635">
      <w:pPr>
        <w:pStyle w:val="FootnoteText"/>
      </w:pPr>
      <w:r w:rsidRPr="00C06D7D">
        <w:rPr>
          <w:rStyle w:val="FootnoteReference"/>
        </w:rPr>
        <w:footnoteRef/>
      </w:r>
      <w:r w:rsidRPr="004A1258">
        <w:t xml:space="preserve"> 47 CFR §§ </w:t>
      </w:r>
      <w:r w:rsidRPr="00EE3576">
        <w:t>73.1230, 73.1840(a), and 73.1870(a)</w:t>
      </w:r>
      <w:r w:rsidR="00417F11">
        <w:t>, (b)(3)</w:t>
      </w:r>
      <w:r w:rsidRPr="00EE3576">
        <w:t>.</w:t>
      </w:r>
      <w:r>
        <w:rPr>
          <w:sz w:val="22"/>
          <w:szCs w:val="22"/>
        </w:rPr>
        <w:t xml:space="preserve">  </w:t>
      </w:r>
      <w:r>
        <w:t xml:space="preserve">For purposes of the base forfeiture amount, these are apparent failures to maintain required records.  The base forfeiture amount for each of these three apparent violations is $1,000, for a total of $3,000. </w:t>
      </w:r>
      <w:r w:rsidR="002110DF">
        <w:t xml:space="preserve"> </w:t>
      </w:r>
      <w:r w:rsidR="00D86B82">
        <w:t xml:space="preserve">47 CFR </w:t>
      </w:r>
      <w:r w:rsidR="00D86B82" w:rsidRPr="00503DA3">
        <w:rPr>
          <w:color w:val="000000"/>
        </w:rPr>
        <w:t>§ 1.80(b)</w:t>
      </w:r>
      <w:r w:rsidR="003F6FCE" w:rsidRPr="00503DA3">
        <w:rPr>
          <w:color w:val="000000"/>
        </w:rPr>
        <w:t>(8), Note</w:t>
      </w:r>
      <w:r w:rsidR="00D86B82" w:rsidRPr="00503DA3">
        <w:rPr>
          <w:color w:val="000000"/>
        </w:rPr>
        <w:t>.</w:t>
      </w:r>
    </w:p>
  </w:footnote>
  <w:footnote w:id="54">
    <w:p w:rsidR="00991635" w:rsidRDefault="00991635" w:rsidP="00991635">
      <w:pPr>
        <w:pStyle w:val="FootnoteText"/>
      </w:pPr>
      <w:r>
        <w:rPr>
          <w:rStyle w:val="FootnoteReference"/>
        </w:rPr>
        <w:footnoteRef/>
      </w:r>
      <w:r>
        <w:t xml:space="preserve"> 47 CFR §</w:t>
      </w:r>
      <w:r w:rsidR="005C3029" w:rsidRPr="00E27F4B">
        <w:t>§ 1.89(b),</w:t>
      </w:r>
      <w:r>
        <w:t xml:space="preserve"> 73.1015. </w:t>
      </w:r>
    </w:p>
  </w:footnote>
  <w:footnote w:id="55">
    <w:p w:rsidR="00991635" w:rsidRDefault="00991635" w:rsidP="00991635">
      <w:pPr>
        <w:pStyle w:val="FootnoteText"/>
      </w:pPr>
      <w:r>
        <w:rPr>
          <w:rStyle w:val="FootnoteReference"/>
        </w:rPr>
        <w:footnoteRef/>
      </w:r>
      <w:r>
        <w:t xml:space="preserve"> </w:t>
      </w:r>
      <w:r w:rsidRPr="00EA5B31">
        <w:rPr>
          <w:color w:val="000000"/>
        </w:rPr>
        <w:t>47 CFR § 1.80(b)(8), Note</w:t>
      </w:r>
      <w:r w:rsidRPr="00503DA3">
        <w:rPr>
          <w:color w:val="000000"/>
        </w:rPr>
        <w:t>.</w:t>
      </w:r>
    </w:p>
  </w:footnote>
  <w:footnote w:id="56">
    <w:p w:rsidR="0026140D" w:rsidRPr="00EA5B31" w:rsidRDefault="0026140D" w:rsidP="0026140D">
      <w:pPr>
        <w:pStyle w:val="FootnoteText"/>
        <w:rPr>
          <w:color w:val="000000"/>
        </w:rPr>
      </w:pPr>
      <w:r w:rsidRPr="00EA5B31">
        <w:rPr>
          <w:rStyle w:val="FootnoteReference"/>
          <w:color w:val="000000"/>
        </w:rPr>
        <w:footnoteRef/>
      </w:r>
      <w:r w:rsidRPr="00EA5B31">
        <w:rPr>
          <w:color w:val="000000"/>
        </w:rPr>
        <w:t xml:space="preserve"> </w:t>
      </w:r>
      <w:r w:rsidRPr="00EA5B31">
        <w:rPr>
          <w:i/>
          <w:color w:val="000000"/>
        </w:rPr>
        <w:t>The Commission’s Forfeiture Policy Statement and Amendment of Section 1.80 of the Rules to Incorporate the Forfeiture Guidelines</w:t>
      </w:r>
      <w:r w:rsidRPr="00EA5B31">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Pr>
          <w:i/>
        </w:rPr>
        <w:t>Forfeiture Policy Statement</w:t>
      </w:r>
      <w:r>
        <w:t>)</w:t>
      </w:r>
      <w:r w:rsidRPr="00EA5B31">
        <w:rPr>
          <w:color w:val="000000"/>
        </w:rPr>
        <w:t xml:space="preserve">, </w:t>
      </w:r>
      <w:r w:rsidRPr="00EA5B31">
        <w:rPr>
          <w:i/>
          <w:color w:val="000000"/>
        </w:rPr>
        <w:t>recons. denied</w:t>
      </w:r>
      <w:r w:rsidRPr="00EA5B31">
        <w:rPr>
          <w:color w:val="000000"/>
        </w:rPr>
        <w:t>, Memorandum Opinion and Order, 15 FCC Rcd 303 (1999).</w:t>
      </w:r>
    </w:p>
  </w:footnote>
  <w:footnote w:id="57">
    <w:p w:rsidR="0026140D" w:rsidRDefault="0026140D" w:rsidP="0026140D">
      <w:pPr>
        <w:pStyle w:val="FootnoteText"/>
      </w:pPr>
      <w:r>
        <w:rPr>
          <w:rStyle w:val="FootnoteReference"/>
        </w:rPr>
        <w:footnoteRef/>
      </w:r>
      <w:r>
        <w:t xml:space="preserve"> 47 CFR § 1.80(b)(8) Note. </w:t>
      </w:r>
    </w:p>
  </w:footnote>
  <w:footnote w:id="58">
    <w:p w:rsidR="0026140D" w:rsidRPr="008869A4" w:rsidRDefault="0026140D" w:rsidP="0026140D">
      <w:pPr>
        <w:pStyle w:val="FootnoteText"/>
      </w:pPr>
      <w:r>
        <w:rPr>
          <w:rStyle w:val="FootnoteReference"/>
        </w:rPr>
        <w:footnoteRef/>
      </w:r>
      <w:r>
        <w:t xml:space="preserve"> </w:t>
      </w:r>
      <w:r w:rsidRPr="008869A4">
        <w:t xml:space="preserve">Section 312(f)(2) of the Act, 47 U.S.C. § 312(f)(2), which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030158">
        <w:rPr>
          <w:i/>
        </w:rPr>
        <w:t>See</w:t>
      </w:r>
      <w:r w:rsidRPr="00030158">
        <w:t xml:space="preserve"> </w:t>
      </w:r>
      <w:r w:rsidR="0022680D">
        <w:t>para. 4</w:t>
      </w:r>
      <w:r w:rsidRPr="008869A4">
        <w:t xml:space="preserve">, </w:t>
      </w:r>
      <w:r w:rsidRPr="008869A4">
        <w:rPr>
          <w:i/>
        </w:rPr>
        <w:t>supra</w:t>
      </w:r>
      <w:r w:rsidRPr="008869A4">
        <w:t xml:space="preserve">; </w:t>
      </w:r>
      <w:r w:rsidRPr="00030158">
        <w:rPr>
          <w:i/>
        </w:rPr>
        <w:t>Southern California Broadcasting Co.</w:t>
      </w:r>
      <w:r w:rsidRPr="00030158">
        <w:t>,</w:t>
      </w:r>
      <w:r w:rsidRPr="00030158">
        <w:rPr>
          <w:i/>
        </w:rPr>
        <w:t xml:space="preserve"> </w:t>
      </w:r>
      <w:r w:rsidRPr="00030158">
        <w:t xml:space="preserve">6 FCC Rcd at 4388, para. 5; </w:t>
      </w:r>
      <w:r w:rsidRPr="008869A4">
        <w:rPr>
          <w:i/>
        </w:rPr>
        <w:t>Callais Cablevision</w:t>
      </w:r>
      <w:r w:rsidRPr="008869A4">
        <w:t xml:space="preserve">, 16 FCC Rcd at 1362, para. 9; </w:t>
      </w:r>
      <w:r w:rsidRPr="008869A4">
        <w:rPr>
          <w:i/>
          <w:spacing w:val="-2"/>
          <w:szCs w:val="22"/>
        </w:rPr>
        <w:t>William F. Crowell</w:t>
      </w:r>
      <w:r w:rsidRPr="008869A4">
        <w:rPr>
          <w:i/>
          <w:spacing w:val="-2"/>
        </w:rPr>
        <w:t xml:space="preserve">, </w:t>
      </w:r>
      <w:r w:rsidRPr="008869A4">
        <w:rPr>
          <w:i/>
        </w:rPr>
        <w:t>Licensee of Amateur Radio S</w:t>
      </w:r>
      <w:r w:rsidRPr="008869A4">
        <w:rPr>
          <w:i/>
          <w:szCs w:val="22"/>
        </w:rPr>
        <w:t>tation W6WBJ</w:t>
      </w:r>
      <w:r w:rsidRPr="008869A4">
        <w:rPr>
          <w:i/>
        </w:rPr>
        <w:t xml:space="preserve">, </w:t>
      </w:r>
      <w:r w:rsidRPr="008869A4">
        <w:rPr>
          <w:i/>
          <w:szCs w:val="22"/>
        </w:rPr>
        <w:t>Diamond Springs, California</w:t>
      </w:r>
      <w:r w:rsidRPr="008869A4">
        <w:t xml:space="preserve">, Forfeiture Order, 31 FCC Rcd 8700, 8703 n.29 (EB 2016). </w:t>
      </w:r>
    </w:p>
  </w:footnote>
  <w:footnote w:id="59">
    <w:p w:rsidR="0026140D" w:rsidRPr="002B4A12" w:rsidRDefault="0026140D" w:rsidP="0026140D">
      <w:pPr>
        <w:pStyle w:val="FootnoteText"/>
      </w:pPr>
      <w:r>
        <w:rPr>
          <w:rStyle w:val="FootnoteReference"/>
        </w:rPr>
        <w:footnoteRef/>
      </w:r>
      <w:r w:rsidR="004A1574">
        <w:t xml:space="preserve"> Para. 3</w:t>
      </w:r>
      <w:r>
        <w:t xml:space="preserve">, </w:t>
      </w:r>
      <w:r>
        <w:rPr>
          <w:i/>
        </w:rPr>
        <w:t>supra</w:t>
      </w:r>
      <w:r>
        <w:t>.</w:t>
      </w:r>
    </w:p>
  </w:footnote>
  <w:footnote w:id="60">
    <w:p w:rsidR="0026140D" w:rsidRDefault="0026140D" w:rsidP="0026140D">
      <w:pPr>
        <w:pStyle w:val="FootnoteText"/>
      </w:pPr>
      <w:r>
        <w:rPr>
          <w:rStyle w:val="FootnoteReference"/>
        </w:rPr>
        <w:footnoteRef/>
      </w:r>
      <w:r>
        <w:t xml:space="preserve"> </w:t>
      </w:r>
      <w:r w:rsidRPr="00165FE8">
        <w:rPr>
          <w:i/>
        </w:rPr>
        <w:t>Onda Mexicana Radio Group, Inc., Licensee of AM Station WWFL, Clermont, FL</w:t>
      </w:r>
      <w:r w:rsidRPr="00165FE8">
        <w:t xml:space="preserve">, Notice of Apparent Liability for Forfeiture and Order, 29 FCC Rcd 527, 530, para. </w:t>
      </w:r>
      <w:r w:rsidR="00885696">
        <w:t>8</w:t>
      </w:r>
      <w:r w:rsidRPr="00165FE8">
        <w:t xml:space="preserve"> (EB 2014) (</w:t>
      </w:r>
      <w:r>
        <w:t>o</w:t>
      </w:r>
      <w:r w:rsidRPr="00165FE8">
        <w:t>ngoing failure to respond to an NOV can be a continuing violation)</w:t>
      </w:r>
      <w:r w:rsidR="00C54D29">
        <w:t xml:space="preserve">; </w:t>
      </w:r>
      <w:r w:rsidR="00C54D29">
        <w:rPr>
          <w:i/>
        </w:rPr>
        <w:t>see</w:t>
      </w:r>
      <w:r w:rsidRPr="00165FE8">
        <w:rPr>
          <w:i/>
          <w:iCs/>
        </w:rPr>
        <w:t xml:space="preserve"> also</w:t>
      </w:r>
      <w:r>
        <w:rPr>
          <w:i/>
          <w:iCs/>
        </w:rPr>
        <w:t xml:space="preserve"> </w:t>
      </w:r>
      <w:r w:rsidRPr="00165FE8">
        <w:rPr>
          <w:i/>
          <w:iCs/>
        </w:rPr>
        <w:t>ADMA Telecom, Inc.</w:t>
      </w:r>
      <w:r w:rsidRPr="00165FE8">
        <w:t>, Forfeiture Order, 26 FCC Rcd 4152, 4155, para. 8 (2011) (construing a carrier’s failure to file a required document (a Form 499) with the Commission as a continuing violation until cured);</w:t>
      </w:r>
      <w:r>
        <w:t xml:space="preserve"> </w:t>
      </w:r>
      <w:r w:rsidRPr="00165FE8">
        <w:rPr>
          <w:i/>
        </w:rPr>
        <w:t>Google Inc</w:t>
      </w:r>
      <w:r w:rsidRPr="00165FE8">
        <w:t>., Notice of Apparent Liability for Forfeiture, 27 FCC Rcd 4012, 4033, para. 50 (EB 2012) (Google’s failures to provide information in response to LOI were continuing violations that lasted until cured)</w:t>
      </w:r>
      <w:bookmarkStart w:id="1" w:name="co_tablefootnote_165_1"/>
      <w:bookmarkEnd w:id="1"/>
      <w:r>
        <w:t xml:space="preserve">; </w:t>
      </w:r>
      <w:r w:rsidRPr="00326A85">
        <w:rPr>
          <w:i/>
          <w:iCs/>
        </w:rPr>
        <w:t>LDC Telecomm., Inc.</w:t>
      </w:r>
      <w:r w:rsidRPr="00326A85">
        <w:t xml:space="preserve">, Notice of Apparent Liability for Forfeiture and Order, 27 FCC Rcd 300, 302, para. 8 (EB 2012) </w:t>
      </w:r>
      <w:r w:rsidRPr="00165FE8">
        <w:t xml:space="preserve">(characterizing LDC’s failure to respond to the Bureau’s LOI as “continuous”); </w:t>
      </w:r>
      <w:r w:rsidRPr="00165FE8">
        <w:rPr>
          <w:i/>
          <w:iCs/>
        </w:rPr>
        <w:t>Net One Int’l</w:t>
      </w:r>
      <w:r w:rsidRPr="00165FE8">
        <w:t xml:space="preserve">, Notice of Apparent Liability for Forfeiture and Order, 26 FCC Rcd 16493, 16496, para. 9 (EB 2011) (advising Net One that its failure “to respond fully to the LOI within ten days of the date of this NAL .... may constitute an additional, continuing violation”); </w:t>
      </w:r>
      <w:r w:rsidRPr="00165FE8">
        <w:rPr>
          <w:i/>
          <w:iCs/>
        </w:rPr>
        <w:t>1</w:t>
      </w:r>
      <w:r w:rsidRPr="00165FE8">
        <w:rPr>
          <w:i/>
          <w:iCs/>
          <w:vertAlign w:val="superscript"/>
        </w:rPr>
        <w:t>st</w:t>
      </w:r>
      <w:r w:rsidRPr="00165FE8">
        <w:rPr>
          <w:i/>
          <w:iCs/>
        </w:rPr>
        <w:t xml:space="preserve"> Source Info. Specialists, Inc.</w:t>
      </w:r>
      <w:r w:rsidRPr="00165FE8">
        <w:t xml:space="preserve">, Notice of Apparent Liability for Forfeiture, 21 FCC Rcd 8193, 8196-97, para. 13 (2006) (characterizing a data broker’s failure to respond fully to a Bureau subpoena and a citation the Bureau issued based on that failure as a continuing violation), </w:t>
      </w:r>
      <w:r w:rsidRPr="00165FE8">
        <w:rPr>
          <w:i/>
          <w:iCs/>
        </w:rPr>
        <w:t>forfeiture issued</w:t>
      </w:r>
      <w:r w:rsidRPr="00165FE8">
        <w:t>, Forfeiture Order, 22 FCC Rcd 431 (2007)</w:t>
      </w:r>
      <w:r>
        <w:t>.</w:t>
      </w:r>
    </w:p>
  </w:footnote>
  <w:footnote w:id="61">
    <w:p w:rsidR="0093792B" w:rsidRDefault="0093792B" w:rsidP="0093792B">
      <w:pPr>
        <w:pStyle w:val="FootnoteText"/>
      </w:pPr>
      <w:r>
        <w:rPr>
          <w:rStyle w:val="FootnoteReference"/>
        </w:rPr>
        <w:footnoteRef/>
      </w:r>
      <w:r>
        <w:t xml:space="preserve"> 47 CFR § 1.16.</w:t>
      </w:r>
    </w:p>
  </w:footnote>
  <w:footnote w:id="62">
    <w:p w:rsidR="0093792B" w:rsidRDefault="0093792B" w:rsidP="0093792B">
      <w:pPr>
        <w:pStyle w:val="FootnoteText"/>
      </w:pPr>
      <w:r>
        <w:rPr>
          <w:rStyle w:val="FootnoteReference"/>
        </w:rPr>
        <w:footnoteRef/>
      </w:r>
      <w:r>
        <w:t xml:space="preserve"> </w:t>
      </w:r>
      <w:r>
        <w:rPr>
          <w:i/>
        </w:rPr>
        <w:t>See</w:t>
      </w:r>
      <w:r>
        <w:t xml:space="preserve"> notes 2-4, </w:t>
      </w:r>
      <w:r>
        <w:rPr>
          <w:i/>
        </w:rPr>
        <w:t>supra</w:t>
      </w:r>
      <w:r>
        <w:t>, and the Commission rules cited therein.</w:t>
      </w:r>
    </w:p>
  </w:footnote>
  <w:footnote w:id="63">
    <w:p w:rsidR="00BD1563" w:rsidRDefault="00BD1563" w:rsidP="00BD1563">
      <w:pPr>
        <w:pStyle w:val="FootnoteText"/>
      </w:pPr>
      <w:r>
        <w:rPr>
          <w:rStyle w:val="FootnoteReference"/>
        </w:rPr>
        <w:footnoteRef/>
      </w:r>
      <w:r>
        <w:t xml:space="preserve"> </w:t>
      </w:r>
      <w:r w:rsidRPr="00D21FAE">
        <w:rPr>
          <w:color w:val="000000"/>
        </w:rPr>
        <w:t>47 U.S.C. § 503(b).</w:t>
      </w:r>
    </w:p>
  </w:footnote>
  <w:footnote w:id="64">
    <w:p w:rsidR="00BD1563" w:rsidRDefault="00BD1563" w:rsidP="00BD1563">
      <w:pPr>
        <w:pStyle w:val="FootnoteText"/>
      </w:pPr>
      <w:r>
        <w:rPr>
          <w:rStyle w:val="FootnoteReference"/>
        </w:rPr>
        <w:footnoteRef/>
      </w:r>
      <w:r>
        <w:t xml:space="preserve"> </w:t>
      </w:r>
      <w:r w:rsidRPr="00D21FAE">
        <w:rPr>
          <w:color w:val="000000"/>
          <w:lang w:val="es-ES"/>
        </w:rPr>
        <w:t xml:space="preserve">47 </w:t>
      </w:r>
      <w:r>
        <w:rPr>
          <w:color w:val="000000"/>
          <w:lang w:val="es-ES"/>
        </w:rPr>
        <w:t>CFR</w:t>
      </w:r>
      <w:r w:rsidRPr="00D21FAE">
        <w:rPr>
          <w:color w:val="000000"/>
          <w:lang w:val="es-ES"/>
        </w:rPr>
        <w:t xml:space="preserve"> § 1.80.</w:t>
      </w:r>
    </w:p>
  </w:footnote>
  <w:footnote w:id="65">
    <w:p w:rsidR="00BD1563" w:rsidRPr="00C17F42" w:rsidRDefault="00BD1563" w:rsidP="00BD1563">
      <w:pPr>
        <w:pStyle w:val="FootnoteText"/>
      </w:pPr>
      <w:r>
        <w:rPr>
          <w:rStyle w:val="FootnoteReference"/>
        </w:rPr>
        <w:footnoteRef/>
      </w:r>
      <w:r>
        <w:t xml:space="preserve"> 47 CFR §§ </w:t>
      </w:r>
      <w:r w:rsidR="00A12127">
        <w:t xml:space="preserve">1.89(b); </w:t>
      </w:r>
      <w:r>
        <w:t xml:space="preserve">11.15; 11.35(a); 11.52(d)(1); 73.1015; 73.1125(a); 73.1230; </w:t>
      </w:r>
      <w:r w:rsidRPr="00441CD1">
        <w:t>73.</w:t>
      </w:r>
      <w:r>
        <w:t xml:space="preserve">1400; </w:t>
      </w:r>
      <w:r w:rsidRPr="00441CD1">
        <w:t>73.</w:t>
      </w:r>
      <w:r>
        <w:t>1840</w:t>
      </w:r>
      <w:r w:rsidRPr="00441CD1">
        <w:t>(a)</w:t>
      </w:r>
      <w:r>
        <w:t>; 73</w:t>
      </w:r>
      <w:r w:rsidRPr="00441CD1">
        <w:t>.</w:t>
      </w:r>
      <w:r>
        <w:t>1870</w:t>
      </w:r>
      <w:r w:rsidRPr="00441CD1">
        <w:t>(a)</w:t>
      </w:r>
      <w:r>
        <w:t xml:space="preserve"> and (b)(3); and </w:t>
      </w:r>
      <w:r w:rsidRPr="00441CD1">
        <w:t>73.3527(a)</w:t>
      </w:r>
      <w:r>
        <w:t>.</w:t>
      </w:r>
    </w:p>
  </w:footnote>
  <w:footnote w:id="66">
    <w:p w:rsidR="00BD1563" w:rsidRDefault="00BD1563" w:rsidP="00BD1563">
      <w:pPr>
        <w:pStyle w:val="FootnoteText"/>
      </w:pPr>
      <w:r>
        <w:rPr>
          <w:rStyle w:val="FootnoteReference"/>
        </w:rPr>
        <w:footnoteRef/>
      </w:r>
      <w:r>
        <w:t xml:space="preserve"> </w:t>
      </w:r>
      <w:r w:rsidRPr="00D21FAE">
        <w:rPr>
          <w:rFonts w:eastAsia="MS Mincho"/>
          <w:color w:val="000000"/>
        </w:rPr>
        <w:t xml:space="preserve">An FCC Form 159 and detailed instructions for completing the form may be obtained at </w:t>
      </w:r>
      <w:hyperlink r:id="rId4" w:history="1">
        <w:r w:rsidR="004E03C5" w:rsidRPr="00A116DB">
          <w:rPr>
            <w:rStyle w:val="Hyperlink"/>
            <w:rFonts w:eastAsia="MS Mincho"/>
          </w:rPr>
          <w:t>http://www.fcc.gov/Forms/Form159/159.pdf</w:t>
        </w:r>
      </w:hyperlink>
      <w:r w:rsidRPr="00D21FAE">
        <w:rPr>
          <w:rFonts w:eastAsia="MS Mincho"/>
          <w:color w:val="000000"/>
        </w:rPr>
        <w:t>.</w:t>
      </w:r>
    </w:p>
  </w:footnote>
  <w:footnote w:id="67">
    <w:p w:rsidR="00BD1563" w:rsidRDefault="00BD1563" w:rsidP="00BD1563">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68">
    <w:p w:rsidR="00BD1563" w:rsidRDefault="00BD1563" w:rsidP="00BD1563">
      <w:pPr>
        <w:pStyle w:val="FootnoteText"/>
      </w:pPr>
      <w:r>
        <w:rPr>
          <w:rStyle w:val="FootnoteReference"/>
        </w:rPr>
        <w:footnoteRef/>
      </w:r>
      <w:r>
        <w:t xml:space="preserve"> </w:t>
      </w:r>
      <w:r w:rsidRPr="00D21FAE">
        <w:rPr>
          <w:color w:val="000000"/>
        </w:rPr>
        <w:t xml:space="preserve">47 </w:t>
      </w:r>
      <w:r>
        <w:rPr>
          <w:color w:val="000000"/>
        </w:rPr>
        <w:t>CFR</w:t>
      </w:r>
      <w:r w:rsidRPr="00D21FAE">
        <w:rPr>
          <w:color w:val="000000"/>
        </w:rPr>
        <w:t xml:space="preserve">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6E" w:rsidRDefault="00801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D3" w:rsidRPr="0040542F" w:rsidRDefault="00117872" w:rsidP="00F60397">
    <w:pPr>
      <w:tabs>
        <w:tab w:val="center" w:pos="4680"/>
        <w:tab w:val="right" w:pos="9360"/>
      </w:tabs>
    </w:pPr>
    <w:r>
      <w:rPr>
        <w:noProof/>
      </w:rPr>
      <w:pict>
        <v:rect id="Rectangle 2" o:spid="_x0000_s2050"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NWnqCVXAgAAZwQAAA4AAAAAAAAAAAAAAAAALgIAAGRycy9lMm9Eb2MueG1sUEsBAi0A&#10;FAAGAAgAAAAhAGtzUyXbAAAABwEAAA8AAAAAAAAAAAAAAAAAsQQAAGRycy9kb3ducmV2LnhtbFBL&#10;BQYAAAAABAAEAPMAAAC5BQAAAAA=&#10;" o:allowincell="f" fillcolor="black" stroked="f">
          <w10:wrap anchorx="margin"/>
        </v:rect>
      </w:pict>
    </w:r>
    <w:r w:rsidR="000A633B" w:rsidRPr="0040542F">
      <w:rPr>
        <w:b/>
      </w:rPr>
      <w:tab/>
      <w:t>Federal Communications Commission</w:t>
    </w:r>
    <w:r w:rsidR="000A633B" w:rsidRPr="0040542F">
      <w:rPr>
        <w:b/>
      </w:rPr>
      <w:tab/>
    </w:r>
    <w:r w:rsidR="000A633B" w:rsidRPr="0040542F">
      <w:rPr>
        <w:b/>
        <w:spacing w:val="-2"/>
      </w:rPr>
      <w:t>FCC</w:t>
    </w:r>
    <w:r w:rsidR="002751F1">
      <w:rPr>
        <w:b/>
        <w:spacing w:val="-2"/>
      </w:rPr>
      <w:t xml:space="preserve"> 17-98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Pr="00FC2687" w:rsidRDefault="00117872" w:rsidP="00FC2687">
    <w:pPr>
      <w:tabs>
        <w:tab w:val="center" w:pos="4680"/>
        <w:tab w:val="right" w:pos="9360"/>
      </w:tabs>
    </w:pPr>
    <w:r>
      <w:rPr>
        <w:noProof/>
      </w:rPr>
      <w:pict>
        <v:rect id="_x0000_s2054"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NWnqCVXAgAAZwQAAA4AAAAAAAAAAAAAAAAALgIAAGRycy9lMm9Eb2MueG1sUEsBAi0A&#10;FAAGAAgAAAAhAGtzUyXbAAAABwEAAA8AAAAAAAAAAAAAAAAAsQQAAGRycy9kb3ducmV2LnhtbFBL&#10;BQYAAAAABAAEAPMAAAC5BQAAAAA=&#10;" o:allowincell="f" fillcolor="black" stroked="f">
          <w10:wrap anchorx="margin"/>
        </v:rect>
      </w:pict>
    </w:r>
    <w:r w:rsidR="00FC2687" w:rsidRPr="0040542F">
      <w:rPr>
        <w:b/>
      </w:rPr>
      <w:tab/>
      <w:t>Federal Communications Commission</w:t>
    </w:r>
    <w:r w:rsidR="00FC2687" w:rsidRPr="0040542F">
      <w:rPr>
        <w:b/>
      </w:rPr>
      <w:tab/>
    </w:r>
    <w:r w:rsidR="00FC2687" w:rsidRPr="0040542F">
      <w:rPr>
        <w:b/>
        <w:spacing w:val="-2"/>
      </w:rPr>
      <w:t>FCC</w:t>
    </w:r>
    <w:r w:rsidR="00FC2687">
      <w:rPr>
        <w:b/>
        <w:spacing w:val="-2"/>
      </w:rPr>
      <w:t xml:space="preserve"> 17-98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0ABF4"/>
    <w:lvl w:ilvl="0">
      <w:start w:val="1"/>
      <w:numFmt w:val="decimal"/>
      <w:lvlText w:val="%1."/>
      <w:lvlJc w:val="left"/>
      <w:pPr>
        <w:tabs>
          <w:tab w:val="num" w:pos="1800"/>
        </w:tabs>
        <w:ind w:left="1800" w:hanging="360"/>
      </w:pPr>
    </w:lvl>
  </w:abstractNum>
  <w:abstractNum w:abstractNumId="1">
    <w:nsid w:val="FFFFFF7D"/>
    <w:multiLevelType w:val="singleLevel"/>
    <w:tmpl w:val="8F3EDA3A"/>
    <w:lvl w:ilvl="0">
      <w:start w:val="1"/>
      <w:numFmt w:val="decimal"/>
      <w:lvlText w:val="%1."/>
      <w:lvlJc w:val="left"/>
      <w:pPr>
        <w:tabs>
          <w:tab w:val="num" w:pos="1440"/>
        </w:tabs>
        <w:ind w:left="1440" w:hanging="360"/>
      </w:pPr>
    </w:lvl>
  </w:abstractNum>
  <w:abstractNum w:abstractNumId="2">
    <w:nsid w:val="FFFFFF7E"/>
    <w:multiLevelType w:val="singleLevel"/>
    <w:tmpl w:val="44585C70"/>
    <w:lvl w:ilvl="0">
      <w:start w:val="1"/>
      <w:numFmt w:val="decimal"/>
      <w:lvlText w:val="%1."/>
      <w:lvlJc w:val="left"/>
      <w:pPr>
        <w:tabs>
          <w:tab w:val="num" w:pos="1080"/>
        </w:tabs>
        <w:ind w:left="1080" w:hanging="360"/>
      </w:pPr>
    </w:lvl>
  </w:abstractNum>
  <w:abstractNum w:abstractNumId="3">
    <w:nsid w:val="FFFFFF7F"/>
    <w:multiLevelType w:val="singleLevel"/>
    <w:tmpl w:val="393887B8"/>
    <w:lvl w:ilvl="0">
      <w:start w:val="1"/>
      <w:numFmt w:val="decimal"/>
      <w:lvlText w:val="%1."/>
      <w:lvlJc w:val="left"/>
      <w:pPr>
        <w:tabs>
          <w:tab w:val="num" w:pos="720"/>
        </w:tabs>
        <w:ind w:left="720" w:hanging="360"/>
      </w:pPr>
    </w:lvl>
  </w:abstractNum>
  <w:abstractNum w:abstractNumId="4">
    <w:nsid w:val="FFFFFF80"/>
    <w:multiLevelType w:val="singleLevel"/>
    <w:tmpl w:val="48A69C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4402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5CAB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FA5E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E46EC6"/>
    <w:lvl w:ilvl="0">
      <w:start w:val="1"/>
      <w:numFmt w:val="decimal"/>
      <w:lvlText w:val="%1."/>
      <w:lvlJc w:val="left"/>
      <w:pPr>
        <w:tabs>
          <w:tab w:val="num" w:pos="360"/>
        </w:tabs>
        <w:ind w:left="360" w:hanging="360"/>
      </w:pPr>
    </w:lvl>
  </w:abstractNum>
  <w:abstractNum w:abstractNumId="9">
    <w:nsid w:val="FFFFFF89"/>
    <w:multiLevelType w:val="singleLevel"/>
    <w:tmpl w:val="9C9A5B42"/>
    <w:lvl w:ilvl="0">
      <w:start w:val="1"/>
      <w:numFmt w:val="bullet"/>
      <w:lvlText w:val=""/>
      <w:lvlJc w:val="left"/>
      <w:pPr>
        <w:tabs>
          <w:tab w:val="num" w:pos="360"/>
        </w:tabs>
        <w:ind w:left="360" w:hanging="360"/>
      </w:pPr>
      <w:rPr>
        <w:rFonts w:ascii="Symbol" w:hAnsi="Symbol" w:hint="default"/>
      </w:rPr>
    </w:lvl>
  </w:abstractNum>
  <w:abstractNum w:abstractNumId="10">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6FA5C5A"/>
    <w:multiLevelType w:val="hybridMultilevel"/>
    <w:tmpl w:val="2D6CE820"/>
    <w:lvl w:ilvl="0" w:tplc="BCAA397C">
      <w:start w:val="1"/>
      <w:numFmt w:val="lowerLetter"/>
      <w:lvlText w:val="%1."/>
      <w:lvlJc w:val="left"/>
      <w:pPr>
        <w:tabs>
          <w:tab w:val="num" w:pos="1008"/>
        </w:tabs>
        <w:ind w:left="1296" w:hanging="288"/>
      </w:pPr>
      <w:rPr>
        <w:rFonts w:ascii="Times New Roman" w:hAnsi="Times New Roman" w:hint="default"/>
        <w:b w:val="0"/>
        <w:i w:val="0"/>
        <w:strike w:val="0"/>
        <w:dstrike w:val="0"/>
        <w:vanish w:val="0"/>
        <w:color w:val="auto"/>
        <w:sz w:val="22"/>
        <w:u w:val="none"/>
        <w:vertAlign w:val="baseline"/>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416C0D0F"/>
    <w:multiLevelType w:val="singleLevel"/>
    <w:tmpl w:val="5B16D522"/>
    <w:lvl w:ilvl="0">
      <w:start w:val="1"/>
      <w:numFmt w:val="decimal"/>
      <w:lvlText w:val="%1."/>
      <w:lvlJc w:val="left"/>
      <w:pPr>
        <w:tabs>
          <w:tab w:val="num" w:pos="720"/>
        </w:tabs>
        <w:ind w:left="0" w:firstLine="720"/>
      </w:pPr>
      <w:rPr>
        <w:rFonts w:ascii="Times New Roman" w:hAnsi="Times New Roman" w:hint="default"/>
        <w:b w:val="0"/>
        <w:i w:val="0"/>
        <w:caps w:val="0"/>
        <w:strike w:val="0"/>
        <w:dstrike w:val="0"/>
        <w:vanish w:val="0"/>
        <w:color w:val="000000"/>
        <w:sz w:val="22"/>
        <w:szCs w:val="22"/>
        <w:vertAlign w:val="baseline"/>
      </w:rPr>
    </w:lvl>
  </w:abstractNum>
  <w:abstractNum w:abstractNumId="22">
    <w:nsid w:val="432817C4"/>
    <w:multiLevelType w:val="singleLevel"/>
    <w:tmpl w:val="5B16D522"/>
    <w:lvl w:ilvl="0">
      <w:start w:val="1"/>
      <w:numFmt w:val="decimal"/>
      <w:lvlText w:val="%1."/>
      <w:lvlJc w:val="left"/>
      <w:pPr>
        <w:tabs>
          <w:tab w:val="num" w:pos="720"/>
        </w:tabs>
        <w:ind w:left="0" w:firstLine="720"/>
      </w:pPr>
      <w:rPr>
        <w:rFonts w:ascii="Times New Roman" w:hAnsi="Times New Roman" w:hint="default"/>
        <w:b w:val="0"/>
        <w:i w:val="0"/>
        <w:caps w:val="0"/>
        <w:strike w:val="0"/>
        <w:dstrike w:val="0"/>
        <w:vanish w:val="0"/>
        <w:color w:val="000000"/>
        <w:sz w:val="22"/>
        <w:szCs w:val="22"/>
        <w:vertAlign w:val="base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8E2952"/>
    <w:multiLevelType w:val="hybridMultilevel"/>
    <w:tmpl w:val="ACBAE6E8"/>
    <w:lvl w:ilvl="0" w:tplc="75AA54F6">
      <w:start w:val="3"/>
      <w:numFmt w:val="upperLetter"/>
      <w:lvlText w:val="%1."/>
      <w:lvlJc w:val="left"/>
      <w:pPr>
        <w:tabs>
          <w:tab w:val="num" w:pos="360"/>
        </w:tabs>
        <w:ind w:left="0" w:firstLine="720"/>
      </w:pPr>
      <w:rPr>
        <w:rFonts w:ascii="Times New Roman Bold" w:hAnsi="Times New Roman Bold" w:hint="default"/>
        <w:b/>
        <w:i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30">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FF1351"/>
    <w:multiLevelType w:val="hybridMultilevel"/>
    <w:tmpl w:val="A19C6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541BDE"/>
    <w:multiLevelType w:val="hybridMultilevel"/>
    <w:tmpl w:val="A15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FB177AD"/>
    <w:multiLevelType w:val="hybridMultilevel"/>
    <w:tmpl w:val="1FB01E32"/>
    <w:lvl w:ilvl="0" w:tplc="AE2C5CAC">
      <w:start w:val="1"/>
      <w:numFmt w:val="upperLetter"/>
      <w:lvlText w:val="%1."/>
      <w:lvlJc w:val="left"/>
      <w:pPr>
        <w:tabs>
          <w:tab w:val="num" w:pos="360"/>
        </w:tabs>
        <w:ind w:left="0" w:firstLine="720"/>
      </w:pPr>
      <w:rPr>
        <w:rFonts w:ascii="Times New Roman Bold" w:hAnsi="Times New Roman Bold" w:hint="default"/>
        <w:b/>
        <w:i w:val="0"/>
        <w:strike w:val="0"/>
        <w:dstrike w:val="0"/>
        <w:vanish w:val="0"/>
        <w:color w:val="auto"/>
        <w:sz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28"/>
  </w:num>
  <w:num w:numId="4">
    <w:abstractNumId w:val="35"/>
  </w:num>
  <w:num w:numId="5">
    <w:abstractNumId w:val="25"/>
  </w:num>
  <w:num w:numId="6">
    <w:abstractNumId w:val="20"/>
  </w:num>
  <w:num w:numId="7">
    <w:abstractNumId w:val="30"/>
  </w:num>
  <w:num w:numId="8">
    <w:abstractNumId w:val="15"/>
  </w:num>
  <w:num w:numId="9">
    <w:abstractNumId w:val="13"/>
  </w:num>
  <w:num w:numId="10">
    <w:abstractNumId w:val="10"/>
  </w:num>
  <w:num w:numId="11">
    <w:abstractNumId w:val="17"/>
  </w:num>
  <w:num w:numId="12">
    <w:abstractNumId w:val="27"/>
  </w:num>
  <w:num w:numId="13">
    <w:abstractNumId w:val="22"/>
  </w:num>
  <w:num w:numId="14">
    <w:abstractNumId w:val="36"/>
  </w:num>
  <w:num w:numId="15">
    <w:abstractNumId w:val="26"/>
  </w:num>
  <w:num w:numId="16">
    <w:abstractNumId w:val="16"/>
  </w:num>
  <w:num w:numId="17">
    <w:abstractNumId w:val="31"/>
  </w:num>
  <w:num w:numId="18">
    <w:abstractNumId w:val="21"/>
  </w:num>
  <w:num w:numId="19">
    <w:abstractNumId w:val="34"/>
  </w:num>
  <w:num w:numId="20">
    <w:abstractNumId w:val="24"/>
  </w:num>
  <w:num w:numId="21">
    <w:abstractNumId w:val="14"/>
  </w:num>
  <w:num w:numId="22">
    <w:abstractNumId w:val="11"/>
  </w:num>
  <w:num w:numId="23">
    <w:abstractNumId w:val="18"/>
  </w:num>
  <w:num w:numId="24">
    <w:abstractNumId w:val="23"/>
  </w:num>
  <w:num w:numId="25">
    <w:abstractNumId w:val="19"/>
  </w:num>
  <w:num w:numId="26">
    <w:abstractNumId w:val="12"/>
  </w:num>
  <w:num w:numId="27">
    <w:abstractNumId w:val="3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F81"/>
    <w:rsid w:val="00000C6C"/>
    <w:rsid w:val="00000D69"/>
    <w:rsid w:val="00001F91"/>
    <w:rsid w:val="000021A3"/>
    <w:rsid w:val="0000413F"/>
    <w:rsid w:val="0000447A"/>
    <w:rsid w:val="00005490"/>
    <w:rsid w:val="00006096"/>
    <w:rsid w:val="00006B8F"/>
    <w:rsid w:val="0000715C"/>
    <w:rsid w:val="0001067E"/>
    <w:rsid w:val="00010AC9"/>
    <w:rsid w:val="00011843"/>
    <w:rsid w:val="00011FC8"/>
    <w:rsid w:val="00012592"/>
    <w:rsid w:val="0001259D"/>
    <w:rsid w:val="000134E9"/>
    <w:rsid w:val="000136FB"/>
    <w:rsid w:val="00013E44"/>
    <w:rsid w:val="000149AA"/>
    <w:rsid w:val="00015D7C"/>
    <w:rsid w:val="00016218"/>
    <w:rsid w:val="00016BFB"/>
    <w:rsid w:val="0001758D"/>
    <w:rsid w:val="000216B0"/>
    <w:rsid w:val="000221BE"/>
    <w:rsid w:val="00024160"/>
    <w:rsid w:val="00024D51"/>
    <w:rsid w:val="00026F3F"/>
    <w:rsid w:val="00031191"/>
    <w:rsid w:val="00033A7A"/>
    <w:rsid w:val="00035327"/>
    <w:rsid w:val="00035B08"/>
    <w:rsid w:val="00035EF4"/>
    <w:rsid w:val="00036451"/>
    <w:rsid w:val="00040C91"/>
    <w:rsid w:val="000412F0"/>
    <w:rsid w:val="000413FE"/>
    <w:rsid w:val="00041435"/>
    <w:rsid w:val="0004206A"/>
    <w:rsid w:val="00042E52"/>
    <w:rsid w:val="000430C1"/>
    <w:rsid w:val="00043BB1"/>
    <w:rsid w:val="00043C5E"/>
    <w:rsid w:val="000447B3"/>
    <w:rsid w:val="000457E5"/>
    <w:rsid w:val="00045A25"/>
    <w:rsid w:val="000475FE"/>
    <w:rsid w:val="00047C22"/>
    <w:rsid w:val="00051FC4"/>
    <w:rsid w:val="0005514C"/>
    <w:rsid w:val="00060BD6"/>
    <w:rsid w:val="00061700"/>
    <w:rsid w:val="00062C72"/>
    <w:rsid w:val="0006340A"/>
    <w:rsid w:val="00064C65"/>
    <w:rsid w:val="00067DA4"/>
    <w:rsid w:val="0007102F"/>
    <w:rsid w:val="0007177E"/>
    <w:rsid w:val="00077222"/>
    <w:rsid w:val="00082C2E"/>
    <w:rsid w:val="00083739"/>
    <w:rsid w:val="00084F62"/>
    <w:rsid w:val="0008593B"/>
    <w:rsid w:val="00086B3B"/>
    <w:rsid w:val="00086C04"/>
    <w:rsid w:val="0008793B"/>
    <w:rsid w:val="000907C9"/>
    <w:rsid w:val="00091527"/>
    <w:rsid w:val="00092A66"/>
    <w:rsid w:val="00092BAB"/>
    <w:rsid w:val="00092BF2"/>
    <w:rsid w:val="0009547D"/>
    <w:rsid w:val="000973EC"/>
    <w:rsid w:val="00097E37"/>
    <w:rsid w:val="000A02F1"/>
    <w:rsid w:val="000A0708"/>
    <w:rsid w:val="000A1455"/>
    <w:rsid w:val="000A2104"/>
    <w:rsid w:val="000A3027"/>
    <w:rsid w:val="000A3AEF"/>
    <w:rsid w:val="000A4B2B"/>
    <w:rsid w:val="000A633B"/>
    <w:rsid w:val="000A65A9"/>
    <w:rsid w:val="000A6BBA"/>
    <w:rsid w:val="000A72EB"/>
    <w:rsid w:val="000A78F3"/>
    <w:rsid w:val="000B5FAA"/>
    <w:rsid w:val="000B6354"/>
    <w:rsid w:val="000B63E8"/>
    <w:rsid w:val="000B74EE"/>
    <w:rsid w:val="000C03A5"/>
    <w:rsid w:val="000C1E25"/>
    <w:rsid w:val="000C6E17"/>
    <w:rsid w:val="000C6E40"/>
    <w:rsid w:val="000C6FE6"/>
    <w:rsid w:val="000D2974"/>
    <w:rsid w:val="000D3377"/>
    <w:rsid w:val="000D3BEE"/>
    <w:rsid w:val="000D47D7"/>
    <w:rsid w:val="000D5CEF"/>
    <w:rsid w:val="000D7C40"/>
    <w:rsid w:val="000E0BD7"/>
    <w:rsid w:val="000E1825"/>
    <w:rsid w:val="000E71A8"/>
    <w:rsid w:val="000F1523"/>
    <w:rsid w:val="000F1FEB"/>
    <w:rsid w:val="000F22A2"/>
    <w:rsid w:val="000F41D6"/>
    <w:rsid w:val="000F4344"/>
    <w:rsid w:val="000F438B"/>
    <w:rsid w:val="000F6F3B"/>
    <w:rsid w:val="000F7062"/>
    <w:rsid w:val="000F7572"/>
    <w:rsid w:val="001002A6"/>
    <w:rsid w:val="001056BA"/>
    <w:rsid w:val="00106C96"/>
    <w:rsid w:val="00110261"/>
    <w:rsid w:val="00111A21"/>
    <w:rsid w:val="00113784"/>
    <w:rsid w:val="00113BC4"/>
    <w:rsid w:val="00116FE5"/>
    <w:rsid w:val="00117872"/>
    <w:rsid w:val="001204AF"/>
    <w:rsid w:val="00122A8F"/>
    <w:rsid w:val="00122B8F"/>
    <w:rsid w:val="00125A79"/>
    <w:rsid w:val="0013283B"/>
    <w:rsid w:val="001336C6"/>
    <w:rsid w:val="00133EEB"/>
    <w:rsid w:val="001342FE"/>
    <w:rsid w:val="0013442B"/>
    <w:rsid w:val="001353CD"/>
    <w:rsid w:val="00136832"/>
    <w:rsid w:val="001374F2"/>
    <w:rsid w:val="001374F8"/>
    <w:rsid w:val="00137BCF"/>
    <w:rsid w:val="001408D2"/>
    <w:rsid w:val="001422A3"/>
    <w:rsid w:val="00142838"/>
    <w:rsid w:val="001428AA"/>
    <w:rsid w:val="001435D9"/>
    <w:rsid w:val="00144804"/>
    <w:rsid w:val="0014680D"/>
    <w:rsid w:val="00155D7C"/>
    <w:rsid w:val="001564D8"/>
    <w:rsid w:val="0015743C"/>
    <w:rsid w:val="001602AA"/>
    <w:rsid w:val="00161B26"/>
    <w:rsid w:val="00162CC6"/>
    <w:rsid w:val="001643B3"/>
    <w:rsid w:val="00164A09"/>
    <w:rsid w:val="00172372"/>
    <w:rsid w:val="00172896"/>
    <w:rsid w:val="00175520"/>
    <w:rsid w:val="001765F1"/>
    <w:rsid w:val="001778DD"/>
    <w:rsid w:val="00180FE4"/>
    <w:rsid w:val="00182136"/>
    <w:rsid w:val="00184284"/>
    <w:rsid w:val="00186025"/>
    <w:rsid w:val="0018718B"/>
    <w:rsid w:val="00194247"/>
    <w:rsid w:val="00195DD7"/>
    <w:rsid w:val="00196363"/>
    <w:rsid w:val="00196584"/>
    <w:rsid w:val="001A04AB"/>
    <w:rsid w:val="001A14AC"/>
    <w:rsid w:val="001A1966"/>
    <w:rsid w:val="001A7294"/>
    <w:rsid w:val="001A73D7"/>
    <w:rsid w:val="001B0C82"/>
    <w:rsid w:val="001B1F2B"/>
    <w:rsid w:val="001B2D50"/>
    <w:rsid w:val="001B3C40"/>
    <w:rsid w:val="001B7A93"/>
    <w:rsid w:val="001C181B"/>
    <w:rsid w:val="001C3391"/>
    <w:rsid w:val="001C6FD2"/>
    <w:rsid w:val="001C7ACB"/>
    <w:rsid w:val="001C7E3F"/>
    <w:rsid w:val="001D1BD2"/>
    <w:rsid w:val="001D21C7"/>
    <w:rsid w:val="001D2551"/>
    <w:rsid w:val="001D42DF"/>
    <w:rsid w:val="001D432B"/>
    <w:rsid w:val="001D43E1"/>
    <w:rsid w:val="001E0AD2"/>
    <w:rsid w:val="001E218B"/>
    <w:rsid w:val="001E3C95"/>
    <w:rsid w:val="001E5C37"/>
    <w:rsid w:val="001E621A"/>
    <w:rsid w:val="001F0F03"/>
    <w:rsid w:val="001F1B76"/>
    <w:rsid w:val="001F39AA"/>
    <w:rsid w:val="001F4FEC"/>
    <w:rsid w:val="001F6575"/>
    <w:rsid w:val="001F7A78"/>
    <w:rsid w:val="0020014C"/>
    <w:rsid w:val="002036AA"/>
    <w:rsid w:val="002044D7"/>
    <w:rsid w:val="00204AA0"/>
    <w:rsid w:val="002051C3"/>
    <w:rsid w:val="0020572D"/>
    <w:rsid w:val="00210084"/>
    <w:rsid w:val="002110DF"/>
    <w:rsid w:val="002112B7"/>
    <w:rsid w:val="002119D0"/>
    <w:rsid w:val="00211A06"/>
    <w:rsid w:val="00213CD0"/>
    <w:rsid w:val="0021431B"/>
    <w:rsid w:val="00214354"/>
    <w:rsid w:val="00215996"/>
    <w:rsid w:val="002159BC"/>
    <w:rsid w:val="00215F06"/>
    <w:rsid w:val="002163AE"/>
    <w:rsid w:val="00224310"/>
    <w:rsid w:val="0022442C"/>
    <w:rsid w:val="0022576D"/>
    <w:rsid w:val="0022680D"/>
    <w:rsid w:val="00226DB0"/>
    <w:rsid w:val="002302F1"/>
    <w:rsid w:val="00232003"/>
    <w:rsid w:val="0023346D"/>
    <w:rsid w:val="002341EF"/>
    <w:rsid w:val="00235440"/>
    <w:rsid w:val="00235C5B"/>
    <w:rsid w:val="00237E00"/>
    <w:rsid w:val="00242FE3"/>
    <w:rsid w:val="002431CE"/>
    <w:rsid w:val="00246DD3"/>
    <w:rsid w:val="00247671"/>
    <w:rsid w:val="00247B22"/>
    <w:rsid w:val="0025179A"/>
    <w:rsid w:val="00253BA7"/>
    <w:rsid w:val="00253E91"/>
    <w:rsid w:val="00254133"/>
    <w:rsid w:val="00255A78"/>
    <w:rsid w:val="00255F9B"/>
    <w:rsid w:val="002569A5"/>
    <w:rsid w:val="00256CA3"/>
    <w:rsid w:val="0025762A"/>
    <w:rsid w:val="00260BE8"/>
    <w:rsid w:val="0026140D"/>
    <w:rsid w:val="002617F1"/>
    <w:rsid w:val="002639F4"/>
    <w:rsid w:val="00264929"/>
    <w:rsid w:val="002661C4"/>
    <w:rsid w:val="00266E10"/>
    <w:rsid w:val="00267F63"/>
    <w:rsid w:val="00271CED"/>
    <w:rsid w:val="00271E9B"/>
    <w:rsid w:val="00273C66"/>
    <w:rsid w:val="0027444B"/>
    <w:rsid w:val="002751F1"/>
    <w:rsid w:val="002754BC"/>
    <w:rsid w:val="00277A4F"/>
    <w:rsid w:val="002816C1"/>
    <w:rsid w:val="00282602"/>
    <w:rsid w:val="002826C1"/>
    <w:rsid w:val="00282EB3"/>
    <w:rsid w:val="002849B2"/>
    <w:rsid w:val="00285547"/>
    <w:rsid w:val="00285BAA"/>
    <w:rsid w:val="00286303"/>
    <w:rsid w:val="002911F1"/>
    <w:rsid w:val="00292341"/>
    <w:rsid w:val="0029239D"/>
    <w:rsid w:val="0029779F"/>
    <w:rsid w:val="00297E39"/>
    <w:rsid w:val="002A3CC7"/>
    <w:rsid w:val="002A509F"/>
    <w:rsid w:val="002A63EC"/>
    <w:rsid w:val="002A7EC5"/>
    <w:rsid w:val="002B070D"/>
    <w:rsid w:val="002B1030"/>
    <w:rsid w:val="002B1319"/>
    <w:rsid w:val="002B204D"/>
    <w:rsid w:val="002B3B4C"/>
    <w:rsid w:val="002B3FAF"/>
    <w:rsid w:val="002B725D"/>
    <w:rsid w:val="002C06AA"/>
    <w:rsid w:val="002C2BE6"/>
    <w:rsid w:val="002C312D"/>
    <w:rsid w:val="002C32BF"/>
    <w:rsid w:val="002C3A39"/>
    <w:rsid w:val="002C52BE"/>
    <w:rsid w:val="002D08E7"/>
    <w:rsid w:val="002D27F9"/>
    <w:rsid w:val="002D5BB9"/>
    <w:rsid w:val="002D5C5E"/>
    <w:rsid w:val="002D67E1"/>
    <w:rsid w:val="002D680B"/>
    <w:rsid w:val="002D68CC"/>
    <w:rsid w:val="002E01A5"/>
    <w:rsid w:val="002E1356"/>
    <w:rsid w:val="002E3521"/>
    <w:rsid w:val="002E4894"/>
    <w:rsid w:val="002E5566"/>
    <w:rsid w:val="002E583E"/>
    <w:rsid w:val="002E6B1A"/>
    <w:rsid w:val="002E74EE"/>
    <w:rsid w:val="002E79A6"/>
    <w:rsid w:val="002F1BAF"/>
    <w:rsid w:val="002F24BB"/>
    <w:rsid w:val="002F3977"/>
    <w:rsid w:val="002F3AC8"/>
    <w:rsid w:val="002F3CB7"/>
    <w:rsid w:val="002F4BDA"/>
    <w:rsid w:val="002F703E"/>
    <w:rsid w:val="002F7382"/>
    <w:rsid w:val="002F761C"/>
    <w:rsid w:val="002F774A"/>
    <w:rsid w:val="002F7979"/>
    <w:rsid w:val="002F7F02"/>
    <w:rsid w:val="0030324E"/>
    <w:rsid w:val="003038CD"/>
    <w:rsid w:val="00304C38"/>
    <w:rsid w:val="00306D54"/>
    <w:rsid w:val="00313368"/>
    <w:rsid w:val="0031443E"/>
    <w:rsid w:val="00314462"/>
    <w:rsid w:val="003158D5"/>
    <w:rsid w:val="003166ED"/>
    <w:rsid w:val="00321AA4"/>
    <w:rsid w:val="00321E6A"/>
    <w:rsid w:val="00322349"/>
    <w:rsid w:val="0032470E"/>
    <w:rsid w:val="00326D27"/>
    <w:rsid w:val="0033021C"/>
    <w:rsid w:val="00330752"/>
    <w:rsid w:val="003313D1"/>
    <w:rsid w:val="003325D9"/>
    <w:rsid w:val="00332EFE"/>
    <w:rsid w:val="00333313"/>
    <w:rsid w:val="003338F9"/>
    <w:rsid w:val="003341E5"/>
    <w:rsid w:val="00334450"/>
    <w:rsid w:val="00334897"/>
    <w:rsid w:val="00334B6A"/>
    <w:rsid w:val="0033657D"/>
    <w:rsid w:val="003369FE"/>
    <w:rsid w:val="00337682"/>
    <w:rsid w:val="003378A2"/>
    <w:rsid w:val="00337EC9"/>
    <w:rsid w:val="003415A1"/>
    <w:rsid w:val="003417DF"/>
    <w:rsid w:val="00341F54"/>
    <w:rsid w:val="00343CF0"/>
    <w:rsid w:val="003449E9"/>
    <w:rsid w:val="00344AFD"/>
    <w:rsid w:val="0034521F"/>
    <w:rsid w:val="00345B92"/>
    <w:rsid w:val="0034725C"/>
    <w:rsid w:val="003479EB"/>
    <w:rsid w:val="00350E1C"/>
    <w:rsid w:val="00351997"/>
    <w:rsid w:val="003540E3"/>
    <w:rsid w:val="00354FD5"/>
    <w:rsid w:val="00355A54"/>
    <w:rsid w:val="003614A8"/>
    <w:rsid w:val="00363DAE"/>
    <w:rsid w:val="00364E03"/>
    <w:rsid w:val="00365439"/>
    <w:rsid w:val="00370575"/>
    <w:rsid w:val="0037259E"/>
    <w:rsid w:val="00373E08"/>
    <w:rsid w:val="00375EA1"/>
    <w:rsid w:val="00377B19"/>
    <w:rsid w:val="003814CE"/>
    <w:rsid w:val="00381549"/>
    <w:rsid w:val="0038376A"/>
    <w:rsid w:val="00384B8B"/>
    <w:rsid w:val="00386B1E"/>
    <w:rsid w:val="00386E3A"/>
    <w:rsid w:val="00387A95"/>
    <w:rsid w:val="00387B6A"/>
    <w:rsid w:val="00390031"/>
    <w:rsid w:val="00390587"/>
    <w:rsid w:val="00391B4B"/>
    <w:rsid w:val="003928DB"/>
    <w:rsid w:val="00395E9D"/>
    <w:rsid w:val="003975A7"/>
    <w:rsid w:val="003A01A5"/>
    <w:rsid w:val="003A3B45"/>
    <w:rsid w:val="003A502F"/>
    <w:rsid w:val="003B0CA2"/>
    <w:rsid w:val="003B0F43"/>
    <w:rsid w:val="003B1761"/>
    <w:rsid w:val="003B1A70"/>
    <w:rsid w:val="003B2605"/>
    <w:rsid w:val="003B30EF"/>
    <w:rsid w:val="003B4F01"/>
    <w:rsid w:val="003B5704"/>
    <w:rsid w:val="003B64A8"/>
    <w:rsid w:val="003B67C1"/>
    <w:rsid w:val="003B7B5A"/>
    <w:rsid w:val="003B7C0E"/>
    <w:rsid w:val="003C0740"/>
    <w:rsid w:val="003C096B"/>
    <w:rsid w:val="003C1758"/>
    <w:rsid w:val="003C1D18"/>
    <w:rsid w:val="003C41A0"/>
    <w:rsid w:val="003C4A20"/>
    <w:rsid w:val="003C5824"/>
    <w:rsid w:val="003C5AAE"/>
    <w:rsid w:val="003D3528"/>
    <w:rsid w:val="003D47BD"/>
    <w:rsid w:val="003D4A8A"/>
    <w:rsid w:val="003D66C7"/>
    <w:rsid w:val="003D6B5B"/>
    <w:rsid w:val="003D73E9"/>
    <w:rsid w:val="003E0DFF"/>
    <w:rsid w:val="003E2B00"/>
    <w:rsid w:val="003E332B"/>
    <w:rsid w:val="003E6415"/>
    <w:rsid w:val="003E78BF"/>
    <w:rsid w:val="003F2994"/>
    <w:rsid w:val="003F2B5A"/>
    <w:rsid w:val="003F2E86"/>
    <w:rsid w:val="003F342B"/>
    <w:rsid w:val="003F541B"/>
    <w:rsid w:val="003F6FCE"/>
    <w:rsid w:val="00400BD1"/>
    <w:rsid w:val="00400C28"/>
    <w:rsid w:val="00401498"/>
    <w:rsid w:val="0040542F"/>
    <w:rsid w:val="004102FB"/>
    <w:rsid w:val="00411DB3"/>
    <w:rsid w:val="0041264B"/>
    <w:rsid w:val="00413497"/>
    <w:rsid w:val="00413C25"/>
    <w:rsid w:val="00415029"/>
    <w:rsid w:val="00416105"/>
    <w:rsid w:val="004172C6"/>
    <w:rsid w:val="00417F11"/>
    <w:rsid w:val="004223B8"/>
    <w:rsid w:val="00422B4E"/>
    <w:rsid w:val="00422D6A"/>
    <w:rsid w:val="004234A9"/>
    <w:rsid w:val="00424852"/>
    <w:rsid w:val="00424AF6"/>
    <w:rsid w:val="00424D35"/>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5C09"/>
    <w:rsid w:val="0044645C"/>
    <w:rsid w:val="00451BB9"/>
    <w:rsid w:val="00451C2B"/>
    <w:rsid w:val="00452E33"/>
    <w:rsid w:val="00453C5F"/>
    <w:rsid w:val="00454880"/>
    <w:rsid w:val="00455775"/>
    <w:rsid w:val="00456AE7"/>
    <w:rsid w:val="00460EC0"/>
    <w:rsid w:val="0046348E"/>
    <w:rsid w:val="00466B8C"/>
    <w:rsid w:val="004710E7"/>
    <w:rsid w:val="00471223"/>
    <w:rsid w:val="0047487B"/>
    <w:rsid w:val="00474D14"/>
    <w:rsid w:val="00475713"/>
    <w:rsid w:val="0047595B"/>
    <w:rsid w:val="00480C93"/>
    <w:rsid w:val="00482F63"/>
    <w:rsid w:val="00484EB3"/>
    <w:rsid w:val="0048543D"/>
    <w:rsid w:val="004863AC"/>
    <w:rsid w:val="00486D25"/>
    <w:rsid w:val="00487CDC"/>
    <w:rsid w:val="00491064"/>
    <w:rsid w:val="004914B7"/>
    <w:rsid w:val="00495679"/>
    <w:rsid w:val="00495EF1"/>
    <w:rsid w:val="00496C73"/>
    <w:rsid w:val="00497008"/>
    <w:rsid w:val="004973E2"/>
    <w:rsid w:val="0049796E"/>
    <w:rsid w:val="004A1574"/>
    <w:rsid w:val="004A2300"/>
    <w:rsid w:val="004A4BA0"/>
    <w:rsid w:val="004A725C"/>
    <w:rsid w:val="004B0789"/>
    <w:rsid w:val="004B0A4B"/>
    <w:rsid w:val="004B1918"/>
    <w:rsid w:val="004B1EF9"/>
    <w:rsid w:val="004B3DE7"/>
    <w:rsid w:val="004B498E"/>
    <w:rsid w:val="004B5076"/>
    <w:rsid w:val="004B5340"/>
    <w:rsid w:val="004B5722"/>
    <w:rsid w:val="004B5A79"/>
    <w:rsid w:val="004B6030"/>
    <w:rsid w:val="004B6037"/>
    <w:rsid w:val="004B6CE3"/>
    <w:rsid w:val="004B6E9D"/>
    <w:rsid w:val="004B6F34"/>
    <w:rsid w:val="004B7157"/>
    <w:rsid w:val="004B7839"/>
    <w:rsid w:val="004C04B0"/>
    <w:rsid w:val="004C1059"/>
    <w:rsid w:val="004C21E3"/>
    <w:rsid w:val="004C292D"/>
    <w:rsid w:val="004C2C01"/>
    <w:rsid w:val="004C7877"/>
    <w:rsid w:val="004D01C0"/>
    <w:rsid w:val="004D2631"/>
    <w:rsid w:val="004D37A7"/>
    <w:rsid w:val="004D75AA"/>
    <w:rsid w:val="004D7C66"/>
    <w:rsid w:val="004E019C"/>
    <w:rsid w:val="004E03C5"/>
    <w:rsid w:val="004E09A2"/>
    <w:rsid w:val="004E20EC"/>
    <w:rsid w:val="004E3CA9"/>
    <w:rsid w:val="004E42E2"/>
    <w:rsid w:val="004E5204"/>
    <w:rsid w:val="004E6544"/>
    <w:rsid w:val="004E78B9"/>
    <w:rsid w:val="004F02E0"/>
    <w:rsid w:val="004F2ECD"/>
    <w:rsid w:val="004F3251"/>
    <w:rsid w:val="004F394D"/>
    <w:rsid w:val="004F48FD"/>
    <w:rsid w:val="004F50F0"/>
    <w:rsid w:val="004F5693"/>
    <w:rsid w:val="004F5A94"/>
    <w:rsid w:val="004F62E8"/>
    <w:rsid w:val="004F6B80"/>
    <w:rsid w:val="004F7CAE"/>
    <w:rsid w:val="00500F04"/>
    <w:rsid w:val="0050166C"/>
    <w:rsid w:val="00501DD0"/>
    <w:rsid w:val="00503DA3"/>
    <w:rsid w:val="00503DCB"/>
    <w:rsid w:val="00504785"/>
    <w:rsid w:val="00510D11"/>
    <w:rsid w:val="005119BA"/>
    <w:rsid w:val="005126EA"/>
    <w:rsid w:val="0051347C"/>
    <w:rsid w:val="005142AD"/>
    <w:rsid w:val="00514A5B"/>
    <w:rsid w:val="00514B32"/>
    <w:rsid w:val="005155B5"/>
    <w:rsid w:val="0051631C"/>
    <w:rsid w:val="00517865"/>
    <w:rsid w:val="00521311"/>
    <w:rsid w:val="0052164F"/>
    <w:rsid w:val="0052262B"/>
    <w:rsid w:val="0052272D"/>
    <w:rsid w:val="00522E0F"/>
    <w:rsid w:val="00527DF5"/>
    <w:rsid w:val="005322EB"/>
    <w:rsid w:val="00532A3F"/>
    <w:rsid w:val="00532C8B"/>
    <w:rsid w:val="005336CC"/>
    <w:rsid w:val="005339B8"/>
    <w:rsid w:val="005343A9"/>
    <w:rsid w:val="00535B60"/>
    <w:rsid w:val="00536D25"/>
    <w:rsid w:val="005372DF"/>
    <w:rsid w:val="00537303"/>
    <w:rsid w:val="00537DB1"/>
    <w:rsid w:val="00537E68"/>
    <w:rsid w:val="0054001D"/>
    <w:rsid w:val="0054103D"/>
    <w:rsid w:val="005413C8"/>
    <w:rsid w:val="00541804"/>
    <w:rsid w:val="00541DE4"/>
    <w:rsid w:val="00541EEA"/>
    <w:rsid w:val="00543444"/>
    <w:rsid w:val="00543E21"/>
    <w:rsid w:val="00544B2F"/>
    <w:rsid w:val="005468DC"/>
    <w:rsid w:val="00547CE4"/>
    <w:rsid w:val="00550D90"/>
    <w:rsid w:val="00554736"/>
    <w:rsid w:val="0055519A"/>
    <w:rsid w:val="005552B2"/>
    <w:rsid w:val="00555BCF"/>
    <w:rsid w:val="00556621"/>
    <w:rsid w:val="00556E17"/>
    <w:rsid w:val="005572E3"/>
    <w:rsid w:val="00560E8B"/>
    <w:rsid w:val="0056323D"/>
    <w:rsid w:val="0056454B"/>
    <w:rsid w:val="00564650"/>
    <w:rsid w:val="0056564D"/>
    <w:rsid w:val="005662CB"/>
    <w:rsid w:val="00567D61"/>
    <w:rsid w:val="0057007F"/>
    <w:rsid w:val="00570CDA"/>
    <w:rsid w:val="00575313"/>
    <w:rsid w:val="0057714E"/>
    <w:rsid w:val="00577295"/>
    <w:rsid w:val="0057772C"/>
    <w:rsid w:val="005779C9"/>
    <w:rsid w:val="00580CF5"/>
    <w:rsid w:val="005816FB"/>
    <w:rsid w:val="00583524"/>
    <w:rsid w:val="005838C6"/>
    <w:rsid w:val="00584805"/>
    <w:rsid w:val="00585DC5"/>
    <w:rsid w:val="00586D79"/>
    <w:rsid w:val="00586F83"/>
    <w:rsid w:val="0058773D"/>
    <w:rsid w:val="00587FE4"/>
    <w:rsid w:val="00590221"/>
    <w:rsid w:val="005922F2"/>
    <w:rsid w:val="005932AA"/>
    <w:rsid w:val="00593AF2"/>
    <w:rsid w:val="005957D9"/>
    <w:rsid w:val="00595DC2"/>
    <w:rsid w:val="00596580"/>
    <w:rsid w:val="005973E6"/>
    <w:rsid w:val="00597827"/>
    <w:rsid w:val="005A027A"/>
    <w:rsid w:val="005A0CC2"/>
    <w:rsid w:val="005A3373"/>
    <w:rsid w:val="005A44A4"/>
    <w:rsid w:val="005A5454"/>
    <w:rsid w:val="005A7713"/>
    <w:rsid w:val="005A7E20"/>
    <w:rsid w:val="005A7FC8"/>
    <w:rsid w:val="005B0002"/>
    <w:rsid w:val="005B0E6D"/>
    <w:rsid w:val="005B1525"/>
    <w:rsid w:val="005B56F7"/>
    <w:rsid w:val="005B5790"/>
    <w:rsid w:val="005B73F0"/>
    <w:rsid w:val="005B783E"/>
    <w:rsid w:val="005C1825"/>
    <w:rsid w:val="005C1FF4"/>
    <w:rsid w:val="005C3029"/>
    <w:rsid w:val="005C314E"/>
    <w:rsid w:val="005C633C"/>
    <w:rsid w:val="005C6CB8"/>
    <w:rsid w:val="005C7004"/>
    <w:rsid w:val="005D149D"/>
    <w:rsid w:val="005D25D0"/>
    <w:rsid w:val="005D4692"/>
    <w:rsid w:val="005D54B6"/>
    <w:rsid w:val="005D591E"/>
    <w:rsid w:val="005D5AA1"/>
    <w:rsid w:val="005D6CDA"/>
    <w:rsid w:val="005D7EBA"/>
    <w:rsid w:val="005E0053"/>
    <w:rsid w:val="005E01D1"/>
    <w:rsid w:val="005E1749"/>
    <w:rsid w:val="005E1A27"/>
    <w:rsid w:val="005E1D2B"/>
    <w:rsid w:val="005E1DEF"/>
    <w:rsid w:val="005E4866"/>
    <w:rsid w:val="005E5545"/>
    <w:rsid w:val="005E5F3A"/>
    <w:rsid w:val="005E66D3"/>
    <w:rsid w:val="005E7C87"/>
    <w:rsid w:val="005F0833"/>
    <w:rsid w:val="005F177D"/>
    <w:rsid w:val="005F4E17"/>
    <w:rsid w:val="005F586B"/>
    <w:rsid w:val="005F64F4"/>
    <w:rsid w:val="005F6C72"/>
    <w:rsid w:val="005F7236"/>
    <w:rsid w:val="00601C05"/>
    <w:rsid w:val="006029B7"/>
    <w:rsid w:val="00602A48"/>
    <w:rsid w:val="00602BAD"/>
    <w:rsid w:val="00603565"/>
    <w:rsid w:val="00604176"/>
    <w:rsid w:val="0060454B"/>
    <w:rsid w:val="00605611"/>
    <w:rsid w:val="006065B6"/>
    <w:rsid w:val="00606643"/>
    <w:rsid w:val="00610FDD"/>
    <w:rsid w:val="006117DA"/>
    <w:rsid w:val="006133A9"/>
    <w:rsid w:val="00614501"/>
    <w:rsid w:val="00615197"/>
    <w:rsid w:val="00616460"/>
    <w:rsid w:val="00616B9F"/>
    <w:rsid w:val="00617CE3"/>
    <w:rsid w:val="00617CFF"/>
    <w:rsid w:val="006218EA"/>
    <w:rsid w:val="00622563"/>
    <w:rsid w:val="00623AC8"/>
    <w:rsid w:val="00623D18"/>
    <w:rsid w:val="00623FB8"/>
    <w:rsid w:val="00626C7B"/>
    <w:rsid w:val="006300A4"/>
    <w:rsid w:val="00630C96"/>
    <w:rsid w:val="006332BD"/>
    <w:rsid w:val="00633D2B"/>
    <w:rsid w:val="00634507"/>
    <w:rsid w:val="00637674"/>
    <w:rsid w:val="00637EF8"/>
    <w:rsid w:val="00640C42"/>
    <w:rsid w:val="00641561"/>
    <w:rsid w:val="00641648"/>
    <w:rsid w:val="006418FA"/>
    <w:rsid w:val="0064199A"/>
    <w:rsid w:val="00641DE6"/>
    <w:rsid w:val="00644DCE"/>
    <w:rsid w:val="006455C2"/>
    <w:rsid w:val="0064676C"/>
    <w:rsid w:val="0064768F"/>
    <w:rsid w:val="00647E1D"/>
    <w:rsid w:val="00647E8E"/>
    <w:rsid w:val="0065280A"/>
    <w:rsid w:val="00652F84"/>
    <w:rsid w:val="00660ADE"/>
    <w:rsid w:val="006623FB"/>
    <w:rsid w:val="006625C7"/>
    <w:rsid w:val="00664037"/>
    <w:rsid w:val="00665594"/>
    <w:rsid w:val="00666B0A"/>
    <w:rsid w:val="00666CF4"/>
    <w:rsid w:val="0066735A"/>
    <w:rsid w:val="0066746E"/>
    <w:rsid w:val="0067016D"/>
    <w:rsid w:val="00670D2C"/>
    <w:rsid w:val="006710CA"/>
    <w:rsid w:val="0067177B"/>
    <w:rsid w:val="006728F1"/>
    <w:rsid w:val="006765F1"/>
    <w:rsid w:val="00677437"/>
    <w:rsid w:val="006803FC"/>
    <w:rsid w:val="0068050F"/>
    <w:rsid w:val="006811EA"/>
    <w:rsid w:val="006815F0"/>
    <w:rsid w:val="0068278F"/>
    <w:rsid w:val="00683454"/>
    <w:rsid w:val="00683F10"/>
    <w:rsid w:val="00684DD5"/>
    <w:rsid w:val="00686F94"/>
    <w:rsid w:val="0068719F"/>
    <w:rsid w:val="00687285"/>
    <w:rsid w:val="00687876"/>
    <w:rsid w:val="00687E51"/>
    <w:rsid w:val="00690134"/>
    <w:rsid w:val="006903C3"/>
    <w:rsid w:val="00690CEF"/>
    <w:rsid w:val="00690E7E"/>
    <w:rsid w:val="0069163D"/>
    <w:rsid w:val="00691B78"/>
    <w:rsid w:val="00691EBD"/>
    <w:rsid w:val="006943F0"/>
    <w:rsid w:val="0069712B"/>
    <w:rsid w:val="006A1849"/>
    <w:rsid w:val="006A3742"/>
    <w:rsid w:val="006A413D"/>
    <w:rsid w:val="006A4F86"/>
    <w:rsid w:val="006A7BE3"/>
    <w:rsid w:val="006A7E00"/>
    <w:rsid w:val="006B037D"/>
    <w:rsid w:val="006B0ABC"/>
    <w:rsid w:val="006B3B51"/>
    <w:rsid w:val="006B3C68"/>
    <w:rsid w:val="006B5691"/>
    <w:rsid w:val="006B5BB2"/>
    <w:rsid w:val="006B66C9"/>
    <w:rsid w:val="006C1677"/>
    <w:rsid w:val="006C16A3"/>
    <w:rsid w:val="006C26F3"/>
    <w:rsid w:val="006C2C68"/>
    <w:rsid w:val="006C2FC9"/>
    <w:rsid w:val="006C3835"/>
    <w:rsid w:val="006C3D95"/>
    <w:rsid w:val="006C3F1D"/>
    <w:rsid w:val="006D525E"/>
    <w:rsid w:val="006D54AE"/>
    <w:rsid w:val="006E22DC"/>
    <w:rsid w:val="006E2E30"/>
    <w:rsid w:val="006E3898"/>
    <w:rsid w:val="006E3F36"/>
    <w:rsid w:val="006E4C66"/>
    <w:rsid w:val="006E4D54"/>
    <w:rsid w:val="006E5D43"/>
    <w:rsid w:val="006F1B3B"/>
    <w:rsid w:val="006F44FE"/>
    <w:rsid w:val="006F5B75"/>
    <w:rsid w:val="006F5F9A"/>
    <w:rsid w:val="006F7CFB"/>
    <w:rsid w:val="0070072B"/>
    <w:rsid w:val="00701945"/>
    <w:rsid w:val="00703540"/>
    <w:rsid w:val="00703EFC"/>
    <w:rsid w:val="00705182"/>
    <w:rsid w:val="00705CB9"/>
    <w:rsid w:val="00706255"/>
    <w:rsid w:val="007067C7"/>
    <w:rsid w:val="00706CCD"/>
    <w:rsid w:val="00712EEE"/>
    <w:rsid w:val="007144B3"/>
    <w:rsid w:val="00720558"/>
    <w:rsid w:val="00721CEB"/>
    <w:rsid w:val="00722503"/>
    <w:rsid w:val="00722F76"/>
    <w:rsid w:val="00723F01"/>
    <w:rsid w:val="00724437"/>
    <w:rsid w:val="00726EAD"/>
    <w:rsid w:val="00726FD8"/>
    <w:rsid w:val="00730068"/>
    <w:rsid w:val="0073075A"/>
    <w:rsid w:val="007309F8"/>
    <w:rsid w:val="00731ABF"/>
    <w:rsid w:val="007327A5"/>
    <w:rsid w:val="00736037"/>
    <w:rsid w:val="00736AFD"/>
    <w:rsid w:val="00737B49"/>
    <w:rsid w:val="00741BCF"/>
    <w:rsid w:val="00742779"/>
    <w:rsid w:val="00742889"/>
    <w:rsid w:val="007435B5"/>
    <w:rsid w:val="007452AD"/>
    <w:rsid w:val="0074545F"/>
    <w:rsid w:val="00746D19"/>
    <w:rsid w:val="00747FFC"/>
    <w:rsid w:val="00752092"/>
    <w:rsid w:val="0075283E"/>
    <w:rsid w:val="0075306C"/>
    <w:rsid w:val="007534DB"/>
    <w:rsid w:val="007541CD"/>
    <w:rsid w:val="00755873"/>
    <w:rsid w:val="00755FE2"/>
    <w:rsid w:val="007625E7"/>
    <w:rsid w:val="00764695"/>
    <w:rsid w:val="00764D7C"/>
    <w:rsid w:val="00765361"/>
    <w:rsid w:val="00765D8A"/>
    <w:rsid w:val="00767D0B"/>
    <w:rsid w:val="0077150A"/>
    <w:rsid w:val="00771D26"/>
    <w:rsid w:val="00772E30"/>
    <w:rsid w:val="007739D5"/>
    <w:rsid w:val="007743C4"/>
    <w:rsid w:val="007753AD"/>
    <w:rsid w:val="007755D2"/>
    <w:rsid w:val="007764E8"/>
    <w:rsid w:val="00781FF4"/>
    <w:rsid w:val="007822EF"/>
    <w:rsid w:val="007844F7"/>
    <w:rsid w:val="00785376"/>
    <w:rsid w:val="007858CB"/>
    <w:rsid w:val="00785A68"/>
    <w:rsid w:val="007864EE"/>
    <w:rsid w:val="00787620"/>
    <w:rsid w:val="0078786B"/>
    <w:rsid w:val="00790620"/>
    <w:rsid w:val="00795B29"/>
    <w:rsid w:val="00796CA3"/>
    <w:rsid w:val="007A0520"/>
    <w:rsid w:val="007A0888"/>
    <w:rsid w:val="007A0971"/>
    <w:rsid w:val="007A1DF7"/>
    <w:rsid w:val="007A3E03"/>
    <w:rsid w:val="007A4F9B"/>
    <w:rsid w:val="007A5A51"/>
    <w:rsid w:val="007A5DD2"/>
    <w:rsid w:val="007A60AA"/>
    <w:rsid w:val="007A7EB6"/>
    <w:rsid w:val="007B00DB"/>
    <w:rsid w:val="007B074C"/>
    <w:rsid w:val="007B20EE"/>
    <w:rsid w:val="007B2F00"/>
    <w:rsid w:val="007B3424"/>
    <w:rsid w:val="007B39DB"/>
    <w:rsid w:val="007B3B86"/>
    <w:rsid w:val="007B4AC3"/>
    <w:rsid w:val="007C0BBA"/>
    <w:rsid w:val="007C0CA0"/>
    <w:rsid w:val="007C1F9C"/>
    <w:rsid w:val="007C2F15"/>
    <w:rsid w:val="007C3A62"/>
    <w:rsid w:val="007C3A92"/>
    <w:rsid w:val="007C446B"/>
    <w:rsid w:val="007C4891"/>
    <w:rsid w:val="007C5141"/>
    <w:rsid w:val="007C778A"/>
    <w:rsid w:val="007D2D53"/>
    <w:rsid w:val="007D448F"/>
    <w:rsid w:val="007D4BB3"/>
    <w:rsid w:val="007D5EC1"/>
    <w:rsid w:val="007D65E9"/>
    <w:rsid w:val="007D7384"/>
    <w:rsid w:val="007D7BE6"/>
    <w:rsid w:val="007D7F4D"/>
    <w:rsid w:val="007E0560"/>
    <w:rsid w:val="007E1913"/>
    <w:rsid w:val="007E2EB0"/>
    <w:rsid w:val="007E3450"/>
    <w:rsid w:val="007E5CED"/>
    <w:rsid w:val="007E62D6"/>
    <w:rsid w:val="007E6C68"/>
    <w:rsid w:val="007E7D3A"/>
    <w:rsid w:val="007F0C92"/>
    <w:rsid w:val="007F1655"/>
    <w:rsid w:val="007F17B2"/>
    <w:rsid w:val="007F2074"/>
    <w:rsid w:val="007F4F8B"/>
    <w:rsid w:val="007F66C2"/>
    <w:rsid w:val="007F683C"/>
    <w:rsid w:val="007F7D64"/>
    <w:rsid w:val="0080023B"/>
    <w:rsid w:val="0080126E"/>
    <w:rsid w:val="00801B07"/>
    <w:rsid w:val="00803120"/>
    <w:rsid w:val="00805917"/>
    <w:rsid w:val="00807791"/>
    <w:rsid w:val="00807FED"/>
    <w:rsid w:val="00811EB4"/>
    <w:rsid w:val="0081222B"/>
    <w:rsid w:val="008127D1"/>
    <w:rsid w:val="00812A99"/>
    <w:rsid w:val="00813165"/>
    <w:rsid w:val="00814895"/>
    <w:rsid w:val="008149CC"/>
    <w:rsid w:val="00815415"/>
    <w:rsid w:val="008208EC"/>
    <w:rsid w:val="00820B84"/>
    <w:rsid w:val="00822C9D"/>
    <w:rsid w:val="00823877"/>
    <w:rsid w:val="00824196"/>
    <w:rsid w:val="00824C62"/>
    <w:rsid w:val="00826423"/>
    <w:rsid w:val="0082669E"/>
    <w:rsid w:val="00830755"/>
    <w:rsid w:val="008311B1"/>
    <w:rsid w:val="00831FDE"/>
    <w:rsid w:val="0083338E"/>
    <w:rsid w:val="00834D3A"/>
    <w:rsid w:val="00836099"/>
    <w:rsid w:val="00836180"/>
    <w:rsid w:val="0083689A"/>
    <w:rsid w:val="00836C32"/>
    <w:rsid w:val="00836D16"/>
    <w:rsid w:val="00841809"/>
    <w:rsid w:val="008422AD"/>
    <w:rsid w:val="00842528"/>
    <w:rsid w:val="0084312B"/>
    <w:rsid w:val="0084468E"/>
    <w:rsid w:val="00845AD4"/>
    <w:rsid w:val="00845BF0"/>
    <w:rsid w:val="00846283"/>
    <w:rsid w:val="0084768E"/>
    <w:rsid w:val="00847FB4"/>
    <w:rsid w:val="0085073F"/>
    <w:rsid w:val="0085092B"/>
    <w:rsid w:val="0085593E"/>
    <w:rsid w:val="00855F22"/>
    <w:rsid w:val="00857488"/>
    <w:rsid w:val="008577C9"/>
    <w:rsid w:val="00862439"/>
    <w:rsid w:val="008629F9"/>
    <w:rsid w:val="0086335B"/>
    <w:rsid w:val="00863418"/>
    <w:rsid w:val="00863950"/>
    <w:rsid w:val="008640E1"/>
    <w:rsid w:val="00866E03"/>
    <w:rsid w:val="00872507"/>
    <w:rsid w:val="00874165"/>
    <w:rsid w:val="008743C3"/>
    <w:rsid w:val="008765B8"/>
    <w:rsid w:val="00877187"/>
    <w:rsid w:val="00877950"/>
    <w:rsid w:val="0088088D"/>
    <w:rsid w:val="00881D01"/>
    <w:rsid w:val="00882581"/>
    <w:rsid w:val="00882F22"/>
    <w:rsid w:val="00885078"/>
    <w:rsid w:val="00885696"/>
    <w:rsid w:val="00892C47"/>
    <w:rsid w:val="00893EB5"/>
    <w:rsid w:val="00894020"/>
    <w:rsid w:val="00894B8B"/>
    <w:rsid w:val="00894CE4"/>
    <w:rsid w:val="008952D1"/>
    <w:rsid w:val="00895CCE"/>
    <w:rsid w:val="00896373"/>
    <w:rsid w:val="008A0341"/>
    <w:rsid w:val="008A0898"/>
    <w:rsid w:val="008A0F7A"/>
    <w:rsid w:val="008A19B6"/>
    <w:rsid w:val="008A1CCF"/>
    <w:rsid w:val="008A3AA7"/>
    <w:rsid w:val="008A4054"/>
    <w:rsid w:val="008A6356"/>
    <w:rsid w:val="008A7ACC"/>
    <w:rsid w:val="008A7F41"/>
    <w:rsid w:val="008B0DBC"/>
    <w:rsid w:val="008B3046"/>
    <w:rsid w:val="008B4BAC"/>
    <w:rsid w:val="008B6878"/>
    <w:rsid w:val="008B71B4"/>
    <w:rsid w:val="008B72A2"/>
    <w:rsid w:val="008C037D"/>
    <w:rsid w:val="008C0495"/>
    <w:rsid w:val="008C0524"/>
    <w:rsid w:val="008C10CC"/>
    <w:rsid w:val="008C11DC"/>
    <w:rsid w:val="008C1366"/>
    <w:rsid w:val="008C1A56"/>
    <w:rsid w:val="008C2094"/>
    <w:rsid w:val="008C24FE"/>
    <w:rsid w:val="008C2B8B"/>
    <w:rsid w:val="008C3DA7"/>
    <w:rsid w:val="008C7EF1"/>
    <w:rsid w:val="008D14F6"/>
    <w:rsid w:val="008D1D4B"/>
    <w:rsid w:val="008D1D9F"/>
    <w:rsid w:val="008D3CD4"/>
    <w:rsid w:val="008D4952"/>
    <w:rsid w:val="008D4DCC"/>
    <w:rsid w:val="008D4DD3"/>
    <w:rsid w:val="008D6092"/>
    <w:rsid w:val="008D6598"/>
    <w:rsid w:val="008E2775"/>
    <w:rsid w:val="008E56D7"/>
    <w:rsid w:val="008E5E76"/>
    <w:rsid w:val="008E7466"/>
    <w:rsid w:val="008F1AD2"/>
    <w:rsid w:val="008F1ED7"/>
    <w:rsid w:val="008F21CC"/>
    <w:rsid w:val="008F4015"/>
    <w:rsid w:val="008F66EC"/>
    <w:rsid w:val="008F6B03"/>
    <w:rsid w:val="008F6B27"/>
    <w:rsid w:val="00900593"/>
    <w:rsid w:val="00901083"/>
    <w:rsid w:val="0090464B"/>
    <w:rsid w:val="00904D45"/>
    <w:rsid w:val="00904F5B"/>
    <w:rsid w:val="00906BE7"/>
    <w:rsid w:val="00907A70"/>
    <w:rsid w:val="009122C7"/>
    <w:rsid w:val="00912A96"/>
    <w:rsid w:val="00913C06"/>
    <w:rsid w:val="00913D15"/>
    <w:rsid w:val="00913D79"/>
    <w:rsid w:val="0091546D"/>
    <w:rsid w:val="00915801"/>
    <w:rsid w:val="00915EB0"/>
    <w:rsid w:val="00921F64"/>
    <w:rsid w:val="00922DC6"/>
    <w:rsid w:val="00923CE5"/>
    <w:rsid w:val="00923E7C"/>
    <w:rsid w:val="00925075"/>
    <w:rsid w:val="00925FB0"/>
    <w:rsid w:val="0092790D"/>
    <w:rsid w:val="00934084"/>
    <w:rsid w:val="00934A65"/>
    <w:rsid w:val="009352B0"/>
    <w:rsid w:val="0093611D"/>
    <w:rsid w:val="0093792B"/>
    <w:rsid w:val="00941051"/>
    <w:rsid w:val="009420B0"/>
    <w:rsid w:val="00942C58"/>
    <w:rsid w:val="00945F4D"/>
    <w:rsid w:val="009466B6"/>
    <w:rsid w:val="0094681D"/>
    <w:rsid w:val="00946EC0"/>
    <w:rsid w:val="009476ED"/>
    <w:rsid w:val="00950220"/>
    <w:rsid w:val="00951B31"/>
    <w:rsid w:val="00951B96"/>
    <w:rsid w:val="00951DE8"/>
    <w:rsid w:val="00953743"/>
    <w:rsid w:val="00954FA7"/>
    <w:rsid w:val="0095625E"/>
    <w:rsid w:val="00956595"/>
    <w:rsid w:val="00957810"/>
    <w:rsid w:val="009617FA"/>
    <w:rsid w:val="0096355B"/>
    <w:rsid w:val="009645E5"/>
    <w:rsid w:val="00964EE8"/>
    <w:rsid w:val="009656E8"/>
    <w:rsid w:val="00966BA9"/>
    <w:rsid w:val="009670F8"/>
    <w:rsid w:val="009702C7"/>
    <w:rsid w:val="00970E37"/>
    <w:rsid w:val="00970F3A"/>
    <w:rsid w:val="00973ACE"/>
    <w:rsid w:val="009752A0"/>
    <w:rsid w:val="00975811"/>
    <w:rsid w:val="00975A85"/>
    <w:rsid w:val="0097654D"/>
    <w:rsid w:val="0097675F"/>
    <w:rsid w:val="009776AB"/>
    <w:rsid w:val="00977E4F"/>
    <w:rsid w:val="0098034E"/>
    <w:rsid w:val="00981228"/>
    <w:rsid w:val="009817E5"/>
    <w:rsid w:val="00981B70"/>
    <w:rsid w:val="00981F23"/>
    <w:rsid w:val="0098205B"/>
    <w:rsid w:val="00982C5A"/>
    <w:rsid w:val="009830D9"/>
    <w:rsid w:val="009830F7"/>
    <w:rsid w:val="00983A6A"/>
    <w:rsid w:val="00984CAF"/>
    <w:rsid w:val="00985D6C"/>
    <w:rsid w:val="00987969"/>
    <w:rsid w:val="00987C33"/>
    <w:rsid w:val="00990B34"/>
    <w:rsid w:val="00991553"/>
    <w:rsid w:val="00991635"/>
    <w:rsid w:val="00991F95"/>
    <w:rsid w:val="009921DB"/>
    <w:rsid w:val="009929C2"/>
    <w:rsid w:val="009936CA"/>
    <w:rsid w:val="00993938"/>
    <w:rsid w:val="009941F5"/>
    <w:rsid w:val="0099520D"/>
    <w:rsid w:val="009959C2"/>
    <w:rsid w:val="009962BA"/>
    <w:rsid w:val="009A1B28"/>
    <w:rsid w:val="009A1E45"/>
    <w:rsid w:val="009A1F9B"/>
    <w:rsid w:val="009A2778"/>
    <w:rsid w:val="009A289F"/>
    <w:rsid w:val="009A2D17"/>
    <w:rsid w:val="009A2F81"/>
    <w:rsid w:val="009A4018"/>
    <w:rsid w:val="009A4BD1"/>
    <w:rsid w:val="009A4BF1"/>
    <w:rsid w:val="009A4C05"/>
    <w:rsid w:val="009A50E3"/>
    <w:rsid w:val="009A54AA"/>
    <w:rsid w:val="009A79F2"/>
    <w:rsid w:val="009A7E4D"/>
    <w:rsid w:val="009B05B5"/>
    <w:rsid w:val="009B18C6"/>
    <w:rsid w:val="009B40FA"/>
    <w:rsid w:val="009C031C"/>
    <w:rsid w:val="009C276F"/>
    <w:rsid w:val="009C37E4"/>
    <w:rsid w:val="009C42E1"/>
    <w:rsid w:val="009C6F14"/>
    <w:rsid w:val="009D00D7"/>
    <w:rsid w:val="009D06C9"/>
    <w:rsid w:val="009D1055"/>
    <w:rsid w:val="009D265E"/>
    <w:rsid w:val="009D276A"/>
    <w:rsid w:val="009D2ACC"/>
    <w:rsid w:val="009D3ADE"/>
    <w:rsid w:val="009D587C"/>
    <w:rsid w:val="009D701C"/>
    <w:rsid w:val="009D7C9B"/>
    <w:rsid w:val="009E08F3"/>
    <w:rsid w:val="009E0958"/>
    <w:rsid w:val="009E1FC6"/>
    <w:rsid w:val="009E2504"/>
    <w:rsid w:val="009E4072"/>
    <w:rsid w:val="009E4628"/>
    <w:rsid w:val="009E4CBB"/>
    <w:rsid w:val="009E64A3"/>
    <w:rsid w:val="009E73DC"/>
    <w:rsid w:val="009E76DF"/>
    <w:rsid w:val="009F11C8"/>
    <w:rsid w:val="009F2F9A"/>
    <w:rsid w:val="009F31A9"/>
    <w:rsid w:val="009F7B1A"/>
    <w:rsid w:val="00A001BE"/>
    <w:rsid w:val="00A0096E"/>
    <w:rsid w:val="00A026C9"/>
    <w:rsid w:val="00A027D7"/>
    <w:rsid w:val="00A027FD"/>
    <w:rsid w:val="00A031CA"/>
    <w:rsid w:val="00A0350D"/>
    <w:rsid w:val="00A03B0D"/>
    <w:rsid w:val="00A03FB9"/>
    <w:rsid w:val="00A0573A"/>
    <w:rsid w:val="00A07824"/>
    <w:rsid w:val="00A078DB"/>
    <w:rsid w:val="00A12127"/>
    <w:rsid w:val="00A12292"/>
    <w:rsid w:val="00A13C44"/>
    <w:rsid w:val="00A14137"/>
    <w:rsid w:val="00A14EE4"/>
    <w:rsid w:val="00A15B42"/>
    <w:rsid w:val="00A15BB3"/>
    <w:rsid w:val="00A16D7C"/>
    <w:rsid w:val="00A179D5"/>
    <w:rsid w:val="00A248D1"/>
    <w:rsid w:val="00A24E7D"/>
    <w:rsid w:val="00A31120"/>
    <w:rsid w:val="00A31B76"/>
    <w:rsid w:val="00A330C4"/>
    <w:rsid w:val="00A34B33"/>
    <w:rsid w:val="00A3684B"/>
    <w:rsid w:val="00A3692B"/>
    <w:rsid w:val="00A37677"/>
    <w:rsid w:val="00A3775B"/>
    <w:rsid w:val="00A40AED"/>
    <w:rsid w:val="00A4110C"/>
    <w:rsid w:val="00A42F52"/>
    <w:rsid w:val="00A435AA"/>
    <w:rsid w:val="00A435C0"/>
    <w:rsid w:val="00A43EA9"/>
    <w:rsid w:val="00A458D3"/>
    <w:rsid w:val="00A46411"/>
    <w:rsid w:val="00A50C1B"/>
    <w:rsid w:val="00A52FE0"/>
    <w:rsid w:val="00A53880"/>
    <w:rsid w:val="00A5417A"/>
    <w:rsid w:val="00A55B84"/>
    <w:rsid w:val="00A56690"/>
    <w:rsid w:val="00A569CE"/>
    <w:rsid w:val="00A579F0"/>
    <w:rsid w:val="00A57BBB"/>
    <w:rsid w:val="00A60117"/>
    <w:rsid w:val="00A602D6"/>
    <w:rsid w:val="00A60B23"/>
    <w:rsid w:val="00A60CD7"/>
    <w:rsid w:val="00A61082"/>
    <w:rsid w:val="00A615D9"/>
    <w:rsid w:val="00A6227C"/>
    <w:rsid w:val="00A625BA"/>
    <w:rsid w:val="00A62B90"/>
    <w:rsid w:val="00A62DF2"/>
    <w:rsid w:val="00A6332C"/>
    <w:rsid w:val="00A63B05"/>
    <w:rsid w:val="00A64975"/>
    <w:rsid w:val="00A64F27"/>
    <w:rsid w:val="00A65EBA"/>
    <w:rsid w:val="00A75348"/>
    <w:rsid w:val="00A75550"/>
    <w:rsid w:val="00A7610E"/>
    <w:rsid w:val="00A77F8F"/>
    <w:rsid w:val="00A816BD"/>
    <w:rsid w:val="00A81C91"/>
    <w:rsid w:val="00A831C4"/>
    <w:rsid w:val="00A85E6C"/>
    <w:rsid w:val="00A85E88"/>
    <w:rsid w:val="00A86886"/>
    <w:rsid w:val="00A87AC2"/>
    <w:rsid w:val="00A9300E"/>
    <w:rsid w:val="00A9516E"/>
    <w:rsid w:val="00A9685E"/>
    <w:rsid w:val="00AA0539"/>
    <w:rsid w:val="00AA1D69"/>
    <w:rsid w:val="00AA3F96"/>
    <w:rsid w:val="00AA60B4"/>
    <w:rsid w:val="00AA796C"/>
    <w:rsid w:val="00AA7E13"/>
    <w:rsid w:val="00AB1D2C"/>
    <w:rsid w:val="00AB369D"/>
    <w:rsid w:val="00AB67DE"/>
    <w:rsid w:val="00AB6DA5"/>
    <w:rsid w:val="00AB77C4"/>
    <w:rsid w:val="00AB7987"/>
    <w:rsid w:val="00AB7AB4"/>
    <w:rsid w:val="00AB7C01"/>
    <w:rsid w:val="00AC1241"/>
    <w:rsid w:val="00AC326C"/>
    <w:rsid w:val="00AC3B76"/>
    <w:rsid w:val="00AC3F50"/>
    <w:rsid w:val="00AC485D"/>
    <w:rsid w:val="00AC496F"/>
    <w:rsid w:val="00AC5096"/>
    <w:rsid w:val="00AC5B1B"/>
    <w:rsid w:val="00AC6480"/>
    <w:rsid w:val="00AC70F3"/>
    <w:rsid w:val="00AD1BD2"/>
    <w:rsid w:val="00AD22E3"/>
    <w:rsid w:val="00AD2F9B"/>
    <w:rsid w:val="00AD6817"/>
    <w:rsid w:val="00AD7876"/>
    <w:rsid w:val="00AE078A"/>
    <w:rsid w:val="00AE0839"/>
    <w:rsid w:val="00AE0DC1"/>
    <w:rsid w:val="00AE12C0"/>
    <w:rsid w:val="00AE1573"/>
    <w:rsid w:val="00AE1A8D"/>
    <w:rsid w:val="00AE1BBA"/>
    <w:rsid w:val="00AE2583"/>
    <w:rsid w:val="00AE2BC0"/>
    <w:rsid w:val="00AE3027"/>
    <w:rsid w:val="00AE35F6"/>
    <w:rsid w:val="00AE3923"/>
    <w:rsid w:val="00AE54D6"/>
    <w:rsid w:val="00AE6635"/>
    <w:rsid w:val="00AE7843"/>
    <w:rsid w:val="00AF1EB6"/>
    <w:rsid w:val="00AF2199"/>
    <w:rsid w:val="00AF44BB"/>
    <w:rsid w:val="00AF4AE5"/>
    <w:rsid w:val="00AF5168"/>
    <w:rsid w:val="00AF543D"/>
    <w:rsid w:val="00AF6392"/>
    <w:rsid w:val="00AF6F6E"/>
    <w:rsid w:val="00B012F6"/>
    <w:rsid w:val="00B0318F"/>
    <w:rsid w:val="00B0320D"/>
    <w:rsid w:val="00B04BF9"/>
    <w:rsid w:val="00B07262"/>
    <w:rsid w:val="00B07C10"/>
    <w:rsid w:val="00B10724"/>
    <w:rsid w:val="00B13100"/>
    <w:rsid w:val="00B1344C"/>
    <w:rsid w:val="00B156D6"/>
    <w:rsid w:val="00B16B77"/>
    <w:rsid w:val="00B16C61"/>
    <w:rsid w:val="00B1708D"/>
    <w:rsid w:val="00B20040"/>
    <w:rsid w:val="00B21387"/>
    <w:rsid w:val="00B24061"/>
    <w:rsid w:val="00B2444D"/>
    <w:rsid w:val="00B24A9A"/>
    <w:rsid w:val="00B27641"/>
    <w:rsid w:val="00B27944"/>
    <w:rsid w:val="00B27E13"/>
    <w:rsid w:val="00B32E45"/>
    <w:rsid w:val="00B33D37"/>
    <w:rsid w:val="00B351B2"/>
    <w:rsid w:val="00B35874"/>
    <w:rsid w:val="00B37635"/>
    <w:rsid w:val="00B44CB9"/>
    <w:rsid w:val="00B45D25"/>
    <w:rsid w:val="00B46A8D"/>
    <w:rsid w:val="00B47B65"/>
    <w:rsid w:val="00B52385"/>
    <w:rsid w:val="00B5247D"/>
    <w:rsid w:val="00B52903"/>
    <w:rsid w:val="00B531C7"/>
    <w:rsid w:val="00B53EEA"/>
    <w:rsid w:val="00B552EB"/>
    <w:rsid w:val="00B5612A"/>
    <w:rsid w:val="00B57988"/>
    <w:rsid w:val="00B6139D"/>
    <w:rsid w:val="00B61E9C"/>
    <w:rsid w:val="00B6266B"/>
    <w:rsid w:val="00B6305C"/>
    <w:rsid w:val="00B63DDB"/>
    <w:rsid w:val="00B64470"/>
    <w:rsid w:val="00B64831"/>
    <w:rsid w:val="00B66750"/>
    <w:rsid w:val="00B67DC8"/>
    <w:rsid w:val="00B70C23"/>
    <w:rsid w:val="00B70FE9"/>
    <w:rsid w:val="00B73AEA"/>
    <w:rsid w:val="00B73BC5"/>
    <w:rsid w:val="00B74D31"/>
    <w:rsid w:val="00B75887"/>
    <w:rsid w:val="00B76783"/>
    <w:rsid w:val="00B76A8F"/>
    <w:rsid w:val="00B76AAB"/>
    <w:rsid w:val="00B81209"/>
    <w:rsid w:val="00B8209A"/>
    <w:rsid w:val="00B857DA"/>
    <w:rsid w:val="00B86D7B"/>
    <w:rsid w:val="00B876CE"/>
    <w:rsid w:val="00B87BC2"/>
    <w:rsid w:val="00B90A68"/>
    <w:rsid w:val="00B91052"/>
    <w:rsid w:val="00B937E0"/>
    <w:rsid w:val="00B937E9"/>
    <w:rsid w:val="00B94A05"/>
    <w:rsid w:val="00B94BAF"/>
    <w:rsid w:val="00B96003"/>
    <w:rsid w:val="00B96EAD"/>
    <w:rsid w:val="00BA00A5"/>
    <w:rsid w:val="00BA129B"/>
    <w:rsid w:val="00BA1679"/>
    <w:rsid w:val="00BA327B"/>
    <w:rsid w:val="00BA36F4"/>
    <w:rsid w:val="00BA439F"/>
    <w:rsid w:val="00BA79C3"/>
    <w:rsid w:val="00BA79E1"/>
    <w:rsid w:val="00BB00EA"/>
    <w:rsid w:val="00BB02AB"/>
    <w:rsid w:val="00BB10EC"/>
    <w:rsid w:val="00BB2173"/>
    <w:rsid w:val="00BB2350"/>
    <w:rsid w:val="00BB25BF"/>
    <w:rsid w:val="00BB2656"/>
    <w:rsid w:val="00BB38C6"/>
    <w:rsid w:val="00BB39FC"/>
    <w:rsid w:val="00BB41A5"/>
    <w:rsid w:val="00BB6391"/>
    <w:rsid w:val="00BC0D0E"/>
    <w:rsid w:val="00BC1F16"/>
    <w:rsid w:val="00BC2102"/>
    <w:rsid w:val="00BC235B"/>
    <w:rsid w:val="00BC32AF"/>
    <w:rsid w:val="00BC4622"/>
    <w:rsid w:val="00BC6994"/>
    <w:rsid w:val="00BD0D4E"/>
    <w:rsid w:val="00BD1563"/>
    <w:rsid w:val="00BD30AC"/>
    <w:rsid w:val="00BD31C6"/>
    <w:rsid w:val="00BD4E1A"/>
    <w:rsid w:val="00BD4F74"/>
    <w:rsid w:val="00BD5746"/>
    <w:rsid w:val="00BD75A3"/>
    <w:rsid w:val="00BE08DF"/>
    <w:rsid w:val="00BE0DF0"/>
    <w:rsid w:val="00BE1E9D"/>
    <w:rsid w:val="00BE71D8"/>
    <w:rsid w:val="00BE7B23"/>
    <w:rsid w:val="00BF1CB0"/>
    <w:rsid w:val="00BF217E"/>
    <w:rsid w:val="00BF2D88"/>
    <w:rsid w:val="00BF6FE2"/>
    <w:rsid w:val="00BF7335"/>
    <w:rsid w:val="00C01F37"/>
    <w:rsid w:val="00C04A83"/>
    <w:rsid w:val="00C05334"/>
    <w:rsid w:val="00C05E50"/>
    <w:rsid w:val="00C0706E"/>
    <w:rsid w:val="00C07E24"/>
    <w:rsid w:val="00C14DDF"/>
    <w:rsid w:val="00C152E5"/>
    <w:rsid w:val="00C210E7"/>
    <w:rsid w:val="00C21101"/>
    <w:rsid w:val="00C219A7"/>
    <w:rsid w:val="00C21E6B"/>
    <w:rsid w:val="00C23859"/>
    <w:rsid w:val="00C25258"/>
    <w:rsid w:val="00C25978"/>
    <w:rsid w:val="00C26416"/>
    <w:rsid w:val="00C264BA"/>
    <w:rsid w:val="00C302CC"/>
    <w:rsid w:val="00C31528"/>
    <w:rsid w:val="00C328FC"/>
    <w:rsid w:val="00C32D73"/>
    <w:rsid w:val="00C34C9B"/>
    <w:rsid w:val="00C3593A"/>
    <w:rsid w:val="00C359DC"/>
    <w:rsid w:val="00C35F59"/>
    <w:rsid w:val="00C366C3"/>
    <w:rsid w:val="00C3752C"/>
    <w:rsid w:val="00C4141E"/>
    <w:rsid w:val="00C45044"/>
    <w:rsid w:val="00C46AD6"/>
    <w:rsid w:val="00C50243"/>
    <w:rsid w:val="00C5180F"/>
    <w:rsid w:val="00C52227"/>
    <w:rsid w:val="00C52825"/>
    <w:rsid w:val="00C532D4"/>
    <w:rsid w:val="00C535F8"/>
    <w:rsid w:val="00C54D29"/>
    <w:rsid w:val="00C5565C"/>
    <w:rsid w:val="00C5604B"/>
    <w:rsid w:val="00C5625D"/>
    <w:rsid w:val="00C56892"/>
    <w:rsid w:val="00C6052B"/>
    <w:rsid w:val="00C60A07"/>
    <w:rsid w:val="00C645A3"/>
    <w:rsid w:val="00C65BB0"/>
    <w:rsid w:val="00C6724A"/>
    <w:rsid w:val="00C67360"/>
    <w:rsid w:val="00C67DCF"/>
    <w:rsid w:val="00C71CBF"/>
    <w:rsid w:val="00C756EA"/>
    <w:rsid w:val="00C7585D"/>
    <w:rsid w:val="00C75D98"/>
    <w:rsid w:val="00C762C4"/>
    <w:rsid w:val="00C76E2C"/>
    <w:rsid w:val="00C77BF4"/>
    <w:rsid w:val="00C80BFC"/>
    <w:rsid w:val="00C841B4"/>
    <w:rsid w:val="00C855DA"/>
    <w:rsid w:val="00C85E98"/>
    <w:rsid w:val="00C87338"/>
    <w:rsid w:val="00C9031A"/>
    <w:rsid w:val="00C90895"/>
    <w:rsid w:val="00C91870"/>
    <w:rsid w:val="00C91B36"/>
    <w:rsid w:val="00C92320"/>
    <w:rsid w:val="00C97955"/>
    <w:rsid w:val="00C97BE2"/>
    <w:rsid w:val="00CA049B"/>
    <w:rsid w:val="00CA19B9"/>
    <w:rsid w:val="00CA22ED"/>
    <w:rsid w:val="00CA63CC"/>
    <w:rsid w:val="00CA6550"/>
    <w:rsid w:val="00CA7E59"/>
    <w:rsid w:val="00CB137E"/>
    <w:rsid w:val="00CB3475"/>
    <w:rsid w:val="00CB37B8"/>
    <w:rsid w:val="00CB3E08"/>
    <w:rsid w:val="00CB5252"/>
    <w:rsid w:val="00CB5917"/>
    <w:rsid w:val="00CB5FB7"/>
    <w:rsid w:val="00CB60F6"/>
    <w:rsid w:val="00CB6313"/>
    <w:rsid w:val="00CB743D"/>
    <w:rsid w:val="00CB7B19"/>
    <w:rsid w:val="00CC1C56"/>
    <w:rsid w:val="00CC1EF0"/>
    <w:rsid w:val="00CC2B32"/>
    <w:rsid w:val="00CC4D00"/>
    <w:rsid w:val="00CC5B50"/>
    <w:rsid w:val="00CC7A35"/>
    <w:rsid w:val="00CD17BA"/>
    <w:rsid w:val="00CD1883"/>
    <w:rsid w:val="00CD2BD3"/>
    <w:rsid w:val="00CD372F"/>
    <w:rsid w:val="00CD4460"/>
    <w:rsid w:val="00CD4AF9"/>
    <w:rsid w:val="00CD78F0"/>
    <w:rsid w:val="00CD7F34"/>
    <w:rsid w:val="00CE0212"/>
    <w:rsid w:val="00CE0A4B"/>
    <w:rsid w:val="00CE25C4"/>
    <w:rsid w:val="00CE2CD7"/>
    <w:rsid w:val="00CE43FD"/>
    <w:rsid w:val="00CE4637"/>
    <w:rsid w:val="00CE5D88"/>
    <w:rsid w:val="00CE5F1E"/>
    <w:rsid w:val="00CE6684"/>
    <w:rsid w:val="00CE6C03"/>
    <w:rsid w:val="00CF0B35"/>
    <w:rsid w:val="00CF0C10"/>
    <w:rsid w:val="00CF1512"/>
    <w:rsid w:val="00CF412B"/>
    <w:rsid w:val="00CF750C"/>
    <w:rsid w:val="00CF7D8B"/>
    <w:rsid w:val="00CF7F0D"/>
    <w:rsid w:val="00D0158A"/>
    <w:rsid w:val="00D01AD8"/>
    <w:rsid w:val="00D029C5"/>
    <w:rsid w:val="00D0680D"/>
    <w:rsid w:val="00D07DBA"/>
    <w:rsid w:val="00D10070"/>
    <w:rsid w:val="00D20F36"/>
    <w:rsid w:val="00D229E8"/>
    <w:rsid w:val="00D22FDF"/>
    <w:rsid w:val="00D23261"/>
    <w:rsid w:val="00D23390"/>
    <w:rsid w:val="00D24E13"/>
    <w:rsid w:val="00D2638A"/>
    <w:rsid w:val="00D27CBC"/>
    <w:rsid w:val="00D31832"/>
    <w:rsid w:val="00D331F7"/>
    <w:rsid w:val="00D3535B"/>
    <w:rsid w:val="00D3690C"/>
    <w:rsid w:val="00D40A38"/>
    <w:rsid w:val="00D40B62"/>
    <w:rsid w:val="00D40BE1"/>
    <w:rsid w:val="00D415D9"/>
    <w:rsid w:val="00D44F57"/>
    <w:rsid w:val="00D46AD4"/>
    <w:rsid w:val="00D517C2"/>
    <w:rsid w:val="00D522EE"/>
    <w:rsid w:val="00D52DEA"/>
    <w:rsid w:val="00D535BE"/>
    <w:rsid w:val="00D5405B"/>
    <w:rsid w:val="00D540C4"/>
    <w:rsid w:val="00D56C0E"/>
    <w:rsid w:val="00D56F73"/>
    <w:rsid w:val="00D57E89"/>
    <w:rsid w:val="00D61398"/>
    <w:rsid w:val="00D633F2"/>
    <w:rsid w:val="00D64338"/>
    <w:rsid w:val="00D65E4C"/>
    <w:rsid w:val="00D66364"/>
    <w:rsid w:val="00D669CC"/>
    <w:rsid w:val="00D66FF5"/>
    <w:rsid w:val="00D67FCE"/>
    <w:rsid w:val="00D7118B"/>
    <w:rsid w:val="00D71513"/>
    <w:rsid w:val="00D71F99"/>
    <w:rsid w:val="00D7277C"/>
    <w:rsid w:val="00D731FE"/>
    <w:rsid w:val="00D733C5"/>
    <w:rsid w:val="00D73D59"/>
    <w:rsid w:val="00D73FC3"/>
    <w:rsid w:val="00D74C4E"/>
    <w:rsid w:val="00D80074"/>
    <w:rsid w:val="00D80D0D"/>
    <w:rsid w:val="00D8189B"/>
    <w:rsid w:val="00D818C8"/>
    <w:rsid w:val="00D819DA"/>
    <w:rsid w:val="00D8292C"/>
    <w:rsid w:val="00D8476B"/>
    <w:rsid w:val="00D85DAF"/>
    <w:rsid w:val="00D86B82"/>
    <w:rsid w:val="00D87441"/>
    <w:rsid w:val="00D877AC"/>
    <w:rsid w:val="00D92CC6"/>
    <w:rsid w:val="00D944AF"/>
    <w:rsid w:val="00D94648"/>
    <w:rsid w:val="00D95A99"/>
    <w:rsid w:val="00D96B40"/>
    <w:rsid w:val="00D97661"/>
    <w:rsid w:val="00DA0DE6"/>
    <w:rsid w:val="00DA0E97"/>
    <w:rsid w:val="00DA3C46"/>
    <w:rsid w:val="00DA4CDB"/>
    <w:rsid w:val="00DA4DED"/>
    <w:rsid w:val="00DA5221"/>
    <w:rsid w:val="00DA7007"/>
    <w:rsid w:val="00DB1253"/>
    <w:rsid w:val="00DB1BFD"/>
    <w:rsid w:val="00DB4424"/>
    <w:rsid w:val="00DB539B"/>
    <w:rsid w:val="00DB58F8"/>
    <w:rsid w:val="00DB5FD7"/>
    <w:rsid w:val="00DB6D01"/>
    <w:rsid w:val="00DB733B"/>
    <w:rsid w:val="00DC030E"/>
    <w:rsid w:val="00DC39C5"/>
    <w:rsid w:val="00DC710C"/>
    <w:rsid w:val="00DD019F"/>
    <w:rsid w:val="00DD03BA"/>
    <w:rsid w:val="00DD2559"/>
    <w:rsid w:val="00DD26EA"/>
    <w:rsid w:val="00DD3E9C"/>
    <w:rsid w:val="00DD400A"/>
    <w:rsid w:val="00DD405C"/>
    <w:rsid w:val="00DD42E6"/>
    <w:rsid w:val="00DE0483"/>
    <w:rsid w:val="00DE1DBF"/>
    <w:rsid w:val="00DE3BA3"/>
    <w:rsid w:val="00DE4CC1"/>
    <w:rsid w:val="00DE6A4C"/>
    <w:rsid w:val="00DE6DC9"/>
    <w:rsid w:val="00DE7967"/>
    <w:rsid w:val="00DE7AA2"/>
    <w:rsid w:val="00DF0D42"/>
    <w:rsid w:val="00DF2406"/>
    <w:rsid w:val="00DF270A"/>
    <w:rsid w:val="00DF3A53"/>
    <w:rsid w:val="00DF55BA"/>
    <w:rsid w:val="00DF6074"/>
    <w:rsid w:val="00DF7590"/>
    <w:rsid w:val="00E016A5"/>
    <w:rsid w:val="00E03328"/>
    <w:rsid w:val="00E06091"/>
    <w:rsid w:val="00E06F13"/>
    <w:rsid w:val="00E06F80"/>
    <w:rsid w:val="00E10417"/>
    <w:rsid w:val="00E11EAB"/>
    <w:rsid w:val="00E13503"/>
    <w:rsid w:val="00E136C0"/>
    <w:rsid w:val="00E14201"/>
    <w:rsid w:val="00E15F9C"/>
    <w:rsid w:val="00E167EB"/>
    <w:rsid w:val="00E237EE"/>
    <w:rsid w:val="00E26878"/>
    <w:rsid w:val="00E273EF"/>
    <w:rsid w:val="00E27F4B"/>
    <w:rsid w:val="00E30369"/>
    <w:rsid w:val="00E30FB0"/>
    <w:rsid w:val="00E315AE"/>
    <w:rsid w:val="00E32BA9"/>
    <w:rsid w:val="00E34768"/>
    <w:rsid w:val="00E34E98"/>
    <w:rsid w:val="00E35544"/>
    <w:rsid w:val="00E37EAF"/>
    <w:rsid w:val="00E426B8"/>
    <w:rsid w:val="00E43A7C"/>
    <w:rsid w:val="00E4646F"/>
    <w:rsid w:val="00E46843"/>
    <w:rsid w:val="00E46A92"/>
    <w:rsid w:val="00E50979"/>
    <w:rsid w:val="00E51A4C"/>
    <w:rsid w:val="00E52524"/>
    <w:rsid w:val="00E5273B"/>
    <w:rsid w:val="00E56CAD"/>
    <w:rsid w:val="00E62F6B"/>
    <w:rsid w:val="00E63E0A"/>
    <w:rsid w:val="00E64582"/>
    <w:rsid w:val="00E64E7E"/>
    <w:rsid w:val="00E65578"/>
    <w:rsid w:val="00E65B6C"/>
    <w:rsid w:val="00E6640C"/>
    <w:rsid w:val="00E66B4B"/>
    <w:rsid w:val="00E67A85"/>
    <w:rsid w:val="00E67FC6"/>
    <w:rsid w:val="00E70296"/>
    <w:rsid w:val="00E71632"/>
    <w:rsid w:val="00E716A2"/>
    <w:rsid w:val="00E718A9"/>
    <w:rsid w:val="00E72286"/>
    <w:rsid w:val="00E739A8"/>
    <w:rsid w:val="00E73E7E"/>
    <w:rsid w:val="00E74E2D"/>
    <w:rsid w:val="00E75629"/>
    <w:rsid w:val="00E77932"/>
    <w:rsid w:val="00E8170D"/>
    <w:rsid w:val="00E81DAB"/>
    <w:rsid w:val="00E828AD"/>
    <w:rsid w:val="00E83C6B"/>
    <w:rsid w:val="00E849F7"/>
    <w:rsid w:val="00E866D2"/>
    <w:rsid w:val="00E9018D"/>
    <w:rsid w:val="00E905C8"/>
    <w:rsid w:val="00E919B3"/>
    <w:rsid w:val="00E92924"/>
    <w:rsid w:val="00E9376C"/>
    <w:rsid w:val="00E95241"/>
    <w:rsid w:val="00E9542E"/>
    <w:rsid w:val="00E97F7E"/>
    <w:rsid w:val="00EA06E8"/>
    <w:rsid w:val="00EA0F47"/>
    <w:rsid w:val="00EA179A"/>
    <w:rsid w:val="00EA2DD0"/>
    <w:rsid w:val="00EA2EEF"/>
    <w:rsid w:val="00EA3659"/>
    <w:rsid w:val="00EA5433"/>
    <w:rsid w:val="00EA5A88"/>
    <w:rsid w:val="00EA5B31"/>
    <w:rsid w:val="00EA5C61"/>
    <w:rsid w:val="00EA6AF9"/>
    <w:rsid w:val="00EB0154"/>
    <w:rsid w:val="00EB02A6"/>
    <w:rsid w:val="00EB1EEC"/>
    <w:rsid w:val="00EB332B"/>
    <w:rsid w:val="00EB3A6B"/>
    <w:rsid w:val="00EB408C"/>
    <w:rsid w:val="00EB48B6"/>
    <w:rsid w:val="00EB5D29"/>
    <w:rsid w:val="00EC0628"/>
    <w:rsid w:val="00EC0B41"/>
    <w:rsid w:val="00EC0F9E"/>
    <w:rsid w:val="00EC18D0"/>
    <w:rsid w:val="00EC3803"/>
    <w:rsid w:val="00EC477F"/>
    <w:rsid w:val="00EC4EA7"/>
    <w:rsid w:val="00EC5DDA"/>
    <w:rsid w:val="00EC7A57"/>
    <w:rsid w:val="00ED064C"/>
    <w:rsid w:val="00ED2556"/>
    <w:rsid w:val="00ED4F15"/>
    <w:rsid w:val="00ED4F8C"/>
    <w:rsid w:val="00ED69A4"/>
    <w:rsid w:val="00ED6EB3"/>
    <w:rsid w:val="00EE0059"/>
    <w:rsid w:val="00EE2577"/>
    <w:rsid w:val="00EE342F"/>
    <w:rsid w:val="00EE35AC"/>
    <w:rsid w:val="00EE5330"/>
    <w:rsid w:val="00EE6164"/>
    <w:rsid w:val="00EE754B"/>
    <w:rsid w:val="00EF09C4"/>
    <w:rsid w:val="00EF1543"/>
    <w:rsid w:val="00EF1757"/>
    <w:rsid w:val="00EF1771"/>
    <w:rsid w:val="00EF2F70"/>
    <w:rsid w:val="00EF47FA"/>
    <w:rsid w:val="00EF4852"/>
    <w:rsid w:val="00EF5583"/>
    <w:rsid w:val="00EF5FA1"/>
    <w:rsid w:val="00EF705E"/>
    <w:rsid w:val="00F011DE"/>
    <w:rsid w:val="00F013FD"/>
    <w:rsid w:val="00F01898"/>
    <w:rsid w:val="00F02E31"/>
    <w:rsid w:val="00F02FFD"/>
    <w:rsid w:val="00F0555E"/>
    <w:rsid w:val="00F06973"/>
    <w:rsid w:val="00F06FEA"/>
    <w:rsid w:val="00F134E3"/>
    <w:rsid w:val="00F13CCB"/>
    <w:rsid w:val="00F1761F"/>
    <w:rsid w:val="00F20EE9"/>
    <w:rsid w:val="00F2398A"/>
    <w:rsid w:val="00F24332"/>
    <w:rsid w:val="00F3069C"/>
    <w:rsid w:val="00F3256D"/>
    <w:rsid w:val="00F32F68"/>
    <w:rsid w:val="00F331CD"/>
    <w:rsid w:val="00F33C53"/>
    <w:rsid w:val="00F3733D"/>
    <w:rsid w:val="00F377C6"/>
    <w:rsid w:val="00F40CCD"/>
    <w:rsid w:val="00F4344F"/>
    <w:rsid w:val="00F43AEE"/>
    <w:rsid w:val="00F468EB"/>
    <w:rsid w:val="00F47251"/>
    <w:rsid w:val="00F47E81"/>
    <w:rsid w:val="00F50713"/>
    <w:rsid w:val="00F52D87"/>
    <w:rsid w:val="00F60397"/>
    <w:rsid w:val="00F60CE5"/>
    <w:rsid w:val="00F61C66"/>
    <w:rsid w:val="00F62647"/>
    <w:rsid w:val="00F64B4A"/>
    <w:rsid w:val="00F65609"/>
    <w:rsid w:val="00F65A9F"/>
    <w:rsid w:val="00F66644"/>
    <w:rsid w:val="00F666BA"/>
    <w:rsid w:val="00F6681B"/>
    <w:rsid w:val="00F70C81"/>
    <w:rsid w:val="00F7194A"/>
    <w:rsid w:val="00F72C93"/>
    <w:rsid w:val="00F72D2B"/>
    <w:rsid w:val="00F73244"/>
    <w:rsid w:val="00F73F4C"/>
    <w:rsid w:val="00F758B9"/>
    <w:rsid w:val="00F769AB"/>
    <w:rsid w:val="00F7799C"/>
    <w:rsid w:val="00F80F2C"/>
    <w:rsid w:val="00F813C6"/>
    <w:rsid w:val="00F83505"/>
    <w:rsid w:val="00F83C78"/>
    <w:rsid w:val="00F84786"/>
    <w:rsid w:val="00F84D32"/>
    <w:rsid w:val="00F85F4C"/>
    <w:rsid w:val="00F876A5"/>
    <w:rsid w:val="00F90659"/>
    <w:rsid w:val="00F938E4"/>
    <w:rsid w:val="00F95462"/>
    <w:rsid w:val="00F9689C"/>
    <w:rsid w:val="00F9764A"/>
    <w:rsid w:val="00F97DDA"/>
    <w:rsid w:val="00FA0B93"/>
    <w:rsid w:val="00FA158F"/>
    <w:rsid w:val="00FA1E04"/>
    <w:rsid w:val="00FA275D"/>
    <w:rsid w:val="00FA3399"/>
    <w:rsid w:val="00FA3A82"/>
    <w:rsid w:val="00FA674F"/>
    <w:rsid w:val="00FA799D"/>
    <w:rsid w:val="00FB0A27"/>
    <w:rsid w:val="00FB2DAF"/>
    <w:rsid w:val="00FB4923"/>
    <w:rsid w:val="00FB78B7"/>
    <w:rsid w:val="00FB7DB0"/>
    <w:rsid w:val="00FC2687"/>
    <w:rsid w:val="00FC4E6A"/>
    <w:rsid w:val="00FC5970"/>
    <w:rsid w:val="00FC5AE2"/>
    <w:rsid w:val="00FC744E"/>
    <w:rsid w:val="00FC7C47"/>
    <w:rsid w:val="00FD1C11"/>
    <w:rsid w:val="00FD1D43"/>
    <w:rsid w:val="00FD2990"/>
    <w:rsid w:val="00FD37A8"/>
    <w:rsid w:val="00FD5D92"/>
    <w:rsid w:val="00FD71A6"/>
    <w:rsid w:val="00FE0DB0"/>
    <w:rsid w:val="00FE31E3"/>
    <w:rsid w:val="00FE3B90"/>
    <w:rsid w:val="00FE418D"/>
    <w:rsid w:val="00FE59F9"/>
    <w:rsid w:val="00FE635A"/>
    <w:rsid w:val="00FE6BE5"/>
    <w:rsid w:val="00FF0045"/>
    <w:rsid w:val="00FF1806"/>
    <w:rsid w:val="00FF2129"/>
    <w:rsid w:val="00FF28C9"/>
    <w:rsid w:val="00FF338D"/>
    <w:rsid w:val="00FF3AAA"/>
    <w:rsid w:val="00FF422D"/>
    <w:rsid w:val="00FF4F69"/>
    <w:rsid w:val="00FF4F8F"/>
    <w:rsid w:val="00FF66B7"/>
    <w:rsid w:val="00FF6E7E"/>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7872"/>
    <w:pPr>
      <w:widowControl w:val="0"/>
    </w:pPr>
    <w:rPr>
      <w:snapToGrid w:val="0"/>
      <w:kern w:val="28"/>
      <w:sz w:val="22"/>
    </w:rPr>
  </w:style>
  <w:style w:type="paragraph" w:styleId="Heading1">
    <w:name w:val="heading 1"/>
    <w:basedOn w:val="Normal"/>
    <w:next w:val="ParaNum"/>
    <w:link w:val="Heading1Char"/>
    <w:qFormat/>
    <w:rsid w:val="00117872"/>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17872"/>
    <w:pPr>
      <w:keepNext/>
      <w:numPr>
        <w:ilvl w:val="1"/>
        <w:numId w:val="6"/>
      </w:numPr>
      <w:spacing w:after="120"/>
      <w:outlineLvl w:val="1"/>
    </w:pPr>
    <w:rPr>
      <w:b/>
    </w:rPr>
  </w:style>
  <w:style w:type="paragraph" w:styleId="Heading3">
    <w:name w:val="heading 3"/>
    <w:basedOn w:val="Normal"/>
    <w:next w:val="ParaNum"/>
    <w:link w:val="Heading3Char"/>
    <w:qFormat/>
    <w:rsid w:val="00117872"/>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117872"/>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117872"/>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117872"/>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117872"/>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117872"/>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17872"/>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78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872"/>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DE0483"/>
    <w:rPr>
      <w:sz w:val="20"/>
    </w:rPr>
  </w:style>
  <w:style w:type="character" w:customStyle="1" w:styleId="BalloonTextChar">
    <w:name w:val="Balloon Text Char"/>
    <w:link w:val="BalloonText"/>
    <w:uiPriority w:val="99"/>
    <w:semiHidden/>
    <w:locked/>
    <w:rsid w:val="005E1749"/>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117872"/>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117872"/>
    <w:rPr>
      <w:rFonts w:ascii="Times New Roman" w:hAnsi="Times New Roman"/>
      <w:dstrike w:val="0"/>
      <w:color w:val="auto"/>
      <w:sz w:val="20"/>
      <w:vertAlign w:val="superscript"/>
    </w:rPr>
  </w:style>
  <w:style w:type="paragraph" w:styleId="Header">
    <w:name w:val="header"/>
    <w:basedOn w:val="Normal"/>
    <w:link w:val="HeaderChar"/>
    <w:autoRedefine/>
    <w:rsid w:val="00117872"/>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117872"/>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117872"/>
  </w:style>
  <w:style w:type="paragraph" w:customStyle="1" w:styleId="Paranum0">
    <w:name w:val="Paranum"/>
    <w:uiPriority w:val="99"/>
    <w:rsid w:val="00DE0483"/>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117872"/>
    <w:pPr>
      <w:numPr>
        <w:numId w:val="3"/>
      </w:numPr>
      <w:tabs>
        <w:tab w:val="clear" w:pos="1080"/>
        <w:tab w:val="num" w:pos="1440"/>
      </w:tabs>
      <w:spacing w:after="120"/>
    </w:pPr>
  </w:style>
  <w:style w:type="paragraph" w:styleId="BodyText">
    <w:name w:val="Body Text"/>
    <w:aliases w:val="b"/>
    <w:basedOn w:val="Normal"/>
    <w:link w:val="BodyTextChar"/>
    <w:uiPriority w:val="99"/>
    <w:rsid w:val="00DE0483"/>
    <w:rPr>
      <w:b/>
      <w:sz w:val="24"/>
      <w:u w:val="single"/>
    </w:rPr>
  </w:style>
  <w:style w:type="character" w:customStyle="1" w:styleId="BodyTextChar">
    <w:name w:val="Body Text Char"/>
    <w:aliases w:val="b Char"/>
    <w:link w:val="BodyText"/>
    <w:uiPriority w:val="99"/>
    <w:locked/>
    <w:rsid w:val="00BC32AF"/>
    <w:rPr>
      <w:b/>
      <w:snapToGrid w:val="0"/>
      <w:kern w:val="28"/>
      <w:sz w:val="24"/>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DE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locked/>
    <w:rsid w:val="008640E1"/>
    <w:rPr>
      <w:rFonts w:ascii="Courier New" w:hAnsi="Courier New"/>
      <w:snapToGrid w:val="0"/>
      <w:kern w:val="28"/>
    </w:rPr>
  </w:style>
  <w:style w:type="character" w:styleId="Hyperlink">
    <w:name w:val="Hyperlink"/>
    <w:rsid w:val="00117872"/>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DE0483"/>
    <w:pPr>
      <w:spacing w:after="120" w:line="480" w:lineRule="auto"/>
      <w:ind w:left="360"/>
    </w:pPr>
    <w:rPr>
      <w:sz w:val="24"/>
    </w:rPr>
  </w:style>
  <w:style w:type="character" w:customStyle="1" w:styleId="BodyTextIndent2Char">
    <w:name w:val="Body Text Indent 2 Char"/>
    <w:link w:val="BodyTextIndent2"/>
    <w:uiPriority w:val="99"/>
    <w:locked/>
    <w:rsid w:val="008640E1"/>
    <w:rPr>
      <w:snapToGrid w:val="0"/>
      <w:kern w:val="28"/>
      <w:sz w:val="24"/>
    </w:rPr>
  </w:style>
  <w:style w:type="paragraph" w:customStyle="1" w:styleId="StyleBoldCentered">
    <w:name w:val="Style Bold Centered"/>
    <w:basedOn w:val="Normal"/>
    <w:rsid w:val="00117872"/>
    <w:pPr>
      <w:jc w:val="center"/>
    </w:pPr>
    <w:rPr>
      <w:rFonts w:ascii="Times New Roman Bold" w:hAnsi="Times New Roman Bold"/>
      <w:b/>
      <w:bCs/>
      <w:caps/>
      <w:szCs w:val="22"/>
    </w:rPr>
  </w:style>
  <w:style w:type="paragraph" w:styleId="TOAHeading">
    <w:name w:val="toa heading"/>
    <w:basedOn w:val="Normal"/>
    <w:next w:val="Normal"/>
    <w:semiHidden/>
    <w:rsid w:val="00117872"/>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34"/>
    <w:qFormat/>
    <w:rsid w:val="00060BD6"/>
    <w:pPr>
      <w:ind w:left="720"/>
    </w:pPr>
  </w:style>
  <w:style w:type="character" w:styleId="CommentReference">
    <w:name w:val="annotation reference"/>
    <w:rsid w:val="00422D6A"/>
    <w:rPr>
      <w:rFonts w:cs="Times New Roman"/>
      <w:sz w:val="16"/>
    </w:rPr>
  </w:style>
  <w:style w:type="paragraph" w:styleId="CommentText">
    <w:name w:val="annotation text"/>
    <w:basedOn w:val="Normal"/>
    <w:link w:val="CommentTextChar"/>
    <w:rsid w:val="00DE0483"/>
    <w:rPr>
      <w:sz w:val="20"/>
    </w:rPr>
  </w:style>
  <w:style w:type="character" w:customStyle="1" w:styleId="CommentTextChar">
    <w:name w:val="Comment Text Char"/>
    <w:link w:val="CommentText"/>
    <w:locked/>
    <w:rsid w:val="00422D6A"/>
    <w:rPr>
      <w:snapToGrid w:val="0"/>
      <w:kern w:val="28"/>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snapToGrid w:val="0"/>
      <w:sz w:val="20"/>
      <w:szCs w:val="20"/>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117872"/>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117872"/>
    <w:rPr>
      <w:vertAlign w:val="superscript"/>
    </w:rPr>
  </w:style>
  <w:style w:type="paragraph" w:styleId="TOC1">
    <w:name w:val="toc 1"/>
    <w:basedOn w:val="Normal"/>
    <w:next w:val="Normal"/>
    <w:semiHidden/>
    <w:locked/>
    <w:rsid w:val="00117872"/>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117872"/>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1178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1178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1178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117872"/>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117872"/>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117872"/>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117872"/>
    <w:pPr>
      <w:tabs>
        <w:tab w:val="left" w:pos="3240"/>
        <w:tab w:val="right" w:leader="dot" w:pos="9360"/>
      </w:tabs>
      <w:suppressAutoHyphens/>
      <w:ind w:left="3240" w:hanging="360"/>
    </w:pPr>
    <w:rPr>
      <w:noProof/>
    </w:rPr>
  </w:style>
  <w:style w:type="character" w:customStyle="1" w:styleId="EquationCaption">
    <w:name w:val="_Equation Caption"/>
    <w:rsid w:val="00117872"/>
  </w:style>
  <w:style w:type="paragraph" w:styleId="BlockText">
    <w:name w:val="Block Text"/>
    <w:basedOn w:val="Normal"/>
    <w:locked/>
    <w:rsid w:val="00117872"/>
    <w:pPr>
      <w:spacing w:after="240"/>
      <w:ind w:left="1440" w:right="1440"/>
    </w:pPr>
  </w:style>
  <w:style w:type="paragraph" w:customStyle="1" w:styleId="Paratitle">
    <w:name w:val="Para title"/>
    <w:basedOn w:val="Normal"/>
    <w:rsid w:val="00117872"/>
    <w:pPr>
      <w:tabs>
        <w:tab w:val="center" w:pos="9270"/>
      </w:tabs>
      <w:spacing w:after="240"/>
    </w:pPr>
    <w:rPr>
      <w:spacing w:val="-2"/>
    </w:rPr>
  </w:style>
  <w:style w:type="paragraph" w:customStyle="1" w:styleId="Bullet">
    <w:name w:val="Bullet"/>
    <w:basedOn w:val="Normal"/>
    <w:rsid w:val="00117872"/>
    <w:pPr>
      <w:tabs>
        <w:tab w:val="left" w:pos="2160"/>
      </w:tabs>
      <w:spacing w:after="220"/>
      <w:ind w:left="2160" w:hanging="720"/>
    </w:pPr>
  </w:style>
  <w:style w:type="paragraph" w:customStyle="1" w:styleId="TableFormat">
    <w:name w:val="TableFormat"/>
    <w:basedOn w:val="Bullet"/>
    <w:rsid w:val="00117872"/>
    <w:pPr>
      <w:tabs>
        <w:tab w:val="clear" w:pos="2160"/>
        <w:tab w:val="left" w:pos="5040"/>
      </w:tabs>
      <w:ind w:left="5040" w:hanging="3600"/>
    </w:pPr>
  </w:style>
  <w:style w:type="paragraph" w:customStyle="1" w:styleId="TOCTitle">
    <w:name w:val="TOC Title"/>
    <w:basedOn w:val="Normal"/>
    <w:rsid w:val="00117872"/>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paragraph" w:styleId="BodyText2">
    <w:name w:val="Body Text 2"/>
    <w:basedOn w:val="Normal"/>
    <w:link w:val="BodyText2Char"/>
    <w:uiPriority w:val="99"/>
    <w:semiHidden/>
    <w:unhideWhenUsed/>
    <w:locked/>
    <w:rsid w:val="004B6037"/>
    <w:pPr>
      <w:spacing w:after="120" w:line="480" w:lineRule="auto"/>
    </w:pPr>
  </w:style>
  <w:style w:type="character" w:customStyle="1" w:styleId="BodyText2Char">
    <w:name w:val="Body Text 2 Char"/>
    <w:link w:val="BodyText2"/>
    <w:uiPriority w:val="99"/>
    <w:semiHidden/>
    <w:rsid w:val="004B6037"/>
    <w:rPr>
      <w:snapToGrid w:val="0"/>
      <w:kern w:val="28"/>
      <w:szCs w:val="20"/>
    </w:rPr>
  </w:style>
  <w:style w:type="paragraph" w:styleId="BodyTextIndent">
    <w:name w:val="Body Text Indent"/>
    <w:basedOn w:val="Normal"/>
    <w:link w:val="BodyTextIndentChar"/>
    <w:uiPriority w:val="99"/>
    <w:semiHidden/>
    <w:unhideWhenUsed/>
    <w:locked/>
    <w:rsid w:val="004B6037"/>
    <w:pPr>
      <w:spacing w:after="120"/>
      <w:ind w:left="360"/>
    </w:pPr>
  </w:style>
  <w:style w:type="character" w:customStyle="1" w:styleId="BodyTextIndentChar">
    <w:name w:val="Body Text Indent Char"/>
    <w:link w:val="BodyTextIndent"/>
    <w:uiPriority w:val="99"/>
    <w:semiHidden/>
    <w:rsid w:val="004B6037"/>
    <w:rPr>
      <w:snapToGrid w:val="0"/>
      <w:kern w:val="28"/>
      <w:szCs w:val="20"/>
    </w:rPr>
  </w:style>
  <w:style w:type="paragraph" w:styleId="BodyTextIndent3">
    <w:name w:val="Body Text Indent 3"/>
    <w:basedOn w:val="Normal"/>
    <w:link w:val="BodyTextIndent3Char"/>
    <w:uiPriority w:val="99"/>
    <w:semiHidden/>
    <w:unhideWhenUsed/>
    <w:locked/>
    <w:rsid w:val="004B6037"/>
    <w:pPr>
      <w:spacing w:after="120"/>
      <w:ind w:left="360"/>
    </w:pPr>
    <w:rPr>
      <w:sz w:val="16"/>
      <w:szCs w:val="16"/>
    </w:rPr>
  </w:style>
  <w:style w:type="character" w:customStyle="1" w:styleId="BodyTextIndent3Char">
    <w:name w:val="Body Text Indent 3 Char"/>
    <w:link w:val="BodyTextIndent3"/>
    <w:uiPriority w:val="99"/>
    <w:semiHidden/>
    <w:rsid w:val="004B6037"/>
    <w:rPr>
      <w:snapToGrid w:val="0"/>
      <w:kern w:val="28"/>
      <w:sz w:val="16"/>
      <w:szCs w:val="16"/>
    </w:rPr>
  </w:style>
  <w:style w:type="paragraph" w:styleId="Title">
    <w:name w:val="Title"/>
    <w:basedOn w:val="Normal"/>
    <w:link w:val="TitleChar"/>
    <w:qFormat/>
    <w:locked/>
    <w:rsid w:val="00DE0483"/>
    <w:pPr>
      <w:autoSpaceDE w:val="0"/>
      <w:autoSpaceDN w:val="0"/>
      <w:adjustRightInd w:val="0"/>
      <w:jc w:val="center"/>
    </w:pPr>
    <w:rPr>
      <w:b/>
      <w:snapToGrid/>
      <w:sz w:val="20"/>
    </w:rPr>
  </w:style>
  <w:style w:type="character" w:customStyle="1" w:styleId="TitleChar">
    <w:name w:val="Title Char"/>
    <w:link w:val="Title"/>
    <w:rsid w:val="004B6037"/>
    <w:rPr>
      <w:b/>
      <w:kern w:val="28"/>
    </w:rPr>
  </w:style>
  <w:style w:type="paragraph" w:styleId="Subtitle">
    <w:name w:val="Subtitle"/>
    <w:basedOn w:val="Normal"/>
    <w:link w:val="SubtitleChar"/>
    <w:qFormat/>
    <w:locked/>
    <w:rsid w:val="00DE0483"/>
    <w:pPr>
      <w:tabs>
        <w:tab w:val="left" w:pos="6480"/>
      </w:tabs>
      <w:jc w:val="right"/>
    </w:pPr>
    <w:rPr>
      <w:b/>
      <w:snapToGrid/>
    </w:rPr>
  </w:style>
  <w:style w:type="character" w:customStyle="1" w:styleId="SubtitleChar">
    <w:name w:val="Subtitle Char"/>
    <w:link w:val="Subtitle"/>
    <w:rsid w:val="004B6037"/>
    <w:rPr>
      <w:b/>
      <w:kern w:val="28"/>
      <w:sz w:val="22"/>
    </w:rPr>
  </w:style>
  <w:style w:type="character" w:customStyle="1" w:styleId="documentbody1">
    <w:name w:val="documentbody1"/>
    <w:rsid w:val="004B6037"/>
    <w:rPr>
      <w:rFonts w:ascii="Verdana" w:hAnsi="Verdana" w:hint="default"/>
      <w:sz w:val="19"/>
      <w:szCs w:val="19"/>
      <w:shd w:val="clear" w:color="auto" w:fill="FFFFFF"/>
    </w:rPr>
  </w:style>
  <w:style w:type="character" w:customStyle="1" w:styleId="coidrelatedinfocitations1">
    <w:name w:val="coid_relatedinfo_citations_1"/>
    <w:basedOn w:val="DefaultParagraphFont"/>
    <w:rsid w:val="008F66EC"/>
  </w:style>
  <w:style w:type="character" w:styleId="FollowedHyperlink">
    <w:name w:val="FollowedHyperlink"/>
    <w:uiPriority w:val="99"/>
    <w:semiHidden/>
    <w:unhideWhenUsed/>
    <w:locked/>
    <w:rsid w:val="00B531C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973490020">
      <w:bodyDiv w:val="1"/>
      <w:marLeft w:val="0"/>
      <w:marRight w:val="0"/>
      <w:marTop w:val="0"/>
      <w:marBottom w:val="0"/>
      <w:divBdr>
        <w:top w:val="none" w:sz="0" w:space="0" w:color="auto"/>
        <w:left w:val="none" w:sz="0" w:space="0" w:color="auto"/>
        <w:bottom w:val="none" w:sz="0" w:space="0" w:color="auto"/>
        <w:right w:val="none" w:sz="0" w:space="0" w:color="auto"/>
      </w:divBdr>
      <w:divsChild>
        <w:div w:id="2111663713">
          <w:marLeft w:val="0"/>
          <w:marRight w:val="0"/>
          <w:marTop w:val="0"/>
          <w:marBottom w:val="0"/>
          <w:divBdr>
            <w:top w:val="none" w:sz="0" w:space="0" w:color="auto"/>
            <w:left w:val="none" w:sz="0" w:space="0" w:color="auto"/>
            <w:bottom w:val="none" w:sz="0" w:space="0" w:color="auto"/>
            <w:right w:val="none" w:sz="0" w:space="0" w:color="auto"/>
          </w:divBdr>
          <w:divsChild>
            <w:div w:id="1580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0305561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 w:id="20925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Response@fcc.gov" TargetMode="External"/><Relationship Id="rId13" Type="http://schemas.openxmlformats.org/officeDocument/2006/relationships/hyperlink" Target="mailto:WR-Response@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INQUIRIES@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ven.Spaeth@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R-Response@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even.Spaeth@fcc.gov" TargetMode="External"/><Relationship Id="rId14" Type="http://schemas.openxmlformats.org/officeDocument/2006/relationships/hyperlink" Target="mailto:Steven.Spaeth@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sites/default/files/omb/memoranda/2017/m-17-11_0.pdf" TargetMode="External"/><Relationship Id="rId2" Type="http://schemas.openxmlformats.org/officeDocument/2006/relationships/hyperlink" Target="https://publicfiles.fcc.gov/fm-profile/kibh-fm" TargetMode="External"/><Relationship Id="rId1" Type="http://schemas.openxmlformats.org/officeDocument/2006/relationships/hyperlink" Target="https://apps.fcc.gov/edocs_public/attachmatch/DOC-324054A1.pdf" TargetMode="External"/><Relationship Id="rId4"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3284</Words>
  <Characters>18191</Characters>
  <Application>Microsoft Office Word</Application>
  <DocSecurity>0</DocSecurity>
  <Lines>281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21594</CharactersWithSpaces>
  <SharedDoc>false</SharedDoc>
  <HyperlinkBase> </HyperlinkBase>
  <HLinks>
    <vt:vector size="66" baseType="variant">
      <vt:variant>
        <vt:i4>5636130</vt:i4>
      </vt:variant>
      <vt:variant>
        <vt:i4>18</vt:i4>
      </vt:variant>
      <vt:variant>
        <vt:i4>0</vt:i4>
      </vt:variant>
      <vt:variant>
        <vt:i4>5</vt:i4>
      </vt:variant>
      <vt:variant>
        <vt:lpwstr>mailto:Steven.Spaeth@fcc.gov</vt:lpwstr>
      </vt:variant>
      <vt:variant>
        <vt:lpwstr/>
      </vt:variant>
      <vt:variant>
        <vt:i4>3276871</vt:i4>
      </vt:variant>
      <vt:variant>
        <vt:i4>15</vt:i4>
      </vt:variant>
      <vt:variant>
        <vt:i4>0</vt:i4>
      </vt:variant>
      <vt:variant>
        <vt:i4>5</vt:i4>
      </vt:variant>
      <vt:variant>
        <vt:lpwstr>mailto:WR-Response@fcc.gov</vt:lpwstr>
      </vt:variant>
      <vt:variant>
        <vt:lpwstr/>
      </vt:variant>
      <vt:variant>
        <vt:i4>8126550</vt:i4>
      </vt:variant>
      <vt:variant>
        <vt:i4>12</vt:i4>
      </vt:variant>
      <vt:variant>
        <vt:i4>0</vt:i4>
      </vt:variant>
      <vt:variant>
        <vt:i4>5</vt:i4>
      </vt:variant>
      <vt:variant>
        <vt:lpwstr>mailto:ARINQUIRIES@fcc.gov</vt:lpwstr>
      </vt:variant>
      <vt:variant>
        <vt:lpwstr/>
      </vt:variant>
      <vt:variant>
        <vt:i4>5636130</vt:i4>
      </vt:variant>
      <vt:variant>
        <vt:i4>9</vt:i4>
      </vt:variant>
      <vt:variant>
        <vt:i4>0</vt:i4>
      </vt:variant>
      <vt:variant>
        <vt:i4>5</vt:i4>
      </vt:variant>
      <vt:variant>
        <vt:lpwstr>mailto:Steven.Spaeth@fcc.gov</vt:lpwstr>
      </vt:variant>
      <vt:variant>
        <vt:lpwstr/>
      </vt:variant>
      <vt:variant>
        <vt:i4>3276871</vt:i4>
      </vt:variant>
      <vt:variant>
        <vt:i4>6</vt:i4>
      </vt:variant>
      <vt:variant>
        <vt:i4>0</vt:i4>
      </vt:variant>
      <vt:variant>
        <vt:i4>5</vt:i4>
      </vt:variant>
      <vt:variant>
        <vt:lpwstr>mailto:WR-Response@fcc.gov</vt:lpwstr>
      </vt:variant>
      <vt:variant>
        <vt:lpwstr/>
      </vt:variant>
      <vt:variant>
        <vt:i4>5636130</vt:i4>
      </vt:variant>
      <vt:variant>
        <vt:i4>3</vt:i4>
      </vt:variant>
      <vt:variant>
        <vt:i4>0</vt:i4>
      </vt:variant>
      <vt:variant>
        <vt:i4>5</vt:i4>
      </vt:variant>
      <vt:variant>
        <vt:lpwstr>mailto:Steven.Spaeth@fcc.gov</vt:lpwstr>
      </vt:variant>
      <vt:variant>
        <vt:lpwstr/>
      </vt:variant>
      <vt:variant>
        <vt:i4>3276871</vt:i4>
      </vt:variant>
      <vt:variant>
        <vt:i4>0</vt:i4>
      </vt:variant>
      <vt:variant>
        <vt:i4>0</vt:i4>
      </vt:variant>
      <vt:variant>
        <vt:i4>5</vt:i4>
      </vt:variant>
      <vt:variant>
        <vt:lpwstr>mailto:WR-Response@fcc.gov</vt:lpwstr>
      </vt:variant>
      <vt:variant>
        <vt:lpwstr/>
      </vt:variant>
      <vt:variant>
        <vt:i4>5898263</vt:i4>
      </vt:variant>
      <vt:variant>
        <vt:i4>9</vt:i4>
      </vt:variant>
      <vt:variant>
        <vt:i4>0</vt:i4>
      </vt:variant>
      <vt:variant>
        <vt:i4>5</vt:i4>
      </vt:variant>
      <vt:variant>
        <vt:lpwstr>http://www.fcc.gov/Forms/Form159/159.pdf</vt:lpwstr>
      </vt:variant>
      <vt:variant>
        <vt:lpwstr/>
      </vt:variant>
      <vt:variant>
        <vt:i4>5308523</vt:i4>
      </vt:variant>
      <vt:variant>
        <vt:i4>6</vt:i4>
      </vt:variant>
      <vt:variant>
        <vt:i4>0</vt:i4>
      </vt:variant>
      <vt:variant>
        <vt:i4>5</vt:i4>
      </vt:variant>
      <vt:variant>
        <vt:lpwstr>https://www.whitehouse.gov/sites/default/files/omb/memoranda/2017/m-17-11_0.pdf</vt:lpwstr>
      </vt:variant>
      <vt:variant>
        <vt:lpwstr/>
      </vt:variant>
      <vt:variant>
        <vt:i4>7536685</vt:i4>
      </vt:variant>
      <vt:variant>
        <vt:i4>3</vt:i4>
      </vt:variant>
      <vt:variant>
        <vt:i4>0</vt:i4>
      </vt:variant>
      <vt:variant>
        <vt:i4>5</vt:i4>
      </vt:variant>
      <vt:variant>
        <vt:lpwstr>https://publicfiles.fcc.gov/fm-profile/kibh-fm</vt:lpwstr>
      </vt:variant>
      <vt:variant>
        <vt:lpwstr/>
      </vt:variant>
      <vt:variant>
        <vt:i4>2621513</vt:i4>
      </vt:variant>
      <vt:variant>
        <vt:i4>0</vt:i4>
      </vt:variant>
      <vt:variant>
        <vt:i4>0</vt:i4>
      </vt:variant>
      <vt:variant>
        <vt:i4>5</vt:i4>
      </vt:variant>
      <vt:variant>
        <vt:lpwstr>https://apps.fcc.gov/edocs_public/attachmatch/DOC-324054A1.pdf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2017-07-19T15:54:00Z</dcterms:created>
  <dcterms:modified xsi:type="dcterms:W3CDTF">2017-07-19T15:54:00Z</dcterms:modified>
  <cp:category> </cp:category>
  <cp:contentStatus> </cp:contentStatus>
</cp:coreProperties>
</file>