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A2560E" w:rsidRPr="00F12B8E" w:rsidRDefault="00A2560E" w:rsidP="00A2560E"/>
    <w:tbl>
      <w:tblPr>
        <w:tblW w:w="0" w:type="auto"/>
        <w:tblLayout w:type="fixed"/>
        <w:tblLook w:val="0000" w:firstRow="0" w:lastRow="0" w:firstColumn="0" w:lastColumn="0" w:noHBand="0" w:noVBand="0"/>
      </w:tblPr>
      <w:tblGrid>
        <w:gridCol w:w="4698"/>
        <w:gridCol w:w="630"/>
        <w:gridCol w:w="4248"/>
      </w:tblGrid>
      <w:tr w:rsidR="00A2560E" w:rsidRPr="00F12B8E" w:rsidTr="00C70929">
        <w:tc>
          <w:tcPr>
            <w:tcW w:w="4698" w:type="dxa"/>
          </w:tcPr>
          <w:p w:rsidR="00A2560E" w:rsidRPr="00F12B8E" w:rsidRDefault="00A2560E" w:rsidP="00C70929">
            <w:pPr>
              <w:tabs>
                <w:tab w:val="center" w:pos="4680"/>
              </w:tabs>
              <w:suppressAutoHyphens/>
              <w:rPr>
                <w:spacing w:val="-2"/>
              </w:rPr>
            </w:pPr>
            <w:r w:rsidRPr="00F12B8E">
              <w:rPr>
                <w:spacing w:val="-2"/>
              </w:rPr>
              <w:t>In the Matter of</w:t>
            </w:r>
          </w:p>
          <w:p w:rsidR="00A2560E" w:rsidRPr="00F12B8E" w:rsidRDefault="00A2560E" w:rsidP="00C70929">
            <w:pPr>
              <w:tabs>
                <w:tab w:val="center" w:pos="4680"/>
              </w:tabs>
              <w:suppressAutoHyphens/>
              <w:rPr>
                <w:spacing w:val="-2"/>
              </w:rPr>
            </w:pPr>
          </w:p>
          <w:p w:rsidR="00A2560E" w:rsidRPr="00F12B8E" w:rsidRDefault="00A2560E" w:rsidP="00C70929">
            <w:pPr>
              <w:tabs>
                <w:tab w:val="left" w:pos="0"/>
              </w:tabs>
              <w:suppressAutoHyphens/>
              <w:rPr>
                <w:spacing w:val="-2"/>
              </w:rPr>
            </w:pPr>
            <w:r w:rsidRPr="00F12B8E">
              <w:rPr>
                <w:szCs w:val="22"/>
              </w:rPr>
              <w:t>Urbanmedia One</w:t>
            </w:r>
            <w:r w:rsidRPr="00F12B8E">
              <w:rPr>
                <w:szCs w:val="22"/>
              </w:rPr>
              <w:tab/>
            </w:r>
            <w:r w:rsidRPr="00F12B8E">
              <w:rPr>
                <w:szCs w:val="22"/>
              </w:rPr>
              <w:tab/>
            </w:r>
            <w:r w:rsidRPr="00F12B8E">
              <w:rPr>
                <w:szCs w:val="22"/>
              </w:rPr>
              <w:tab/>
            </w:r>
            <w:r w:rsidRPr="00F12B8E">
              <w:rPr>
                <w:szCs w:val="22"/>
              </w:rPr>
              <w:tab/>
            </w:r>
            <w:r w:rsidRPr="00F12B8E">
              <w:rPr>
                <w:szCs w:val="22"/>
              </w:rPr>
              <w:tab/>
            </w:r>
            <w:r w:rsidRPr="00F12B8E">
              <w:rPr>
                <w:szCs w:val="22"/>
              </w:rPr>
              <w:tab/>
            </w:r>
            <w:r w:rsidRPr="00F12B8E">
              <w:rPr>
                <w:szCs w:val="22"/>
              </w:rPr>
              <w:tab/>
            </w:r>
            <w:r w:rsidRPr="00F12B8E">
              <w:rPr>
                <w:szCs w:val="22"/>
              </w:rPr>
              <w:tab/>
            </w:r>
            <w:r w:rsidRPr="00F12B8E">
              <w:rPr>
                <w:szCs w:val="22"/>
              </w:rPr>
              <w:tab/>
            </w:r>
            <w:r w:rsidRPr="00F12B8E">
              <w:rPr>
                <w:szCs w:val="22"/>
              </w:rPr>
              <w:tab/>
            </w:r>
          </w:p>
          <w:p w:rsidR="00A2560E" w:rsidRPr="00F12B8E" w:rsidRDefault="00A2560E" w:rsidP="00C70929">
            <w:pPr>
              <w:ind w:right="-18"/>
              <w:rPr>
                <w:szCs w:val="22"/>
              </w:rPr>
            </w:pPr>
            <w:r w:rsidRPr="00F12B8E">
              <w:rPr>
                <w:szCs w:val="22"/>
              </w:rPr>
              <w:t xml:space="preserve">Application for a Construction Permit for a New Low Power FM Station (WJPC-LP) at Chicago, Illinois </w:t>
            </w:r>
          </w:p>
          <w:p w:rsidR="00A2560E" w:rsidRPr="00F12B8E" w:rsidRDefault="00A2560E" w:rsidP="00C70929">
            <w:pPr>
              <w:ind w:right="-18"/>
              <w:rPr>
                <w:spacing w:val="-2"/>
              </w:rPr>
            </w:pPr>
          </w:p>
        </w:tc>
        <w:tc>
          <w:tcPr>
            <w:tcW w:w="630" w:type="dxa"/>
          </w:tcPr>
          <w:p w:rsidR="00A2560E" w:rsidRPr="00F12B8E" w:rsidRDefault="00A2560E" w:rsidP="00C70929">
            <w:pPr>
              <w:tabs>
                <w:tab w:val="center" w:pos="4680"/>
              </w:tabs>
              <w:suppressAutoHyphens/>
              <w:rPr>
                <w:b/>
                <w:spacing w:val="-2"/>
              </w:rPr>
            </w:pPr>
            <w:r w:rsidRPr="00F12B8E">
              <w:rPr>
                <w:b/>
                <w:spacing w:val="-2"/>
              </w:rPr>
              <w:t>)</w:t>
            </w:r>
          </w:p>
          <w:p w:rsidR="00A2560E" w:rsidRPr="00F12B8E" w:rsidRDefault="00A2560E" w:rsidP="00C70929">
            <w:pPr>
              <w:tabs>
                <w:tab w:val="center" w:pos="4680"/>
              </w:tabs>
              <w:suppressAutoHyphens/>
              <w:rPr>
                <w:b/>
                <w:spacing w:val="-2"/>
              </w:rPr>
            </w:pPr>
            <w:r w:rsidRPr="00F12B8E">
              <w:rPr>
                <w:b/>
                <w:spacing w:val="-2"/>
              </w:rPr>
              <w:t>)</w:t>
            </w:r>
          </w:p>
          <w:p w:rsidR="00A2560E" w:rsidRPr="00F12B8E" w:rsidRDefault="00A2560E" w:rsidP="00C70929">
            <w:pPr>
              <w:tabs>
                <w:tab w:val="center" w:pos="4680"/>
              </w:tabs>
              <w:suppressAutoHyphens/>
              <w:rPr>
                <w:b/>
                <w:spacing w:val="-2"/>
              </w:rPr>
            </w:pPr>
            <w:r w:rsidRPr="00F12B8E">
              <w:rPr>
                <w:b/>
                <w:spacing w:val="-2"/>
              </w:rPr>
              <w:t>)</w:t>
            </w:r>
          </w:p>
          <w:p w:rsidR="00A2560E" w:rsidRPr="00F12B8E" w:rsidRDefault="00A2560E" w:rsidP="00C70929">
            <w:pPr>
              <w:tabs>
                <w:tab w:val="center" w:pos="4680"/>
              </w:tabs>
              <w:suppressAutoHyphens/>
              <w:rPr>
                <w:b/>
                <w:spacing w:val="-2"/>
              </w:rPr>
            </w:pPr>
            <w:r w:rsidRPr="00F12B8E">
              <w:rPr>
                <w:b/>
                <w:spacing w:val="-2"/>
              </w:rPr>
              <w:t>)</w:t>
            </w:r>
          </w:p>
          <w:p w:rsidR="00A2560E" w:rsidRPr="00F12B8E" w:rsidRDefault="00A2560E" w:rsidP="00C70929">
            <w:pPr>
              <w:tabs>
                <w:tab w:val="center" w:pos="4680"/>
              </w:tabs>
              <w:suppressAutoHyphens/>
              <w:rPr>
                <w:b/>
                <w:spacing w:val="-2"/>
              </w:rPr>
            </w:pPr>
            <w:r w:rsidRPr="00F12B8E">
              <w:rPr>
                <w:b/>
                <w:spacing w:val="-2"/>
              </w:rPr>
              <w:t>)</w:t>
            </w:r>
          </w:p>
          <w:p w:rsidR="00A2560E" w:rsidRPr="00F12B8E" w:rsidRDefault="00A2560E" w:rsidP="00C70929">
            <w:pPr>
              <w:tabs>
                <w:tab w:val="center" w:pos="4680"/>
              </w:tabs>
              <w:suppressAutoHyphens/>
              <w:rPr>
                <w:b/>
                <w:spacing w:val="-2"/>
              </w:rPr>
            </w:pPr>
            <w:r w:rsidRPr="00F12B8E">
              <w:rPr>
                <w:b/>
                <w:spacing w:val="-2"/>
              </w:rPr>
              <w:t>)</w:t>
            </w:r>
          </w:p>
          <w:p w:rsidR="00A2560E" w:rsidRPr="00F12B8E" w:rsidRDefault="00A2560E" w:rsidP="00C70929">
            <w:pPr>
              <w:tabs>
                <w:tab w:val="center" w:pos="4680"/>
              </w:tabs>
              <w:suppressAutoHyphens/>
              <w:rPr>
                <w:b/>
                <w:spacing w:val="-2"/>
              </w:rPr>
            </w:pPr>
            <w:r w:rsidRPr="00F12B8E">
              <w:rPr>
                <w:b/>
                <w:spacing w:val="-2"/>
              </w:rPr>
              <w:t>)</w:t>
            </w:r>
          </w:p>
          <w:p w:rsidR="00A2560E" w:rsidRPr="00F12B8E" w:rsidRDefault="00A2560E" w:rsidP="00C70929">
            <w:pPr>
              <w:tabs>
                <w:tab w:val="center" w:pos="4680"/>
              </w:tabs>
              <w:suppressAutoHyphens/>
              <w:rPr>
                <w:spacing w:val="-2"/>
              </w:rPr>
            </w:pPr>
          </w:p>
        </w:tc>
        <w:tc>
          <w:tcPr>
            <w:tcW w:w="4248" w:type="dxa"/>
          </w:tcPr>
          <w:p w:rsidR="00A2560E" w:rsidRPr="00F12B8E" w:rsidRDefault="00A2560E" w:rsidP="00C70929">
            <w:pPr>
              <w:tabs>
                <w:tab w:val="center" w:pos="4680"/>
              </w:tabs>
              <w:suppressAutoHyphens/>
              <w:rPr>
                <w:spacing w:val="-2"/>
              </w:rPr>
            </w:pPr>
          </w:p>
          <w:p w:rsidR="00A2560E" w:rsidRPr="00F12B8E" w:rsidRDefault="00A2560E" w:rsidP="00C70929">
            <w:pPr>
              <w:tabs>
                <w:tab w:val="center" w:pos="4680"/>
              </w:tabs>
              <w:suppressAutoHyphens/>
              <w:rPr>
                <w:spacing w:val="-2"/>
              </w:rPr>
            </w:pPr>
          </w:p>
          <w:p w:rsidR="00A2560E" w:rsidRPr="00F12B8E" w:rsidRDefault="00A2560E" w:rsidP="00C70929">
            <w:pPr>
              <w:tabs>
                <w:tab w:val="center" w:pos="4680"/>
              </w:tabs>
              <w:suppressAutoHyphens/>
              <w:rPr>
                <w:spacing w:val="-2"/>
              </w:rPr>
            </w:pPr>
          </w:p>
          <w:p w:rsidR="00A2560E" w:rsidRPr="00F12B8E" w:rsidRDefault="00A2560E" w:rsidP="00C70929">
            <w:pPr>
              <w:tabs>
                <w:tab w:val="center" w:pos="4680"/>
              </w:tabs>
              <w:suppressAutoHyphens/>
              <w:rPr>
                <w:spacing w:val="-2"/>
              </w:rPr>
            </w:pPr>
          </w:p>
          <w:p w:rsidR="00A2560E" w:rsidRPr="00F12B8E" w:rsidRDefault="00A2560E" w:rsidP="00C70929">
            <w:pPr>
              <w:rPr>
                <w:szCs w:val="22"/>
              </w:rPr>
            </w:pPr>
            <w:r w:rsidRPr="00F12B8E">
              <w:rPr>
                <w:szCs w:val="22"/>
              </w:rPr>
              <w:t>File No. BNPL-20131114ADR</w:t>
            </w:r>
          </w:p>
          <w:p w:rsidR="00A2560E" w:rsidRPr="00F12B8E" w:rsidRDefault="00A2560E" w:rsidP="00C70929">
            <w:pPr>
              <w:rPr>
                <w:szCs w:val="22"/>
              </w:rPr>
            </w:pPr>
            <w:r w:rsidRPr="00F12B8E">
              <w:rPr>
                <w:szCs w:val="22"/>
              </w:rPr>
              <w:t>Facility ID No. 193259</w:t>
            </w:r>
          </w:p>
          <w:p w:rsidR="00A2560E" w:rsidRPr="00F12B8E" w:rsidRDefault="00A2560E" w:rsidP="00C70929">
            <w:pPr>
              <w:tabs>
                <w:tab w:val="center" w:pos="4680"/>
              </w:tabs>
              <w:suppressAutoHyphens/>
              <w:rPr>
                <w:spacing w:val="-2"/>
              </w:rPr>
            </w:pPr>
          </w:p>
        </w:tc>
      </w:tr>
    </w:tbl>
    <w:p w:rsidR="00A2560E" w:rsidRPr="00F12B8E" w:rsidRDefault="00967A27" w:rsidP="00A2560E">
      <w:pPr>
        <w:jc w:val="center"/>
        <w:rPr>
          <w:rFonts w:ascii="Times New Roman Bold" w:hAnsi="Times New Roman Bold"/>
          <w:b/>
          <w:bCs/>
          <w:caps/>
          <w:szCs w:val="22"/>
        </w:rPr>
      </w:pPr>
      <w:r>
        <w:rPr>
          <w:rFonts w:ascii="Times New Roman Bold" w:hAnsi="Times New Roman Bold"/>
          <w:b/>
          <w:bCs/>
          <w:caps/>
          <w:szCs w:val="22"/>
        </w:rPr>
        <w:t>ORDER ON RECONSIDERATION</w:t>
      </w:r>
    </w:p>
    <w:p w:rsidR="00A2560E" w:rsidRPr="00F12B8E" w:rsidRDefault="00A2560E" w:rsidP="00A2560E">
      <w:pPr>
        <w:tabs>
          <w:tab w:val="left" w:pos="-720"/>
        </w:tabs>
        <w:suppressAutoHyphens/>
        <w:spacing w:line="227" w:lineRule="auto"/>
        <w:rPr>
          <w:spacing w:val="-2"/>
        </w:rPr>
      </w:pPr>
    </w:p>
    <w:p w:rsidR="00A2560E" w:rsidRPr="00F12B8E" w:rsidRDefault="00A2560E" w:rsidP="00A2560E">
      <w:pPr>
        <w:tabs>
          <w:tab w:val="left" w:pos="720"/>
          <w:tab w:val="right" w:pos="9360"/>
        </w:tabs>
        <w:suppressAutoHyphens/>
        <w:spacing w:line="227" w:lineRule="auto"/>
        <w:rPr>
          <w:spacing w:val="-2"/>
        </w:rPr>
      </w:pPr>
      <w:r w:rsidRPr="00F12B8E">
        <w:rPr>
          <w:b/>
          <w:spacing w:val="-2"/>
        </w:rPr>
        <w:t xml:space="preserve">Adopted:  </w:t>
      </w:r>
      <w:r w:rsidR="00FA4380">
        <w:rPr>
          <w:b/>
          <w:spacing w:val="-2"/>
        </w:rPr>
        <w:t>June 9, 2017</w:t>
      </w:r>
      <w:r w:rsidRPr="00F12B8E">
        <w:rPr>
          <w:b/>
          <w:spacing w:val="-2"/>
        </w:rPr>
        <w:tab/>
        <w:t>Released:</w:t>
      </w:r>
      <w:r w:rsidR="00FA4380">
        <w:rPr>
          <w:b/>
          <w:spacing w:val="-2"/>
        </w:rPr>
        <w:t xml:space="preserve"> </w:t>
      </w:r>
      <w:r w:rsidR="004450FE">
        <w:rPr>
          <w:b/>
          <w:spacing w:val="-2"/>
        </w:rPr>
        <w:t xml:space="preserve"> </w:t>
      </w:r>
      <w:r w:rsidR="00FA4380">
        <w:rPr>
          <w:b/>
          <w:spacing w:val="-2"/>
        </w:rPr>
        <w:t>June 12, 2017</w:t>
      </w:r>
      <w:r w:rsidRPr="00F12B8E">
        <w:rPr>
          <w:b/>
          <w:spacing w:val="-2"/>
        </w:rPr>
        <w:t xml:space="preserve">  </w:t>
      </w:r>
    </w:p>
    <w:p w:rsidR="00A2560E" w:rsidRPr="00F12B8E" w:rsidRDefault="00A2560E" w:rsidP="00A2560E"/>
    <w:p w:rsidR="00A2560E" w:rsidRDefault="00A2560E" w:rsidP="00A2560E">
      <w:pPr>
        <w:rPr>
          <w:spacing w:val="-2"/>
        </w:rPr>
      </w:pPr>
      <w:r w:rsidRPr="00F12B8E">
        <w:t>By the</w:t>
      </w:r>
      <w:r w:rsidR="0017523B">
        <w:rPr>
          <w:spacing w:val="-2"/>
        </w:rPr>
        <w:t xml:space="preserve"> Commission</w:t>
      </w:r>
      <w:r w:rsidRPr="00F12B8E">
        <w:rPr>
          <w:spacing w:val="-2"/>
        </w:rPr>
        <w:t xml:space="preserve">: </w:t>
      </w:r>
    </w:p>
    <w:p w:rsidR="00F86AD9" w:rsidRPr="00F12B8E" w:rsidRDefault="00F86AD9" w:rsidP="00A2560E">
      <w:pPr>
        <w:rPr>
          <w:spacing w:val="-2"/>
        </w:rPr>
      </w:pPr>
    </w:p>
    <w:p w:rsidR="00A2560E" w:rsidRPr="00F12B8E" w:rsidRDefault="00F86AD9" w:rsidP="00F86AD9">
      <w:pPr>
        <w:pStyle w:val="Heading1"/>
      </w:pPr>
      <w:r>
        <w:t>background</w:t>
      </w:r>
    </w:p>
    <w:p w:rsidR="00202133" w:rsidRDefault="00C60D3B" w:rsidP="00087322">
      <w:pPr>
        <w:pStyle w:val="ParaNum"/>
      </w:pPr>
      <w:r>
        <w:t xml:space="preserve">We have before us a </w:t>
      </w:r>
      <w:r w:rsidR="005604F4">
        <w:rPr>
          <w:i/>
        </w:rPr>
        <w:t xml:space="preserve">Reconsideration </w:t>
      </w:r>
      <w:r w:rsidR="005604F4" w:rsidRPr="000355E9">
        <w:rPr>
          <w:i/>
        </w:rPr>
        <w:t>Petition</w:t>
      </w:r>
      <w:r w:rsidR="005604F4">
        <w:rPr>
          <w:i/>
        </w:rPr>
        <w:t xml:space="preserve"> </w:t>
      </w:r>
      <w:r w:rsidR="00A2560E" w:rsidRPr="00F12B8E">
        <w:t xml:space="preserve">by Sound of Hope Radio NFP (SOH), permittee of </w:t>
      </w:r>
      <w:r w:rsidR="00BC3E89">
        <w:t xml:space="preserve">a </w:t>
      </w:r>
      <w:r w:rsidR="00A2560E" w:rsidRPr="00F12B8E">
        <w:t xml:space="preserve">new </w:t>
      </w:r>
      <w:r w:rsidR="00842952">
        <w:t xml:space="preserve">unbuilt </w:t>
      </w:r>
      <w:r w:rsidR="00A2560E" w:rsidRPr="00F12B8E">
        <w:t>low power FM (LPFM)</w:t>
      </w:r>
      <w:r w:rsidR="002414E9">
        <w:t xml:space="preserve"> station at </w:t>
      </w:r>
      <w:r w:rsidR="00A2560E" w:rsidRPr="00F12B8E">
        <w:t>Chicago, Illinois.</w:t>
      </w:r>
      <w:r w:rsidR="00A2560E" w:rsidRPr="00F12B8E">
        <w:rPr>
          <w:sz w:val="20"/>
          <w:vertAlign w:val="superscript"/>
        </w:rPr>
        <w:footnoteReference w:id="2"/>
      </w:r>
      <w:r w:rsidR="00A2560E" w:rsidRPr="00F12B8E">
        <w:t xml:space="preserve">  </w:t>
      </w:r>
      <w:r w:rsidR="00096719">
        <w:t xml:space="preserve">SOH </w:t>
      </w:r>
      <w:r w:rsidR="00152349">
        <w:t>contends</w:t>
      </w:r>
      <w:r w:rsidR="00936092">
        <w:t xml:space="preserve"> that the </w:t>
      </w:r>
      <w:r w:rsidR="00470E21">
        <w:t xml:space="preserve">Commission erred in </w:t>
      </w:r>
      <w:r w:rsidR="002036D6">
        <w:t xml:space="preserve">an </w:t>
      </w:r>
      <w:r w:rsidR="002036D6">
        <w:rPr>
          <w:i/>
        </w:rPr>
        <w:t>Order</w:t>
      </w:r>
      <w:r w:rsidR="003F386A" w:rsidRPr="006F3333">
        <w:rPr>
          <w:rStyle w:val="FootnoteReference"/>
        </w:rPr>
        <w:footnoteReference w:id="3"/>
      </w:r>
      <w:r w:rsidR="002036D6">
        <w:rPr>
          <w:i/>
        </w:rPr>
        <w:t xml:space="preserve"> </w:t>
      </w:r>
      <w:r w:rsidR="00470E21">
        <w:t>that dismissed</w:t>
      </w:r>
      <w:r w:rsidR="002036D6">
        <w:t xml:space="preserve"> SOH’s</w:t>
      </w:r>
      <w:r w:rsidR="003E5583">
        <w:t xml:space="preserve"> Application for Review (AFR)</w:t>
      </w:r>
      <w:r w:rsidR="003E5583" w:rsidRPr="003E5583">
        <w:rPr>
          <w:rStyle w:val="FootnoteReference"/>
        </w:rPr>
        <w:t xml:space="preserve"> </w:t>
      </w:r>
      <w:r w:rsidR="003E5583">
        <w:rPr>
          <w:rStyle w:val="FootnoteReference"/>
        </w:rPr>
        <w:footnoteReference w:id="4"/>
      </w:r>
      <w:r w:rsidR="003E5583">
        <w:t xml:space="preserve"> of the </w:t>
      </w:r>
      <w:r w:rsidR="00096719">
        <w:t>Media Bureau</w:t>
      </w:r>
      <w:r w:rsidR="003E5583">
        <w:t>’s</w:t>
      </w:r>
      <w:r w:rsidR="00096719">
        <w:t xml:space="preserve"> (Bureau) </w:t>
      </w:r>
      <w:r w:rsidR="0051615E">
        <w:t xml:space="preserve">authorization of another </w:t>
      </w:r>
      <w:r w:rsidR="00E32BF1">
        <w:t xml:space="preserve">Chicago </w:t>
      </w:r>
      <w:r w:rsidR="00C80DFD">
        <w:t xml:space="preserve">LPFM </w:t>
      </w:r>
      <w:r w:rsidR="003E5583">
        <w:t>station.</w:t>
      </w:r>
      <w:r w:rsidR="004F452C">
        <w:t xml:space="preserve"> </w:t>
      </w:r>
      <w:r w:rsidR="00574DA6">
        <w:t xml:space="preserve"> </w:t>
      </w:r>
      <w:r w:rsidR="008B241C">
        <w:t>F</w:t>
      </w:r>
      <w:r w:rsidR="003603D4">
        <w:t xml:space="preserve">or the </w:t>
      </w:r>
      <w:r w:rsidR="00197738">
        <w:t>reasons</w:t>
      </w:r>
      <w:r w:rsidR="008B241C">
        <w:t xml:space="preserve"> stated below, we dismiss the </w:t>
      </w:r>
      <w:r w:rsidR="008B241C">
        <w:rPr>
          <w:i/>
        </w:rPr>
        <w:t xml:space="preserve">Reconsideration </w:t>
      </w:r>
      <w:r w:rsidR="008B241C" w:rsidRPr="000355E9">
        <w:rPr>
          <w:i/>
        </w:rPr>
        <w:t>Petition</w:t>
      </w:r>
      <w:r w:rsidR="00202133">
        <w:rPr>
          <w:i/>
        </w:rPr>
        <w:t>.</w:t>
      </w:r>
    </w:p>
    <w:p w:rsidR="00A14529" w:rsidRDefault="00202133" w:rsidP="00087322">
      <w:pPr>
        <w:pStyle w:val="ParaNum"/>
      </w:pPr>
      <w:r>
        <w:rPr>
          <w:i/>
        </w:rPr>
        <w:t xml:space="preserve"> </w:t>
      </w:r>
      <w:r w:rsidR="00871E8A">
        <w:t xml:space="preserve">SOH, Urbanmedia One (UM), and </w:t>
      </w:r>
      <w:r w:rsidR="00E435B5">
        <w:t>Morton College (Morton)</w:t>
      </w:r>
      <w:r w:rsidR="00052208">
        <w:t xml:space="preserve"> </w:t>
      </w:r>
      <w:r w:rsidR="0048031A">
        <w:t xml:space="preserve">filed </w:t>
      </w:r>
      <w:r w:rsidR="005604F4">
        <w:t xml:space="preserve">mutually exclusive </w:t>
      </w:r>
      <w:r w:rsidR="00A53410">
        <w:t>applications</w:t>
      </w:r>
      <w:r w:rsidR="00E32BF1">
        <w:t xml:space="preserve"> for LPFM construction permits</w:t>
      </w:r>
      <w:r w:rsidR="00892C68">
        <w:t xml:space="preserve"> </w:t>
      </w:r>
      <w:r w:rsidR="00FD2AE0">
        <w:t xml:space="preserve">(SOH Application, UM Application, and Morton Application, respectively).  Each </w:t>
      </w:r>
      <w:r w:rsidR="00892C68">
        <w:t>received equal points under the Commission’s comparative analysis</w:t>
      </w:r>
      <w:r w:rsidR="0063417F">
        <w:t xml:space="preserve"> released on September 5, 2014</w:t>
      </w:r>
      <w:r w:rsidR="00FD2AE0">
        <w:t>.</w:t>
      </w:r>
      <w:r w:rsidR="00C10D3C">
        <w:rPr>
          <w:rStyle w:val="FootnoteReference"/>
        </w:rPr>
        <w:footnoteReference w:id="5"/>
      </w:r>
      <w:r w:rsidR="00FD2AE0">
        <w:t xml:space="preserve">  </w:t>
      </w:r>
      <w:r w:rsidR="00CB05CB">
        <w:t>On December 4, 2014</w:t>
      </w:r>
      <w:r w:rsidR="00A041FA">
        <w:t>, t</w:t>
      </w:r>
      <w:r w:rsidR="008A059C">
        <w:t xml:space="preserve">he Bureau </w:t>
      </w:r>
      <w:r w:rsidR="00B91B1F">
        <w:t>dismi</w:t>
      </w:r>
      <w:r w:rsidR="000B084A">
        <w:t>ssed the SOH A</w:t>
      </w:r>
      <w:r w:rsidR="00B91B1F">
        <w:t xml:space="preserve">pplication and </w:t>
      </w:r>
      <w:r w:rsidR="00052208">
        <w:t>granted the</w:t>
      </w:r>
      <w:r w:rsidR="00892C68">
        <w:t xml:space="preserve"> applications of</w:t>
      </w:r>
      <w:r w:rsidR="00052208">
        <w:t xml:space="preserve"> UM an</w:t>
      </w:r>
      <w:r w:rsidR="003E477B">
        <w:t>d Morton</w:t>
      </w:r>
      <w:r w:rsidR="00892C68">
        <w:t xml:space="preserve">, which had aggregated points pursuant to </w:t>
      </w:r>
      <w:r w:rsidR="003E477B">
        <w:t>a time</w:t>
      </w:r>
      <w:r w:rsidR="00B91B1F">
        <w:t xml:space="preserve">sharing </w:t>
      </w:r>
      <w:r w:rsidR="00892C68">
        <w:t>agreement.</w:t>
      </w:r>
      <w:r w:rsidR="00167039">
        <w:rPr>
          <w:rStyle w:val="FootnoteReference"/>
        </w:rPr>
        <w:footnoteReference w:id="6"/>
      </w:r>
      <w:r w:rsidR="00892C68">
        <w:t xml:space="preserve">  </w:t>
      </w:r>
      <w:r w:rsidR="00045398">
        <w:t>SOH</w:t>
      </w:r>
      <w:r w:rsidR="006D62B7">
        <w:t>,</w:t>
      </w:r>
      <w:r w:rsidR="00045398">
        <w:t xml:space="preserve"> </w:t>
      </w:r>
      <w:r w:rsidR="006D62B7">
        <w:t xml:space="preserve">on December 8, 2014, </w:t>
      </w:r>
      <w:r w:rsidR="00DC7CCE">
        <w:t>sought r</w:t>
      </w:r>
      <w:r w:rsidR="00930A30">
        <w:t xml:space="preserve">einstatement </w:t>
      </w:r>
      <w:r w:rsidR="002771B1">
        <w:t xml:space="preserve">of its application </w:t>
      </w:r>
      <w:r w:rsidR="00DC7CCE">
        <w:t xml:space="preserve">by amending </w:t>
      </w:r>
      <w:r w:rsidR="00045398">
        <w:t xml:space="preserve">to </w:t>
      </w:r>
      <w:r w:rsidR="00157E97">
        <w:t xml:space="preserve">specify </w:t>
      </w:r>
      <w:r w:rsidR="00045398">
        <w:t>a different transmitter site</w:t>
      </w:r>
      <w:r w:rsidR="00A53410">
        <w:t xml:space="preserve"> </w:t>
      </w:r>
      <w:r w:rsidR="00157E97">
        <w:t xml:space="preserve">that was </w:t>
      </w:r>
      <w:r w:rsidR="009E03AF">
        <w:t xml:space="preserve">not in conflict with </w:t>
      </w:r>
      <w:r w:rsidR="00DC7CCE">
        <w:t>the UM and</w:t>
      </w:r>
      <w:r w:rsidR="009E03AF">
        <w:t xml:space="preserve"> Morton</w:t>
      </w:r>
      <w:r w:rsidR="00DC7CCE">
        <w:t xml:space="preserve"> </w:t>
      </w:r>
      <w:r w:rsidR="006B4FD2">
        <w:t>technical proposals (SOH New Site Amendment)</w:t>
      </w:r>
      <w:r w:rsidR="00DC7CCE">
        <w:t>.</w:t>
      </w:r>
      <w:r w:rsidR="00A81FF7">
        <w:t xml:space="preserve">  </w:t>
      </w:r>
      <w:r w:rsidR="001C00F0">
        <w:t xml:space="preserve">On January 7, 2015, while SOH’s reinstatement request was pending, </w:t>
      </w:r>
      <w:r w:rsidR="00DB454F">
        <w:t>SOH</w:t>
      </w:r>
      <w:r w:rsidR="00A81FF7">
        <w:t xml:space="preserve"> petitioned for reconsideration of </w:t>
      </w:r>
      <w:r w:rsidR="003839B5">
        <w:t xml:space="preserve">the UM </w:t>
      </w:r>
      <w:r w:rsidR="002771B1">
        <w:t xml:space="preserve">(but not the Morton) </w:t>
      </w:r>
      <w:r w:rsidR="003839B5">
        <w:t>grant</w:t>
      </w:r>
      <w:r w:rsidR="00283F10">
        <w:t>.</w:t>
      </w:r>
      <w:r w:rsidR="00283F10">
        <w:rPr>
          <w:rStyle w:val="FootnoteReference"/>
        </w:rPr>
        <w:footnoteReference w:id="7"/>
      </w:r>
      <w:r w:rsidR="008146F2">
        <w:t xml:space="preserve"> </w:t>
      </w:r>
      <w:r w:rsidR="00967A27">
        <w:t xml:space="preserve"> </w:t>
      </w:r>
      <w:r w:rsidR="00007D20">
        <w:t>I</w:t>
      </w:r>
      <w:r w:rsidR="006B4FD2">
        <w:t>n th</w:t>
      </w:r>
      <w:r w:rsidR="004902EA">
        <w:t>at</w:t>
      </w:r>
      <w:r w:rsidR="006B4FD2">
        <w:t xml:space="preserve"> </w:t>
      </w:r>
      <w:r w:rsidR="006B4FD2">
        <w:rPr>
          <w:i/>
        </w:rPr>
        <w:t xml:space="preserve">First Petition, </w:t>
      </w:r>
      <w:r w:rsidR="00283F10">
        <w:t>SOH</w:t>
      </w:r>
      <w:r w:rsidR="00E43462">
        <w:t xml:space="preserve"> a</w:t>
      </w:r>
      <w:r w:rsidR="003B2977">
        <w:t>lleged</w:t>
      </w:r>
      <w:r w:rsidR="00A064FD">
        <w:t xml:space="preserve"> </w:t>
      </w:r>
      <w:r w:rsidR="008146F2">
        <w:t xml:space="preserve">that UM had </w:t>
      </w:r>
      <w:r w:rsidR="00592F93">
        <w:t xml:space="preserve">not negotiated </w:t>
      </w:r>
      <w:r w:rsidR="00270E64">
        <w:t xml:space="preserve">timesharing </w:t>
      </w:r>
      <w:r w:rsidR="00592F93">
        <w:t xml:space="preserve">in good faith </w:t>
      </w:r>
      <w:r w:rsidR="003B5DAB">
        <w:t xml:space="preserve">and </w:t>
      </w:r>
      <w:r w:rsidR="00270E64">
        <w:t xml:space="preserve">was unqualified because it </w:t>
      </w:r>
      <w:r w:rsidR="003B5DAB">
        <w:t>had</w:t>
      </w:r>
      <w:r w:rsidR="005D1997">
        <w:t xml:space="preserve"> </w:t>
      </w:r>
      <w:r w:rsidR="008146F2">
        <w:t>engaged in unauthorized “pirate” broadcasting</w:t>
      </w:r>
      <w:r w:rsidR="00DB454F">
        <w:t>.</w:t>
      </w:r>
      <w:r w:rsidR="00684303">
        <w:rPr>
          <w:rStyle w:val="FootnoteReference"/>
        </w:rPr>
        <w:footnoteReference w:id="8"/>
      </w:r>
      <w:r w:rsidR="00DB454F">
        <w:t xml:space="preserve">  </w:t>
      </w:r>
      <w:r w:rsidR="00BB6603">
        <w:t>SOH expressed a desire</w:t>
      </w:r>
      <w:r w:rsidR="00955CBE">
        <w:t xml:space="preserve"> to </w:t>
      </w:r>
      <w:r w:rsidR="001079D8">
        <w:t xml:space="preserve">withdraw its then-pending </w:t>
      </w:r>
      <w:r w:rsidR="00A064FD">
        <w:t xml:space="preserve">site </w:t>
      </w:r>
      <w:r w:rsidR="001079D8">
        <w:t xml:space="preserve">amendment, in favor of </w:t>
      </w:r>
      <w:r w:rsidR="001079D8">
        <w:lastRenderedPageBreak/>
        <w:t>revert</w:t>
      </w:r>
      <w:r w:rsidR="00700A6C">
        <w:t>ing to its</w:t>
      </w:r>
      <w:r w:rsidR="001079D8">
        <w:t xml:space="preserve"> original proposal</w:t>
      </w:r>
      <w:r w:rsidR="00BB6603">
        <w:t xml:space="preserve"> and negotiating a new timesharing arrangement with Morton.</w:t>
      </w:r>
      <w:r w:rsidR="00BB6603">
        <w:rPr>
          <w:rStyle w:val="FootnoteReference"/>
        </w:rPr>
        <w:footnoteReference w:id="9"/>
      </w:r>
      <w:r w:rsidR="00180BFF">
        <w:t xml:space="preserve">  </w:t>
      </w:r>
      <w:r w:rsidR="005D0A3E">
        <w:t>On January 14, 2015, t</w:t>
      </w:r>
      <w:r w:rsidR="00397631">
        <w:t xml:space="preserve">he Bureau </w:t>
      </w:r>
      <w:r w:rsidR="005D0A3E">
        <w:t xml:space="preserve">reinstated the </w:t>
      </w:r>
      <w:r w:rsidR="00446A3F">
        <w:t>SOH A</w:t>
      </w:r>
      <w:r w:rsidR="00664A32">
        <w:t>pplication</w:t>
      </w:r>
      <w:r w:rsidR="005D0A3E">
        <w:t xml:space="preserve">, </w:t>
      </w:r>
      <w:r w:rsidR="006B4FD2">
        <w:t xml:space="preserve">accepted the SOH New Site Amendment, </w:t>
      </w:r>
      <w:r w:rsidR="005D0A3E">
        <w:t xml:space="preserve">and granted </w:t>
      </w:r>
      <w:r w:rsidR="006B4FD2">
        <w:t xml:space="preserve">the now </w:t>
      </w:r>
      <w:r w:rsidR="00664A32">
        <w:t>“singleton”</w:t>
      </w:r>
      <w:r w:rsidR="006B4FD2">
        <w:t xml:space="preserve"> SOH Applic</w:t>
      </w:r>
      <w:r w:rsidR="008F1B19">
        <w:t>a</w:t>
      </w:r>
      <w:r w:rsidR="006B4FD2">
        <w:t>tion</w:t>
      </w:r>
      <w:r w:rsidR="00562529">
        <w:t>, a grant to which SOH did not object</w:t>
      </w:r>
      <w:r w:rsidR="006B4FD2">
        <w:t>.</w:t>
      </w:r>
      <w:r w:rsidR="00397631">
        <w:t xml:space="preserve">  </w:t>
      </w:r>
      <w:r w:rsidR="00BD344E">
        <w:t>G</w:t>
      </w:r>
      <w:r w:rsidR="00446A3F">
        <w:t>rants of the Morton and SOH A</w:t>
      </w:r>
      <w:r w:rsidR="00F3323B">
        <w:t xml:space="preserve">pplications </w:t>
      </w:r>
      <w:r w:rsidR="00BD344E">
        <w:t>beca</w:t>
      </w:r>
      <w:r w:rsidR="00F3323B">
        <w:t xml:space="preserve">me </w:t>
      </w:r>
      <w:r w:rsidR="00BC47E2">
        <w:t xml:space="preserve">final </w:t>
      </w:r>
      <w:r w:rsidR="002771B1">
        <w:t>in early 2015</w:t>
      </w:r>
      <w:r w:rsidR="00F3323B">
        <w:t>.</w:t>
      </w:r>
      <w:r w:rsidR="00BD344E">
        <w:rPr>
          <w:rStyle w:val="FootnoteReference"/>
        </w:rPr>
        <w:footnoteReference w:id="10"/>
      </w:r>
      <w:r w:rsidR="00F3323B">
        <w:t xml:space="preserve">  </w:t>
      </w:r>
      <w:r w:rsidR="00664A32">
        <w:t>SOH continued</w:t>
      </w:r>
      <w:r w:rsidR="007005E5">
        <w:t>, however,</w:t>
      </w:r>
      <w:r w:rsidR="00664A32">
        <w:t xml:space="preserve"> to </w:t>
      </w:r>
      <w:r w:rsidR="005D0A3E">
        <w:t xml:space="preserve">prosecute its petition </w:t>
      </w:r>
      <w:r w:rsidR="007005E5">
        <w:t>against UM.</w:t>
      </w:r>
      <w:r w:rsidR="00494838">
        <w:t xml:space="preserve"> </w:t>
      </w:r>
    </w:p>
    <w:p w:rsidR="008B1B16" w:rsidRDefault="00C2107B" w:rsidP="00967A27">
      <w:pPr>
        <w:pStyle w:val="ParaNum"/>
        <w:widowControl/>
      </w:pPr>
      <w:r>
        <w:t>T</w:t>
      </w:r>
      <w:r w:rsidR="00096719">
        <w:t xml:space="preserve">he Bureau or </w:t>
      </w:r>
      <w:r w:rsidR="007634AF">
        <w:t xml:space="preserve">Commission </w:t>
      </w:r>
      <w:r w:rsidR="00096719">
        <w:t>ha</w:t>
      </w:r>
      <w:r w:rsidR="006B4FD2">
        <w:t>s</w:t>
      </w:r>
      <w:r w:rsidR="007634AF">
        <w:t xml:space="preserve">, at </w:t>
      </w:r>
      <w:r w:rsidR="0008487F">
        <w:t xml:space="preserve">each </w:t>
      </w:r>
      <w:r w:rsidR="00C80DFD">
        <w:t>stage</w:t>
      </w:r>
      <w:r w:rsidR="008B0AD0">
        <w:t xml:space="preserve"> of this proceeding</w:t>
      </w:r>
      <w:r w:rsidR="007634AF">
        <w:t>,</w:t>
      </w:r>
      <w:r w:rsidR="00096719">
        <w:t xml:space="preserve"> dismissed SOH’s filings </w:t>
      </w:r>
      <w:r w:rsidR="00457DA8">
        <w:t>as</w:t>
      </w:r>
      <w:r w:rsidR="00493868">
        <w:t xml:space="preserve"> procedural</w:t>
      </w:r>
      <w:r w:rsidR="00457DA8">
        <w:t>ly flawed</w:t>
      </w:r>
      <w:r w:rsidR="006F460B">
        <w:t>.</w:t>
      </w:r>
      <w:r w:rsidR="006F460B" w:rsidRPr="00254412">
        <w:rPr>
          <w:vertAlign w:val="superscript"/>
        </w:rPr>
        <w:footnoteReference w:id="11"/>
      </w:r>
      <w:r w:rsidR="006F460B">
        <w:t xml:space="preserve">  </w:t>
      </w:r>
      <w:r w:rsidR="006F460B" w:rsidRPr="00774379">
        <w:t xml:space="preserve">The </w:t>
      </w:r>
      <w:r w:rsidR="006F460B" w:rsidRPr="00774379">
        <w:rPr>
          <w:i/>
        </w:rPr>
        <w:t>Order</w:t>
      </w:r>
      <w:r w:rsidR="005A30CE" w:rsidRPr="00774379">
        <w:rPr>
          <w:i/>
        </w:rPr>
        <w:t>,</w:t>
      </w:r>
      <w:r w:rsidR="006F460B" w:rsidRPr="00774379">
        <w:rPr>
          <w:i/>
        </w:rPr>
        <w:t xml:space="preserve"> </w:t>
      </w:r>
      <w:r w:rsidR="006F460B" w:rsidRPr="00774379">
        <w:t>of which SOH now seeks reconsideration</w:t>
      </w:r>
      <w:r w:rsidR="005A30CE" w:rsidRPr="00774379">
        <w:t>,</w:t>
      </w:r>
      <w:r w:rsidR="006F460B" w:rsidRPr="00774379">
        <w:t xml:space="preserve"> dismissed</w:t>
      </w:r>
      <w:r w:rsidR="007A4B13" w:rsidRPr="00774379">
        <w:t xml:space="preserve"> SOH’s AFR</w:t>
      </w:r>
      <w:r w:rsidR="00E16520" w:rsidRPr="00774379">
        <w:t xml:space="preserve"> for lack of standing</w:t>
      </w:r>
      <w:r w:rsidR="006F460B" w:rsidRPr="00774379">
        <w:t xml:space="preserve"> </w:t>
      </w:r>
      <w:r w:rsidR="009F3F2E" w:rsidRPr="00774379">
        <w:t>because</w:t>
      </w:r>
      <w:r w:rsidR="006F460B" w:rsidRPr="00774379">
        <w:t xml:space="preserve"> </w:t>
      </w:r>
      <w:r w:rsidR="00087322" w:rsidRPr="00774379">
        <w:t xml:space="preserve">SOH </w:t>
      </w:r>
      <w:r w:rsidR="006F460B" w:rsidRPr="00774379">
        <w:t xml:space="preserve">had not demonstrated that it was </w:t>
      </w:r>
      <w:r w:rsidR="00666A91" w:rsidRPr="00774379">
        <w:t xml:space="preserve">“aggrieved” </w:t>
      </w:r>
      <w:r w:rsidR="0089195F" w:rsidRPr="00774379">
        <w:t>by grant of the UM A</w:t>
      </w:r>
      <w:r w:rsidR="002F48A2" w:rsidRPr="00774379">
        <w:t>pplication</w:t>
      </w:r>
      <w:r w:rsidR="000A3D08" w:rsidRPr="00774379">
        <w:t>.</w:t>
      </w:r>
      <w:r w:rsidR="00666A91" w:rsidRPr="009C4DA7">
        <w:rPr>
          <w:vertAlign w:val="superscript"/>
        </w:rPr>
        <w:footnoteReference w:id="12"/>
      </w:r>
      <w:r w:rsidR="00087322">
        <w:t xml:space="preserve"> </w:t>
      </w:r>
      <w:r w:rsidR="009D3A51">
        <w:t xml:space="preserve"> </w:t>
      </w:r>
      <w:r w:rsidR="006F1797">
        <w:t>T</w:t>
      </w:r>
      <w:r w:rsidR="00814AA1">
        <w:t xml:space="preserve">he </w:t>
      </w:r>
      <w:r w:rsidR="001D7B33">
        <w:t xml:space="preserve">Commission observed that </w:t>
      </w:r>
      <w:r w:rsidR="006B4FD2">
        <w:t xml:space="preserve">the SOH and UM proposals were not in technical conflict, </w:t>
      </w:r>
      <w:r w:rsidR="001D7B33">
        <w:t xml:space="preserve">and concluded that </w:t>
      </w:r>
      <w:r w:rsidR="002E07D8">
        <w:t xml:space="preserve">SOH </w:t>
      </w:r>
      <w:r w:rsidR="006B4FD2">
        <w:t xml:space="preserve">was not injured by the grant of the UM Application and </w:t>
      </w:r>
      <w:r w:rsidR="002E07D8">
        <w:t xml:space="preserve">would </w:t>
      </w:r>
      <w:r w:rsidR="006B4FD2">
        <w:t xml:space="preserve">not </w:t>
      </w:r>
      <w:r w:rsidR="00454F1F">
        <w:t xml:space="preserve">receive any </w:t>
      </w:r>
      <w:r w:rsidR="001E51FB">
        <w:t xml:space="preserve">redress were the </w:t>
      </w:r>
      <w:r w:rsidR="001358DA">
        <w:t>UM grant</w:t>
      </w:r>
      <w:r w:rsidR="001E51FB">
        <w:t xml:space="preserve"> </w:t>
      </w:r>
      <w:r w:rsidR="00807D0F" w:rsidRPr="00807D0F">
        <w:t>r</w:t>
      </w:r>
      <w:r w:rsidR="002A15DF">
        <w:t>escinded</w:t>
      </w:r>
      <w:r w:rsidR="00486742">
        <w:t>.</w:t>
      </w:r>
      <w:r w:rsidR="0039151F">
        <w:t xml:space="preserve">  </w:t>
      </w:r>
      <w:r w:rsidR="005F731B">
        <w:t>The Commission stated</w:t>
      </w:r>
      <w:r w:rsidR="00F21B7B">
        <w:t>, for example,</w:t>
      </w:r>
      <w:r w:rsidR="005F731B">
        <w:t xml:space="preserve"> that e</w:t>
      </w:r>
      <w:r w:rsidR="00A17F7A">
        <w:t xml:space="preserve">ven </w:t>
      </w:r>
      <w:r w:rsidR="00B40E3D">
        <w:t xml:space="preserve">if </w:t>
      </w:r>
      <w:r w:rsidR="005F731B">
        <w:t>it</w:t>
      </w:r>
      <w:r w:rsidR="009D3A51">
        <w:t xml:space="preserve"> </w:t>
      </w:r>
      <w:r w:rsidR="00A17F7A">
        <w:t>w</w:t>
      </w:r>
      <w:r w:rsidR="00A60439">
        <w:t xml:space="preserve">ere </w:t>
      </w:r>
      <w:r w:rsidR="00A17F7A">
        <w:t xml:space="preserve">to rescind the UM permit: </w:t>
      </w:r>
      <w:r w:rsidR="00687CCD">
        <w:t xml:space="preserve"> </w:t>
      </w:r>
      <w:r w:rsidR="00A17F7A">
        <w:t>(1)</w:t>
      </w:r>
      <w:r w:rsidR="00A60439">
        <w:t xml:space="preserve"> </w:t>
      </w:r>
      <w:r w:rsidR="008D6CD0">
        <w:t xml:space="preserve">Morton </w:t>
      </w:r>
      <w:r w:rsidR="00814AA1">
        <w:t xml:space="preserve">would not </w:t>
      </w:r>
      <w:r w:rsidR="008429A8">
        <w:t xml:space="preserve">be required </w:t>
      </w:r>
      <w:r w:rsidR="00E010B0">
        <w:t xml:space="preserve">to </w:t>
      </w:r>
      <w:r w:rsidR="00814AA1">
        <w:t xml:space="preserve">share </w:t>
      </w:r>
      <w:r w:rsidR="00E010B0">
        <w:t xml:space="preserve">time </w:t>
      </w:r>
      <w:r w:rsidR="00814AA1">
        <w:t>with SOH</w:t>
      </w:r>
      <w:r w:rsidR="00A17F7A">
        <w:t>;</w:t>
      </w:r>
      <w:r w:rsidR="008B57DE" w:rsidRPr="00B20791">
        <w:rPr>
          <w:sz w:val="20"/>
          <w:vertAlign w:val="superscript"/>
        </w:rPr>
        <w:footnoteReference w:id="13"/>
      </w:r>
      <w:r w:rsidR="008B57DE" w:rsidRPr="00F12B8E">
        <w:t xml:space="preserve"> </w:t>
      </w:r>
      <w:r w:rsidR="00A17F7A">
        <w:t xml:space="preserve">(2) </w:t>
      </w:r>
      <w:r w:rsidR="00432BCA">
        <w:t xml:space="preserve">the </w:t>
      </w:r>
      <w:r w:rsidR="001E51FB">
        <w:t xml:space="preserve">Commission’s </w:t>
      </w:r>
      <w:r w:rsidR="00432BCA">
        <w:t>rule</w:t>
      </w:r>
      <w:r w:rsidR="000F46FA">
        <w:t>s</w:t>
      </w:r>
      <w:r w:rsidR="00941914">
        <w:t xml:space="preserve"> </w:t>
      </w:r>
      <w:r w:rsidR="0028335C">
        <w:t xml:space="preserve">would </w:t>
      </w:r>
      <w:r w:rsidR="00B27D06">
        <w:t>provid</w:t>
      </w:r>
      <w:r w:rsidR="00432BCA">
        <w:t xml:space="preserve">e no opportunity </w:t>
      </w:r>
      <w:r w:rsidR="00E02E7E">
        <w:t>for</w:t>
      </w:r>
      <w:r w:rsidR="0028335C">
        <w:t xml:space="preserve"> SOH and Morton, </w:t>
      </w:r>
      <w:r w:rsidR="00432BCA">
        <w:t xml:space="preserve">whose </w:t>
      </w:r>
      <w:r w:rsidR="00A4750B">
        <w:t>applications</w:t>
      </w:r>
      <w:r w:rsidR="00006F6D">
        <w:t xml:space="preserve"> </w:t>
      </w:r>
      <w:r w:rsidR="00432BCA">
        <w:t>a</w:t>
      </w:r>
      <w:r w:rsidR="00B27D06">
        <w:t>re no longer pending</w:t>
      </w:r>
      <w:r w:rsidR="0028335C">
        <w:t xml:space="preserve">, to </w:t>
      </w:r>
      <w:r w:rsidR="0028335C">
        <w:lastRenderedPageBreak/>
        <w:t>negotiate a time sharing agreement</w:t>
      </w:r>
      <w:r w:rsidR="00A17F7A">
        <w:t>;</w:t>
      </w:r>
      <w:r w:rsidR="00A17F7A">
        <w:rPr>
          <w:rStyle w:val="FootnoteReference"/>
        </w:rPr>
        <w:footnoteReference w:id="14"/>
      </w:r>
      <w:r w:rsidR="00A17F7A">
        <w:t xml:space="preserve"> </w:t>
      </w:r>
      <w:r w:rsidR="002464A2">
        <w:t>and (3) SOH</w:t>
      </w:r>
      <w:r w:rsidR="00B27D06">
        <w:t xml:space="preserve">’s </w:t>
      </w:r>
      <w:r w:rsidR="00432BCA">
        <w:t xml:space="preserve">desired return to its </w:t>
      </w:r>
      <w:r w:rsidR="00A17F7A" w:rsidRPr="00F12548">
        <w:t xml:space="preserve">original site </w:t>
      </w:r>
      <w:r w:rsidR="00B27D06">
        <w:t xml:space="preserve">would </w:t>
      </w:r>
      <w:r w:rsidR="00562529">
        <w:t xml:space="preserve">constitute </w:t>
      </w:r>
      <w:r w:rsidR="00432BCA">
        <w:t>a major change</w:t>
      </w:r>
      <w:r w:rsidR="006B4FD2">
        <w:t xml:space="preserve"> that is not permitted </w:t>
      </w:r>
      <w:r w:rsidR="00432BCA">
        <w:t xml:space="preserve">outside of a </w:t>
      </w:r>
      <w:r w:rsidR="008429A8">
        <w:t>fi</w:t>
      </w:r>
      <w:r w:rsidR="00432BCA">
        <w:t>ling window</w:t>
      </w:r>
      <w:r w:rsidR="00A17F7A">
        <w:t>.</w:t>
      </w:r>
      <w:r w:rsidR="00A17F7A">
        <w:rPr>
          <w:rStyle w:val="FootnoteReference"/>
        </w:rPr>
        <w:footnoteReference w:id="15"/>
      </w:r>
      <w:r w:rsidR="00A17F7A">
        <w:t xml:space="preserve">  </w:t>
      </w:r>
    </w:p>
    <w:p w:rsidR="00D611BE" w:rsidRDefault="00F447DB" w:rsidP="00D611BE">
      <w:pPr>
        <w:pStyle w:val="ParaNum"/>
      </w:pPr>
      <w:r>
        <w:t xml:space="preserve">The primary arguments </w:t>
      </w:r>
      <w:r w:rsidR="007F70B0">
        <w:t xml:space="preserve">in the </w:t>
      </w:r>
      <w:r w:rsidR="007F70B0">
        <w:rPr>
          <w:i/>
        </w:rPr>
        <w:t xml:space="preserve">Reconsideration </w:t>
      </w:r>
      <w:r w:rsidR="007F70B0" w:rsidRPr="00F447DB">
        <w:rPr>
          <w:i/>
        </w:rPr>
        <w:t>Petition</w:t>
      </w:r>
      <w:r w:rsidR="007F70B0">
        <w:rPr>
          <w:i/>
        </w:rPr>
        <w:t xml:space="preserve"> </w:t>
      </w:r>
      <w:r w:rsidR="003E6F68">
        <w:t xml:space="preserve">are </w:t>
      </w:r>
      <w:r w:rsidR="0028335C">
        <w:t>that</w:t>
      </w:r>
      <w:r w:rsidR="003E6F68">
        <w:t xml:space="preserve"> SOH</w:t>
      </w:r>
      <w:r w:rsidR="0028335C">
        <w:t xml:space="preserve">: </w:t>
      </w:r>
      <w:r w:rsidR="00D37ED9">
        <w:t xml:space="preserve"> </w:t>
      </w:r>
      <w:r w:rsidR="00A5674B">
        <w:t>(1)</w:t>
      </w:r>
      <w:r w:rsidR="00B967ED">
        <w:t xml:space="preserve"> </w:t>
      </w:r>
      <w:r w:rsidR="00150449">
        <w:t>had no</w:t>
      </w:r>
      <w:r w:rsidR="008B1B16">
        <w:t xml:space="preserve"> </w:t>
      </w:r>
      <w:r w:rsidR="00150449">
        <w:t xml:space="preserve">prior </w:t>
      </w:r>
      <w:r w:rsidR="008B1B16">
        <w:t xml:space="preserve">opportunity to address the issue of standing; </w:t>
      </w:r>
      <w:r w:rsidR="00395E5F">
        <w:t xml:space="preserve">(2) </w:t>
      </w:r>
      <w:r w:rsidR="00EA2475">
        <w:t>did</w:t>
      </w:r>
      <w:r w:rsidR="00B767DF">
        <w:t xml:space="preserve"> not </w:t>
      </w:r>
      <w:r w:rsidR="00395E5F">
        <w:t>need</w:t>
      </w:r>
      <w:r w:rsidR="008B1B16">
        <w:t xml:space="preserve"> to </w:t>
      </w:r>
      <w:r w:rsidR="00395E5F">
        <w:t>sho</w:t>
      </w:r>
      <w:r w:rsidR="00806DAA">
        <w:t>w that it was aggrieved because</w:t>
      </w:r>
      <w:r w:rsidR="0084304D">
        <w:t xml:space="preserve"> its injury</w:t>
      </w:r>
      <w:r w:rsidR="00806DAA">
        <w:t>, as</w:t>
      </w:r>
      <w:r w:rsidR="0084304D">
        <w:t xml:space="preserve"> a party to the proceeding, </w:t>
      </w:r>
      <w:r w:rsidR="008B1B16">
        <w:t xml:space="preserve">is </w:t>
      </w:r>
      <w:r w:rsidR="00797DF5">
        <w:t>“self-evident”</w:t>
      </w:r>
      <w:r w:rsidR="000D462D">
        <w:t xml:space="preserve"> </w:t>
      </w:r>
      <w:r w:rsidR="00797DF5">
        <w:t xml:space="preserve">and </w:t>
      </w:r>
      <w:r w:rsidR="00806DAA">
        <w:t>“presumed</w:t>
      </w:r>
      <w:r w:rsidR="00456894">
        <w:t>;</w:t>
      </w:r>
      <w:r w:rsidR="00806DAA">
        <w:t>”</w:t>
      </w:r>
      <w:r w:rsidR="00E369D8">
        <w:rPr>
          <w:rStyle w:val="FootnoteReference"/>
        </w:rPr>
        <w:footnoteReference w:id="16"/>
      </w:r>
      <w:r w:rsidR="00486742">
        <w:t xml:space="preserve"> </w:t>
      </w:r>
      <w:r w:rsidR="005720D1">
        <w:t xml:space="preserve">(3) </w:t>
      </w:r>
      <w:r w:rsidR="003E6F68">
        <w:t xml:space="preserve">has </w:t>
      </w:r>
      <w:r w:rsidR="00B37596">
        <w:t xml:space="preserve">an interest </w:t>
      </w:r>
      <w:r w:rsidR="003E6F68">
        <w:t>which “</w:t>
      </w:r>
      <w:r w:rsidR="008A4356">
        <w:t xml:space="preserve">vested” </w:t>
      </w:r>
      <w:r w:rsidR="008A4356" w:rsidRPr="009A29E1">
        <w:rPr>
          <w:rStyle w:val="FootnoteReference"/>
        </w:rPr>
        <w:t xml:space="preserve"> </w:t>
      </w:r>
      <w:r w:rsidR="003E6F68">
        <w:t xml:space="preserve">upon the December 4, 2014 dismissal </w:t>
      </w:r>
      <w:r w:rsidR="006B4FD2">
        <w:t xml:space="preserve">of </w:t>
      </w:r>
      <w:r w:rsidR="003E6F68">
        <w:t xml:space="preserve">SOH’s </w:t>
      </w:r>
      <w:r w:rsidR="006B4FD2">
        <w:t>A</w:t>
      </w:r>
      <w:r w:rsidR="003E6F68">
        <w:t>pplication</w:t>
      </w:r>
      <w:r w:rsidR="00A14B41">
        <w:t xml:space="preserve">, and </w:t>
      </w:r>
      <w:r w:rsidR="006B4FD2">
        <w:t xml:space="preserve">that this interest </w:t>
      </w:r>
      <w:r w:rsidR="00BD344E">
        <w:t>cannot</w:t>
      </w:r>
      <w:r w:rsidR="00B37596">
        <w:t xml:space="preserve"> be lost thereafter</w:t>
      </w:r>
      <w:r w:rsidR="003C7143">
        <w:t>;</w:t>
      </w:r>
      <w:r w:rsidR="00456894">
        <w:rPr>
          <w:rStyle w:val="FootnoteReference"/>
        </w:rPr>
        <w:footnoteReference w:id="17"/>
      </w:r>
      <w:r w:rsidR="00150449">
        <w:t xml:space="preserve"> </w:t>
      </w:r>
      <w:r w:rsidR="003C7143">
        <w:t xml:space="preserve">and (4) </w:t>
      </w:r>
      <w:r w:rsidR="00B0083E">
        <w:t xml:space="preserve">has </w:t>
      </w:r>
      <w:r w:rsidR="00FB459E">
        <w:t>standing based on several newly-</w:t>
      </w:r>
      <w:r w:rsidR="00B0083E">
        <w:t>raised factors</w:t>
      </w:r>
      <w:r w:rsidR="003C7143">
        <w:t>.</w:t>
      </w:r>
      <w:r w:rsidR="00B0083E">
        <w:rPr>
          <w:rStyle w:val="FootnoteReference"/>
        </w:rPr>
        <w:footnoteReference w:id="18"/>
      </w:r>
      <w:r w:rsidR="007E626D">
        <w:t xml:space="preserve"> </w:t>
      </w:r>
      <w:r w:rsidR="003203C1">
        <w:t xml:space="preserve"> </w:t>
      </w:r>
      <w:r w:rsidR="00150449">
        <w:t>SOH</w:t>
      </w:r>
      <w:r w:rsidR="00921982">
        <w:t xml:space="preserve"> asks the Commission to </w:t>
      </w:r>
      <w:r w:rsidR="00CC004E">
        <w:t>re</w:t>
      </w:r>
      <w:r w:rsidR="004A6BF5">
        <w:t xml:space="preserve">consider its </w:t>
      </w:r>
      <w:r w:rsidR="00150449">
        <w:t xml:space="preserve">procedural dismissal </w:t>
      </w:r>
      <w:r w:rsidR="004A6BF5">
        <w:t xml:space="preserve">of the AFR </w:t>
      </w:r>
      <w:r w:rsidR="00150449">
        <w:t xml:space="preserve">and </w:t>
      </w:r>
      <w:r w:rsidR="00FC087F">
        <w:t xml:space="preserve">review SOH’s </w:t>
      </w:r>
      <w:r w:rsidR="00150449">
        <w:t>substantive arguments</w:t>
      </w:r>
      <w:r w:rsidR="00921982">
        <w:t>.</w:t>
      </w:r>
    </w:p>
    <w:p w:rsidR="00D611BE" w:rsidRDefault="00D611BE" w:rsidP="00D611BE">
      <w:pPr>
        <w:pStyle w:val="Heading1"/>
      </w:pPr>
      <w:r>
        <w:t>Discussion</w:t>
      </w:r>
    </w:p>
    <w:p w:rsidR="00CB662F" w:rsidRDefault="00A60439" w:rsidP="00D611BE">
      <w:pPr>
        <w:pStyle w:val="ParaNum"/>
      </w:pPr>
      <w:r>
        <w:t xml:space="preserve">Once the Commission has </w:t>
      </w:r>
      <w:r w:rsidR="000956C9">
        <w:t xml:space="preserve">dismissed </w:t>
      </w:r>
      <w:r>
        <w:t xml:space="preserve">an Application for Review, it will entertain a petition for reconsideration </w:t>
      </w:r>
      <w:r w:rsidR="006D3AFF">
        <w:t>only upon</w:t>
      </w:r>
      <w:r>
        <w:t xml:space="preserve"> </w:t>
      </w:r>
      <w:r w:rsidR="0085100F">
        <w:t xml:space="preserve">a showing of </w:t>
      </w:r>
      <w:r>
        <w:t xml:space="preserve">new facts or </w:t>
      </w:r>
      <w:r w:rsidR="006D3AFF">
        <w:t xml:space="preserve">changed </w:t>
      </w:r>
      <w:r>
        <w:t>circumstances.</w:t>
      </w:r>
      <w:r>
        <w:rPr>
          <w:rStyle w:val="FootnoteReference"/>
        </w:rPr>
        <w:footnoteReference w:id="19"/>
      </w:r>
      <w:r w:rsidR="004013A7">
        <w:t xml:space="preserve">  </w:t>
      </w:r>
      <w:r w:rsidR="00C94627">
        <w:t xml:space="preserve">SOH’s contention that </w:t>
      </w:r>
      <w:r w:rsidR="008D7310">
        <w:t>standing i</w:t>
      </w:r>
      <w:r w:rsidR="00C94627">
        <w:t xml:space="preserve">s a new matter </w:t>
      </w:r>
      <w:r w:rsidR="00810AB8">
        <w:t xml:space="preserve">which </w:t>
      </w:r>
      <w:r w:rsidR="008654BA">
        <w:t>it</w:t>
      </w:r>
      <w:r w:rsidR="00A826C4">
        <w:t xml:space="preserve"> could not </w:t>
      </w:r>
      <w:r w:rsidR="00AA5938">
        <w:t xml:space="preserve">have </w:t>
      </w:r>
      <w:r w:rsidR="00A826C4">
        <w:t>address</w:t>
      </w:r>
      <w:r w:rsidR="00AA5938">
        <w:t>ed</w:t>
      </w:r>
      <w:r w:rsidR="00A826C4">
        <w:t xml:space="preserve"> </w:t>
      </w:r>
      <w:r w:rsidR="00AA5938">
        <w:t>previously</w:t>
      </w:r>
      <w:r w:rsidR="008654BA">
        <w:t xml:space="preserve"> is meritless</w:t>
      </w:r>
      <w:r w:rsidR="00D27005">
        <w:t xml:space="preserve"> and forms no basis for reconsideration</w:t>
      </w:r>
      <w:r w:rsidR="00AA5938">
        <w:t>.</w:t>
      </w:r>
      <w:r w:rsidR="00C94627">
        <w:rPr>
          <w:rStyle w:val="FootnoteReference"/>
        </w:rPr>
        <w:footnoteReference w:id="20"/>
      </w:r>
      <w:r w:rsidR="00C94627">
        <w:t xml:space="preserve">  The Communications Act of 1934, as amended (Act) places </w:t>
      </w:r>
      <w:r w:rsidR="00C94627">
        <w:lastRenderedPageBreak/>
        <w:t xml:space="preserve">responsibility upon each petitioner to provide “specific allegations of fact sufficient to show” </w:t>
      </w:r>
      <w:r w:rsidR="008754EF">
        <w:t>standing as a party-in-interest</w:t>
      </w:r>
      <w:r w:rsidR="00C94627">
        <w:t>.</w:t>
      </w:r>
      <w:r w:rsidR="00C94627">
        <w:rPr>
          <w:rStyle w:val="FootnoteReference"/>
        </w:rPr>
        <w:footnoteReference w:id="21"/>
      </w:r>
      <w:r w:rsidR="00C94627">
        <w:t xml:space="preserve">  </w:t>
      </w:r>
      <w:r w:rsidR="00C94627" w:rsidRPr="00D611BE">
        <w:rPr>
          <w:color w:val="000000"/>
          <w:szCs w:val="22"/>
        </w:rPr>
        <w:t>SOH had the opportunity—indeed</w:t>
      </w:r>
      <w:r w:rsidR="00BA12AF">
        <w:rPr>
          <w:color w:val="000000"/>
          <w:szCs w:val="22"/>
        </w:rPr>
        <w:t>,</w:t>
      </w:r>
      <w:r w:rsidR="00C94627" w:rsidRPr="00D611BE">
        <w:rPr>
          <w:color w:val="000000"/>
          <w:szCs w:val="22"/>
        </w:rPr>
        <w:t xml:space="preserve"> the obligation—to demonstrate standing</w:t>
      </w:r>
      <w:r w:rsidR="005F5229" w:rsidRPr="00D611BE">
        <w:rPr>
          <w:color w:val="000000"/>
          <w:szCs w:val="22"/>
        </w:rPr>
        <w:t xml:space="preserve"> earlier in this proceeding</w:t>
      </w:r>
      <w:r w:rsidR="00ED52B3" w:rsidRPr="00D611BE">
        <w:rPr>
          <w:color w:val="000000"/>
          <w:szCs w:val="22"/>
        </w:rPr>
        <w:t xml:space="preserve">, but was silent on </w:t>
      </w:r>
      <w:r w:rsidR="00A826C4" w:rsidRPr="00D611BE">
        <w:rPr>
          <w:color w:val="000000"/>
          <w:szCs w:val="22"/>
        </w:rPr>
        <w:t>the issue</w:t>
      </w:r>
      <w:r w:rsidR="00C94627" w:rsidRPr="00D611BE">
        <w:rPr>
          <w:color w:val="000000"/>
          <w:szCs w:val="22"/>
        </w:rPr>
        <w:t>.</w:t>
      </w:r>
      <w:r w:rsidR="00C94627">
        <w:rPr>
          <w:rStyle w:val="FootnoteReference"/>
          <w:szCs w:val="22"/>
        </w:rPr>
        <w:footnoteReference w:id="22"/>
      </w:r>
      <w:r w:rsidR="00C94627" w:rsidRPr="00D611BE">
        <w:rPr>
          <w:color w:val="000000"/>
          <w:szCs w:val="22"/>
        </w:rPr>
        <w:t xml:space="preserve">  </w:t>
      </w:r>
      <w:r w:rsidR="00ED52B3" w:rsidRPr="00D611BE">
        <w:rPr>
          <w:color w:val="000000"/>
          <w:szCs w:val="22"/>
        </w:rPr>
        <w:t xml:space="preserve">SOH is incorrect when it argues that </w:t>
      </w:r>
      <w:r w:rsidR="001358DA" w:rsidRPr="00D611BE">
        <w:rPr>
          <w:color w:val="000000"/>
          <w:szCs w:val="22"/>
        </w:rPr>
        <w:t xml:space="preserve">the Bureau </w:t>
      </w:r>
      <w:r w:rsidR="001358DA">
        <w:rPr>
          <w:color w:val="000000"/>
          <w:szCs w:val="22"/>
        </w:rPr>
        <w:t xml:space="preserve">affirmatively found SOH to have standing and that </w:t>
      </w:r>
      <w:r w:rsidR="00ED52B3" w:rsidRPr="00D611BE">
        <w:rPr>
          <w:color w:val="000000"/>
          <w:szCs w:val="22"/>
        </w:rPr>
        <w:t>the Commission</w:t>
      </w:r>
      <w:r w:rsidR="001358DA">
        <w:rPr>
          <w:color w:val="000000"/>
          <w:szCs w:val="22"/>
        </w:rPr>
        <w:t xml:space="preserve"> had no basis for a contrary finding</w:t>
      </w:r>
      <w:r w:rsidR="00ED52B3" w:rsidRPr="00D611BE">
        <w:rPr>
          <w:color w:val="000000"/>
          <w:szCs w:val="22"/>
        </w:rPr>
        <w:t>.</w:t>
      </w:r>
      <w:r w:rsidR="00ED52B3">
        <w:rPr>
          <w:rStyle w:val="FootnoteReference"/>
          <w:szCs w:val="22"/>
        </w:rPr>
        <w:footnoteReference w:id="23"/>
      </w:r>
      <w:r w:rsidR="00ED52B3" w:rsidRPr="00D611BE">
        <w:rPr>
          <w:color w:val="000000"/>
          <w:szCs w:val="22"/>
        </w:rPr>
        <w:t xml:space="preserve">  </w:t>
      </w:r>
      <w:r w:rsidR="00A826C4" w:rsidRPr="00D611BE">
        <w:rPr>
          <w:color w:val="000000"/>
          <w:szCs w:val="22"/>
        </w:rPr>
        <w:t xml:space="preserve">The Bureau did not </w:t>
      </w:r>
      <w:r w:rsidR="00C847F8" w:rsidRPr="00D611BE">
        <w:rPr>
          <w:color w:val="000000"/>
          <w:szCs w:val="22"/>
        </w:rPr>
        <w:t xml:space="preserve">address </w:t>
      </w:r>
      <w:r w:rsidR="008D7310" w:rsidRPr="00D611BE">
        <w:rPr>
          <w:color w:val="000000"/>
          <w:szCs w:val="22"/>
        </w:rPr>
        <w:t xml:space="preserve">SOH’s </w:t>
      </w:r>
      <w:r w:rsidR="00A826C4" w:rsidRPr="00D611BE">
        <w:rPr>
          <w:color w:val="000000"/>
          <w:szCs w:val="22"/>
        </w:rPr>
        <w:t xml:space="preserve">failure </w:t>
      </w:r>
      <w:r w:rsidR="008D7310" w:rsidRPr="00D611BE">
        <w:rPr>
          <w:color w:val="000000"/>
          <w:szCs w:val="22"/>
        </w:rPr>
        <w:t>to demonstrate standing</w:t>
      </w:r>
      <w:r w:rsidR="00894437">
        <w:rPr>
          <w:color w:val="000000"/>
          <w:szCs w:val="22"/>
        </w:rPr>
        <w:t xml:space="preserve">.  Rather, </w:t>
      </w:r>
      <w:r w:rsidR="00A826C4" w:rsidRPr="00D611BE">
        <w:rPr>
          <w:color w:val="000000"/>
          <w:szCs w:val="22"/>
        </w:rPr>
        <w:t xml:space="preserve">the Bureau dismissed SOH’s filings on other procedural grounds.  </w:t>
      </w:r>
      <w:r w:rsidR="00144725">
        <w:rPr>
          <w:color w:val="000000"/>
          <w:szCs w:val="22"/>
        </w:rPr>
        <w:t xml:space="preserve">SOH has </w:t>
      </w:r>
      <w:r w:rsidR="006B4E49">
        <w:rPr>
          <w:color w:val="000000"/>
          <w:szCs w:val="22"/>
        </w:rPr>
        <w:t>raised</w:t>
      </w:r>
      <w:r w:rsidR="00F7380F">
        <w:rPr>
          <w:color w:val="000000"/>
          <w:szCs w:val="22"/>
        </w:rPr>
        <w:t xml:space="preserve"> no </w:t>
      </w:r>
      <w:r w:rsidR="006B4E49">
        <w:rPr>
          <w:color w:val="000000"/>
          <w:szCs w:val="22"/>
        </w:rPr>
        <w:t xml:space="preserve">new facts or changed circumstances that it could not have presented earlier concerning its </w:t>
      </w:r>
      <w:r w:rsidR="007A6039">
        <w:rPr>
          <w:color w:val="000000"/>
          <w:szCs w:val="22"/>
        </w:rPr>
        <w:t xml:space="preserve">lack of </w:t>
      </w:r>
      <w:r w:rsidR="00F7380F">
        <w:rPr>
          <w:color w:val="000000"/>
          <w:szCs w:val="22"/>
        </w:rPr>
        <w:t>standing and w</w:t>
      </w:r>
      <w:r w:rsidR="00785503" w:rsidRPr="00D611BE">
        <w:rPr>
          <w:color w:val="000000"/>
          <w:szCs w:val="22"/>
        </w:rPr>
        <w:t>e</w:t>
      </w:r>
      <w:r w:rsidR="00F7380F">
        <w:rPr>
          <w:color w:val="000000"/>
          <w:szCs w:val="22"/>
        </w:rPr>
        <w:t>, thus,</w:t>
      </w:r>
      <w:r w:rsidR="00CB662F">
        <w:t xml:space="preserve"> </w:t>
      </w:r>
      <w:r w:rsidR="00983206">
        <w:t xml:space="preserve">dismiss the </w:t>
      </w:r>
      <w:r w:rsidR="00983206" w:rsidRPr="00D611BE">
        <w:rPr>
          <w:i/>
        </w:rPr>
        <w:t>Reconsideration Petition</w:t>
      </w:r>
      <w:r w:rsidR="00F7380F">
        <w:rPr>
          <w:i/>
        </w:rPr>
        <w:t>.</w:t>
      </w:r>
      <w:r w:rsidR="00983206">
        <w:t xml:space="preserve">  </w:t>
      </w:r>
      <w:r w:rsidR="00A826C4" w:rsidRPr="00D611BE">
        <w:rPr>
          <w:color w:val="000000"/>
          <w:szCs w:val="22"/>
        </w:rPr>
        <w:t xml:space="preserve">  </w:t>
      </w:r>
    </w:p>
    <w:p w:rsidR="001F5AF2" w:rsidRPr="001F5AF2" w:rsidRDefault="00D23216" w:rsidP="003D110B">
      <w:pPr>
        <w:pStyle w:val="ParaNum"/>
      </w:pPr>
      <w:r>
        <w:t>In any event, we find no error in the Commission’s prior determination that as a non-mutually exclusive applicant</w:t>
      </w:r>
      <w:r w:rsidR="009B51CD">
        <w:t>,</w:t>
      </w:r>
      <w:r>
        <w:t xml:space="preserve"> SOH lacked standing to challenge the grant of UM’s application.  We also confirm that standing cannot be established simply by relying on the wholly speculative assumption that denying UM’s application somehow would have led to a timesharing agreement between two other permittees -- SOH and Morton </w:t>
      </w:r>
      <w:r w:rsidR="00B20A77" w:rsidRPr="007B05A7">
        <w:t>(whose application has now been granted in its own right).</w:t>
      </w:r>
      <w:r w:rsidR="00B20A77">
        <w:rPr>
          <w:color w:val="1F497D"/>
        </w:rPr>
        <w:t xml:space="preserve">  </w:t>
      </w:r>
      <w:r w:rsidR="009A223C" w:rsidRPr="00D23216">
        <w:rPr>
          <w:color w:val="000000"/>
          <w:szCs w:val="22"/>
        </w:rPr>
        <w:t xml:space="preserve">Moreover, </w:t>
      </w:r>
      <w:r w:rsidR="001358DA" w:rsidRPr="00D23216">
        <w:rPr>
          <w:color w:val="000000"/>
          <w:szCs w:val="22"/>
        </w:rPr>
        <w:t xml:space="preserve">we observe that </w:t>
      </w:r>
      <w:r w:rsidR="00752EF6" w:rsidRPr="009B51CD">
        <w:rPr>
          <w:color w:val="000000"/>
          <w:szCs w:val="22"/>
        </w:rPr>
        <w:t xml:space="preserve">SOH’s </w:t>
      </w:r>
      <w:r w:rsidR="00FE3CB7" w:rsidRPr="009B51CD">
        <w:rPr>
          <w:color w:val="000000"/>
          <w:szCs w:val="22"/>
        </w:rPr>
        <w:t>new</w:t>
      </w:r>
      <w:r w:rsidR="001B2E99" w:rsidRPr="009B51CD">
        <w:rPr>
          <w:color w:val="000000"/>
          <w:szCs w:val="22"/>
        </w:rPr>
        <w:t xml:space="preserve"> explanation of how it is “aggrieved”</w:t>
      </w:r>
      <w:r w:rsidR="002F3099" w:rsidRPr="009B51CD">
        <w:rPr>
          <w:rStyle w:val="FootnoteReference"/>
          <w:szCs w:val="22"/>
        </w:rPr>
        <w:t xml:space="preserve"> </w:t>
      </w:r>
      <w:r w:rsidR="001B2E99" w:rsidRPr="009155B0">
        <w:rPr>
          <w:color w:val="000000"/>
          <w:szCs w:val="22"/>
        </w:rPr>
        <w:t xml:space="preserve">mischaracterizes </w:t>
      </w:r>
      <w:r w:rsidR="00052FB5" w:rsidRPr="009155B0">
        <w:rPr>
          <w:color w:val="000000"/>
          <w:szCs w:val="22"/>
        </w:rPr>
        <w:t>SOH’s</w:t>
      </w:r>
      <w:r w:rsidR="00A80613" w:rsidRPr="009155B0">
        <w:rPr>
          <w:color w:val="000000"/>
          <w:szCs w:val="22"/>
        </w:rPr>
        <w:t xml:space="preserve"> filings</w:t>
      </w:r>
      <w:r w:rsidR="00836214" w:rsidRPr="009155B0">
        <w:rPr>
          <w:color w:val="000000"/>
          <w:szCs w:val="22"/>
        </w:rPr>
        <w:t xml:space="preserve">.  SOH claims </w:t>
      </w:r>
      <w:r w:rsidR="00147145" w:rsidRPr="009155B0">
        <w:rPr>
          <w:color w:val="000000"/>
          <w:szCs w:val="22"/>
        </w:rPr>
        <w:t xml:space="preserve">that it filed and has </w:t>
      </w:r>
      <w:r w:rsidR="00836214" w:rsidRPr="009155B0">
        <w:rPr>
          <w:color w:val="000000"/>
          <w:szCs w:val="22"/>
        </w:rPr>
        <w:t xml:space="preserve">interests in </w:t>
      </w:r>
      <w:r w:rsidR="00C400CC" w:rsidRPr="009155B0">
        <w:rPr>
          <w:color w:val="000000"/>
          <w:szCs w:val="22"/>
        </w:rPr>
        <w:t xml:space="preserve">two </w:t>
      </w:r>
      <w:r w:rsidR="00657490" w:rsidRPr="009155B0">
        <w:rPr>
          <w:color w:val="000000"/>
          <w:szCs w:val="22"/>
        </w:rPr>
        <w:t xml:space="preserve">separate </w:t>
      </w:r>
      <w:r w:rsidR="00C400CC" w:rsidRPr="009155B0">
        <w:rPr>
          <w:color w:val="000000"/>
          <w:szCs w:val="22"/>
        </w:rPr>
        <w:t xml:space="preserve">applications, </w:t>
      </w:r>
      <w:r w:rsidR="00543C2E" w:rsidRPr="009155B0">
        <w:rPr>
          <w:color w:val="000000"/>
          <w:szCs w:val="22"/>
        </w:rPr>
        <w:t xml:space="preserve">the window-filed SOH Application </w:t>
      </w:r>
      <w:r w:rsidR="00147145" w:rsidRPr="009155B0">
        <w:rPr>
          <w:color w:val="000000"/>
          <w:szCs w:val="22"/>
        </w:rPr>
        <w:t>(which was dismissed</w:t>
      </w:r>
      <w:r w:rsidR="009F5D73" w:rsidRPr="009155B0">
        <w:rPr>
          <w:color w:val="000000"/>
          <w:szCs w:val="22"/>
        </w:rPr>
        <w:t xml:space="preserve"> in December 2014</w:t>
      </w:r>
      <w:r w:rsidR="00147145" w:rsidRPr="009155B0">
        <w:rPr>
          <w:color w:val="000000"/>
          <w:szCs w:val="22"/>
        </w:rPr>
        <w:t xml:space="preserve">) </w:t>
      </w:r>
      <w:r w:rsidR="00543C2E" w:rsidRPr="009155B0">
        <w:rPr>
          <w:color w:val="000000"/>
          <w:szCs w:val="22"/>
        </w:rPr>
        <w:t>and the amended SOH Application</w:t>
      </w:r>
      <w:r w:rsidR="00147145" w:rsidRPr="009155B0">
        <w:rPr>
          <w:color w:val="000000"/>
          <w:szCs w:val="22"/>
        </w:rPr>
        <w:t xml:space="preserve"> (which was granted</w:t>
      </w:r>
      <w:r w:rsidR="009F5D73" w:rsidRPr="009155B0">
        <w:rPr>
          <w:color w:val="000000"/>
          <w:szCs w:val="22"/>
        </w:rPr>
        <w:t xml:space="preserve"> in January 2015</w:t>
      </w:r>
      <w:r w:rsidR="00147145" w:rsidRPr="009155B0">
        <w:rPr>
          <w:color w:val="000000"/>
          <w:szCs w:val="22"/>
        </w:rPr>
        <w:t>)</w:t>
      </w:r>
      <w:r w:rsidR="001B2E99" w:rsidRPr="009155B0">
        <w:rPr>
          <w:color w:val="000000"/>
          <w:szCs w:val="22"/>
        </w:rPr>
        <w:t>.</w:t>
      </w:r>
      <w:r w:rsidR="00052FB5">
        <w:rPr>
          <w:rStyle w:val="FootnoteReference"/>
          <w:szCs w:val="22"/>
        </w:rPr>
        <w:footnoteReference w:id="24"/>
      </w:r>
      <w:r w:rsidR="00052FB5" w:rsidRPr="00D23216">
        <w:rPr>
          <w:color w:val="000000"/>
          <w:szCs w:val="22"/>
        </w:rPr>
        <w:t xml:space="preserve">  </w:t>
      </w:r>
      <w:r w:rsidR="001B2E99" w:rsidRPr="00D23216">
        <w:rPr>
          <w:color w:val="000000"/>
          <w:szCs w:val="22"/>
        </w:rPr>
        <w:t>SOH</w:t>
      </w:r>
      <w:r w:rsidR="001358DA" w:rsidRPr="00D23216">
        <w:rPr>
          <w:color w:val="000000"/>
          <w:szCs w:val="22"/>
        </w:rPr>
        <w:t>, however,</w:t>
      </w:r>
      <w:r w:rsidR="00E704C9" w:rsidRPr="009B51CD">
        <w:rPr>
          <w:color w:val="000000"/>
          <w:szCs w:val="22"/>
        </w:rPr>
        <w:t xml:space="preserve"> </w:t>
      </w:r>
      <w:r w:rsidR="00F31E9D" w:rsidRPr="009B51CD">
        <w:rPr>
          <w:color w:val="000000"/>
          <w:szCs w:val="22"/>
        </w:rPr>
        <w:t xml:space="preserve">filed </w:t>
      </w:r>
      <w:r w:rsidR="001358DA" w:rsidRPr="009B51CD">
        <w:rPr>
          <w:color w:val="000000"/>
          <w:szCs w:val="22"/>
        </w:rPr>
        <w:t xml:space="preserve">only one application </w:t>
      </w:r>
      <w:r w:rsidR="00836214" w:rsidRPr="009B51CD">
        <w:rPr>
          <w:color w:val="000000"/>
          <w:szCs w:val="22"/>
        </w:rPr>
        <w:t xml:space="preserve">and </w:t>
      </w:r>
      <w:r w:rsidR="00760F59" w:rsidRPr="009155B0">
        <w:rPr>
          <w:color w:val="000000"/>
          <w:szCs w:val="22"/>
        </w:rPr>
        <w:t xml:space="preserve">amended </w:t>
      </w:r>
      <w:r w:rsidR="00836214" w:rsidRPr="009155B0">
        <w:rPr>
          <w:color w:val="000000"/>
          <w:szCs w:val="22"/>
        </w:rPr>
        <w:t xml:space="preserve">that application </w:t>
      </w:r>
      <w:r w:rsidR="005A1861">
        <w:t>to</w:t>
      </w:r>
      <w:r w:rsidR="000956C9">
        <w:t xml:space="preserve"> specify</w:t>
      </w:r>
      <w:r w:rsidR="005A1861">
        <w:t xml:space="preserve"> a different transmitter site</w:t>
      </w:r>
      <w:r w:rsidR="000956C9">
        <w:t xml:space="preserve"> that was</w:t>
      </w:r>
      <w:r w:rsidR="005A1861">
        <w:t xml:space="preserve"> not in conflict with the UM and Morton technical proposals </w:t>
      </w:r>
      <w:r w:rsidR="00836214" w:rsidRPr="00D23216">
        <w:rPr>
          <w:color w:val="000000"/>
          <w:szCs w:val="22"/>
        </w:rPr>
        <w:t xml:space="preserve">to </w:t>
      </w:r>
      <w:r w:rsidR="00CF502C" w:rsidRPr="00D23216">
        <w:rPr>
          <w:color w:val="000000"/>
          <w:szCs w:val="22"/>
        </w:rPr>
        <w:t>receive a grant</w:t>
      </w:r>
      <w:r w:rsidR="00760F59" w:rsidRPr="00D23216">
        <w:rPr>
          <w:color w:val="000000"/>
          <w:szCs w:val="22"/>
        </w:rPr>
        <w:t>.</w:t>
      </w:r>
      <w:r w:rsidR="00931BC4">
        <w:rPr>
          <w:rStyle w:val="FootnoteReference"/>
          <w:szCs w:val="22"/>
        </w:rPr>
        <w:footnoteReference w:id="25"/>
      </w:r>
      <w:r w:rsidR="00836214" w:rsidRPr="00D23216">
        <w:rPr>
          <w:color w:val="000000"/>
          <w:szCs w:val="22"/>
        </w:rPr>
        <w:t xml:space="preserve">  SOH now attempts</w:t>
      </w:r>
      <w:r w:rsidR="00CF502C" w:rsidRPr="00D23216">
        <w:rPr>
          <w:color w:val="000000"/>
          <w:szCs w:val="22"/>
        </w:rPr>
        <w:t xml:space="preserve"> to </w:t>
      </w:r>
      <w:r w:rsidR="002B2CB0" w:rsidRPr="00D23216">
        <w:rPr>
          <w:color w:val="000000"/>
          <w:szCs w:val="22"/>
        </w:rPr>
        <w:t>claim</w:t>
      </w:r>
      <w:r w:rsidR="00CF502C" w:rsidRPr="009B51CD">
        <w:rPr>
          <w:color w:val="000000"/>
          <w:szCs w:val="22"/>
        </w:rPr>
        <w:t xml:space="preserve"> ongoing </w:t>
      </w:r>
      <w:r w:rsidR="002B2CB0" w:rsidRPr="009B51CD">
        <w:rPr>
          <w:color w:val="000000"/>
          <w:szCs w:val="22"/>
        </w:rPr>
        <w:t>interest</w:t>
      </w:r>
      <w:r w:rsidR="00CC1B1F" w:rsidRPr="009B51CD">
        <w:rPr>
          <w:color w:val="000000"/>
          <w:szCs w:val="22"/>
        </w:rPr>
        <w:t>s</w:t>
      </w:r>
      <w:r w:rsidR="002B2CB0" w:rsidRPr="009B51CD">
        <w:rPr>
          <w:color w:val="000000"/>
          <w:szCs w:val="22"/>
        </w:rPr>
        <w:t xml:space="preserve"> </w:t>
      </w:r>
      <w:r w:rsidR="00FC48A1" w:rsidRPr="009155B0">
        <w:rPr>
          <w:color w:val="000000"/>
          <w:szCs w:val="22"/>
        </w:rPr>
        <w:t xml:space="preserve">in </w:t>
      </w:r>
      <w:r w:rsidR="00696950" w:rsidRPr="009155B0">
        <w:rPr>
          <w:color w:val="000000"/>
          <w:szCs w:val="22"/>
        </w:rPr>
        <w:t xml:space="preserve">two different </w:t>
      </w:r>
      <w:r w:rsidR="000C5E46" w:rsidRPr="009155B0">
        <w:rPr>
          <w:color w:val="000000"/>
          <w:szCs w:val="22"/>
        </w:rPr>
        <w:t xml:space="preserve">versions of the same </w:t>
      </w:r>
      <w:r w:rsidR="002B2CB0" w:rsidRPr="009155B0">
        <w:rPr>
          <w:color w:val="000000"/>
          <w:szCs w:val="22"/>
        </w:rPr>
        <w:t>application.</w:t>
      </w:r>
      <w:r w:rsidR="002B2CB0">
        <w:rPr>
          <w:rStyle w:val="FootnoteReference"/>
          <w:szCs w:val="22"/>
        </w:rPr>
        <w:footnoteReference w:id="26"/>
      </w:r>
      <w:r w:rsidR="002B2CB0" w:rsidRPr="00D23216">
        <w:rPr>
          <w:color w:val="000000"/>
          <w:szCs w:val="22"/>
        </w:rPr>
        <w:t xml:space="preserve">  </w:t>
      </w:r>
      <w:r w:rsidR="007029E3" w:rsidRPr="00D23216">
        <w:rPr>
          <w:color w:val="000000"/>
          <w:szCs w:val="22"/>
        </w:rPr>
        <w:t xml:space="preserve">Any interest that SOH had </w:t>
      </w:r>
      <w:r w:rsidR="00696950" w:rsidRPr="00D23216">
        <w:rPr>
          <w:color w:val="000000"/>
          <w:szCs w:val="22"/>
        </w:rPr>
        <w:t xml:space="preserve">in </w:t>
      </w:r>
      <w:r w:rsidR="006A6AF8" w:rsidRPr="009B51CD">
        <w:rPr>
          <w:color w:val="000000"/>
          <w:szCs w:val="22"/>
        </w:rPr>
        <w:t>its original proposal</w:t>
      </w:r>
      <w:r w:rsidR="007029E3" w:rsidRPr="009B51CD">
        <w:rPr>
          <w:color w:val="000000"/>
          <w:szCs w:val="22"/>
        </w:rPr>
        <w:t xml:space="preserve"> </w:t>
      </w:r>
      <w:r w:rsidR="00231A1A" w:rsidRPr="009B51CD">
        <w:rPr>
          <w:color w:val="000000"/>
          <w:szCs w:val="22"/>
        </w:rPr>
        <w:t xml:space="preserve">ended </w:t>
      </w:r>
      <w:r w:rsidR="008874C0" w:rsidRPr="009B51CD">
        <w:rPr>
          <w:color w:val="000000"/>
          <w:szCs w:val="22"/>
        </w:rPr>
        <w:t>when</w:t>
      </w:r>
      <w:r w:rsidR="00231A1A" w:rsidRPr="009155B0">
        <w:rPr>
          <w:color w:val="000000"/>
          <w:szCs w:val="22"/>
        </w:rPr>
        <w:t xml:space="preserve"> it amended its application</w:t>
      </w:r>
      <w:r w:rsidR="00B862F2" w:rsidRPr="009155B0">
        <w:rPr>
          <w:color w:val="000000"/>
          <w:szCs w:val="22"/>
        </w:rPr>
        <w:t>,</w:t>
      </w:r>
      <w:r w:rsidR="00231A1A" w:rsidRPr="009155B0">
        <w:rPr>
          <w:color w:val="000000"/>
          <w:szCs w:val="22"/>
        </w:rPr>
        <w:t xml:space="preserve"> specified a different transmitter site</w:t>
      </w:r>
      <w:r w:rsidR="00B862F2" w:rsidRPr="009155B0">
        <w:rPr>
          <w:color w:val="000000"/>
          <w:szCs w:val="22"/>
        </w:rPr>
        <w:t>, and thereby eliminated the mutual exclusivity between its application and that of Morton and UM</w:t>
      </w:r>
      <w:r w:rsidR="00E82805" w:rsidRPr="009155B0">
        <w:rPr>
          <w:color w:val="000000"/>
          <w:szCs w:val="22"/>
        </w:rPr>
        <w:t>.  Furthermore, that application was</w:t>
      </w:r>
      <w:r w:rsidR="004C68FC" w:rsidRPr="009155B0">
        <w:rPr>
          <w:color w:val="000000"/>
          <w:szCs w:val="22"/>
        </w:rPr>
        <w:t xml:space="preserve"> granted</w:t>
      </w:r>
      <w:r w:rsidR="00484F79" w:rsidRPr="009155B0">
        <w:rPr>
          <w:color w:val="000000"/>
          <w:szCs w:val="22"/>
        </w:rPr>
        <w:t>, as amended,</w:t>
      </w:r>
      <w:r w:rsidR="00710204" w:rsidRPr="00FD1958">
        <w:rPr>
          <w:color w:val="000000"/>
          <w:szCs w:val="22"/>
        </w:rPr>
        <w:t xml:space="preserve"> </w:t>
      </w:r>
      <w:r w:rsidR="00E82805" w:rsidRPr="00FD1958">
        <w:rPr>
          <w:color w:val="000000"/>
          <w:szCs w:val="22"/>
        </w:rPr>
        <w:t xml:space="preserve">and </w:t>
      </w:r>
      <w:r w:rsidR="00543C2E" w:rsidRPr="00EC34A0">
        <w:rPr>
          <w:color w:val="000000"/>
          <w:szCs w:val="22"/>
        </w:rPr>
        <w:t>became final</w:t>
      </w:r>
      <w:r w:rsidR="008874C0" w:rsidRPr="00EC34A0">
        <w:rPr>
          <w:color w:val="000000"/>
          <w:szCs w:val="22"/>
        </w:rPr>
        <w:t xml:space="preserve">.  </w:t>
      </w:r>
      <w:r w:rsidR="006605B0" w:rsidRPr="00EC34A0">
        <w:rPr>
          <w:color w:val="000000"/>
          <w:szCs w:val="22"/>
        </w:rPr>
        <w:t xml:space="preserve">We reject </w:t>
      </w:r>
      <w:r w:rsidR="001F5AF2" w:rsidRPr="00EC34A0">
        <w:rPr>
          <w:color w:val="000000"/>
          <w:szCs w:val="22"/>
        </w:rPr>
        <w:t>SOH</w:t>
      </w:r>
      <w:r w:rsidR="006605B0" w:rsidRPr="00B20A77">
        <w:rPr>
          <w:color w:val="000000"/>
          <w:szCs w:val="22"/>
        </w:rPr>
        <w:t>’s</w:t>
      </w:r>
      <w:r w:rsidR="001F5AF2" w:rsidRPr="00B20A77">
        <w:rPr>
          <w:color w:val="000000"/>
          <w:szCs w:val="22"/>
        </w:rPr>
        <w:t xml:space="preserve"> </w:t>
      </w:r>
      <w:r w:rsidR="006605B0" w:rsidRPr="00B20A77">
        <w:rPr>
          <w:color w:val="000000"/>
          <w:szCs w:val="22"/>
        </w:rPr>
        <w:t>argument</w:t>
      </w:r>
      <w:r w:rsidR="00CC1B1F" w:rsidRPr="00B20A77">
        <w:rPr>
          <w:color w:val="000000"/>
          <w:szCs w:val="22"/>
        </w:rPr>
        <w:t xml:space="preserve"> </w:t>
      </w:r>
      <w:r w:rsidR="00CD5886" w:rsidRPr="00B20A77">
        <w:rPr>
          <w:color w:val="000000"/>
          <w:szCs w:val="22"/>
        </w:rPr>
        <w:t xml:space="preserve">that </w:t>
      </w:r>
      <w:r w:rsidR="00DB41A9" w:rsidRPr="00B20A77">
        <w:rPr>
          <w:color w:val="000000"/>
          <w:szCs w:val="22"/>
        </w:rPr>
        <w:t xml:space="preserve">its standing </w:t>
      </w:r>
      <w:r w:rsidR="00301C86" w:rsidRPr="00B20A77">
        <w:rPr>
          <w:color w:val="000000"/>
          <w:szCs w:val="22"/>
        </w:rPr>
        <w:t>“was vested</w:t>
      </w:r>
      <w:r w:rsidR="00301C86" w:rsidRPr="00373898">
        <w:rPr>
          <w:color w:val="000000"/>
          <w:szCs w:val="22"/>
        </w:rPr>
        <w:t>” as</w:t>
      </w:r>
      <w:r w:rsidR="00301C86" w:rsidRPr="000E2E86">
        <w:rPr>
          <w:color w:val="000000"/>
          <w:szCs w:val="22"/>
        </w:rPr>
        <w:t xml:space="preserve"> of </w:t>
      </w:r>
      <w:r w:rsidR="00DB41A9" w:rsidRPr="000E2E86">
        <w:rPr>
          <w:color w:val="000000"/>
          <w:szCs w:val="22"/>
        </w:rPr>
        <w:t xml:space="preserve">the staff’s dismissal of its original application on December 4, 2014, and that its amended application filed on December 8, 2014, is “not determinative” as </w:t>
      </w:r>
      <w:r w:rsidR="007A181D" w:rsidRPr="001B146E">
        <w:rPr>
          <w:color w:val="000000"/>
          <w:szCs w:val="22"/>
        </w:rPr>
        <w:t>to the issue of standing</w:t>
      </w:r>
      <w:r w:rsidR="003776A3">
        <w:rPr>
          <w:color w:val="000000"/>
          <w:szCs w:val="22"/>
        </w:rPr>
        <w:t>.</w:t>
      </w:r>
      <w:r w:rsidR="001358DA">
        <w:rPr>
          <w:rStyle w:val="FootnoteReference"/>
          <w:szCs w:val="22"/>
        </w:rPr>
        <w:footnoteReference w:id="27"/>
      </w:r>
      <w:r w:rsidR="00CD5886" w:rsidRPr="00D23216">
        <w:rPr>
          <w:color w:val="000000"/>
          <w:szCs w:val="22"/>
        </w:rPr>
        <w:t xml:space="preserve">  </w:t>
      </w:r>
      <w:r w:rsidR="00CC1B1F" w:rsidRPr="00D23216">
        <w:rPr>
          <w:color w:val="000000"/>
          <w:szCs w:val="22"/>
        </w:rPr>
        <w:t xml:space="preserve">SOH </w:t>
      </w:r>
      <w:r w:rsidR="006A55A5" w:rsidRPr="00D23216">
        <w:rPr>
          <w:color w:val="000000"/>
          <w:szCs w:val="22"/>
        </w:rPr>
        <w:t xml:space="preserve">bases </w:t>
      </w:r>
      <w:r w:rsidR="00FF3757" w:rsidRPr="009B51CD">
        <w:rPr>
          <w:color w:val="000000"/>
          <w:szCs w:val="22"/>
        </w:rPr>
        <w:t xml:space="preserve">its </w:t>
      </w:r>
      <w:r w:rsidR="001358DA" w:rsidRPr="009B51CD">
        <w:rPr>
          <w:color w:val="000000"/>
          <w:szCs w:val="22"/>
        </w:rPr>
        <w:t>argument on</w:t>
      </w:r>
      <w:r w:rsidR="00DB41A9" w:rsidRPr="009B51CD">
        <w:rPr>
          <w:color w:val="000000"/>
          <w:szCs w:val="22"/>
        </w:rPr>
        <w:t xml:space="preserve"> a </w:t>
      </w:r>
      <w:r w:rsidR="00301C86" w:rsidRPr="009B51CD">
        <w:rPr>
          <w:color w:val="000000"/>
          <w:szCs w:val="22"/>
        </w:rPr>
        <w:t>misreading</w:t>
      </w:r>
      <w:r w:rsidR="00DB41A9" w:rsidRPr="009B51CD">
        <w:rPr>
          <w:color w:val="000000"/>
          <w:szCs w:val="22"/>
        </w:rPr>
        <w:t xml:space="preserve"> of</w:t>
      </w:r>
      <w:r w:rsidR="001358DA" w:rsidRPr="009155B0">
        <w:rPr>
          <w:color w:val="000000"/>
          <w:szCs w:val="22"/>
        </w:rPr>
        <w:t xml:space="preserve"> </w:t>
      </w:r>
      <w:r w:rsidR="00CC1B1F" w:rsidRPr="009155B0">
        <w:rPr>
          <w:i/>
          <w:color w:val="000000"/>
          <w:szCs w:val="22"/>
        </w:rPr>
        <w:t>Nevada</w:t>
      </w:r>
      <w:r w:rsidR="00543C2E" w:rsidRPr="009155B0">
        <w:rPr>
          <w:i/>
          <w:color w:val="000000"/>
          <w:szCs w:val="22"/>
        </w:rPr>
        <w:t xml:space="preserve"> Radio-Television, Inc.</w:t>
      </w:r>
      <w:r w:rsidR="00CC1B1F" w:rsidRPr="009155B0">
        <w:rPr>
          <w:color w:val="000000"/>
          <w:szCs w:val="22"/>
        </w:rPr>
        <w:t>,</w:t>
      </w:r>
      <w:r w:rsidR="00CC1B1F" w:rsidRPr="00FE1F3E">
        <w:rPr>
          <w:rStyle w:val="FootnoteReference"/>
          <w:szCs w:val="22"/>
        </w:rPr>
        <w:footnoteReference w:id="28"/>
      </w:r>
      <w:r w:rsidR="00CC1B1F" w:rsidRPr="00D23216">
        <w:rPr>
          <w:color w:val="000000"/>
          <w:szCs w:val="22"/>
        </w:rPr>
        <w:t xml:space="preserve"> but </w:t>
      </w:r>
      <w:r w:rsidR="00241936" w:rsidRPr="00D23216">
        <w:rPr>
          <w:color w:val="000000"/>
          <w:szCs w:val="22"/>
        </w:rPr>
        <w:t xml:space="preserve">that </w:t>
      </w:r>
      <w:r w:rsidR="00543C2E" w:rsidRPr="00D23216">
        <w:rPr>
          <w:color w:val="000000"/>
          <w:szCs w:val="22"/>
        </w:rPr>
        <w:t xml:space="preserve">decision </w:t>
      </w:r>
      <w:r w:rsidR="00FF3757" w:rsidRPr="009155B0">
        <w:rPr>
          <w:color w:val="000000"/>
          <w:szCs w:val="22"/>
        </w:rPr>
        <w:t xml:space="preserve">simply </w:t>
      </w:r>
      <w:r w:rsidR="00241936" w:rsidRPr="009155B0">
        <w:rPr>
          <w:color w:val="000000"/>
          <w:szCs w:val="22"/>
        </w:rPr>
        <w:t>recognize</w:t>
      </w:r>
      <w:r w:rsidR="00FF3757" w:rsidRPr="009155B0">
        <w:rPr>
          <w:color w:val="000000"/>
          <w:szCs w:val="22"/>
        </w:rPr>
        <w:t>d</w:t>
      </w:r>
      <w:r w:rsidR="00241936" w:rsidRPr="009155B0">
        <w:rPr>
          <w:color w:val="000000"/>
          <w:szCs w:val="22"/>
        </w:rPr>
        <w:t xml:space="preserve"> that</w:t>
      </w:r>
      <w:r w:rsidR="001358DA" w:rsidRPr="009155B0">
        <w:rPr>
          <w:color w:val="000000"/>
          <w:szCs w:val="22"/>
        </w:rPr>
        <w:t xml:space="preserve"> standing </w:t>
      </w:r>
      <w:r w:rsidR="00241936" w:rsidRPr="009155B0">
        <w:rPr>
          <w:color w:val="000000"/>
          <w:szCs w:val="22"/>
        </w:rPr>
        <w:t xml:space="preserve">is not conferred on </w:t>
      </w:r>
      <w:r w:rsidR="00241936" w:rsidRPr="00EC34A0">
        <w:rPr>
          <w:color w:val="000000"/>
          <w:szCs w:val="22"/>
        </w:rPr>
        <w:t xml:space="preserve">a person that </w:t>
      </w:r>
      <w:r w:rsidR="001358DA" w:rsidRPr="00EC34A0">
        <w:rPr>
          <w:color w:val="000000"/>
          <w:szCs w:val="22"/>
        </w:rPr>
        <w:t xml:space="preserve">lacks </w:t>
      </w:r>
      <w:r w:rsidR="00CC1B1F" w:rsidRPr="00B20A77">
        <w:rPr>
          <w:color w:val="000000"/>
          <w:szCs w:val="22"/>
        </w:rPr>
        <w:t>current harm</w:t>
      </w:r>
      <w:r w:rsidR="001358DA" w:rsidRPr="00B20A77">
        <w:rPr>
          <w:color w:val="000000"/>
          <w:szCs w:val="22"/>
        </w:rPr>
        <w:t xml:space="preserve">, even if </w:t>
      </w:r>
      <w:r w:rsidR="009D390C" w:rsidRPr="00B20A77">
        <w:rPr>
          <w:color w:val="000000"/>
          <w:szCs w:val="22"/>
        </w:rPr>
        <w:t xml:space="preserve">such person </w:t>
      </w:r>
      <w:r w:rsidR="001358DA" w:rsidRPr="00B20A77">
        <w:rPr>
          <w:color w:val="000000"/>
          <w:szCs w:val="22"/>
        </w:rPr>
        <w:t xml:space="preserve">alleges </w:t>
      </w:r>
      <w:r w:rsidR="001E3EEB" w:rsidRPr="00B20A77">
        <w:rPr>
          <w:color w:val="000000"/>
          <w:szCs w:val="22"/>
        </w:rPr>
        <w:t>potential</w:t>
      </w:r>
      <w:r w:rsidR="006A55A5" w:rsidRPr="00B20A77">
        <w:rPr>
          <w:color w:val="000000"/>
          <w:szCs w:val="22"/>
        </w:rPr>
        <w:t xml:space="preserve"> </w:t>
      </w:r>
      <w:r w:rsidR="008D45E2" w:rsidRPr="00B20A77">
        <w:rPr>
          <w:color w:val="000000"/>
          <w:szCs w:val="22"/>
        </w:rPr>
        <w:t xml:space="preserve">future </w:t>
      </w:r>
      <w:r w:rsidR="00353E3A" w:rsidRPr="00B20A77">
        <w:rPr>
          <w:color w:val="000000"/>
          <w:szCs w:val="22"/>
        </w:rPr>
        <w:t>harm</w:t>
      </w:r>
      <w:r w:rsidR="00C67A91" w:rsidRPr="00373898">
        <w:rPr>
          <w:color w:val="000000"/>
          <w:szCs w:val="22"/>
        </w:rPr>
        <w:t>.</w:t>
      </w:r>
      <w:r w:rsidR="008911FA">
        <w:rPr>
          <w:rStyle w:val="FootnoteReference"/>
          <w:szCs w:val="22"/>
        </w:rPr>
        <w:footnoteReference w:id="29"/>
      </w:r>
      <w:r w:rsidR="004173A1" w:rsidRPr="00D23216">
        <w:rPr>
          <w:color w:val="000000"/>
          <w:szCs w:val="22"/>
        </w:rPr>
        <w:t xml:space="preserve">  </w:t>
      </w:r>
      <w:r w:rsidR="00EE50BE" w:rsidRPr="00D23216">
        <w:rPr>
          <w:color w:val="000000"/>
          <w:szCs w:val="22"/>
        </w:rPr>
        <w:t xml:space="preserve">Finally, </w:t>
      </w:r>
      <w:r w:rsidR="00385061" w:rsidRPr="00D23216">
        <w:rPr>
          <w:color w:val="000000"/>
          <w:szCs w:val="22"/>
        </w:rPr>
        <w:t xml:space="preserve">we reject </w:t>
      </w:r>
      <w:r w:rsidR="00EE50BE" w:rsidRPr="00D23216">
        <w:rPr>
          <w:color w:val="000000"/>
          <w:szCs w:val="22"/>
        </w:rPr>
        <w:t>SOH’</w:t>
      </w:r>
      <w:r w:rsidR="00EE50BE" w:rsidRPr="009B51CD">
        <w:rPr>
          <w:color w:val="000000"/>
          <w:szCs w:val="22"/>
        </w:rPr>
        <w:t xml:space="preserve">s assertion that the Commission should have addressed the merits of its </w:t>
      </w:r>
      <w:r w:rsidR="00F70660">
        <w:rPr>
          <w:color w:val="000000"/>
          <w:szCs w:val="22"/>
        </w:rPr>
        <w:t>AFR</w:t>
      </w:r>
      <w:r w:rsidR="00385061" w:rsidRPr="009155B0">
        <w:rPr>
          <w:color w:val="000000"/>
          <w:szCs w:val="22"/>
        </w:rPr>
        <w:t>.</w:t>
      </w:r>
      <w:r w:rsidR="00EE50BE">
        <w:rPr>
          <w:rStyle w:val="FootnoteReference"/>
          <w:szCs w:val="22"/>
        </w:rPr>
        <w:footnoteReference w:id="30"/>
      </w:r>
      <w:r w:rsidR="00EE50BE" w:rsidRPr="00D23216">
        <w:rPr>
          <w:color w:val="000000"/>
          <w:szCs w:val="22"/>
        </w:rPr>
        <w:t xml:space="preserve"> </w:t>
      </w:r>
      <w:r w:rsidR="007A181D" w:rsidRPr="00D23216">
        <w:rPr>
          <w:color w:val="000000"/>
          <w:szCs w:val="22"/>
        </w:rPr>
        <w:t xml:space="preserve"> The Commission found that SOH was not aggrieved by the Bureau’s underlying acti</w:t>
      </w:r>
      <w:r w:rsidR="00FC2590" w:rsidRPr="009B51CD">
        <w:rPr>
          <w:color w:val="000000"/>
          <w:szCs w:val="22"/>
        </w:rPr>
        <w:t>on a</w:t>
      </w:r>
      <w:r w:rsidR="00F70660">
        <w:rPr>
          <w:color w:val="000000"/>
          <w:szCs w:val="22"/>
        </w:rPr>
        <w:t>nd therefore dismissed the AF</w:t>
      </w:r>
      <w:r w:rsidR="00FC2590" w:rsidRPr="009B51CD">
        <w:rPr>
          <w:color w:val="000000"/>
          <w:szCs w:val="22"/>
        </w:rPr>
        <w:t>R</w:t>
      </w:r>
      <w:r w:rsidR="007A181D" w:rsidRPr="009B51CD">
        <w:rPr>
          <w:color w:val="000000"/>
          <w:szCs w:val="22"/>
        </w:rPr>
        <w:t xml:space="preserve"> for lack of standing.</w:t>
      </w:r>
      <w:r w:rsidR="00F23D71">
        <w:rPr>
          <w:rStyle w:val="FootnoteReference"/>
          <w:szCs w:val="22"/>
        </w:rPr>
        <w:footnoteReference w:id="31"/>
      </w:r>
      <w:r w:rsidR="007A181D" w:rsidRPr="00D23216">
        <w:rPr>
          <w:color w:val="000000"/>
          <w:szCs w:val="22"/>
        </w:rPr>
        <w:t xml:space="preserve">  </w:t>
      </w:r>
      <w:r w:rsidR="00F23D71" w:rsidRPr="009B51CD">
        <w:rPr>
          <w:color w:val="000000"/>
          <w:szCs w:val="22"/>
        </w:rPr>
        <w:t xml:space="preserve">Accordingly, </w:t>
      </w:r>
      <w:r w:rsidR="001217E1" w:rsidRPr="009B51CD">
        <w:rPr>
          <w:color w:val="000000"/>
          <w:szCs w:val="22"/>
        </w:rPr>
        <w:t xml:space="preserve">having </w:t>
      </w:r>
      <w:r w:rsidR="00DF7475" w:rsidRPr="009B51CD">
        <w:rPr>
          <w:color w:val="000000"/>
          <w:szCs w:val="22"/>
        </w:rPr>
        <w:t>dismissed the application for lack of standing, the Commission was not obligated to address SOH’s application for review on the merits.</w:t>
      </w:r>
    </w:p>
    <w:p w:rsidR="00A07AB8" w:rsidRPr="00FA4380" w:rsidRDefault="00A2560E" w:rsidP="00FA4380">
      <w:pPr>
        <w:pStyle w:val="ParaNum"/>
        <w:rPr>
          <w:szCs w:val="22"/>
        </w:rPr>
      </w:pPr>
      <w:r w:rsidRPr="00F12B8E">
        <w:rPr>
          <w:szCs w:val="22"/>
        </w:rPr>
        <w:t xml:space="preserve">ACCORDINGLY, IT IS ORDERED that the </w:t>
      </w:r>
      <w:r w:rsidR="00573034">
        <w:rPr>
          <w:szCs w:val="22"/>
        </w:rPr>
        <w:t xml:space="preserve">Petition for Reconsideration </w:t>
      </w:r>
      <w:r w:rsidRPr="00F12B8E">
        <w:rPr>
          <w:szCs w:val="22"/>
        </w:rPr>
        <w:t>filed by</w:t>
      </w:r>
      <w:r w:rsidRPr="00F12B8E">
        <w:t xml:space="preserve"> Sound of Hope Radio NFP</w:t>
      </w:r>
      <w:r w:rsidR="00573034">
        <w:rPr>
          <w:szCs w:val="22"/>
        </w:rPr>
        <w:t xml:space="preserve"> on January 17, 2017</w:t>
      </w:r>
      <w:r w:rsidRPr="00F12B8E">
        <w:rPr>
          <w:szCs w:val="22"/>
        </w:rPr>
        <w:t xml:space="preserve">, IS </w:t>
      </w:r>
      <w:r w:rsidRPr="00F12B8E">
        <w:t>DISMISSED</w:t>
      </w:r>
      <w:r w:rsidR="00C47E1A">
        <w:t>.</w:t>
      </w:r>
    </w:p>
    <w:p w:rsidR="00FA4380" w:rsidRDefault="00FA4380" w:rsidP="0017296B">
      <w:r>
        <w:tab/>
      </w:r>
      <w:r>
        <w:tab/>
      </w:r>
      <w:r>
        <w:tab/>
      </w:r>
      <w:r>
        <w:tab/>
      </w:r>
      <w:r>
        <w:tab/>
      </w:r>
      <w:r>
        <w:tab/>
        <w:t>FEDERAL COMMUNICATIONS COMMISSION</w:t>
      </w:r>
    </w:p>
    <w:p w:rsidR="00FA4380" w:rsidRDefault="00FA4380" w:rsidP="0017296B"/>
    <w:p w:rsidR="00FA4380" w:rsidRDefault="00FA4380" w:rsidP="0017296B"/>
    <w:p w:rsidR="00FA4380" w:rsidRDefault="00FA4380" w:rsidP="0017296B"/>
    <w:p w:rsidR="00FA4380" w:rsidRDefault="00FA4380" w:rsidP="0017296B"/>
    <w:p w:rsidR="00FA4380" w:rsidRDefault="00FA4380" w:rsidP="0017296B">
      <w:r>
        <w:tab/>
      </w:r>
      <w:r>
        <w:tab/>
      </w:r>
      <w:r>
        <w:tab/>
      </w:r>
      <w:r>
        <w:tab/>
      </w:r>
      <w:r>
        <w:tab/>
      </w:r>
      <w:r>
        <w:tab/>
        <w:t>Marlene H. Dortch</w:t>
      </w:r>
    </w:p>
    <w:p w:rsidR="00FA4380" w:rsidRDefault="00FA4380" w:rsidP="0017296B">
      <w:r>
        <w:tab/>
      </w:r>
      <w:r>
        <w:tab/>
      </w:r>
      <w:r>
        <w:tab/>
      </w:r>
      <w:r>
        <w:tab/>
      </w:r>
      <w:r>
        <w:tab/>
      </w:r>
      <w:r>
        <w:tab/>
        <w:t>Secretary</w:t>
      </w:r>
    </w:p>
    <w:sectPr w:rsidR="00FA438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C57" w:rsidRDefault="00916C57">
      <w:pPr>
        <w:spacing w:line="20" w:lineRule="exact"/>
      </w:pPr>
    </w:p>
  </w:endnote>
  <w:endnote w:type="continuationSeparator" w:id="0">
    <w:p w:rsidR="00916C57" w:rsidRDefault="00916C57">
      <w:r>
        <w:t xml:space="preserve"> </w:t>
      </w:r>
    </w:p>
  </w:endnote>
  <w:endnote w:type="continuationNotice" w:id="1">
    <w:p w:rsidR="00916C57" w:rsidRDefault="00916C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5141E">
      <w:rPr>
        <w:noProof/>
      </w:rPr>
      <w:t>3</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C57" w:rsidRDefault="00916C57">
      <w:r>
        <w:separator/>
      </w:r>
    </w:p>
  </w:footnote>
  <w:footnote w:type="continuationSeparator" w:id="0">
    <w:p w:rsidR="00916C57" w:rsidRDefault="00916C57" w:rsidP="00C721AC">
      <w:pPr>
        <w:spacing w:before="120"/>
        <w:rPr>
          <w:sz w:val="20"/>
        </w:rPr>
      </w:pPr>
      <w:r>
        <w:rPr>
          <w:sz w:val="20"/>
        </w:rPr>
        <w:t xml:space="preserve">(Continued from previous page)  </w:t>
      </w:r>
      <w:r>
        <w:rPr>
          <w:sz w:val="20"/>
        </w:rPr>
        <w:separator/>
      </w:r>
    </w:p>
  </w:footnote>
  <w:footnote w:type="continuationNotice" w:id="1">
    <w:p w:rsidR="00916C57" w:rsidRDefault="00916C57" w:rsidP="00C721AC">
      <w:pPr>
        <w:jc w:val="right"/>
        <w:rPr>
          <w:sz w:val="20"/>
        </w:rPr>
      </w:pPr>
      <w:r>
        <w:rPr>
          <w:sz w:val="20"/>
        </w:rPr>
        <w:t>(continued….)</w:t>
      </w:r>
    </w:p>
  </w:footnote>
  <w:footnote w:id="2">
    <w:p w:rsidR="00A2560E" w:rsidRDefault="00A2560E" w:rsidP="00A2560E">
      <w:pPr>
        <w:pStyle w:val="FootnoteText"/>
        <w:spacing w:after="80"/>
      </w:pPr>
      <w:r>
        <w:rPr>
          <w:rStyle w:val="FootnoteReference"/>
        </w:rPr>
        <w:footnoteRef/>
      </w:r>
      <w:r>
        <w:t xml:space="preserve"> SOH </w:t>
      </w:r>
      <w:r w:rsidR="00343045">
        <w:t>Petition for Reconsideration (filed Jan. 17, 2017</w:t>
      </w:r>
      <w:r>
        <w:t>)</w:t>
      </w:r>
      <w:r w:rsidR="00B961E1">
        <w:t xml:space="preserve"> </w:t>
      </w:r>
      <w:r w:rsidR="00B961E1" w:rsidRPr="00B961E1">
        <w:t>(</w:t>
      </w:r>
      <w:r w:rsidR="001244D9" w:rsidRPr="00B961E1">
        <w:rPr>
          <w:i/>
        </w:rPr>
        <w:t>Reconsideration Petition</w:t>
      </w:r>
      <w:r w:rsidR="00B961E1" w:rsidRPr="00B961E1">
        <w:t>)</w:t>
      </w:r>
      <w:r>
        <w:t>.</w:t>
      </w:r>
    </w:p>
  </w:footnote>
  <w:footnote w:id="3">
    <w:p w:rsidR="003F386A" w:rsidRDefault="003F386A">
      <w:pPr>
        <w:pStyle w:val="FootnoteText"/>
      </w:pPr>
      <w:r>
        <w:rPr>
          <w:rStyle w:val="FootnoteReference"/>
        </w:rPr>
        <w:footnoteRef/>
      </w:r>
      <w:r>
        <w:t xml:space="preserve"> </w:t>
      </w:r>
      <w:r>
        <w:rPr>
          <w:i/>
        </w:rPr>
        <w:t xml:space="preserve">Urbanmedia One, </w:t>
      </w:r>
      <w:r>
        <w:t>Memorandum Opinion and Order,</w:t>
      </w:r>
      <w:r w:rsidR="00F77FD5">
        <w:t xml:space="preserve"> </w:t>
      </w:r>
      <w:r w:rsidR="0042546D">
        <w:t>31</w:t>
      </w:r>
      <w:r>
        <w:t xml:space="preserve"> FCC Rcd </w:t>
      </w:r>
      <w:r w:rsidR="0042546D">
        <w:t>13759</w:t>
      </w:r>
      <w:r>
        <w:t xml:space="preserve"> (2016) (</w:t>
      </w:r>
      <w:r>
        <w:rPr>
          <w:i/>
        </w:rPr>
        <w:t>Order</w:t>
      </w:r>
      <w:r>
        <w:t>).</w:t>
      </w:r>
    </w:p>
  </w:footnote>
  <w:footnote w:id="4">
    <w:p w:rsidR="003E5583" w:rsidRDefault="003E5583" w:rsidP="003E5583">
      <w:pPr>
        <w:pStyle w:val="FootnoteText"/>
      </w:pPr>
      <w:r>
        <w:rPr>
          <w:rStyle w:val="FootnoteReference"/>
        </w:rPr>
        <w:footnoteRef/>
      </w:r>
      <w:r>
        <w:t xml:space="preserve"> </w:t>
      </w:r>
      <w:r w:rsidR="00C84461">
        <w:t>SOH Application</w:t>
      </w:r>
      <w:r>
        <w:t xml:space="preserve"> </w:t>
      </w:r>
      <w:r w:rsidR="00C10D3C">
        <w:t>for Review (filed Aug. 19, 2016</w:t>
      </w:r>
      <w:r>
        <w:t>) (AFR).</w:t>
      </w:r>
    </w:p>
  </w:footnote>
  <w:footnote w:id="5">
    <w:p w:rsidR="00C10D3C" w:rsidRPr="00C10D3C" w:rsidRDefault="00C10D3C">
      <w:pPr>
        <w:pStyle w:val="FootnoteText"/>
      </w:pPr>
      <w:r>
        <w:rPr>
          <w:rStyle w:val="FootnoteReference"/>
        </w:rPr>
        <w:footnoteRef/>
      </w:r>
      <w:r>
        <w:t xml:space="preserve"> </w:t>
      </w:r>
      <w:r w:rsidR="00D7511B" w:rsidRPr="00D7511B">
        <w:t>The Commission compared the applications using a point system, tentatively selected SOH, UM</w:t>
      </w:r>
      <w:r w:rsidR="00B00498">
        <w:t>,</w:t>
      </w:r>
      <w:r w:rsidR="00D7511B" w:rsidRPr="00D7511B">
        <w:t xml:space="preserve"> and Morton, and afforded them opportunities </w:t>
      </w:r>
      <w:r w:rsidR="00633348">
        <w:t>to file petitions to deny, timesharing</w:t>
      </w:r>
      <w:r w:rsidR="00D7511B" w:rsidRPr="00D7511B">
        <w:t xml:space="preserve"> agreements, and/or major change amendments to resolve their mutua</w:t>
      </w:r>
      <w:r w:rsidR="00D7511B">
        <w:t>l</w:t>
      </w:r>
      <w:r w:rsidR="00D7511B" w:rsidRPr="00D7511B">
        <w:t xml:space="preserve"> exclusivities.  </w:t>
      </w:r>
      <w:r w:rsidR="001F0D55">
        <w:rPr>
          <w:i/>
        </w:rPr>
        <w:t>Commission I</w:t>
      </w:r>
      <w:r w:rsidR="00D7511B" w:rsidRPr="00E251D6">
        <w:rPr>
          <w:i/>
        </w:rPr>
        <w:t>dentifies Tentative Selectees in 111 Groups of Mutually Exclusive Applications Fi</w:t>
      </w:r>
      <w:r w:rsidR="001F0D55">
        <w:rPr>
          <w:i/>
        </w:rPr>
        <w:t>led i</w:t>
      </w:r>
      <w:r w:rsidR="00D7511B" w:rsidRPr="00E251D6">
        <w:rPr>
          <w:i/>
        </w:rPr>
        <w:t>n the LPFM Window</w:t>
      </w:r>
      <w:r w:rsidR="00D7511B" w:rsidRPr="00D7511B">
        <w:t>, Public Notice, 29 FCC Rcd 10847 (2014).  SOH did not file a petition to deny UM</w:t>
      </w:r>
      <w:r w:rsidR="00E251D6">
        <w:t>’s</w:t>
      </w:r>
      <w:r w:rsidR="00D7511B" w:rsidRPr="00D7511B">
        <w:t xml:space="preserve"> tentative selection.</w:t>
      </w:r>
    </w:p>
  </w:footnote>
  <w:footnote w:id="6">
    <w:p w:rsidR="00167039" w:rsidRPr="00167039" w:rsidRDefault="00167039">
      <w:pPr>
        <w:pStyle w:val="FootnoteText"/>
      </w:pPr>
      <w:r>
        <w:rPr>
          <w:rStyle w:val="FootnoteReference"/>
        </w:rPr>
        <w:footnoteRef/>
      </w:r>
      <w:r>
        <w:t xml:space="preserve"> </w:t>
      </w:r>
      <w:r w:rsidR="00007D20">
        <w:rPr>
          <w:i/>
        </w:rPr>
        <w:t xml:space="preserve">See Broadcast Actions, </w:t>
      </w:r>
      <w:r w:rsidR="00007D20" w:rsidRPr="00483E95">
        <w:t>Public N</w:t>
      </w:r>
      <w:r w:rsidR="00007D20">
        <w:t>otice, Report No. 48382 (MB Dec.</w:t>
      </w:r>
      <w:r w:rsidR="00007D20" w:rsidRPr="00483E95">
        <w:t xml:space="preserve"> 9,</w:t>
      </w:r>
      <w:r w:rsidR="00007D20">
        <w:t xml:space="preserve"> 2014); </w:t>
      </w:r>
      <w:r w:rsidR="009F66F4">
        <w:t>47 CFR</w:t>
      </w:r>
      <w:r>
        <w:rPr>
          <w:i/>
        </w:rPr>
        <w:t xml:space="preserve"> </w:t>
      </w:r>
      <w:r>
        <w:t>§ 73.872(c).</w:t>
      </w:r>
    </w:p>
  </w:footnote>
  <w:footnote w:id="7">
    <w:p w:rsidR="00283F10" w:rsidRDefault="00283F10">
      <w:pPr>
        <w:pStyle w:val="FootnoteText"/>
      </w:pPr>
      <w:r>
        <w:rPr>
          <w:rStyle w:val="FootnoteReference"/>
        </w:rPr>
        <w:footnoteRef/>
      </w:r>
      <w:r>
        <w:t xml:space="preserve"> </w:t>
      </w:r>
      <w:r>
        <w:rPr>
          <w:i/>
        </w:rPr>
        <w:t xml:space="preserve">See </w:t>
      </w:r>
      <w:r>
        <w:t>SOH Petition for Reconsideration and Rescission (filed Jan. 7, 2015) (</w:t>
      </w:r>
      <w:r w:rsidRPr="00C62412">
        <w:rPr>
          <w:i/>
        </w:rPr>
        <w:t>First Petition</w:t>
      </w:r>
      <w:r>
        <w:t xml:space="preserve">).  </w:t>
      </w:r>
    </w:p>
  </w:footnote>
  <w:footnote w:id="8">
    <w:p w:rsidR="00684303" w:rsidRPr="00C47464" w:rsidRDefault="00684303">
      <w:pPr>
        <w:pStyle w:val="FootnoteText"/>
      </w:pPr>
      <w:r>
        <w:rPr>
          <w:rStyle w:val="FootnoteReference"/>
        </w:rPr>
        <w:footnoteRef/>
      </w:r>
      <w:r>
        <w:t xml:space="preserve"> </w:t>
      </w:r>
      <w:r w:rsidR="00C50146">
        <w:rPr>
          <w:i/>
        </w:rPr>
        <w:t xml:space="preserve">First Petition </w:t>
      </w:r>
      <w:r w:rsidR="00AD152D">
        <w:t>at 1-2</w:t>
      </w:r>
      <w:r w:rsidR="00C50146">
        <w:t xml:space="preserve">.  </w:t>
      </w:r>
      <w:r>
        <w:rPr>
          <w:i/>
        </w:rPr>
        <w:t xml:space="preserve">See </w:t>
      </w:r>
      <w:r>
        <w:t xml:space="preserve">47 CFR § 73.854; </w:t>
      </w:r>
      <w:r>
        <w:rPr>
          <w:i/>
        </w:rPr>
        <w:t xml:space="preserve">Ruggiero v. FCC, </w:t>
      </w:r>
      <w:r>
        <w:t>317 F.3d 239 (D.C. Cir. 2003).</w:t>
      </w:r>
      <w:r w:rsidR="008B6DBB">
        <w:t xml:space="preserve">  SOH </w:t>
      </w:r>
      <w:r w:rsidR="00591078">
        <w:t xml:space="preserve">argued </w:t>
      </w:r>
      <w:r w:rsidR="001C2D0C">
        <w:t xml:space="preserve">that </w:t>
      </w:r>
      <w:r w:rsidR="008B6DBB">
        <w:t>grant</w:t>
      </w:r>
      <w:r w:rsidR="001C2D0C">
        <w:t xml:space="preserve"> of </w:t>
      </w:r>
      <w:r w:rsidR="00C50146">
        <w:t xml:space="preserve">an authorization to </w:t>
      </w:r>
      <w:r w:rsidR="00C80B93">
        <w:t>an alleged pirate</w:t>
      </w:r>
      <w:r w:rsidR="00C50146">
        <w:t xml:space="preserve"> </w:t>
      </w:r>
      <w:r w:rsidR="001C2D0C">
        <w:t>was</w:t>
      </w:r>
      <w:r w:rsidR="008B6DBB">
        <w:t xml:space="preserve"> </w:t>
      </w:r>
      <w:r w:rsidR="00555DB1">
        <w:t>beyond the Commission’s statutory authority</w:t>
      </w:r>
      <w:r w:rsidR="00E5730F">
        <w:t>.</w:t>
      </w:r>
      <w:r w:rsidR="00555DB1">
        <w:t xml:space="preserve"> </w:t>
      </w:r>
      <w:r w:rsidR="00D03357">
        <w:t xml:space="preserve"> </w:t>
      </w:r>
      <w:r w:rsidR="00E5730F">
        <w:rPr>
          <w:i/>
        </w:rPr>
        <w:t xml:space="preserve">See </w:t>
      </w:r>
      <w:r w:rsidR="00E5730F">
        <w:t xml:space="preserve">AFR at 9-10.  </w:t>
      </w:r>
      <w:r w:rsidR="00D971D0">
        <w:t>The Bureau</w:t>
      </w:r>
      <w:r w:rsidR="00896CD9">
        <w:t xml:space="preserve"> had</w:t>
      </w:r>
      <w:r w:rsidR="00D971D0">
        <w:t>, however,</w:t>
      </w:r>
      <w:r w:rsidR="00896CD9">
        <w:t xml:space="preserve"> foun</w:t>
      </w:r>
      <w:r w:rsidR="00D971D0">
        <w:t xml:space="preserve">d that SOH did not adequately support its piracy claims.  </w:t>
      </w:r>
      <w:r w:rsidR="00D971D0">
        <w:rPr>
          <w:i/>
        </w:rPr>
        <w:t>James L. Winston, Esq.</w:t>
      </w:r>
      <w:r w:rsidR="00D971D0">
        <w:t>, Letter Order (MB Jul. 20, 2016) (</w:t>
      </w:r>
      <w:r w:rsidR="00D971D0">
        <w:rPr>
          <w:i/>
        </w:rPr>
        <w:t>Second Staff Decision</w:t>
      </w:r>
      <w:r w:rsidR="00D971D0">
        <w:t xml:space="preserve">) at 4.  </w:t>
      </w:r>
      <w:r w:rsidR="00E5730F">
        <w:t xml:space="preserve">SOH now repeats and </w:t>
      </w:r>
      <w:r w:rsidR="00591078">
        <w:t>expand</w:t>
      </w:r>
      <w:r w:rsidR="00D971D0">
        <w:t xml:space="preserve">s upon its piracy </w:t>
      </w:r>
      <w:r w:rsidR="00E5730F">
        <w:t>claim</w:t>
      </w:r>
      <w:r w:rsidR="00D971D0">
        <w:t>s</w:t>
      </w:r>
      <w:r w:rsidR="00C80B93">
        <w:t xml:space="preserve"> by contending that </w:t>
      </w:r>
      <w:r w:rsidR="00D971D0">
        <w:t xml:space="preserve">grant of the </w:t>
      </w:r>
      <w:r w:rsidR="00591078">
        <w:t xml:space="preserve">UM permit was </w:t>
      </w:r>
      <w:r w:rsidR="008B6DBB">
        <w:t>void</w:t>
      </w:r>
      <w:r w:rsidR="00C41557">
        <w:t xml:space="preserve"> at</w:t>
      </w:r>
      <w:r w:rsidR="00555DB1">
        <w:t xml:space="preserve"> inception</w:t>
      </w:r>
      <w:r w:rsidR="008B6DBB">
        <w:t xml:space="preserve">.  </w:t>
      </w:r>
      <w:r w:rsidR="008B6DBB">
        <w:rPr>
          <w:i/>
        </w:rPr>
        <w:t xml:space="preserve">Reconsideration Petition </w:t>
      </w:r>
      <w:r w:rsidR="00AF5652">
        <w:t>at 3, 6-7, citing</w:t>
      </w:r>
      <w:r w:rsidR="000C362F">
        <w:rPr>
          <w:i/>
        </w:rPr>
        <w:t xml:space="preserve"> </w:t>
      </w:r>
      <w:r w:rsidR="006B2ECC">
        <w:rPr>
          <w:i/>
        </w:rPr>
        <w:t>FCC</w:t>
      </w:r>
      <w:r w:rsidR="000C362F">
        <w:rPr>
          <w:i/>
        </w:rPr>
        <w:t xml:space="preserve"> v. Midwest Video,</w:t>
      </w:r>
      <w:r w:rsidR="006B2ECC">
        <w:rPr>
          <w:i/>
        </w:rPr>
        <w:t xml:space="preserve"> </w:t>
      </w:r>
      <w:r w:rsidR="006B2ECC">
        <w:t>440 U.S. 689 (1979)</w:t>
      </w:r>
      <w:r w:rsidR="000C362F">
        <w:t xml:space="preserve"> (Commission must act within scope of its authority</w:t>
      </w:r>
      <w:r w:rsidR="00106906">
        <w:t>)</w:t>
      </w:r>
      <w:r w:rsidR="006B2ECC">
        <w:t>.</w:t>
      </w:r>
      <w:r w:rsidR="00E3721A">
        <w:t xml:space="preserve">  SOH</w:t>
      </w:r>
      <w:r w:rsidR="00697FF3">
        <w:t xml:space="preserve"> also equates </w:t>
      </w:r>
      <w:r w:rsidR="00D971D0">
        <w:t>the instant proceeding to a case, not relied upon earlier,</w:t>
      </w:r>
      <w:r w:rsidR="00697FF3">
        <w:t xml:space="preserve"> in which the Commission dismissed an LPFM </w:t>
      </w:r>
      <w:r w:rsidR="00784237">
        <w:t>applica</w:t>
      </w:r>
      <w:r w:rsidR="00697FF3">
        <w:t>t</w:t>
      </w:r>
      <w:r w:rsidR="00784237">
        <w:t>ion</w:t>
      </w:r>
      <w:r w:rsidR="00697FF3">
        <w:t xml:space="preserve"> </w:t>
      </w:r>
      <w:r w:rsidR="00784237">
        <w:t xml:space="preserve">when piracy </w:t>
      </w:r>
      <w:r w:rsidR="00FD6AD2">
        <w:t xml:space="preserve">had </w:t>
      </w:r>
      <w:r w:rsidR="00784237">
        <w:t>been established</w:t>
      </w:r>
      <w:r w:rsidR="00697FF3">
        <w:t xml:space="preserve">.  </w:t>
      </w:r>
      <w:r w:rsidR="00697FF3">
        <w:rPr>
          <w:i/>
        </w:rPr>
        <w:t xml:space="preserve">Id. </w:t>
      </w:r>
      <w:r w:rsidR="00697FF3">
        <w:t xml:space="preserve">at 8-9, citing </w:t>
      </w:r>
      <w:r w:rsidR="00697FF3">
        <w:rPr>
          <w:i/>
        </w:rPr>
        <w:t xml:space="preserve">WKMJ Radio Live The People Station, Inc., </w:t>
      </w:r>
      <w:r w:rsidR="004A2D29">
        <w:t xml:space="preserve">Letter, </w:t>
      </w:r>
      <w:r w:rsidR="00697FF3">
        <w:t>30 FCC Rcd 13779 (</w:t>
      </w:r>
      <w:r w:rsidR="00F50A00">
        <w:t xml:space="preserve">MB </w:t>
      </w:r>
      <w:r w:rsidR="00697FF3">
        <w:t xml:space="preserve">2015), </w:t>
      </w:r>
      <w:r w:rsidR="00F50A00">
        <w:rPr>
          <w:i/>
        </w:rPr>
        <w:t>rev</w:t>
      </w:r>
      <w:r w:rsidR="0042546D">
        <w:rPr>
          <w:i/>
        </w:rPr>
        <w:t>.</w:t>
      </w:r>
      <w:r w:rsidR="00F50A00">
        <w:rPr>
          <w:i/>
        </w:rPr>
        <w:t xml:space="preserve"> denied, </w:t>
      </w:r>
      <w:r w:rsidR="00A8609A">
        <w:t>Memorandum Opin</w:t>
      </w:r>
      <w:r w:rsidR="00F50A00">
        <w:t>i</w:t>
      </w:r>
      <w:r w:rsidR="00A8609A">
        <w:t>o</w:t>
      </w:r>
      <w:r w:rsidR="00F50A00">
        <w:t xml:space="preserve">n and Order, 30 FCC Rcd 13779, </w:t>
      </w:r>
      <w:r w:rsidR="001F420E">
        <w:rPr>
          <w:i/>
        </w:rPr>
        <w:t xml:space="preserve">recon. </w:t>
      </w:r>
      <w:r w:rsidR="00A8609A">
        <w:rPr>
          <w:i/>
        </w:rPr>
        <w:t>dismisse</w:t>
      </w:r>
      <w:r w:rsidR="00697FF3">
        <w:rPr>
          <w:i/>
        </w:rPr>
        <w:t xml:space="preserve">d, </w:t>
      </w:r>
      <w:r w:rsidR="006447B6">
        <w:t xml:space="preserve">Memorandum Opinion and Order, </w:t>
      </w:r>
      <w:r w:rsidR="00697FF3">
        <w:t xml:space="preserve">31 FCC Rcd 4306 (2016).  </w:t>
      </w:r>
      <w:r w:rsidR="0042546D">
        <w:t xml:space="preserve">The </w:t>
      </w:r>
      <w:r w:rsidR="0042546D" w:rsidRPr="005F0016">
        <w:rPr>
          <w:i/>
        </w:rPr>
        <w:t>WKMJ</w:t>
      </w:r>
      <w:r w:rsidR="0042546D">
        <w:t xml:space="preserve"> case has no bearing here</w:t>
      </w:r>
      <w:r w:rsidR="00543C2E">
        <w:t xml:space="preserve"> because SOH has failed to establish its </w:t>
      </w:r>
      <w:r w:rsidR="0042546D">
        <w:t>piracy</w:t>
      </w:r>
      <w:r w:rsidR="00677A0D">
        <w:t xml:space="preserve"> allegation.  </w:t>
      </w:r>
      <w:r w:rsidR="00E51256">
        <w:rPr>
          <w:i/>
        </w:rPr>
        <w:t xml:space="preserve">See Second Staff Decision </w:t>
      </w:r>
      <w:r w:rsidR="00E51256">
        <w:t>at 4 (finding the piracy allegations “are supported by only a single, identical affidavit demonstrating no first-hand knowledge of piracy but only that the affiant viewed one of the internet pages on November 16, 2014</w:t>
      </w:r>
      <w:r w:rsidR="00AE6F7A">
        <w:t>” and accordingly concluding that “</w:t>
      </w:r>
      <w:r w:rsidR="00E51256">
        <w:t xml:space="preserve">SOH has raised no substantial question of ‘pirate’ operations or false certification”).  </w:t>
      </w:r>
      <w:r w:rsidR="00D03357">
        <w:t xml:space="preserve">Furthermore, as the </w:t>
      </w:r>
      <w:r w:rsidR="00D03357" w:rsidRPr="005F0016">
        <w:rPr>
          <w:i/>
        </w:rPr>
        <w:t>Order</w:t>
      </w:r>
      <w:r w:rsidR="00D03357">
        <w:t xml:space="preserve"> explained, any action involving the UM </w:t>
      </w:r>
      <w:r w:rsidR="000E27CD">
        <w:t>A</w:t>
      </w:r>
      <w:r w:rsidR="00D03357">
        <w:t xml:space="preserve">pplication is irrelevant to the processing and grant of the amended SOH Application.  </w:t>
      </w:r>
      <w:r w:rsidR="00D03357" w:rsidRPr="005F0016">
        <w:rPr>
          <w:i/>
        </w:rPr>
        <w:t>Order</w:t>
      </w:r>
      <w:r w:rsidR="00D03357">
        <w:t>, 31 FCC Rcd at 13760-61, para. 4.</w:t>
      </w:r>
    </w:p>
  </w:footnote>
  <w:footnote w:id="9">
    <w:p w:rsidR="00BB6603" w:rsidRPr="00C00BF8" w:rsidRDefault="00BB6603" w:rsidP="00BB6603">
      <w:pPr>
        <w:pStyle w:val="FootnoteText"/>
        <w:rPr>
          <w:i/>
        </w:rPr>
      </w:pPr>
      <w:r>
        <w:rPr>
          <w:rStyle w:val="FootnoteReference"/>
        </w:rPr>
        <w:footnoteRef/>
      </w:r>
      <w:r>
        <w:t xml:space="preserve"> </w:t>
      </w:r>
      <w:r>
        <w:rPr>
          <w:i/>
        </w:rPr>
        <w:t xml:space="preserve">See </w:t>
      </w:r>
      <w:r w:rsidR="00283F10" w:rsidRPr="00C62412">
        <w:rPr>
          <w:i/>
        </w:rPr>
        <w:t>First Petition</w:t>
      </w:r>
      <w:r w:rsidR="00283F10">
        <w:t xml:space="preserve"> at 15, n.10</w:t>
      </w:r>
      <w:r w:rsidR="0033553C">
        <w:t xml:space="preserve">.  </w:t>
      </w:r>
      <w:r>
        <w:t>SOH later explained that it preferr</w:t>
      </w:r>
      <w:r w:rsidR="001977F5">
        <w:t>ed the original site so it could</w:t>
      </w:r>
      <w:r>
        <w:t xml:space="preserve"> serve a </w:t>
      </w:r>
      <w:r w:rsidR="00763971">
        <w:t xml:space="preserve">Chinese-American </w:t>
      </w:r>
      <w:r w:rsidR="001977F5">
        <w:t xml:space="preserve">audience </w:t>
      </w:r>
      <w:r w:rsidR="00543C2E">
        <w:t xml:space="preserve">that is located outside the service area of its permitted </w:t>
      </w:r>
      <w:r w:rsidR="009100E2">
        <w:t>facilities</w:t>
      </w:r>
      <w:r>
        <w:t xml:space="preserve">.  </w:t>
      </w:r>
      <w:r>
        <w:rPr>
          <w:i/>
        </w:rPr>
        <w:t xml:space="preserve">See Reconsideration Petition </w:t>
      </w:r>
      <w:r>
        <w:t>at 4; AFR at 5, n.5.</w:t>
      </w:r>
    </w:p>
  </w:footnote>
  <w:footnote w:id="10">
    <w:p w:rsidR="00BD344E" w:rsidRPr="00BD344E" w:rsidRDefault="00BD344E">
      <w:pPr>
        <w:pStyle w:val="FootnoteText"/>
      </w:pPr>
      <w:r>
        <w:rPr>
          <w:rStyle w:val="FootnoteReference"/>
        </w:rPr>
        <w:footnoteRef/>
      </w:r>
      <w:r>
        <w:t xml:space="preserve"> </w:t>
      </w:r>
      <w:r w:rsidR="00C41557">
        <w:t xml:space="preserve">SOH did not </w:t>
      </w:r>
      <w:r w:rsidR="00270E64">
        <w:t xml:space="preserve">seek reconsideration of </w:t>
      </w:r>
      <w:r w:rsidR="00C86E6F">
        <w:t xml:space="preserve">the </w:t>
      </w:r>
      <w:r w:rsidR="00C41557">
        <w:t xml:space="preserve">grant of the </w:t>
      </w:r>
      <w:r w:rsidR="00C86E6F">
        <w:t>Morton Application or</w:t>
      </w:r>
      <w:r w:rsidR="00270E64">
        <w:t xml:space="preserve"> </w:t>
      </w:r>
      <w:r w:rsidR="00C86E6F">
        <w:t xml:space="preserve">of the </w:t>
      </w:r>
      <w:r w:rsidR="00270E64">
        <w:t>SOH Application, as amended</w:t>
      </w:r>
      <w:r w:rsidR="00C41557">
        <w:t xml:space="preserve">.  </w:t>
      </w:r>
      <w:r w:rsidR="00C86E6F">
        <w:t xml:space="preserve">Nevertheless, </w:t>
      </w:r>
      <w:r w:rsidR="00C41557">
        <w:t xml:space="preserve">SOH </w:t>
      </w:r>
      <w:r w:rsidR="00F32C5B">
        <w:t xml:space="preserve">currently </w:t>
      </w:r>
      <w:r>
        <w:t>argues that “the construction permit grants are not final</w:t>
      </w:r>
      <w:r w:rsidR="00901155">
        <w:t xml:space="preserve">,” </w:t>
      </w:r>
      <w:r w:rsidR="00C86E6F">
        <w:t xml:space="preserve">without further explanation.  </w:t>
      </w:r>
      <w:r w:rsidR="00446A3F" w:rsidRPr="00716B03">
        <w:rPr>
          <w:i/>
        </w:rPr>
        <w:t>See</w:t>
      </w:r>
      <w:r w:rsidR="00446A3F">
        <w:t xml:space="preserve"> </w:t>
      </w:r>
      <w:r>
        <w:rPr>
          <w:i/>
        </w:rPr>
        <w:t xml:space="preserve">Reconsideration Petition </w:t>
      </w:r>
      <w:r>
        <w:t>at 12.</w:t>
      </w:r>
      <w:r w:rsidR="0039151F">
        <w:t xml:space="preserve">  </w:t>
      </w:r>
    </w:p>
  </w:footnote>
  <w:footnote w:id="11">
    <w:p w:rsidR="006F460B" w:rsidRPr="0050536F" w:rsidRDefault="006F460B" w:rsidP="006F460B">
      <w:pPr>
        <w:pStyle w:val="FootnoteText"/>
      </w:pPr>
      <w:r>
        <w:rPr>
          <w:rStyle w:val="FootnoteReference"/>
        </w:rPr>
        <w:footnoteRef/>
      </w:r>
      <w:r>
        <w:rPr>
          <w:i/>
        </w:rPr>
        <w:t xml:space="preserve"> See James L. Winston, Esq.</w:t>
      </w:r>
      <w:r>
        <w:t>, Letter Order (M</w:t>
      </w:r>
      <w:r w:rsidR="00F15397">
        <w:t xml:space="preserve">B Mar. 4, 2015) (dismissing </w:t>
      </w:r>
      <w:r w:rsidRPr="00C62412">
        <w:rPr>
          <w:i/>
        </w:rPr>
        <w:t>First Petition</w:t>
      </w:r>
      <w:r>
        <w:t xml:space="preserve"> as late-filed</w:t>
      </w:r>
      <w:r w:rsidR="00C86E6F">
        <w:t xml:space="preserve"> because SOH had not objected to the UM Application prior to grant</w:t>
      </w:r>
      <w:r>
        <w:t xml:space="preserve">); </w:t>
      </w:r>
      <w:r w:rsidR="00602C23">
        <w:rPr>
          <w:i/>
        </w:rPr>
        <w:t>Second Staff Decision</w:t>
      </w:r>
      <w:r>
        <w:t xml:space="preserve"> </w:t>
      </w:r>
      <w:r w:rsidR="00543C2E">
        <w:t>(</w:t>
      </w:r>
      <w:r>
        <w:t xml:space="preserve">dismissing as repetitious SOH Petition for Reconsideration </w:t>
      </w:r>
      <w:r w:rsidR="00745FC4">
        <w:t>(filed Apr. 2, 2015)</w:t>
      </w:r>
      <w:r>
        <w:t xml:space="preserve"> </w:t>
      </w:r>
      <w:r w:rsidR="00B961D1">
        <w:t>(</w:t>
      </w:r>
      <w:r w:rsidR="00B961D1">
        <w:rPr>
          <w:i/>
        </w:rPr>
        <w:t>Second Petition</w:t>
      </w:r>
      <w:r w:rsidR="00B961D1" w:rsidRPr="00B961D1">
        <w:t>)</w:t>
      </w:r>
      <w:r w:rsidR="00B961D1">
        <w:rPr>
          <w:i/>
        </w:rPr>
        <w:t xml:space="preserve"> </w:t>
      </w:r>
      <w:r>
        <w:t xml:space="preserve">and </w:t>
      </w:r>
      <w:r w:rsidR="004D121F">
        <w:t xml:space="preserve">briefly discussing three </w:t>
      </w:r>
      <w:r w:rsidR="00DD5089">
        <w:t>issues therein that SOH alleged were</w:t>
      </w:r>
      <w:r w:rsidR="00C47464">
        <w:t xml:space="preserve"> “critical</w:t>
      </w:r>
      <w:r w:rsidR="00DD5089">
        <w:t>.</w:t>
      </w:r>
      <w:r w:rsidR="00C47464">
        <w:t>”</w:t>
      </w:r>
      <w:r w:rsidR="00543C2E">
        <w:t>)</w:t>
      </w:r>
      <w:r>
        <w:t xml:space="preserve">; </w:t>
      </w:r>
      <w:r w:rsidRPr="00745FC4">
        <w:rPr>
          <w:i/>
        </w:rPr>
        <w:t>Order</w:t>
      </w:r>
      <w:r>
        <w:t xml:space="preserve">, </w:t>
      </w:r>
      <w:r w:rsidR="00D37ED9">
        <w:t>31 FCC Rcd at 13761</w:t>
      </w:r>
      <w:r w:rsidR="00D70E5F">
        <w:t xml:space="preserve">, para. 4 </w:t>
      </w:r>
      <w:r w:rsidR="00216311">
        <w:t>(</w:t>
      </w:r>
      <w:r>
        <w:t xml:space="preserve">dismissing </w:t>
      </w:r>
      <w:r w:rsidR="00216311">
        <w:t xml:space="preserve">the AFR </w:t>
      </w:r>
      <w:r>
        <w:t>for lack of standing</w:t>
      </w:r>
      <w:r w:rsidR="00216311">
        <w:t>)</w:t>
      </w:r>
      <w:r>
        <w:t>.</w:t>
      </w:r>
    </w:p>
  </w:footnote>
  <w:footnote w:id="12">
    <w:p w:rsidR="00347274" w:rsidRDefault="00666A91" w:rsidP="00666A91">
      <w:pPr>
        <w:pStyle w:val="FootnoteText"/>
        <w:spacing w:after="80"/>
      </w:pPr>
      <w:r>
        <w:rPr>
          <w:rStyle w:val="FootnoteReference"/>
        </w:rPr>
        <w:footnoteRef/>
      </w:r>
      <w:r>
        <w:t xml:space="preserve"> </w:t>
      </w:r>
      <w:r>
        <w:rPr>
          <w:i/>
        </w:rPr>
        <w:t>Order</w:t>
      </w:r>
      <w:r w:rsidR="00A34B31" w:rsidRPr="005F0016">
        <w:t>,</w:t>
      </w:r>
      <w:r w:rsidRPr="005F0016">
        <w:t xml:space="preserve"> </w:t>
      </w:r>
      <w:r w:rsidR="00D37ED9">
        <w:t>31 FCC Rcd at 13760</w:t>
      </w:r>
      <w:r w:rsidR="0016725D">
        <w:t>, para</w:t>
      </w:r>
      <w:r w:rsidR="002A55E2">
        <w:t xml:space="preserve">. </w:t>
      </w:r>
      <w:r w:rsidR="00A34B31">
        <w:t>4</w:t>
      </w:r>
      <w:r>
        <w:t>, citing 47 U.S.C. § 155(c)(4); 47 CFR § 1.115(a).</w:t>
      </w:r>
      <w:r w:rsidR="00C43F47">
        <w:t xml:space="preserve">  </w:t>
      </w:r>
      <w:r w:rsidR="00C43F47" w:rsidRPr="00C43F47">
        <w:t>T</w:t>
      </w:r>
      <w:r w:rsidR="009646A1">
        <w:t>o demonstrate st</w:t>
      </w:r>
      <w:r w:rsidR="00A34B31">
        <w:t>anding before the Commission</w:t>
      </w:r>
      <w:r w:rsidR="009646A1">
        <w:t xml:space="preserve">, </w:t>
      </w:r>
      <w:r w:rsidR="00543C2E">
        <w:t>a</w:t>
      </w:r>
      <w:r w:rsidR="00C43F47" w:rsidRPr="00C43F47">
        <w:t xml:space="preserve"> petiti</w:t>
      </w:r>
      <w:r w:rsidR="009646A1">
        <w:t>oner must show</w:t>
      </w:r>
      <w:r w:rsidR="00C43F47" w:rsidRPr="00C43F47">
        <w:t xml:space="preserve"> (1</w:t>
      </w:r>
      <w:r w:rsidR="0039151F">
        <w:t>) personal injury, (2) that is traceable</w:t>
      </w:r>
      <w:r w:rsidR="00C43F47" w:rsidRPr="00C43F47">
        <w:t xml:space="preserve"> to the challenged action, and (3) a substantial likelihood that the relief requested will redress the </w:t>
      </w:r>
      <w:r w:rsidR="00DF752F">
        <w:t>claimed injury</w:t>
      </w:r>
      <w:r w:rsidR="00C43F47" w:rsidRPr="00C43F47">
        <w:t xml:space="preserve">. </w:t>
      </w:r>
      <w:r w:rsidR="00E659A0">
        <w:t xml:space="preserve"> The </w:t>
      </w:r>
      <w:r w:rsidR="00D37ED9">
        <w:t>injury</w:t>
      </w:r>
      <w:r w:rsidR="00E659A0">
        <w:t xml:space="preserve"> prong</w:t>
      </w:r>
      <w:r w:rsidR="00D37ED9">
        <w:t xml:space="preserve"> </w:t>
      </w:r>
      <w:r w:rsidR="00151992">
        <w:t>can be shown through allegations of</w:t>
      </w:r>
      <w:r w:rsidR="00E659A0">
        <w:t xml:space="preserve">: </w:t>
      </w:r>
      <w:r w:rsidR="00D37ED9">
        <w:t xml:space="preserve"> </w:t>
      </w:r>
      <w:r w:rsidR="00E659A0" w:rsidRPr="00F12B8E">
        <w:t>(1) harm of a direct, tangible, or substantial nature; (2) residence in the service area of the subject station; or (3) regular listenership which is not the result of transient contacts.</w:t>
      </w:r>
      <w:r w:rsidR="00E659A0">
        <w:t xml:space="preserve">  </w:t>
      </w:r>
      <w:r w:rsidR="00E659A0">
        <w:rPr>
          <w:i/>
        </w:rPr>
        <w:t>Order</w:t>
      </w:r>
      <w:r w:rsidR="00D37ED9">
        <w:t>, 31 FCC Rcd at 13760,</w:t>
      </w:r>
      <w:r w:rsidR="00E659A0">
        <w:t xml:space="preserve"> n.11, citing </w:t>
      </w:r>
      <w:r w:rsidR="00E659A0">
        <w:rPr>
          <w:i/>
          <w:iCs/>
        </w:rPr>
        <w:t>Tabback Broad. Co.</w:t>
      </w:r>
      <w:r w:rsidR="00E659A0" w:rsidRPr="00FF0C1A">
        <w:t>, Memorandum Opinion and Order, </w:t>
      </w:r>
      <w:r w:rsidR="00E659A0" w:rsidRPr="00E10F88">
        <w:t>15 FCC Rcd 11899, 11900 n.3 (2000)</w:t>
      </w:r>
      <w:r w:rsidR="00E659A0" w:rsidRPr="00D36ADC">
        <w:t>.</w:t>
      </w:r>
      <w:r w:rsidR="00E659A0">
        <w:t xml:space="preserve">  </w:t>
      </w:r>
    </w:p>
  </w:footnote>
  <w:footnote w:id="13">
    <w:p w:rsidR="008B57DE" w:rsidRPr="00DE4D40" w:rsidRDefault="008B57DE" w:rsidP="008B57DE">
      <w:pPr>
        <w:pStyle w:val="FootnoteText"/>
        <w:rPr>
          <w:i/>
        </w:rPr>
      </w:pPr>
      <w:r>
        <w:rPr>
          <w:rStyle w:val="FootnoteReference"/>
        </w:rPr>
        <w:footnoteRef/>
      </w:r>
      <w:r>
        <w:t xml:space="preserve"> </w:t>
      </w:r>
      <w:r w:rsidRPr="00AD79FC">
        <w:rPr>
          <w:i/>
          <w:kern w:val="28"/>
          <w:sz w:val="22"/>
        </w:rPr>
        <w:t xml:space="preserve"> </w:t>
      </w:r>
      <w:r w:rsidR="008D6CD0">
        <w:rPr>
          <w:i/>
        </w:rPr>
        <w:t>Order</w:t>
      </w:r>
      <w:r w:rsidR="00E80E24">
        <w:t xml:space="preserve">, </w:t>
      </w:r>
      <w:r w:rsidR="00D37ED9">
        <w:t>31 FCC Rcd at 13760</w:t>
      </w:r>
      <w:r w:rsidR="008D6CD0">
        <w:t xml:space="preserve">, </w:t>
      </w:r>
      <w:r w:rsidR="00BF27A9">
        <w:t xml:space="preserve">para. 4.  </w:t>
      </w:r>
      <w:r w:rsidR="00C6557B">
        <w:t xml:space="preserve">SOH </w:t>
      </w:r>
      <w:r w:rsidR="002550E7">
        <w:t>respon</w:t>
      </w:r>
      <w:r w:rsidR="00C6557B">
        <w:t>ds</w:t>
      </w:r>
      <w:r w:rsidR="00361FC4">
        <w:t xml:space="preserve"> that the Commission </w:t>
      </w:r>
      <w:r w:rsidR="00C6557B">
        <w:t>erred by overlooking</w:t>
      </w:r>
      <w:r w:rsidR="00361FC4">
        <w:t xml:space="preserve"> evidence that Morton was prepared to enter into a timesharing arrangement</w:t>
      </w:r>
      <w:r w:rsidR="00D270B9">
        <w:t xml:space="preserve"> with SOH</w:t>
      </w:r>
      <w:r w:rsidR="00361FC4">
        <w:t xml:space="preserve">.  </w:t>
      </w:r>
      <w:r w:rsidR="00361FC4">
        <w:rPr>
          <w:i/>
        </w:rPr>
        <w:t xml:space="preserve">Reconsideration Petition </w:t>
      </w:r>
      <w:r w:rsidR="00361FC4">
        <w:t xml:space="preserve">at 20, citing </w:t>
      </w:r>
      <w:r w:rsidR="0061552C">
        <w:rPr>
          <w:i/>
        </w:rPr>
        <w:t xml:space="preserve">Declaration of Booker Wade </w:t>
      </w:r>
      <w:r w:rsidR="00361FC4">
        <w:t>(</w:t>
      </w:r>
      <w:r w:rsidR="00361FC4">
        <w:rPr>
          <w:i/>
        </w:rPr>
        <w:t xml:space="preserve">Second Petition, </w:t>
      </w:r>
      <w:r w:rsidR="00361FC4">
        <w:t>Exh. 11, para. 9).</w:t>
      </w:r>
      <w:r w:rsidR="00B961D1">
        <w:t xml:space="preserve">  The </w:t>
      </w:r>
      <w:r w:rsidR="007545CE">
        <w:t>alleged “evidence”</w:t>
      </w:r>
      <w:r w:rsidR="002A1D9B">
        <w:t xml:space="preserve"> is</w:t>
      </w:r>
      <w:r w:rsidR="007545CE">
        <w:t xml:space="preserve"> </w:t>
      </w:r>
      <w:r w:rsidR="0061552C">
        <w:t xml:space="preserve">a hearsay statement </w:t>
      </w:r>
      <w:r w:rsidR="007545CE">
        <w:t xml:space="preserve">from </w:t>
      </w:r>
      <w:r w:rsidR="00C6557B">
        <w:t xml:space="preserve">an </w:t>
      </w:r>
      <w:r w:rsidR="0061552C">
        <w:t xml:space="preserve">SOH consultant </w:t>
      </w:r>
      <w:r w:rsidR="002A1D9B">
        <w:t xml:space="preserve">who states </w:t>
      </w:r>
      <w:r w:rsidR="00E25AB9">
        <w:t xml:space="preserve">only </w:t>
      </w:r>
      <w:r w:rsidR="002A1D9B">
        <w:t xml:space="preserve">that </w:t>
      </w:r>
      <w:r w:rsidR="007545CE">
        <w:t>Morton</w:t>
      </w:r>
      <w:r w:rsidR="00C6557B">
        <w:t xml:space="preserve"> </w:t>
      </w:r>
      <w:r w:rsidR="005A39FB">
        <w:t>told him that Morton</w:t>
      </w:r>
      <w:r w:rsidR="00A5399D">
        <w:t xml:space="preserve"> believed</w:t>
      </w:r>
      <w:r w:rsidR="00E25AB9">
        <w:t>, in timesharing discussion</w:t>
      </w:r>
      <w:r w:rsidR="00A5399D">
        <w:t>s</w:t>
      </w:r>
      <w:r w:rsidR="00E25AB9">
        <w:t xml:space="preserve"> with UM,</w:t>
      </w:r>
      <w:r w:rsidR="007545CE">
        <w:t xml:space="preserve"> that UM had </w:t>
      </w:r>
      <w:r w:rsidR="00E25AB9">
        <w:t xml:space="preserve">also </w:t>
      </w:r>
      <w:r w:rsidR="00D53DDE">
        <w:t xml:space="preserve">tried to contact SOH.  </w:t>
      </w:r>
      <w:r w:rsidR="00D53DDE">
        <w:rPr>
          <w:i/>
        </w:rPr>
        <w:t>Id.</w:t>
      </w:r>
      <w:r w:rsidR="00D53DDE" w:rsidRPr="005F0016">
        <w:t xml:space="preserve">  </w:t>
      </w:r>
      <w:r w:rsidR="00C6557B">
        <w:t>N</w:t>
      </w:r>
      <w:r w:rsidR="00D270B9">
        <w:t xml:space="preserve">othing </w:t>
      </w:r>
      <w:r w:rsidR="00C6557B">
        <w:t xml:space="preserve">in the record indicates </w:t>
      </w:r>
      <w:r w:rsidR="008A7BC8">
        <w:t xml:space="preserve">a current desire by </w:t>
      </w:r>
      <w:r w:rsidR="00B961D1">
        <w:t>Morton</w:t>
      </w:r>
      <w:r w:rsidR="008A7BC8">
        <w:t xml:space="preserve"> </w:t>
      </w:r>
      <w:r w:rsidR="00B961D1">
        <w:t xml:space="preserve">to </w:t>
      </w:r>
      <w:r w:rsidR="008A7BC8">
        <w:t xml:space="preserve">share time </w:t>
      </w:r>
      <w:r w:rsidR="00303C68">
        <w:t>with SOH</w:t>
      </w:r>
      <w:r w:rsidR="00687CCD">
        <w:t>, even if that were possible now</w:t>
      </w:r>
      <w:r w:rsidR="007545CE">
        <w:t xml:space="preserve">.  </w:t>
      </w:r>
    </w:p>
  </w:footnote>
  <w:footnote w:id="14">
    <w:p w:rsidR="00A17F7A" w:rsidRDefault="00A17F7A" w:rsidP="00A17F7A">
      <w:pPr>
        <w:pStyle w:val="FootnoteText"/>
      </w:pPr>
      <w:r>
        <w:rPr>
          <w:rStyle w:val="FootnoteReference"/>
        </w:rPr>
        <w:footnoteRef/>
      </w:r>
      <w:r>
        <w:t xml:space="preserve"> </w:t>
      </w:r>
      <w:r w:rsidRPr="00DA12E9">
        <w:rPr>
          <w:i/>
        </w:rPr>
        <w:t>See</w:t>
      </w:r>
      <w:r w:rsidR="004B79BA">
        <w:t xml:space="preserve"> 47 CFR §§ 73.871(a</w:t>
      </w:r>
      <w:r>
        <w:t>)(4), 73.872(c).</w:t>
      </w:r>
      <w:r w:rsidR="00EA3041">
        <w:t xml:space="preserve"> </w:t>
      </w:r>
    </w:p>
  </w:footnote>
  <w:footnote w:id="15">
    <w:p w:rsidR="00A17F7A" w:rsidRPr="00167A7C" w:rsidRDefault="00A17F7A">
      <w:pPr>
        <w:pStyle w:val="FootnoteText"/>
      </w:pPr>
      <w:r>
        <w:rPr>
          <w:rStyle w:val="FootnoteReference"/>
        </w:rPr>
        <w:footnoteRef/>
      </w:r>
      <w:r>
        <w:t xml:space="preserve"> </w:t>
      </w:r>
      <w:r w:rsidRPr="00F12548">
        <w:rPr>
          <w:i/>
        </w:rPr>
        <w:t>See</w:t>
      </w:r>
      <w:r>
        <w:t xml:space="preserve"> 47 CFR § 73.870(a</w:t>
      </w:r>
      <w:r w:rsidRPr="00F12548">
        <w:t>)</w:t>
      </w:r>
      <w:r w:rsidR="00185915">
        <w:t>, (b)</w:t>
      </w:r>
      <w:r w:rsidR="00D614BC">
        <w:t xml:space="preserve"> (</w:t>
      </w:r>
      <w:r w:rsidR="00185915">
        <w:t xml:space="preserve">site </w:t>
      </w:r>
      <w:r w:rsidR="00D614BC" w:rsidRPr="00F12548">
        <w:t>relocation</w:t>
      </w:r>
      <w:r w:rsidR="00185915">
        <w:t>s</w:t>
      </w:r>
      <w:r w:rsidR="00D614BC" w:rsidRPr="00F12548">
        <w:t xml:space="preserve"> greater th</w:t>
      </w:r>
      <w:r w:rsidR="00185915">
        <w:t>an 5.6 km</w:t>
      </w:r>
      <w:r w:rsidR="00D614BC">
        <w:t xml:space="preserve"> </w:t>
      </w:r>
      <w:r w:rsidR="00185915">
        <w:t>are major and allowed only during filing windows</w:t>
      </w:r>
      <w:r w:rsidR="00D614BC">
        <w:t>)</w:t>
      </w:r>
      <w:r w:rsidR="00D614BC" w:rsidRPr="00F12548">
        <w:t xml:space="preserve">.  </w:t>
      </w:r>
      <w:r w:rsidR="00BF7978">
        <w:t xml:space="preserve">SOH was able to make such </w:t>
      </w:r>
      <w:r>
        <w:t xml:space="preserve">a change </w:t>
      </w:r>
      <w:r w:rsidR="00BF7978">
        <w:t xml:space="preserve">through </w:t>
      </w:r>
      <w:r>
        <w:t>its earl</w:t>
      </w:r>
      <w:r w:rsidR="00700C48">
        <w:t>ier amendment because the Commission</w:t>
      </w:r>
      <w:r>
        <w:t xml:space="preserve"> had opened a </w:t>
      </w:r>
      <w:r w:rsidR="00715726">
        <w:t xml:space="preserve">90-day </w:t>
      </w:r>
      <w:r w:rsidR="00432BCA">
        <w:t>filing window</w:t>
      </w:r>
      <w:r w:rsidR="00BF7978">
        <w:t xml:space="preserve"> through December 8, 2014</w:t>
      </w:r>
      <w:r w:rsidR="00715726">
        <w:t xml:space="preserve"> for a</w:t>
      </w:r>
      <w:r w:rsidR="00BF7978">
        <w:t xml:space="preserve">mendment of </w:t>
      </w:r>
      <w:r w:rsidR="00715726">
        <w:t xml:space="preserve">certain then-pending LPFM applications to eliminate </w:t>
      </w:r>
      <w:r w:rsidR="00543C2E">
        <w:t>technical conflicts</w:t>
      </w:r>
      <w:r w:rsidR="00715726">
        <w:t xml:space="preserve">.  </w:t>
      </w:r>
      <w:r w:rsidR="00715726" w:rsidRPr="00F12548">
        <w:rPr>
          <w:i/>
        </w:rPr>
        <w:t>See</w:t>
      </w:r>
      <w:r w:rsidR="00715726">
        <w:t xml:space="preserve"> </w:t>
      </w:r>
      <w:r w:rsidR="00715726" w:rsidRPr="00557325">
        <w:rPr>
          <w:i/>
        </w:rPr>
        <w:t>Commission Identifies Tentative Selectees in 111 Groups of Mutually Exclusive Applications Filed in the LPFM Window; Announces 30-Day Petition to Deny Period and 90-Day Period to File Voluntary Time-Share Proposals and Major Change Amendments</w:t>
      </w:r>
      <w:r w:rsidR="00715726" w:rsidRPr="001B0FC6">
        <w:t>, Public</w:t>
      </w:r>
      <w:r w:rsidR="00715726">
        <w:t xml:space="preserve"> Notice, 29 FCC Rcd 10847, 10851-52 (2014</w:t>
      </w:r>
      <w:r w:rsidR="00715726" w:rsidRPr="001B0FC6">
        <w:t>).</w:t>
      </w:r>
      <w:r w:rsidR="00715726" w:rsidRPr="005F0016">
        <w:t xml:space="preserve">  </w:t>
      </w:r>
      <w:r w:rsidR="00D37ED9">
        <w:t>No filing</w:t>
      </w:r>
      <w:r w:rsidR="00715726">
        <w:t xml:space="preserve"> window </w:t>
      </w:r>
      <w:r w:rsidR="00D37ED9">
        <w:t>has subsequently been opened</w:t>
      </w:r>
      <w:r w:rsidR="00715726">
        <w:t>.  N</w:t>
      </w:r>
      <w:r w:rsidR="00A94B08">
        <w:t xml:space="preserve">or </w:t>
      </w:r>
      <w:r w:rsidR="00715726">
        <w:t>has the Commissio</w:t>
      </w:r>
      <w:r w:rsidR="004A0516">
        <w:t xml:space="preserve">n ever </w:t>
      </w:r>
      <w:r w:rsidR="00BF7978">
        <w:t>allow</w:t>
      </w:r>
      <w:r w:rsidR="004A0516">
        <w:t>ed</w:t>
      </w:r>
      <w:r w:rsidR="00EB208B">
        <w:t xml:space="preserve"> a non-conflicting</w:t>
      </w:r>
      <w:r w:rsidR="008533F9">
        <w:t xml:space="preserve"> permittee</w:t>
      </w:r>
      <w:r w:rsidR="00BF7978">
        <w:t xml:space="preserve"> like SOH </w:t>
      </w:r>
      <w:r w:rsidR="004C38BD">
        <w:t xml:space="preserve">to amend </w:t>
      </w:r>
      <w:r w:rsidR="004C38BD">
        <w:rPr>
          <w:i/>
        </w:rPr>
        <w:t>into</w:t>
      </w:r>
      <w:r w:rsidR="00715726">
        <w:rPr>
          <w:i/>
        </w:rPr>
        <w:t xml:space="preserve"> </w:t>
      </w:r>
      <w:r w:rsidR="00715726">
        <w:t>a</w:t>
      </w:r>
      <w:r w:rsidR="004C38BD">
        <w:rPr>
          <w:i/>
        </w:rPr>
        <w:t xml:space="preserve"> </w:t>
      </w:r>
      <w:r w:rsidR="00EB208B">
        <w:t>mutually exclusive</w:t>
      </w:r>
      <w:r w:rsidR="00461DD8">
        <w:t xml:space="preserve"> </w:t>
      </w:r>
      <w:r w:rsidR="00715726">
        <w:t xml:space="preserve">relationship </w:t>
      </w:r>
      <w:r w:rsidR="00461DD8">
        <w:t>with a granted permit</w:t>
      </w:r>
      <w:r w:rsidR="004C38BD">
        <w:t>.</w:t>
      </w:r>
      <w:r w:rsidR="00167A7C">
        <w:t xml:space="preserve">  </w:t>
      </w:r>
      <w:r w:rsidR="00167A7C">
        <w:rPr>
          <w:i/>
        </w:rPr>
        <w:t xml:space="preserve">See id. </w:t>
      </w:r>
      <w:r w:rsidR="00167A7C">
        <w:t>at 10853-54 (amendments that would cause new application conflicts</w:t>
      </w:r>
      <w:r w:rsidR="009634A7">
        <w:t xml:space="preserve"> not permitted</w:t>
      </w:r>
      <w:r w:rsidR="00167A7C">
        <w:t xml:space="preserve">). </w:t>
      </w:r>
    </w:p>
  </w:footnote>
  <w:footnote w:id="16">
    <w:p w:rsidR="00E369D8" w:rsidRPr="00180D58" w:rsidRDefault="00E369D8">
      <w:pPr>
        <w:pStyle w:val="FootnoteText"/>
      </w:pPr>
      <w:r>
        <w:rPr>
          <w:rStyle w:val="FootnoteReference"/>
        </w:rPr>
        <w:footnoteRef/>
      </w:r>
      <w:r>
        <w:t xml:space="preserve"> </w:t>
      </w:r>
      <w:r w:rsidR="00B732B5">
        <w:rPr>
          <w:i/>
        </w:rPr>
        <w:t>Reconsideration Petition</w:t>
      </w:r>
      <w:r w:rsidR="00FF79A1">
        <w:rPr>
          <w:i/>
        </w:rPr>
        <w:t xml:space="preserve"> </w:t>
      </w:r>
      <w:r w:rsidR="00FF79A1">
        <w:t xml:space="preserve">at </w:t>
      </w:r>
      <w:r w:rsidR="00CF1753">
        <w:t xml:space="preserve">3, </w:t>
      </w:r>
      <w:r w:rsidR="00FF79A1">
        <w:t>12</w:t>
      </w:r>
      <w:r w:rsidR="0097443C">
        <w:t>-13</w:t>
      </w:r>
      <w:r w:rsidR="00FF79A1">
        <w:t xml:space="preserve">.  </w:t>
      </w:r>
      <w:r w:rsidR="004A151B">
        <w:t xml:space="preserve">SOH </w:t>
      </w:r>
      <w:r w:rsidR="00806DAA">
        <w:t xml:space="preserve">also </w:t>
      </w:r>
      <w:r w:rsidR="00C75FAC">
        <w:t xml:space="preserve">contends that </w:t>
      </w:r>
      <w:r w:rsidR="00806DAA">
        <w:t>the Commission</w:t>
      </w:r>
      <w:r w:rsidR="005F3340">
        <w:t xml:space="preserve"> </w:t>
      </w:r>
      <w:r w:rsidR="00806DAA">
        <w:t xml:space="preserve">incorrectly relied on </w:t>
      </w:r>
      <w:r w:rsidR="007161F9">
        <w:t xml:space="preserve">Section </w:t>
      </w:r>
      <w:r w:rsidR="0029340B">
        <w:t>5(c)(4) of the Act</w:t>
      </w:r>
      <w:r w:rsidR="00806DAA">
        <w:t xml:space="preserve"> (</w:t>
      </w:r>
      <w:r w:rsidR="005F3340">
        <w:t>applications for review may be filed by “any person aggrieved”)</w:t>
      </w:r>
      <w:r w:rsidR="00480E31">
        <w:t xml:space="preserve"> instead of Section 405(a) of the Act (petitions for reconsideration may be filed by “any party thereto, or any other person aggrieved or whose inter</w:t>
      </w:r>
      <w:r w:rsidR="00967A27">
        <w:t xml:space="preserve">ests are adversely affected”).  </w:t>
      </w:r>
      <w:r w:rsidR="00480E31" w:rsidRPr="00480E31">
        <w:rPr>
          <w:i/>
        </w:rPr>
        <w:t>See</w:t>
      </w:r>
      <w:r w:rsidR="00480E31">
        <w:t xml:space="preserve"> 47 U.S.C. §§ 155(c)(4), 405(a).  </w:t>
      </w:r>
      <w:r w:rsidR="005F3340">
        <w:t xml:space="preserve">SOH </w:t>
      </w:r>
      <w:r w:rsidR="00432791">
        <w:t xml:space="preserve">argues </w:t>
      </w:r>
      <w:r w:rsidR="0077255A">
        <w:t xml:space="preserve">that </w:t>
      </w:r>
      <w:r w:rsidR="005E6351">
        <w:t>Section 5(c)(4)</w:t>
      </w:r>
      <w:r w:rsidR="004273C2">
        <w:t xml:space="preserve"> is </w:t>
      </w:r>
      <w:r w:rsidR="00982BC1">
        <w:t>in</w:t>
      </w:r>
      <w:r w:rsidR="00524AEE">
        <w:t xml:space="preserve">applicable to broadcast construction actions </w:t>
      </w:r>
      <w:r w:rsidR="00982BC1">
        <w:t>except</w:t>
      </w:r>
      <w:r w:rsidR="00524AEE">
        <w:t xml:space="preserve"> to the extent that it is </w:t>
      </w:r>
      <w:r w:rsidR="004273C2">
        <w:t>incorporat</w:t>
      </w:r>
      <w:r w:rsidR="00524AEE">
        <w:t xml:space="preserve">ed </w:t>
      </w:r>
      <w:r w:rsidR="004273C2">
        <w:t>b</w:t>
      </w:r>
      <w:r w:rsidR="00E3526D">
        <w:t xml:space="preserve">y reference in Section 405(a).  </w:t>
      </w:r>
      <w:r w:rsidR="004273C2">
        <w:rPr>
          <w:i/>
        </w:rPr>
        <w:t xml:space="preserve">Reconsideration Petition </w:t>
      </w:r>
      <w:r w:rsidR="004273C2">
        <w:t xml:space="preserve">at 9.  It further argues that </w:t>
      </w:r>
      <w:r w:rsidR="00D7509B">
        <w:t>Section 405(a)</w:t>
      </w:r>
      <w:r w:rsidR="004F64E0">
        <w:t>’s</w:t>
      </w:r>
      <w:r w:rsidR="00D7509B">
        <w:t xml:space="preserve"> </w:t>
      </w:r>
      <w:r w:rsidR="00805E15">
        <w:t xml:space="preserve">broader </w:t>
      </w:r>
      <w:r w:rsidR="0077255A">
        <w:t xml:space="preserve">language confers standing on parties without </w:t>
      </w:r>
      <w:r w:rsidR="0000314F">
        <w:t xml:space="preserve">further </w:t>
      </w:r>
      <w:r w:rsidR="005F3340">
        <w:t>demonstrat</w:t>
      </w:r>
      <w:r w:rsidR="0000314F">
        <w:t>ion of injury and that</w:t>
      </w:r>
      <w:r w:rsidR="0077255A">
        <w:t xml:space="preserve"> standing</w:t>
      </w:r>
      <w:r w:rsidR="0000314F">
        <w:t xml:space="preserve"> as a party</w:t>
      </w:r>
      <w:r w:rsidR="0077255A">
        <w:t>, once established, continues</w:t>
      </w:r>
      <w:r w:rsidR="00FF79A1">
        <w:t xml:space="preserve">.  </w:t>
      </w:r>
      <w:r w:rsidR="00D93489">
        <w:rPr>
          <w:i/>
        </w:rPr>
        <w:t xml:space="preserve">Id. </w:t>
      </w:r>
      <w:r w:rsidR="00D93489">
        <w:t>at 10</w:t>
      </w:r>
      <w:r w:rsidR="00FF52E2">
        <w:t>, 12</w:t>
      </w:r>
      <w:r w:rsidR="00D93489">
        <w:t>.</w:t>
      </w:r>
      <w:r w:rsidR="00562529">
        <w:t xml:space="preserve">  </w:t>
      </w:r>
      <w:r w:rsidR="00BE52A1">
        <w:rPr>
          <w:i/>
        </w:rPr>
        <w:t>See</w:t>
      </w:r>
      <w:r w:rsidR="00562529">
        <w:rPr>
          <w:i/>
        </w:rPr>
        <w:t xml:space="preserve"> </w:t>
      </w:r>
      <w:r w:rsidR="00562529">
        <w:t>note 19</w:t>
      </w:r>
      <w:r w:rsidR="00157E97">
        <w:t xml:space="preserve"> </w:t>
      </w:r>
      <w:r w:rsidR="00157E97" w:rsidRPr="001B146E">
        <w:rPr>
          <w:i/>
        </w:rPr>
        <w:t>infra</w:t>
      </w:r>
      <w:r w:rsidR="00562529">
        <w:t>.</w:t>
      </w:r>
      <w:r w:rsidR="00D93489">
        <w:t xml:space="preserve">  </w:t>
      </w:r>
      <w:r w:rsidR="00E74EBA">
        <w:t xml:space="preserve"> </w:t>
      </w:r>
      <w:r w:rsidR="00FA0A2C">
        <w:t xml:space="preserve">   </w:t>
      </w:r>
    </w:p>
  </w:footnote>
  <w:footnote w:id="17">
    <w:p w:rsidR="00456894" w:rsidRPr="00456894" w:rsidRDefault="00456894">
      <w:pPr>
        <w:pStyle w:val="FootnoteText"/>
      </w:pPr>
      <w:r>
        <w:rPr>
          <w:rStyle w:val="FootnoteReference"/>
        </w:rPr>
        <w:footnoteRef/>
      </w:r>
      <w:r>
        <w:t xml:space="preserve"> </w:t>
      </w:r>
      <w:r>
        <w:rPr>
          <w:i/>
        </w:rPr>
        <w:t xml:space="preserve">Id. </w:t>
      </w:r>
      <w:r>
        <w:t xml:space="preserve">at </w:t>
      </w:r>
      <w:r w:rsidR="00BD344E">
        <w:t xml:space="preserve">11, </w:t>
      </w:r>
      <w:r>
        <w:t>17</w:t>
      </w:r>
      <w:r w:rsidR="00371E0E">
        <w:t>-18</w:t>
      </w:r>
      <w:r>
        <w:t xml:space="preserve">, citing </w:t>
      </w:r>
      <w:r>
        <w:rPr>
          <w:i/>
        </w:rPr>
        <w:t xml:space="preserve">Nevada Radio-Television Inc., </w:t>
      </w:r>
      <w:r>
        <w:t>40 FCC 2d 444 (1973)</w:t>
      </w:r>
      <w:r w:rsidR="000D6486">
        <w:t>.</w:t>
      </w:r>
      <w:r w:rsidR="000E7E05">
        <w:t xml:space="preserve"> </w:t>
      </w:r>
    </w:p>
  </w:footnote>
  <w:footnote w:id="18">
    <w:p w:rsidR="00B0083E" w:rsidRPr="00F86FFC" w:rsidRDefault="00B0083E">
      <w:pPr>
        <w:pStyle w:val="FootnoteText"/>
      </w:pPr>
      <w:r>
        <w:rPr>
          <w:rStyle w:val="FootnoteReference"/>
        </w:rPr>
        <w:footnoteRef/>
      </w:r>
      <w:r>
        <w:t xml:space="preserve"> </w:t>
      </w:r>
      <w:r w:rsidR="00364E51">
        <w:rPr>
          <w:i/>
        </w:rPr>
        <w:t xml:space="preserve">Id. </w:t>
      </w:r>
      <w:r w:rsidR="00364E51">
        <w:t xml:space="preserve">at 13-17.  </w:t>
      </w:r>
      <w:r w:rsidR="00F86FFC">
        <w:rPr>
          <w:i/>
        </w:rPr>
        <w:t xml:space="preserve">See infra, </w:t>
      </w:r>
      <w:r w:rsidR="003C5802">
        <w:t>note 21</w:t>
      </w:r>
      <w:r w:rsidR="00F86FFC">
        <w:t>.</w:t>
      </w:r>
      <w:r w:rsidR="003C7143">
        <w:t xml:space="preserve">  SOH </w:t>
      </w:r>
      <w:r w:rsidR="00562529">
        <w:t xml:space="preserve">newly </w:t>
      </w:r>
      <w:r w:rsidR="003C7143">
        <w:t xml:space="preserve">argues that: </w:t>
      </w:r>
      <w:r w:rsidR="00687CCD">
        <w:t xml:space="preserve"> </w:t>
      </w:r>
      <w:r w:rsidR="003C7143">
        <w:t>(1) it would receive redress by rescission of the UM permit and award of UM’s ti</w:t>
      </w:r>
      <w:r w:rsidR="00975E5A">
        <w:t xml:space="preserve">meshare periods to SOH; (2) </w:t>
      </w:r>
      <w:r w:rsidR="006A5912">
        <w:t xml:space="preserve">a </w:t>
      </w:r>
      <w:r w:rsidR="00975E5A">
        <w:t>req</w:t>
      </w:r>
      <w:r w:rsidR="006A5912">
        <w:t>uirement for</w:t>
      </w:r>
      <w:r w:rsidR="00975E5A">
        <w:t xml:space="preserve"> SOH to demonstrate standing is</w:t>
      </w:r>
      <w:r w:rsidR="003C7143">
        <w:t xml:space="preserve"> inconsistent with consideration</w:t>
      </w:r>
      <w:r w:rsidR="00485A5A">
        <w:t>,</w:t>
      </w:r>
      <w:r w:rsidR="003C7143">
        <w:t xml:space="preserve"> </w:t>
      </w:r>
      <w:r w:rsidR="00485A5A">
        <w:t xml:space="preserve">in the enforcement context, </w:t>
      </w:r>
      <w:r w:rsidR="003C7143">
        <w:t xml:space="preserve">of </w:t>
      </w:r>
      <w:r w:rsidR="00975E5A">
        <w:t xml:space="preserve">piracy-based </w:t>
      </w:r>
      <w:r w:rsidR="003C7143">
        <w:t>complaints from</w:t>
      </w:r>
      <w:r w:rsidR="004A6BF5">
        <w:t xml:space="preserve"> the general public</w:t>
      </w:r>
      <w:r w:rsidR="00975E5A">
        <w:t xml:space="preserve">; and (3) the Commission’s failure to address the merits of SOH’s allegations conflicts </w:t>
      </w:r>
      <w:r w:rsidR="004A6BF5">
        <w:t>with an alleged Commission</w:t>
      </w:r>
      <w:r w:rsidR="00975E5A">
        <w:t xml:space="preserve"> practice to develop</w:t>
      </w:r>
      <w:r w:rsidR="003C7143">
        <w:t xml:space="preserve"> complete record</w:t>
      </w:r>
      <w:r w:rsidR="00975E5A">
        <w:t>s</w:t>
      </w:r>
      <w:r w:rsidR="003C7143">
        <w:t>.</w:t>
      </w:r>
      <w:r w:rsidR="003C7143">
        <w:rPr>
          <w:i/>
        </w:rPr>
        <w:t xml:space="preserve">  Reconsideration Petition </w:t>
      </w:r>
      <w:r w:rsidR="003C7143">
        <w:t xml:space="preserve">at 10-11, citing </w:t>
      </w:r>
      <w:r w:rsidR="003C7143" w:rsidRPr="00EA3D17">
        <w:rPr>
          <w:i/>
        </w:rPr>
        <w:t>FCC Enforcement Advisory: Unauthorized Radio Broadcasting is Illegal</w:t>
      </w:r>
      <w:r w:rsidR="003C7143">
        <w:t>, Public Notice, 31 FCC Rcd 1680 (EB 2016) (how to file a complaint about pirate broadca</w:t>
      </w:r>
      <w:r w:rsidR="00DC79A2">
        <w:t>sts)</w:t>
      </w:r>
      <w:r w:rsidR="00DB7A84">
        <w:t>.</w:t>
      </w:r>
      <w:r w:rsidR="00DC79A2">
        <w:t xml:space="preserve"> </w:t>
      </w:r>
    </w:p>
  </w:footnote>
  <w:footnote w:id="19">
    <w:p w:rsidR="00A60439" w:rsidRPr="006E01BB" w:rsidRDefault="00A60439" w:rsidP="00A60439">
      <w:pPr>
        <w:pStyle w:val="FootnoteText"/>
      </w:pPr>
      <w:r>
        <w:rPr>
          <w:rStyle w:val="FootnoteReference"/>
        </w:rPr>
        <w:footnoteRef/>
      </w:r>
      <w:r>
        <w:t xml:space="preserve"> 47 CFR </w:t>
      </w:r>
      <w:r w:rsidR="00231A1A">
        <w:t>§</w:t>
      </w:r>
      <w:r>
        <w:t xml:space="preserve">§ </w:t>
      </w:r>
      <w:r w:rsidR="00385061">
        <w:t xml:space="preserve">1.106(b)(2), (c); </w:t>
      </w:r>
      <w:r>
        <w:t>1.</w:t>
      </w:r>
      <w:r w:rsidR="00BA12FD">
        <w:t>115(g)</w:t>
      </w:r>
      <w:r>
        <w:t>.</w:t>
      </w:r>
    </w:p>
  </w:footnote>
  <w:footnote w:id="20">
    <w:p w:rsidR="00C94627" w:rsidRPr="00F52A41" w:rsidRDefault="00C94627" w:rsidP="00C94627">
      <w:pPr>
        <w:pStyle w:val="FootnoteText"/>
      </w:pPr>
      <w:r>
        <w:rPr>
          <w:rStyle w:val="FootnoteReference"/>
        </w:rPr>
        <w:footnoteRef/>
      </w:r>
      <w:r>
        <w:t xml:space="preserve"> </w:t>
      </w:r>
      <w:r>
        <w:rPr>
          <w:i/>
        </w:rPr>
        <w:t xml:space="preserve">See </w:t>
      </w:r>
      <w:r w:rsidRPr="00B961E1">
        <w:rPr>
          <w:i/>
        </w:rPr>
        <w:t>Reconsideration Petition</w:t>
      </w:r>
      <w:r>
        <w:rPr>
          <w:i/>
        </w:rPr>
        <w:t xml:space="preserve"> </w:t>
      </w:r>
      <w:r>
        <w:t xml:space="preserve">at 2.  </w:t>
      </w:r>
      <w:r w:rsidR="002F3099">
        <w:t xml:space="preserve">We also reject SOH’s argument that the Commission </w:t>
      </w:r>
      <w:r w:rsidR="00624C79">
        <w:t xml:space="preserve">should have </w:t>
      </w:r>
      <w:r w:rsidR="00251891">
        <w:t xml:space="preserve">applied </w:t>
      </w:r>
      <w:r w:rsidR="002F3099">
        <w:t xml:space="preserve">standing requirements </w:t>
      </w:r>
      <w:r w:rsidR="00F93A0B">
        <w:t xml:space="preserve">enunciated </w:t>
      </w:r>
      <w:r w:rsidR="002F3099">
        <w:t xml:space="preserve">in </w:t>
      </w:r>
      <w:r w:rsidR="00F93A0B">
        <w:t xml:space="preserve">Section 405(a) of the Act rather than those in </w:t>
      </w:r>
      <w:r w:rsidR="002F3099">
        <w:t xml:space="preserve">Section 5(c)(4).  </w:t>
      </w:r>
      <w:r w:rsidR="002F3099">
        <w:rPr>
          <w:i/>
        </w:rPr>
        <w:t xml:space="preserve">See supra </w:t>
      </w:r>
      <w:r w:rsidR="002F3099">
        <w:t>note 15</w:t>
      </w:r>
      <w:r w:rsidR="00251891">
        <w:t>; 47 U.S.C. §§ 155(c)(4), 405(a)</w:t>
      </w:r>
      <w:r w:rsidR="00967A27">
        <w:t xml:space="preserve">.  </w:t>
      </w:r>
      <w:r w:rsidR="002F3099">
        <w:t>Each</w:t>
      </w:r>
      <w:r w:rsidR="00624C79">
        <w:t xml:space="preserve"> requirement is virtually identical and requires</w:t>
      </w:r>
      <w:r w:rsidR="002F3099">
        <w:t xml:space="preserve">, respectively, </w:t>
      </w:r>
      <w:r w:rsidR="00624C79">
        <w:t xml:space="preserve">that </w:t>
      </w:r>
      <w:r w:rsidR="002F3099">
        <w:t xml:space="preserve">persons seeking reconsideration or review be “aggrieved.”  </w:t>
      </w:r>
      <w:r w:rsidR="00624C79">
        <w:t xml:space="preserve">For purposes of the </w:t>
      </w:r>
      <w:r w:rsidR="00624C79">
        <w:rPr>
          <w:i/>
        </w:rPr>
        <w:t xml:space="preserve">Order, </w:t>
      </w:r>
      <w:r w:rsidR="002F3099">
        <w:t xml:space="preserve">Section 5(c)(4) </w:t>
      </w:r>
      <w:r w:rsidR="00E25C07">
        <w:t xml:space="preserve">was </w:t>
      </w:r>
      <w:r w:rsidR="00251891">
        <w:t>the governing provision</w:t>
      </w:r>
      <w:r w:rsidR="00B17127">
        <w:t xml:space="preserve"> </w:t>
      </w:r>
      <w:r w:rsidR="00251891">
        <w:t xml:space="preserve">because it </w:t>
      </w:r>
      <w:r w:rsidR="002F3099">
        <w:t xml:space="preserve">enunciates requirements for Applications for Review of actions taken on delegated authority, the very type of </w:t>
      </w:r>
      <w:r w:rsidR="00562529">
        <w:t xml:space="preserve">pleading </w:t>
      </w:r>
      <w:r w:rsidR="002F3099">
        <w:t xml:space="preserve">SOH </w:t>
      </w:r>
      <w:r w:rsidR="00F05837">
        <w:t>fil</w:t>
      </w:r>
      <w:r w:rsidR="002F3099">
        <w:t>ed.  SOH’s claim that Section 5(c)(4) do</w:t>
      </w:r>
      <w:r w:rsidR="00251891">
        <w:t>es</w:t>
      </w:r>
      <w:r w:rsidR="002F3099">
        <w:t xml:space="preserve"> not apply to broadcast actions is incorrect and inconsistent with precedent cited in the </w:t>
      </w:r>
      <w:r w:rsidR="002F3099">
        <w:rPr>
          <w:i/>
        </w:rPr>
        <w:t>Order</w:t>
      </w:r>
      <w:r w:rsidR="002F3099">
        <w:t xml:space="preserve"> for a related point</w:t>
      </w:r>
      <w:r w:rsidR="002F3099">
        <w:rPr>
          <w:i/>
        </w:rPr>
        <w:t>.</w:t>
      </w:r>
      <w:r w:rsidR="002F3099">
        <w:t xml:space="preserve">  </w:t>
      </w:r>
      <w:r w:rsidR="002F3099">
        <w:rPr>
          <w:i/>
        </w:rPr>
        <w:t xml:space="preserve">See Chapin Enter., LLC, </w:t>
      </w:r>
      <w:r w:rsidR="002F3099">
        <w:t>Memorandum Opinion and Order, 29 FCC Rcd 4250, 4252-53, para.</w:t>
      </w:r>
      <w:r w:rsidR="00687CCD">
        <w:t xml:space="preserve"> </w:t>
      </w:r>
      <w:r w:rsidR="002F3099">
        <w:t xml:space="preserve">7 (2014), </w:t>
      </w:r>
      <w:r w:rsidR="002F3099">
        <w:rPr>
          <w:i/>
        </w:rPr>
        <w:t xml:space="preserve">cited in Order </w:t>
      </w:r>
      <w:r w:rsidR="002F3099">
        <w:t>at n.19 (</w:t>
      </w:r>
      <w:r w:rsidR="002F3099">
        <w:rPr>
          <w:i/>
        </w:rPr>
        <w:t>Chapin</w:t>
      </w:r>
      <w:r w:rsidR="002F3099">
        <w:t xml:space="preserve">) (pursuant to Section 5(c)(4), informal objector that had not shown how it was “aggrieved” lacked standing to seek review of staff action on broadcast modification application).  Moreover, we reject SOH’s suggestion that the standing language in Section 405(a) is more lenient than that in Section 5(c)(4).  Section 405(a)’s reference to “any party” in addition to “any other person aggrieved,” serves simply to exclude informal objectors (non-party participants who have not demonstrated how they are “aggrieved”) from seeking reconsideration.  </w:t>
      </w:r>
      <w:r w:rsidR="002F3099">
        <w:rPr>
          <w:i/>
        </w:rPr>
        <w:t xml:space="preserve">E.g., Chapin, </w:t>
      </w:r>
      <w:r w:rsidR="002F3099">
        <w:t>29 FCC Rcd at 4252, para. 7</w:t>
      </w:r>
      <w:r w:rsidR="00B17127">
        <w:t>.</w:t>
      </w:r>
    </w:p>
  </w:footnote>
  <w:footnote w:id="21">
    <w:p w:rsidR="00C94627" w:rsidRDefault="00C94627" w:rsidP="00C94627">
      <w:pPr>
        <w:pStyle w:val="FootnoteText"/>
      </w:pPr>
      <w:r>
        <w:rPr>
          <w:rStyle w:val="FootnoteReference"/>
        </w:rPr>
        <w:footnoteRef/>
      </w:r>
      <w:r>
        <w:t xml:space="preserve"> 47 U.S.C. § 309(d)(1).</w:t>
      </w:r>
    </w:p>
  </w:footnote>
  <w:footnote w:id="22">
    <w:p w:rsidR="00C94627" w:rsidRPr="009713B7" w:rsidRDefault="00C94627" w:rsidP="00C94627">
      <w:pPr>
        <w:pStyle w:val="FootnoteText"/>
      </w:pPr>
      <w:r>
        <w:rPr>
          <w:rStyle w:val="FootnoteReference"/>
        </w:rPr>
        <w:footnoteRef/>
      </w:r>
      <w:r>
        <w:t xml:space="preserve"> </w:t>
      </w:r>
      <w:r w:rsidR="00FF6898">
        <w:t>In a belated attempt to fill this gap</w:t>
      </w:r>
      <w:r w:rsidR="008275B2">
        <w:t xml:space="preserve">, </w:t>
      </w:r>
      <w:r w:rsidR="008D3A9F" w:rsidRPr="008D3A9F">
        <w:rPr>
          <w:color w:val="000000"/>
          <w:szCs w:val="22"/>
        </w:rPr>
        <w:t>SOH</w:t>
      </w:r>
      <w:r w:rsidR="00F818F7">
        <w:rPr>
          <w:color w:val="000000"/>
          <w:szCs w:val="22"/>
        </w:rPr>
        <w:t xml:space="preserve"> has </w:t>
      </w:r>
      <w:r w:rsidR="00FF6898">
        <w:rPr>
          <w:color w:val="000000"/>
          <w:szCs w:val="22"/>
        </w:rPr>
        <w:t>now</w:t>
      </w:r>
      <w:r w:rsidR="000E28B1">
        <w:rPr>
          <w:color w:val="000000"/>
          <w:szCs w:val="22"/>
        </w:rPr>
        <w:t xml:space="preserve"> </w:t>
      </w:r>
      <w:r w:rsidR="00F818F7">
        <w:rPr>
          <w:color w:val="000000"/>
          <w:szCs w:val="22"/>
        </w:rPr>
        <w:t xml:space="preserve">raised </w:t>
      </w:r>
      <w:r w:rsidR="00FF6898">
        <w:rPr>
          <w:color w:val="000000"/>
          <w:szCs w:val="22"/>
        </w:rPr>
        <w:t>new</w:t>
      </w:r>
      <w:r w:rsidR="000E28B1">
        <w:rPr>
          <w:color w:val="000000"/>
          <w:szCs w:val="22"/>
        </w:rPr>
        <w:t xml:space="preserve"> claims</w:t>
      </w:r>
      <w:r w:rsidR="008275B2">
        <w:rPr>
          <w:color w:val="000000"/>
          <w:szCs w:val="22"/>
        </w:rPr>
        <w:t xml:space="preserve"> </w:t>
      </w:r>
      <w:r w:rsidR="00A83ADA">
        <w:rPr>
          <w:color w:val="000000"/>
          <w:szCs w:val="22"/>
        </w:rPr>
        <w:t>to have</w:t>
      </w:r>
      <w:r w:rsidR="000E28B1">
        <w:rPr>
          <w:color w:val="000000"/>
          <w:szCs w:val="22"/>
        </w:rPr>
        <w:t xml:space="preserve"> standing as</w:t>
      </w:r>
      <w:r w:rsidR="008275B2">
        <w:rPr>
          <w:color w:val="000000"/>
          <w:szCs w:val="22"/>
        </w:rPr>
        <w:t xml:space="preserve">: </w:t>
      </w:r>
      <w:r w:rsidR="00FF6898">
        <w:rPr>
          <w:color w:val="000000"/>
          <w:szCs w:val="22"/>
        </w:rPr>
        <w:t xml:space="preserve"> </w:t>
      </w:r>
      <w:r w:rsidR="008275B2">
        <w:rPr>
          <w:color w:val="000000"/>
          <w:szCs w:val="22"/>
        </w:rPr>
        <w:t>(1) a competitor (despite lack of contour overlap)</w:t>
      </w:r>
      <w:r w:rsidR="000E28B1">
        <w:rPr>
          <w:color w:val="000000"/>
          <w:szCs w:val="22"/>
        </w:rPr>
        <w:t xml:space="preserve"> for </w:t>
      </w:r>
      <w:r w:rsidR="000E28B1">
        <w:t>listeners and underwriters in the Chicago radio market</w:t>
      </w:r>
      <w:r w:rsidR="008275B2">
        <w:rPr>
          <w:color w:val="000000"/>
          <w:szCs w:val="22"/>
        </w:rPr>
        <w:t xml:space="preserve">; (2) </w:t>
      </w:r>
      <w:r w:rsidR="008D3A9F" w:rsidRPr="008D3A9F">
        <w:rPr>
          <w:color w:val="000000"/>
          <w:szCs w:val="22"/>
        </w:rPr>
        <w:t xml:space="preserve">a representative of </w:t>
      </w:r>
      <w:r w:rsidR="000E28B1">
        <w:t xml:space="preserve">approximately 35,000 members of Chicago’s Chinese-American community within the original service area which allegedly would lose distinct minority programming from SOH’s </w:t>
      </w:r>
      <w:r w:rsidR="004D5E50">
        <w:t>site change</w:t>
      </w:r>
      <w:r w:rsidR="000E28B1">
        <w:t xml:space="preserve">; </w:t>
      </w:r>
      <w:r w:rsidR="008275B2">
        <w:rPr>
          <w:color w:val="000000"/>
          <w:szCs w:val="22"/>
        </w:rPr>
        <w:t xml:space="preserve">(3) an entity with </w:t>
      </w:r>
      <w:r w:rsidR="000E28B1">
        <w:t xml:space="preserve">a studio and </w:t>
      </w:r>
      <w:r w:rsidR="007015C4">
        <w:t xml:space="preserve">residences of </w:t>
      </w:r>
      <w:r w:rsidR="004D5E50">
        <w:t xml:space="preserve">the majority of its </w:t>
      </w:r>
      <w:r w:rsidR="000E28B1">
        <w:t>director</w:t>
      </w:r>
      <w:r w:rsidR="004D5E50">
        <w:t>s</w:t>
      </w:r>
      <w:r w:rsidR="000E28B1">
        <w:t xml:space="preserve"> </w:t>
      </w:r>
      <w:r w:rsidR="008D3A9F">
        <w:t>within the contour of the UM station</w:t>
      </w:r>
      <w:r w:rsidR="000E28B1">
        <w:t xml:space="preserve">; </w:t>
      </w:r>
      <w:r w:rsidR="004D5E50">
        <w:t>and (</w:t>
      </w:r>
      <w:r w:rsidR="00B41D18">
        <w:t>4</w:t>
      </w:r>
      <w:r w:rsidR="004D5E50">
        <w:t xml:space="preserve">) an organization whose </w:t>
      </w:r>
      <w:r w:rsidR="000E28B1">
        <w:t>station manager, Sophie Wang, allegedly listens regularly to UM’s stati</w:t>
      </w:r>
      <w:r w:rsidR="004D5E50">
        <w:t>on from the SOH offices.</w:t>
      </w:r>
      <w:r w:rsidR="00E840A9">
        <w:t xml:space="preserve">  </w:t>
      </w:r>
      <w:r w:rsidR="00B702E3">
        <w:rPr>
          <w:i/>
        </w:rPr>
        <w:t xml:space="preserve">See Reconsideration Petition </w:t>
      </w:r>
      <w:r w:rsidR="00B702E3">
        <w:t xml:space="preserve">at </w:t>
      </w:r>
      <w:r w:rsidR="00FD7463">
        <w:t>14-17.</w:t>
      </w:r>
      <w:r w:rsidR="000E28B1">
        <w:t xml:space="preserve"> </w:t>
      </w:r>
      <w:r w:rsidR="00E840A9">
        <w:t xml:space="preserve"> However, SOH does not claim that these are new facts or changed circumstances</w:t>
      </w:r>
      <w:r w:rsidR="003A44F9">
        <w:t xml:space="preserve"> or facts that </w:t>
      </w:r>
      <w:r w:rsidR="00CB4FD2">
        <w:t>w</w:t>
      </w:r>
      <w:r w:rsidR="003A44F9">
        <w:t xml:space="preserve">ere unknown to SOH until after </w:t>
      </w:r>
      <w:r w:rsidR="00CB4FD2">
        <w:t>its</w:t>
      </w:r>
      <w:r w:rsidR="003A44F9">
        <w:t xml:space="preserve"> last opportunity to present them</w:t>
      </w:r>
      <w:r w:rsidR="00E840A9">
        <w:t>.  Rather, these are facts that SOH failed to present in its AFR</w:t>
      </w:r>
      <w:r w:rsidR="004D4510">
        <w:t xml:space="preserve"> and cannot raise now.</w:t>
      </w:r>
      <w:r w:rsidR="00341423">
        <w:t xml:space="preserve">  </w:t>
      </w:r>
    </w:p>
  </w:footnote>
  <w:footnote w:id="23">
    <w:p w:rsidR="00ED52B3" w:rsidRPr="001F5AF2" w:rsidRDefault="00ED52B3" w:rsidP="00ED52B3">
      <w:pPr>
        <w:pStyle w:val="FootnoteText"/>
      </w:pPr>
      <w:r>
        <w:rPr>
          <w:rStyle w:val="FootnoteReference"/>
        </w:rPr>
        <w:footnoteRef/>
      </w:r>
      <w:r>
        <w:t xml:space="preserve"> </w:t>
      </w:r>
      <w:r>
        <w:rPr>
          <w:i/>
        </w:rPr>
        <w:t>See Reconsideration Petition</w:t>
      </w:r>
      <w:r>
        <w:t xml:space="preserve"> at 11 (“The Denial Order has improperly recast SOH as no longer a party in interest, although the Bureau properly recognized SOH as such”), citing </w:t>
      </w:r>
      <w:r>
        <w:rPr>
          <w:i/>
        </w:rPr>
        <w:t xml:space="preserve">Citizens to Preserve Overton Park v. Volpe, </w:t>
      </w:r>
      <w:r>
        <w:t xml:space="preserve">401 U.S. 402, 419 (1971) (“post hoc” rationalizations are inadequate).  </w:t>
      </w:r>
    </w:p>
  </w:footnote>
  <w:footnote w:id="24">
    <w:p w:rsidR="00052FB5" w:rsidRDefault="00052FB5" w:rsidP="00052FB5">
      <w:pPr>
        <w:pStyle w:val="FootnoteText"/>
      </w:pPr>
      <w:r>
        <w:rPr>
          <w:rStyle w:val="FootnoteReference"/>
        </w:rPr>
        <w:footnoteRef/>
      </w:r>
      <w:r>
        <w:t xml:space="preserve"> </w:t>
      </w:r>
      <w:r>
        <w:rPr>
          <w:i/>
        </w:rPr>
        <w:t>Reconsideration Petition</w:t>
      </w:r>
      <w:r>
        <w:t xml:space="preserve"> at 3.</w:t>
      </w:r>
    </w:p>
  </w:footnote>
  <w:footnote w:id="25">
    <w:p w:rsidR="00931BC4" w:rsidRDefault="00931BC4">
      <w:pPr>
        <w:pStyle w:val="FootnoteText"/>
      </w:pPr>
      <w:r>
        <w:rPr>
          <w:rStyle w:val="FootnoteReference"/>
        </w:rPr>
        <w:footnoteRef/>
      </w:r>
      <w:r w:rsidR="001B2E99">
        <w:t xml:space="preserve"> SOH’s</w:t>
      </w:r>
      <w:r>
        <w:t xml:space="preserve"> </w:t>
      </w:r>
      <w:r w:rsidR="004F786F">
        <w:t xml:space="preserve">single </w:t>
      </w:r>
      <w:r>
        <w:t>applica</w:t>
      </w:r>
      <w:r w:rsidR="00787001">
        <w:t xml:space="preserve">tion </w:t>
      </w:r>
      <w:r w:rsidR="004F786F">
        <w:t>always bore one</w:t>
      </w:r>
      <w:r>
        <w:t xml:space="preserve"> </w:t>
      </w:r>
      <w:r w:rsidR="00537FF2">
        <w:t xml:space="preserve">facility identification number (FID 196767) and </w:t>
      </w:r>
      <w:r w:rsidR="001B2E99">
        <w:t xml:space="preserve">one </w:t>
      </w:r>
      <w:r>
        <w:t>file number (</w:t>
      </w:r>
      <w:r w:rsidR="00762176">
        <w:t>BNPL-20131114BNK</w:t>
      </w:r>
      <w:r w:rsidR="004F786F">
        <w:t xml:space="preserve">).  Had </w:t>
      </w:r>
      <w:r w:rsidR="00FE55D0">
        <w:t>SOH</w:t>
      </w:r>
      <w:r w:rsidR="001B2E99">
        <w:t xml:space="preserve"> </w:t>
      </w:r>
      <w:r w:rsidR="004F786F">
        <w:t xml:space="preserve">been able to </w:t>
      </w:r>
      <w:r w:rsidR="00537FF2">
        <w:t>file</w:t>
      </w:r>
      <w:r w:rsidR="00FE55D0">
        <w:t xml:space="preserve"> two applications</w:t>
      </w:r>
      <w:r w:rsidR="00CF502C">
        <w:t xml:space="preserve">, </w:t>
      </w:r>
      <w:r w:rsidR="001B2E99">
        <w:t xml:space="preserve">each would have received </w:t>
      </w:r>
      <w:r w:rsidR="00CF502C">
        <w:t xml:space="preserve">a </w:t>
      </w:r>
      <w:r w:rsidR="001B2E99">
        <w:t xml:space="preserve">different numerical </w:t>
      </w:r>
      <w:r w:rsidR="00CF502C">
        <w:t>designation</w:t>
      </w:r>
      <w:r w:rsidR="001B2E99">
        <w:t xml:space="preserve">.  Also, in such circumstances, the </w:t>
      </w:r>
      <w:r w:rsidR="00CF502C">
        <w:t xml:space="preserve">Commission would have </w:t>
      </w:r>
      <w:r w:rsidR="004D4510">
        <w:t>dismissed</w:t>
      </w:r>
      <w:r w:rsidR="00CF502C">
        <w:t xml:space="preserve"> the </w:t>
      </w:r>
      <w:r w:rsidR="001B2E99">
        <w:t>“second”</w:t>
      </w:r>
      <w:r w:rsidR="004F786F">
        <w:t xml:space="preserve"> application </w:t>
      </w:r>
      <w:r w:rsidR="004D4510">
        <w:t>as an inconsistent application</w:t>
      </w:r>
      <w:r w:rsidR="004F786F">
        <w:t>.</w:t>
      </w:r>
      <w:r w:rsidR="00FE55D0">
        <w:t xml:space="preserve">  </w:t>
      </w:r>
      <w:r w:rsidR="00FE55D0">
        <w:rPr>
          <w:i/>
        </w:rPr>
        <w:t xml:space="preserve">See </w:t>
      </w:r>
      <w:r w:rsidR="00FE55D0">
        <w:t>47 CFR § 73.351</w:t>
      </w:r>
      <w:r w:rsidR="004D4510">
        <w:t xml:space="preserve">8; </w:t>
      </w:r>
      <w:r w:rsidR="004D4510" w:rsidRPr="005F0016">
        <w:rPr>
          <w:i/>
        </w:rPr>
        <w:t>Hispanic Broad. Inst.</w:t>
      </w:r>
      <w:r w:rsidR="004D4510">
        <w:t>, Memorandum Opinion and Order, 30 FCC Rcd 10560, 10562, para. 4 (2015).</w:t>
      </w:r>
      <w:r w:rsidR="00FE55D0">
        <w:t xml:space="preserve">  </w:t>
      </w:r>
    </w:p>
  </w:footnote>
  <w:footnote w:id="26">
    <w:p w:rsidR="002B2CB0" w:rsidRPr="00DE360B" w:rsidRDefault="002B2CB0">
      <w:pPr>
        <w:pStyle w:val="FootnoteText"/>
      </w:pPr>
      <w:r>
        <w:rPr>
          <w:rStyle w:val="FootnoteReference"/>
        </w:rPr>
        <w:footnoteRef/>
      </w:r>
      <w:r w:rsidR="00FE55D0">
        <w:t xml:space="preserve"> </w:t>
      </w:r>
      <w:r w:rsidR="00CF502C">
        <w:rPr>
          <w:i/>
        </w:rPr>
        <w:t xml:space="preserve">See </w:t>
      </w:r>
      <w:r w:rsidR="00343392">
        <w:rPr>
          <w:i/>
        </w:rPr>
        <w:t xml:space="preserve">generally </w:t>
      </w:r>
      <w:r w:rsidR="00CF502C">
        <w:rPr>
          <w:i/>
        </w:rPr>
        <w:t xml:space="preserve">Town of Sanford v. U.S., </w:t>
      </w:r>
      <w:r w:rsidR="00CF502C">
        <w:t>140 F.3d 20, 23 (1</w:t>
      </w:r>
      <w:r w:rsidR="00CF502C" w:rsidRPr="00DE360B">
        <w:rPr>
          <w:vertAlign w:val="superscript"/>
        </w:rPr>
        <w:t>st</w:t>
      </w:r>
      <w:r w:rsidR="00CF502C">
        <w:t xml:space="preserve"> Cir. 1998) (rejecting </w:t>
      </w:r>
      <w:r w:rsidR="00E704C9">
        <w:t>as “[h]aving o</w:t>
      </w:r>
      <w:r w:rsidR="00836214">
        <w:t>ne’s cake and eating it, too</w:t>
      </w:r>
      <w:r w:rsidR="00E704C9">
        <w:t xml:space="preserve">” </w:t>
      </w:r>
      <w:r w:rsidR="00836214">
        <w:t>a</w:t>
      </w:r>
      <w:r w:rsidR="0049401E">
        <w:t xml:space="preserve">n attempt to </w:t>
      </w:r>
      <w:r w:rsidR="00CF502C">
        <w:t xml:space="preserve">claim standing to sue </w:t>
      </w:r>
      <w:r w:rsidR="007C3412">
        <w:t>for monies owed</w:t>
      </w:r>
      <w:r w:rsidR="00887B39">
        <w:t xml:space="preserve"> </w:t>
      </w:r>
      <w:r w:rsidR="0049401E">
        <w:t>w</w:t>
      </w:r>
      <w:r w:rsidR="00887B39">
        <w:t>hile enjoying the benefits of have settled the matter</w:t>
      </w:r>
      <w:r w:rsidR="00E704C9">
        <w:t xml:space="preserve">). </w:t>
      </w:r>
      <w:r w:rsidR="00CF502C">
        <w:t xml:space="preserve"> </w:t>
      </w:r>
      <w:r w:rsidR="00D915A1" w:rsidRPr="00D915A1">
        <w:t>The Commission’s rules specifically prohibit the prosecution of alternate technic</w:t>
      </w:r>
      <w:r w:rsidR="0045023E">
        <w:t>al proposals</w:t>
      </w:r>
      <w:r w:rsidR="00D915A1" w:rsidRPr="00D915A1">
        <w:t xml:space="preserve">.  </w:t>
      </w:r>
      <w:r w:rsidR="00130CFE">
        <w:rPr>
          <w:i/>
        </w:rPr>
        <w:t>See</w:t>
      </w:r>
      <w:r w:rsidR="00D915A1">
        <w:rPr>
          <w:i/>
        </w:rPr>
        <w:t>, e.g.,</w:t>
      </w:r>
      <w:r w:rsidR="00130CFE">
        <w:rPr>
          <w:i/>
        </w:rPr>
        <w:t xml:space="preserve"> </w:t>
      </w:r>
      <w:r w:rsidR="00130CFE">
        <w:t xml:space="preserve">47 CFR §§ </w:t>
      </w:r>
      <w:r w:rsidR="00DE18A1">
        <w:t>73.3518 (</w:t>
      </w:r>
      <w:r w:rsidR="004D4510">
        <w:t>inconsistent</w:t>
      </w:r>
      <w:r w:rsidR="00DE18A1">
        <w:t xml:space="preserve"> applications), </w:t>
      </w:r>
      <w:r w:rsidR="00A82307">
        <w:t>73.3520 (multiple applications)</w:t>
      </w:r>
      <w:r w:rsidR="004D4510">
        <w:t>.</w:t>
      </w:r>
      <w:r w:rsidR="00A82307">
        <w:t xml:space="preserve"> </w:t>
      </w:r>
    </w:p>
  </w:footnote>
  <w:footnote w:id="27">
    <w:p w:rsidR="001358DA" w:rsidRPr="00BF0415" w:rsidRDefault="001358DA" w:rsidP="001358DA">
      <w:pPr>
        <w:pStyle w:val="FootnoteText"/>
      </w:pPr>
      <w:r>
        <w:rPr>
          <w:rStyle w:val="FootnoteReference"/>
        </w:rPr>
        <w:footnoteRef/>
      </w:r>
      <w:r>
        <w:t xml:space="preserve"> </w:t>
      </w:r>
      <w:r>
        <w:rPr>
          <w:i/>
        </w:rPr>
        <w:t>See</w:t>
      </w:r>
      <w:r w:rsidR="004232B0">
        <w:rPr>
          <w:i/>
        </w:rPr>
        <w:t xml:space="preserve"> generally</w:t>
      </w:r>
      <w:r>
        <w:rPr>
          <w:i/>
        </w:rPr>
        <w:t xml:space="preserve"> Beach TV Properties, Inc. v. Solomon, </w:t>
      </w:r>
      <w:r>
        <w:t xml:space="preserve">Civ. Act. No. 15-1823, mem. op. at 12 (D.D.C. Dec. 14, 2016) (low power television applicant that assigned its interests to another lost standing to sue); </w:t>
      </w:r>
      <w:r>
        <w:rPr>
          <w:i/>
        </w:rPr>
        <w:t xml:space="preserve">Immaculate Conception Apostolic School, </w:t>
      </w:r>
      <w:r>
        <w:t xml:space="preserve">Memorandum Opinion and Order, </w:t>
      </w:r>
      <w:r w:rsidR="004D4510">
        <w:t>31</w:t>
      </w:r>
      <w:r>
        <w:t xml:space="preserve"> FCC Rcd </w:t>
      </w:r>
      <w:r w:rsidR="004D4510">
        <w:t>13754, 13756-57, para. 8</w:t>
      </w:r>
      <w:r>
        <w:t xml:space="preserve"> (2016) (where Commission </w:t>
      </w:r>
      <w:r w:rsidR="004232B0">
        <w:t xml:space="preserve">permit </w:t>
      </w:r>
      <w:r>
        <w:t>grant</w:t>
      </w:r>
      <w:r w:rsidR="004232B0">
        <w:t xml:space="preserve"> was </w:t>
      </w:r>
      <w:r>
        <w:t xml:space="preserve">based on promise to </w:t>
      </w:r>
      <w:r w:rsidR="004232B0">
        <w:t>remain local</w:t>
      </w:r>
      <w:r>
        <w:t>, permittee was no longer qualified when it re</w:t>
      </w:r>
      <w:r w:rsidR="004232B0">
        <w:t>located</w:t>
      </w:r>
      <w:r>
        <w:t xml:space="preserve">); </w:t>
      </w:r>
      <w:r>
        <w:rPr>
          <w:i/>
        </w:rPr>
        <w:t>Susquehanna Radio Corp.</w:t>
      </w:r>
      <w:r w:rsidRPr="006C562A">
        <w:t>, Memorandum Opinion and Order</w:t>
      </w:r>
      <w:r w:rsidRPr="00562B40">
        <w:rPr>
          <w:i/>
        </w:rPr>
        <w:t xml:space="preserve">, </w:t>
      </w:r>
      <w:r w:rsidRPr="00FF2A37">
        <w:t>29 FCC Rcd 13276, 13277, para. 3 (2014</w:t>
      </w:r>
      <w:r>
        <w:t xml:space="preserve">) (proposed assignee had no standing after Commission granted licensee’s request to cancel license); </w:t>
      </w:r>
      <w:r>
        <w:rPr>
          <w:i/>
        </w:rPr>
        <w:t>Jacksonville Educators</w:t>
      </w:r>
      <w:r w:rsidR="00FC0896">
        <w:rPr>
          <w:i/>
        </w:rPr>
        <w:t xml:space="preserve"> Broad.</w:t>
      </w:r>
      <w:r>
        <w:rPr>
          <w:i/>
        </w:rPr>
        <w:t xml:space="preserve">, Inc., </w:t>
      </w:r>
      <w:r>
        <w:t>Letter</w:t>
      </w:r>
      <w:r w:rsidR="0063417F">
        <w:t xml:space="preserve"> Decision</w:t>
      </w:r>
      <w:r>
        <w:t>, 6 FCC Rcd 1617, 1617 (1991) (no standing to seek reconsideration of denial of assignment and modification of license that has been surrendered, making matter moot).</w:t>
      </w:r>
    </w:p>
  </w:footnote>
  <w:footnote w:id="28">
    <w:p w:rsidR="00CC1B1F" w:rsidRPr="003E2672" w:rsidRDefault="00CC1B1F" w:rsidP="00CC1B1F">
      <w:pPr>
        <w:pStyle w:val="FootnoteText"/>
      </w:pPr>
      <w:r>
        <w:rPr>
          <w:rStyle w:val="FootnoteReference"/>
        </w:rPr>
        <w:footnoteRef/>
      </w:r>
      <w:r>
        <w:t xml:space="preserve"> </w:t>
      </w:r>
      <w:r w:rsidR="0063417F" w:rsidRPr="006C562A">
        <w:rPr>
          <w:i/>
        </w:rPr>
        <w:t>See</w:t>
      </w:r>
      <w:r w:rsidR="0063417F">
        <w:t xml:space="preserve"> </w:t>
      </w:r>
      <w:r w:rsidR="00734CA6">
        <w:rPr>
          <w:i/>
        </w:rPr>
        <w:t xml:space="preserve">Reconsideration Petition </w:t>
      </w:r>
      <w:r w:rsidR="00734CA6">
        <w:t xml:space="preserve">at 11, 17-18 </w:t>
      </w:r>
      <w:r w:rsidR="00726829">
        <w:t>(</w:t>
      </w:r>
      <w:r w:rsidR="00734CA6">
        <w:t xml:space="preserve">citing </w:t>
      </w:r>
      <w:r w:rsidR="00734CA6">
        <w:rPr>
          <w:i/>
        </w:rPr>
        <w:t xml:space="preserve">Nevada Radio-Television Inc., </w:t>
      </w:r>
      <w:r w:rsidR="00734CA6">
        <w:t>40 FCC 2d 444 (1973)</w:t>
      </w:r>
      <w:r w:rsidR="00726829">
        <w:t>)</w:t>
      </w:r>
      <w:r w:rsidR="00734CA6">
        <w:t>.</w:t>
      </w:r>
    </w:p>
  </w:footnote>
  <w:footnote w:id="29">
    <w:p w:rsidR="008911FA" w:rsidRPr="008911FA" w:rsidRDefault="008911FA">
      <w:pPr>
        <w:pStyle w:val="FootnoteText"/>
      </w:pPr>
      <w:r>
        <w:rPr>
          <w:rStyle w:val="FootnoteReference"/>
        </w:rPr>
        <w:footnoteRef/>
      </w:r>
      <w:r>
        <w:t xml:space="preserve"> </w:t>
      </w:r>
      <w:r w:rsidR="00241936">
        <w:rPr>
          <w:i/>
        </w:rPr>
        <w:t xml:space="preserve">Nevada Radio-Television Inc., </w:t>
      </w:r>
      <w:r w:rsidR="0063417F">
        <w:t>40 FCC 2d</w:t>
      </w:r>
      <w:r>
        <w:rPr>
          <w:i/>
        </w:rPr>
        <w:t xml:space="preserve"> </w:t>
      </w:r>
      <w:r w:rsidR="00C608E3">
        <w:t>at 445, para. 2</w:t>
      </w:r>
      <w:r w:rsidR="00241936">
        <w:t xml:space="preserve"> (stating that </w:t>
      </w:r>
      <w:r w:rsidR="00241936">
        <w:rPr>
          <w:color w:val="000000"/>
          <w:szCs w:val="22"/>
        </w:rPr>
        <w:t xml:space="preserve">Section 405 of the Communications Act “confers standing to seek reconsideration upon persons who are aggrieved or whose interests are adversely affected by a Commission action, not upon those who may be aggrieved or whose interest may be adversely affected upon the happening of some contingent event in the future”) </w:t>
      </w:r>
      <w:r>
        <w:t>.</w:t>
      </w:r>
    </w:p>
  </w:footnote>
  <w:footnote w:id="30">
    <w:p w:rsidR="00EE50BE" w:rsidRDefault="00EE50BE">
      <w:pPr>
        <w:pStyle w:val="FootnoteText"/>
      </w:pPr>
      <w:r>
        <w:rPr>
          <w:rStyle w:val="FootnoteReference"/>
        </w:rPr>
        <w:footnoteRef/>
      </w:r>
      <w:r>
        <w:t xml:space="preserve"> </w:t>
      </w:r>
      <w:r>
        <w:rPr>
          <w:i/>
        </w:rPr>
        <w:t xml:space="preserve">Reconsideration Petition </w:t>
      </w:r>
      <w:r>
        <w:t>at 18</w:t>
      </w:r>
      <w:r w:rsidR="00385061">
        <w:t>-19</w:t>
      </w:r>
      <w:r>
        <w:t>.</w:t>
      </w:r>
    </w:p>
  </w:footnote>
  <w:footnote w:id="31">
    <w:p w:rsidR="00F23D71" w:rsidRPr="001B146E" w:rsidRDefault="00F23D71">
      <w:pPr>
        <w:pStyle w:val="FootnoteText"/>
        <w:rPr>
          <w:i/>
        </w:rPr>
      </w:pPr>
      <w:r>
        <w:rPr>
          <w:rStyle w:val="FootnoteReference"/>
        </w:rPr>
        <w:footnoteRef/>
      </w:r>
      <w:r>
        <w:t xml:space="preserve"> </w:t>
      </w:r>
      <w:r>
        <w:rPr>
          <w:i/>
        </w:rPr>
        <w:t>See Order,</w:t>
      </w:r>
      <w:r>
        <w:t xml:space="preserve"> </w:t>
      </w:r>
      <w:r>
        <w:rPr>
          <w:i/>
        </w:rPr>
        <w:t>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0B" w:rsidRDefault="000E2F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027C70">
      <w:t xml:space="preserve">FCC </w:t>
    </w:r>
    <w:r w:rsidR="00AD1EB9">
      <w:t>17-</w:t>
    </w:r>
    <w:r w:rsidR="00B728A8">
      <w:t>72</w:t>
    </w:r>
  </w:p>
  <w:p w:rsidR="00D25FB5" w:rsidRDefault="0025141E">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5141E"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27C70">
      <w:rPr>
        <w:spacing w:val="-2"/>
      </w:rPr>
      <w:t xml:space="preserve">FCC </w:t>
    </w:r>
    <w:r w:rsidR="00804141">
      <w:rPr>
        <w:spacing w:val="-2"/>
      </w:rPr>
      <w:t>17</w:t>
    </w:r>
    <w:r w:rsidR="005C7D4A">
      <w:rPr>
        <w:spacing w:val="-2"/>
      </w:rPr>
      <w:t>-</w:t>
    </w:r>
    <w:r w:rsidR="00FA4380">
      <w:rPr>
        <w:spacing w:val="-2"/>
      </w:rPr>
      <w:t>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60E"/>
    <w:rsid w:val="00000706"/>
    <w:rsid w:val="00001008"/>
    <w:rsid w:val="0000314F"/>
    <w:rsid w:val="00006F6D"/>
    <w:rsid w:val="00007D20"/>
    <w:rsid w:val="00013059"/>
    <w:rsid w:val="00016725"/>
    <w:rsid w:val="00024973"/>
    <w:rsid w:val="0002614D"/>
    <w:rsid w:val="00027C70"/>
    <w:rsid w:val="00032A6F"/>
    <w:rsid w:val="000355E9"/>
    <w:rsid w:val="00035BA9"/>
    <w:rsid w:val="00036039"/>
    <w:rsid w:val="000364AC"/>
    <w:rsid w:val="000378CA"/>
    <w:rsid w:val="00037F90"/>
    <w:rsid w:val="00045398"/>
    <w:rsid w:val="0004608E"/>
    <w:rsid w:val="00047E66"/>
    <w:rsid w:val="00052208"/>
    <w:rsid w:val="00052FB5"/>
    <w:rsid w:val="0005307B"/>
    <w:rsid w:val="0006357D"/>
    <w:rsid w:val="000745BC"/>
    <w:rsid w:val="00075B47"/>
    <w:rsid w:val="00077875"/>
    <w:rsid w:val="0008486C"/>
    <w:rsid w:val="0008487F"/>
    <w:rsid w:val="000868C9"/>
    <w:rsid w:val="00087322"/>
    <w:rsid w:val="000875BF"/>
    <w:rsid w:val="000934E5"/>
    <w:rsid w:val="000956C9"/>
    <w:rsid w:val="00096719"/>
    <w:rsid w:val="00096D8C"/>
    <w:rsid w:val="000A3D08"/>
    <w:rsid w:val="000A4211"/>
    <w:rsid w:val="000A5E7F"/>
    <w:rsid w:val="000B084A"/>
    <w:rsid w:val="000B1600"/>
    <w:rsid w:val="000B5D52"/>
    <w:rsid w:val="000B6399"/>
    <w:rsid w:val="000B693D"/>
    <w:rsid w:val="000C0B65"/>
    <w:rsid w:val="000C1416"/>
    <w:rsid w:val="000C1829"/>
    <w:rsid w:val="000C362F"/>
    <w:rsid w:val="000C5E46"/>
    <w:rsid w:val="000C66C0"/>
    <w:rsid w:val="000C6D7A"/>
    <w:rsid w:val="000D0526"/>
    <w:rsid w:val="000D462D"/>
    <w:rsid w:val="000D5FD5"/>
    <w:rsid w:val="000D6486"/>
    <w:rsid w:val="000D721C"/>
    <w:rsid w:val="000E05FE"/>
    <w:rsid w:val="000E26AA"/>
    <w:rsid w:val="000E27CD"/>
    <w:rsid w:val="000E28B1"/>
    <w:rsid w:val="000E2E86"/>
    <w:rsid w:val="000E2F0B"/>
    <w:rsid w:val="000E3D42"/>
    <w:rsid w:val="000E644A"/>
    <w:rsid w:val="000E7E05"/>
    <w:rsid w:val="000F2B3B"/>
    <w:rsid w:val="000F46FA"/>
    <w:rsid w:val="000F5953"/>
    <w:rsid w:val="000F72A3"/>
    <w:rsid w:val="001008EC"/>
    <w:rsid w:val="001043C0"/>
    <w:rsid w:val="001054BD"/>
    <w:rsid w:val="00106906"/>
    <w:rsid w:val="001079D8"/>
    <w:rsid w:val="00114CF5"/>
    <w:rsid w:val="00116FD2"/>
    <w:rsid w:val="001217E1"/>
    <w:rsid w:val="00122BD5"/>
    <w:rsid w:val="00124310"/>
    <w:rsid w:val="001244D9"/>
    <w:rsid w:val="00124B8F"/>
    <w:rsid w:val="0012738F"/>
    <w:rsid w:val="00130CFE"/>
    <w:rsid w:val="0013121F"/>
    <w:rsid w:val="00131B2F"/>
    <w:rsid w:val="001335CC"/>
    <w:rsid w:val="00133F79"/>
    <w:rsid w:val="00135693"/>
    <w:rsid w:val="001358DA"/>
    <w:rsid w:val="001402DD"/>
    <w:rsid w:val="00142490"/>
    <w:rsid w:val="00144725"/>
    <w:rsid w:val="00147145"/>
    <w:rsid w:val="00150449"/>
    <w:rsid w:val="001511DE"/>
    <w:rsid w:val="00151992"/>
    <w:rsid w:val="00152349"/>
    <w:rsid w:val="001548A7"/>
    <w:rsid w:val="00155AE4"/>
    <w:rsid w:val="00157E97"/>
    <w:rsid w:val="0016348D"/>
    <w:rsid w:val="00166780"/>
    <w:rsid w:val="00167039"/>
    <w:rsid w:val="0016725D"/>
    <w:rsid w:val="00167A7C"/>
    <w:rsid w:val="0017523B"/>
    <w:rsid w:val="00176C9C"/>
    <w:rsid w:val="00177034"/>
    <w:rsid w:val="00177445"/>
    <w:rsid w:val="00180BFF"/>
    <w:rsid w:val="00180C60"/>
    <w:rsid w:val="00180D58"/>
    <w:rsid w:val="00183806"/>
    <w:rsid w:val="00183C36"/>
    <w:rsid w:val="001840EC"/>
    <w:rsid w:val="00185915"/>
    <w:rsid w:val="00185C3D"/>
    <w:rsid w:val="001873A8"/>
    <w:rsid w:val="00192649"/>
    <w:rsid w:val="00194A66"/>
    <w:rsid w:val="00195DA8"/>
    <w:rsid w:val="00196616"/>
    <w:rsid w:val="00197738"/>
    <w:rsid w:val="001977F5"/>
    <w:rsid w:val="00197B57"/>
    <w:rsid w:val="001A1492"/>
    <w:rsid w:val="001A30A3"/>
    <w:rsid w:val="001A3106"/>
    <w:rsid w:val="001A3824"/>
    <w:rsid w:val="001A6048"/>
    <w:rsid w:val="001A6E16"/>
    <w:rsid w:val="001B146E"/>
    <w:rsid w:val="001B2E99"/>
    <w:rsid w:val="001B7319"/>
    <w:rsid w:val="001C00F0"/>
    <w:rsid w:val="001C0E75"/>
    <w:rsid w:val="001C2D0C"/>
    <w:rsid w:val="001C5EFC"/>
    <w:rsid w:val="001D1401"/>
    <w:rsid w:val="001D2A6A"/>
    <w:rsid w:val="001D4BC6"/>
    <w:rsid w:val="001D4F08"/>
    <w:rsid w:val="001D6BCF"/>
    <w:rsid w:val="001D6D67"/>
    <w:rsid w:val="001D7B33"/>
    <w:rsid w:val="001E01CA"/>
    <w:rsid w:val="001E08A3"/>
    <w:rsid w:val="001E2F14"/>
    <w:rsid w:val="001E3EEB"/>
    <w:rsid w:val="001E51FB"/>
    <w:rsid w:val="001F0D55"/>
    <w:rsid w:val="001F420E"/>
    <w:rsid w:val="001F58EA"/>
    <w:rsid w:val="001F5AF2"/>
    <w:rsid w:val="001F7A01"/>
    <w:rsid w:val="002001A2"/>
    <w:rsid w:val="00202133"/>
    <w:rsid w:val="002036D6"/>
    <w:rsid w:val="00203DE5"/>
    <w:rsid w:val="00204B8F"/>
    <w:rsid w:val="00210C00"/>
    <w:rsid w:val="00210C6F"/>
    <w:rsid w:val="00212118"/>
    <w:rsid w:val="0021407D"/>
    <w:rsid w:val="002155A1"/>
    <w:rsid w:val="00216311"/>
    <w:rsid w:val="002273CD"/>
    <w:rsid w:val="0022758B"/>
    <w:rsid w:val="00230C23"/>
    <w:rsid w:val="00231A1A"/>
    <w:rsid w:val="00235FDD"/>
    <w:rsid w:val="00236AA1"/>
    <w:rsid w:val="0023718F"/>
    <w:rsid w:val="002371DE"/>
    <w:rsid w:val="00240490"/>
    <w:rsid w:val="002414E9"/>
    <w:rsid w:val="00241936"/>
    <w:rsid w:val="00243C98"/>
    <w:rsid w:val="002464A2"/>
    <w:rsid w:val="00247191"/>
    <w:rsid w:val="00247C36"/>
    <w:rsid w:val="0025141E"/>
    <w:rsid w:val="00251891"/>
    <w:rsid w:val="00254412"/>
    <w:rsid w:val="002550E7"/>
    <w:rsid w:val="0025609B"/>
    <w:rsid w:val="002607CC"/>
    <w:rsid w:val="00267082"/>
    <w:rsid w:val="0027049C"/>
    <w:rsid w:val="00270E64"/>
    <w:rsid w:val="002730E8"/>
    <w:rsid w:val="00275BE8"/>
    <w:rsid w:val="00275CF5"/>
    <w:rsid w:val="002771B1"/>
    <w:rsid w:val="002809E9"/>
    <w:rsid w:val="002819E4"/>
    <w:rsid w:val="00281C7C"/>
    <w:rsid w:val="0028301F"/>
    <w:rsid w:val="0028335C"/>
    <w:rsid w:val="00283927"/>
    <w:rsid w:val="00283F10"/>
    <w:rsid w:val="00285017"/>
    <w:rsid w:val="002856A4"/>
    <w:rsid w:val="002871E4"/>
    <w:rsid w:val="00290B37"/>
    <w:rsid w:val="0029340B"/>
    <w:rsid w:val="0029729C"/>
    <w:rsid w:val="00297E8A"/>
    <w:rsid w:val="002A15DF"/>
    <w:rsid w:val="002A1D9B"/>
    <w:rsid w:val="002A2D2E"/>
    <w:rsid w:val="002A55E2"/>
    <w:rsid w:val="002B021A"/>
    <w:rsid w:val="002B1C44"/>
    <w:rsid w:val="002B2ADA"/>
    <w:rsid w:val="002B2CB0"/>
    <w:rsid w:val="002B4BFB"/>
    <w:rsid w:val="002B5C8B"/>
    <w:rsid w:val="002B6A08"/>
    <w:rsid w:val="002B78FF"/>
    <w:rsid w:val="002C00E8"/>
    <w:rsid w:val="002C12C9"/>
    <w:rsid w:val="002C1D20"/>
    <w:rsid w:val="002C42AF"/>
    <w:rsid w:val="002C6B14"/>
    <w:rsid w:val="002D330E"/>
    <w:rsid w:val="002D7EC8"/>
    <w:rsid w:val="002E07D8"/>
    <w:rsid w:val="002E1D05"/>
    <w:rsid w:val="002E1D5A"/>
    <w:rsid w:val="002E31BF"/>
    <w:rsid w:val="002E3414"/>
    <w:rsid w:val="002F182A"/>
    <w:rsid w:val="002F3099"/>
    <w:rsid w:val="002F4046"/>
    <w:rsid w:val="002F48A2"/>
    <w:rsid w:val="002F4F28"/>
    <w:rsid w:val="002F53BB"/>
    <w:rsid w:val="002F5F3D"/>
    <w:rsid w:val="003016F5"/>
    <w:rsid w:val="00301C86"/>
    <w:rsid w:val="00303C68"/>
    <w:rsid w:val="00304999"/>
    <w:rsid w:val="003145DB"/>
    <w:rsid w:val="00316819"/>
    <w:rsid w:val="00317D4B"/>
    <w:rsid w:val="003203C1"/>
    <w:rsid w:val="00320C65"/>
    <w:rsid w:val="0032445D"/>
    <w:rsid w:val="00325A8F"/>
    <w:rsid w:val="00326EF8"/>
    <w:rsid w:val="003324D4"/>
    <w:rsid w:val="00334536"/>
    <w:rsid w:val="0033553C"/>
    <w:rsid w:val="003363C9"/>
    <w:rsid w:val="003370F0"/>
    <w:rsid w:val="00341423"/>
    <w:rsid w:val="00342753"/>
    <w:rsid w:val="00343045"/>
    <w:rsid w:val="00343392"/>
    <w:rsid w:val="00343749"/>
    <w:rsid w:val="00345D71"/>
    <w:rsid w:val="00347274"/>
    <w:rsid w:val="0035390B"/>
    <w:rsid w:val="00353B0E"/>
    <w:rsid w:val="00353E3A"/>
    <w:rsid w:val="003600CD"/>
    <w:rsid w:val="003603D4"/>
    <w:rsid w:val="00361ACD"/>
    <w:rsid w:val="00361FC4"/>
    <w:rsid w:val="003631C8"/>
    <w:rsid w:val="00364BB9"/>
    <w:rsid w:val="00364E51"/>
    <w:rsid w:val="003660ED"/>
    <w:rsid w:val="00370DC4"/>
    <w:rsid w:val="00371E0E"/>
    <w:rsid w:val="00373898"/>
    <w:rsid w:val="00375E15"/>
    <w:rsid w:val="00375FC7"/>
    <w:rsid w:val="003776A3"/>
    <w:rsid w:val="003800D6"/>
    <w:rsid w:val="0038346B"/>
    <w:rsid w:val="003839B5"/>
    <w:rsid w:val="00385061"/>
    <w:rsid w:val="00387EFE"/>
    <w:rsid w:val="0039151F"/>
    <w:rsid w:val="00395E5F"/>
    <w:rsid w:val="00397631"/>
    <w:rsid w:val="003A14D6"/>
    <w:rsid w:val="003A44F9"/>
    <w:rsid w:val="003A4B87"/>
    <w:rsid w:val="003A7A45"/>
    <w:rsid w:val="003B0550"/>
    <w:rsid w:val="003B2977"/>
    <w:rsid w:val="003B5DAB"/>
    <w:rsid w:val="003B694F"/>
    <w:rsid w:val="003B7BB1"/>
    <w:rsid w:val="003C3C21"/>
    <w:rsid w:val="003C5802"/>
    <w:rsid w:val="003C6C13"/>
    <w:rsid w:val="003C7143"/>
    <w:rsid w:val="003C7F8D"/>
    <w:rsid w:val="003D06EB"/>
    <w:rsid w:val="003D110B"/>
    <w:rsid w:val="003D287F"/>
    <w:rsid w:val="003D2C0B"/>
    <w:rsid w:val="003D2E14"/>
    <w:rsid w:val="003D3364"/>
    <w:rsid w:val="003D5F3A"/>
    <w:rsid w:val="003D6091"/>
    <w:rsid w:val="003D6ECE"/>
    <w:rsid w:val="003E09DC"/>
    <w:rsid w:val="003E2672"/>
    <w:rsid w:val="003E38AE"/>
    <w:rsid w:val="003E477B"/>
    <w:rsid w:val="003E5583"/>
    <w:rsid w:val="003E6F68"/>
    <w:rsid w:val="003F06DC"/>
    <w:rsid w:val="003F171C"/>
    <w:rsid w:val="003F384B"/>
    <w:rsid w:val="003F386A"/>
    <w:rsid w:val="003F38D9"/>
    <w:rsid w:val="003F557C"/>
    <w:rsid w:val="004013A7"/>
    <w:rsid w:val="00412FC5"/>
    <w:rsid w:val="00414782"/>
    <w:rsid w:val="004173A1"/>
    <w:rsid w:val="00422276"/>
    <w:rsid w:val="004232B0"/>
    <w:rsid w:val="00423EEB"/>
    <w:rsid w:val="004242F1"/>
    <w:rsid w:val="0042546D"/>
    <w:rsid w:val="004273C2"/>
    <w:rsid w:val="00431012"/>
    <w:rsid w:val="004313E7"/>
    <w:rsid w:val="00432791"/>
    <w:rsid w:val="004329B4"/>
    <w:rsid w:val="00432BCA"/>
    <w:rsid w:val="00433FE8"/>
    <w:rsid w:val="00436F9B"/>
    <w:rsid w:val="00441D4E"/>
    <w:rsid w:val="00442687"/>
    <w:rsid w:val="004450FE"/>
    <w:rsid w:val="004451AB"/>
    <w:rsid w:val="00445A00"/>
    <w:rsid w:val="00446A3F"/>
    <w:rsid w:val="0045016D"/>
    <w:rsid w:val="0045023E"/>
    <w:rsid w:val="004519F8"/>
    <w:rsid w:val="00451B0F"/>
    <w:rsid w:val="00452129"/>
    <w:rsid w:val="00452528"/>
    <w:rsid w:val="00454F1F"/>
    <w:rsid w:val="00456894"/>
    <w:rsid w:val="00456987"/>
    <w:rsid w:val="00457DA8"/>
    <w:rsid w:val="0046058D"/>
    <w:rsid w:val="00461DD8"/>
    <w:rsid w:val="00463BAB"/>
    <w:rsid w:val="0046730F"/>
    <w:rsid w:val="00470E21"/>
    <w:rsid w:val="004712CA"/>
    <w:rsid w:val="004712E2"/>
    <w:rsid w:val="00471757"/>
    <w:rsid w:val="004738E3"/>
    <w:rsid w:val="0047774A"/>
    <w:rsid w:val="0048031A"/>
    <w:rsid w:val="00480E31"/>
    <w:rsid w:val="00482B26"/>
    <w:rsid w:val="00483E95"/>
    <w:rsid w:val="00484F79"/>
    <w:rsid w:val="00485A5A"/>
    <w:rsid w:val="00485C8D"/>
    <w:rsid w:val="00486742"/>
    <w:rsid w:val="00486C56"/>
    <w:rsid w:val="004877CB"/>
    <w:rsid w:val="004902EA"/>
    <w:rsid w:val="00491245"/>
    <w:rsid w:val="00493868"/>
    <w:rsid w:val="0049401E"/>
    <w:rsid w:val="00494838"/>
    <w:rsid w:val="00494FEB"/>
    <w:rsid w:val="00496C21"/>
    <w:rsid w:val="004A0516"/>
    <w:rsid w:val="004A151B"/>
    <w:rsid w:val="004A239E"/>
    <w:rsid w:val="004A2588"/>
    <w:rsid w:val="004A2D29"/>
    <w:rsid w:val="004A6BF5"/>
    <w:rsid w:val="004A7042"/>
    <w:rsid w:val="004B5333"/>
    <w:rsid w:val="004B79BA"/>
    <w:rsid w:val="004C1D21"/>
    <w:rsid w:val="004C2782"/>
    <w:rsid w:val="004C28F1"/>
    <w:rsid w:val="004C2EE3"/>
    <w:rsid w:val="004C38BD"/>
    <w:rsid w:val="004C68FC"/>
    <w:rsid w:val="004D121F"/>
    <w:rsid w:val="004D12E6"/>
    <w:rsid w:val="004D4510"/>
    <w:rsid w:val="004D5E50"/>
    <w:rsid w:val="004D712F"/>
    <w:rsid w:val="004E3E8F"/>
    <w:rsid w:val="004E4A22"/>
    <w:rsid w:val="004E4C99"/>
    <w:rsid w:val="004E65B0"/>
    <w:rsid w:val="004F452C"/>
    <w:rsid w:val="004F64E0"/>
    <w:rsid w:val="004F73FE"/>
    <w:rsid w:val="004F786F"/>
    <w:rsid w:val="00502179"/>
    <w:rsid w:val="0050536F"/>
    <w:rsid w:val="00511968"/>
    <w:rsid w:val="00514ABF"/>
    <w:rsid w:val="0051615E"/>
    <w:rsid w:val="0051733E"/>
    <w:rsid w:val="0051794D"/>
    <w:rsid w:val="005179B4"/>
    <w:rsid w:val="00520782"/>
    <w:rsid w:val="00524AEE"/>
    <w:rsid w:val="005259D8"/>
    <w:rsid w:val="00526B6A"/>
    <w:rsid w:val="00530F44"/>
    <w:rsid w:val="00531742"/>
    <w:rsid w:val="00535F2C"/>
    <w:rsid w:val="00537FF2"/>
    <w:rsid w:val="005409D7"/>
    <w:rsid w:val="00541F3A"/>
    <w:rsid w:val="00543290"/>
    <w:rsid w:val="005432BB"/>
    <w:rsid w:val="00543C2E"/>
    <w:rsid w:val="00544224"/>
    <w:rsid w:val="0054439B"/>
    <w:rsid w:val="00546ECE"/>
    <w:rsid w:val="00553F66"/>
    <w:rsid w:val="00555DB1"/>
    <w:rsid w:val="0055614C"/>
    <w:rsid w:val="005604F4"/>
    <w:rsid w:val="00560B1F"/>
    <w:rsid w:val="005620D7"/>
    <w:rsid w:val="00562529"/>
    <w:rsid w:val="00562B40"/>
    <w:rsid w:val="00570705"/>
    <w:rsid w:val="005720D1"/>
    <w:rsid w:val="00573034"/>
    <w:rsid w:val="00574DA6"/>
    <w:rsid w:val="00582BBB"/>
    <w:rsid w:val="00584831"/>
    <w:rsid w:val="00586852"/>
    <w:rsid w:val="00591078"/>
    <w:rsid w:val="005921EB"/>
    <w:rsid w:val="00592F93"/>
    <w:rsid w:val="005937C7"/>
    <w:rsid w:val="00595178"/>
    <w:rsid w:val="00596D9B"/>
    <w:rsid w:val="00596EF2"/>
    <w:rsid w:val="005A1861"/>
    <w:rsid w:val="005A2BD9"/>
    <w:rsid w:val="005A30CE"/>
    <w:rsid w:val="005A39FB"/>
    <w:rsid w:val="005A3BC2"/>
    <w:rsid w:val="005B2BFB"/>
    <w:rsid w:val="005C0B1F"/>
    <w:rsid w:val="005C70E1"/>
    <w:rsid w:val="005C7588"/>
    <w:rsid w:val="005C7D4A"/>
    <w:rsid w:val="005D0A3E"/>
    <w:rsid w:val="005D1997"/>
    <w:rsid w:val="005D1CA8"/>
    <w:rsid w:val="005D68C7"/>
    <w:rsid w:val="005E14C2"/>
    <w:rsid w:val="005E1E9C"/>
    <w:rsid w:val="005E4082"/>
    <w:rsid w:val="005E5D52"/>
    <w:rsid w:val="005E6351"/>
    <w:rsid w:val="005E696A"/>
    <w:rsid w:val="005F0016"/>
    <w:rsid w:val="005F0709"/>
    <w:rsid w:val="005F3340"/>
    <w:rsid w:val="005F5229"/>
    <w:rsid w:val="005F6575"/>
    <w:rsid w:val="005F731B"/>
    <w:rsid w:val="00602A1D"/>
    <w:rsid w:val="00602C23"/>
    <w:rsid w:val="00602FEF"/>
    <w:rsid w:val="00603F72"/>
    <w:rsid w:val="00607BA5"/>
    <w:rsid w:val="0061180A"/>
    <w:rsid w:val="00611FC7"/>
    <w:rsid w:val="00613450"/>
    <w:rsid w:val="0061552C"/>
    <w:rsid w:val="006214AE"/>
    <w:rsid w:val="0062414F"/>
    <w:rsid w:val="00624C79"/>
    <w:rsid w:val="00626002"/>
    <w:rsid w:val="00626EB6"/>
    <w:rsid w:val="00630EA8"/>
    <w:rsid w:val="006317FA"/>
    <w:rsid w:val="00632562"/>
    <w:rsid w:val="00633348"/>
    <w:rsid w:val="0063417F"/>
    <w:rsid w:val="00635162"/>
    <w:rsid w:val="00635E8A"/>
    <w:rsid w:val="006447B6"/>
    <w:rsid w:val="00645094"/>
    <w:rsid w:val="006451C7"/>
    <w:rsid w:val="006530C3"/>
    <w:rsid w:val="00655D03"/>
    <w:rsid w:val="00657490"/>
    <w:rsid w:val="006605B0"/>
    <w:rsid w:val="00661748"/>
    <w:rsid w:val="00664A32"/>
    <w:rsid w:val="00666A91"/>
    <w:rsid w:val="00672252"/>
    <w:rsid w:val="0067482B"/>
    <w:rsid w:val="00676BBB"/>
    <w:rsid w:val="00677623"/>
    <w:rsid w:val="00677A0D"/>
    <w:rsid w:val="006832AD"/>
    <w:rsid w:val="00683388"/>
    <w:rsid w:val="00683538"/>
    <w:rsid w:val="00683F84"/>
    <w:rsid w:val="00684303"/>
    <w:rsid w:val="00685839"/>
    <w:rsid w:val="006867F2"/>
    <w:rsid w:val="006875B2"/>
    <w:rsid w:val="006878F0"/>
    <w:rsid w:val="00687CCD"/>
    <w:rsid w:val="006933B6"/>
    <w:rsid w:val="00695A50"/>
    <w:rsid w:val="00696950"/>
    <w:rsid w:val="006978E3"/>
    <w:rsid w:val="00697FF3"/>
    <w:rsid w:val="006A0B36"/>
    <w:rsid w:val="006A1212"/>
    <w:rsid w:val="006A1A50"/>
    <w:rsid w:val="006A3981"/>
    <w:rsid w:val="006A55A5"/>
    <w:rsid w:val="006A5912"/>
    <w:rsid w:val="006A6A81"/>
    <w:rsid w:val="006A6AF8"/>
    <w:rsid w:val="006A70E3"/>
    <w:rsid w:val="006B2ECC"/>
    <w:rsid w:val="006B4E49"/>
    <w:rsid w:val="006B4FD2"/>
    <w:rsid w:val="006C562A"/>
    <w:rsid w:val="006C609A"/>
    <w:rsid w:val="006D0E69"/>
    <w:rsid w:val="006D1376"/>
    <w:rsid w:val="006D1812"/>
    <w:rsid w:val="006D3AFF"/>
    <w:rsid w:val="006D62B7"/>
    <w:rsid w:val="006E01BB"/>
    <w:rsid w:val="006E2E21"/>
    <w:rsid w:val="006E62CB"/>
    <w:rsid w:val="006E6A64"/>
    <w:rsid w:val="006E75A7"/>
    <w:rsid w:val="006F01E2"/>
    <w:rsid w:val="006F1797"/>
    <w:rsid w:val="006F217A"/>
    <w:rsid w:val="006F2376"/>
    <w:rsid w:val="006F3333"/>
    <w:rsid w:val="006F3357"/>
    <w:rsid w:val="006F460B"/>
    <w:rsid w:val="006F668B"/>
    <w:rsid w:val="006F7393"/>
    <w:rsid w:val="006F7F2A"/>
    <w:rsid w:val="007005E5"/>
    <w:rsid w:val="00700A6C"/>
    <w:rsid w:val="00700C48"/>
    <w:rsid w:val="007015C4"/>
    <w:rsid w:val="0070224F"/>
    <w:rsid w:val="007029E3"/>
    <w:rsid w:val="00704E47"/>
    <w:rsid w:val="00710204"/>
    <w:rsid w:val="007115F7"/>
    <w:rsid w:val="00711742"/>
    <w:rsid w:val="00715726"/>
    <w:rsid w:val="007161F9"/>
    <w:rsid w:val="00716B03"/>
    <w:rsid w:val="00716C5D"/>
    <w:rsid w:val="00717884"/>
    <w:rsid w:val="00722CA8"/>
    <w:rsid w:val="00724E2C"/>
    <w:rsid w:val="00726204"/>
    <w:rsid w:val="00726433"/>
    <w:rsid w:val="00726829"/>
    <w:rsid w:val="00734CA6"/>
    <w:rsid w:val="00735A37"/>
    <w:rsid w:val="007365C5"/>
    <w:rsid w:val="007412FB"/>
    <w:rsid w:val="00744CA8"/>
    <w:rsid w:val="00745FC4"/>
    <w:rsid w:val="0075155E"/>
    <w:rsid w:val="0075209D"/>
    <w:rsid w:val="00752EF6"/>
    <w:rsid w:val="007545CE"/>
    <w:rsid w:val="00760F59"/>
    <w:rsid w:val="00760F61"/>
    <w:rsid w:val="00762176"/>
    <w:rsid w:val="007634AF"/>
    <w:rsid w:val="007634F0"/>
    <w:rsid w:val="00763885"/>
    <w:rsid w:val="00763971"/>
    <w:rsid w:val="0077255A"/>
    <w:rsid w:val="00773252"/>
    <w:rsid w:val="00774379"/>
    <w:rsid w:val="007745A4"/>
    <w:rsid w:val="00775741"/>
    <w:rsid w:val="007819A6"/>
    <w:rsid w:val="00784237"/>
    <w:rsid w:val="00784D27"/>
    <w:rsid w:val="00785503"/>
    <w:rsid w:val="00785689"/>
    <w:rsid w:val="00785AAE"/>
    <w:rsid w:val="00787001"/>
    <w:rsid w:val="00791B36"/>
    <w:rsid w:val="00794C95"/>
    <w:rsid w:val="0079754B"/>
    <w:rsid w:val="00797DF5"/>
    <w:rsid w:val="007A181D"/>
    <w:rsid w:val="007A191A"/>
    <w:rsid w:val="007A1E6D"/>
    <w:rsid w:val="007A2AE5"/>
    <w:rsid w:val="007A3E07"/>
    <w:rsid w:val="007A4B13"/>
    <w:rsid w:val="007A6039"/>
    <w:rsid w:val="007B05A7"/>
    <w:rsid w:val="007B0EB2"/>
    <w:rsid w:val="007B5C6A"/>
    <w:rsid w:val="007C3412"/>
    <w:rsid w:val="007C5C8B"/>
    <w:rsid w:val="007D1391"/>
    <w:rsid w:val="007D1F70"/>
    <w:rsid w:val="007D36B9"/>
    <w:rsid w:val="007D3CC0"/>
    <w:rsid w:val="007D6D6C"/>
    <w:rsid w:val="007D7644"/>
    <w:rsid w:val="007E6261"/>
    <w:rsid w:val="007E626D"/>
    <w:rsid w:val="007F0421"/>
    <w:rsid w:val="007F3326"/>
    <w:rsid w:val="007F357E"/>
    <w:rsid w:val="007F6C1C"/>
    <w:rsid w:val="007F70B0"/>
    <w:rsid w:val="0080016E"/>
    <w:rsid w:val="00800E01"/>
    <w:rsid w:val="008033DF"/>
    <w:rsid w:val="00804141"/>
    <w:rsid w:val="00804C11"/>
    <w:rsid w:val="00805E15"/>
    <w:rsid w:val="00806DAA"/>
    <w:rsid w:val="00807D0F"/>
    <w:rsid w:val="00810AB8"/>
    <w:rsid w:val="00810B6F"/>
    <w:rsid w:val="00813FD7"/>
    <w:rsid w:val="008146F2"/>
    <w:rsid w:val="00814AA1"/>
    <w:rsid w:val="0081528F"/>
    <w:rsid w:val="008172B7"/>
    <w:rsid w:val="00822CE0"/>
    <w:rsid w:val="00823159"/>
    <w:rsid w:val="0082343E"/>
    <w:rsid w:val="00823A98"/>
    <w:rsid w:val="00823B44"/>
    <w:rsid w:val="00824AB1"/>
    <w:rsid w:val="008265DB"/>
    <w:rsid w:val="008275B2"/>
    <w:rsid w:val="00827A2B"/>
    <w:rsid w:val="00832A1A"/>
    <w:rsid w:val="00834472"/>
    <w:rsid w:val="008353D8"/>
    <w:rsid w:val="00835AF5"/>
    <w:rsid w:val="00836214"/>
    <w:rsid w:val="00836D54"/>
    <w:rsid w:val="00841AB1"/>
    <w:rsid w:val="00842952"/>
    <w:rsid w:val="008429A8"/>
    <w:rsid w:val="0084304D"/>
    <w:rsid w:val="0084685F"/>
    <w:rsid w:val="008469FA"/>
    <w:rsid w:val="00847DEB"/>
    <w:rsid w:val="0085100F"/>
    <w:rsid w:val="00852AD6"/>
    <w:rsid w:val="008533F9"/>
    <w:rsid w:val="00853627"/>
    <w:rsid w:val="008546A0"/>
    <w:rsid w:val="0085519D"/>
    <w:rsid w:val="00855AEA"/>
    <w:rsid w:val="00860DBD"/>
    <w:rsid w:val="008654BA"/>
    <w:rsid w:val="00871BA1"/>
    <w:rsid w:val="00871E8A"/>
    <w:rsid w:val="00873267"/>
    <w:rsid w:val="00874BFE"/>
    <w:rsid w:val="0087543B"/>
    <w:rsid w:val="008754EF"/>
    <w:rsid w:val="00880BCC"/>
    <w:rsid w:val="00880E9F"/>
    <w:rsid w:val="00885EB0"/>
    <w:rsid w:val="008874C0"/>
    <w:rsid w:val="00887B39"/>
    <w:rsid w:val="00890C4E"/>
    <w:rsid w:val="008911FA"/>
    <w:rsid w:val="0089195F"/>
    <w:rsid w:val="00892C68"/>
    <w:rsid w:val="00894437"/>
    <w:rsid w:val="00894F21"/>
    <w:rsid w:val="008953D0"/>
    <w:rsid w:val="00896CD9"/>
    <w:rsid w:val="008A059C"/>
    <w:rsid w:val="008A1B8C"/>
    <w:rsid w:val="008A4356"/>
    <w:rsid w:val="008A55C4"/>
    <w:rsid w:val="008A59DB"/>
    <w:rsid w:val="008A7BC8"/>
    <w:rsid w:val="008B0AD0"/>
    <w:rsid w:val="008B1B16"/>
    <w:rsid w:val="008B241C"/>
    <w:rsid w:val="008B30DF"/>
    <w:rsid w:val="008B57DE"/>
    <w:rsid w:val="008B6DBB"/>
    <w:rsid w:val="008C0A7C"/>
    <w:rsid w:val="008C1E59"/>
    <w:rsid w:val="008C342D"/>
    <w:rsid w:val="008C5BA5"/>
    <w:rsid w:val="008C68F1"/>
    <w:rsid w:val="008D3A9F"/>
    <w:rsid w:val="008D45E2"/>
    <w:rsid w:val="008D6CD0"/>
    <w:rsid w:val="008D7310"/>
    <w:rsid w:val="008E44F0"/>
    <w:rsid w:val="008E6FA4"/>
    <w:rsid w:val="008F1B19"/>
    <w:rsid w:val="00900387"/>
    <w:rsid w:val="00901155"/>
    <w:rsid w:val="00902B7B"/>
    <w:rsid w:val="0090609B"/>
    <w:rsid w:val="009100E2"/>
    <w:rsid w:val="00911139"/>
    <w:rsid w:val="009130A3"/>
    <w:rsid w:val="009155B0"/>
    <w:rsid w:val="009160F9"/>
    <w:rsid w:val="00916C57"/>
    <w:rsid w:val="00921803"/>
    <w:rsid w:val="00921982"/>
    <w:rsid w:val="0092270E"/>
    <w:rsid w:val="00923461"/>
    <w:rsid w:val="00924D7D"/>
    <w:rsid w:val="00926503"/>
    <w:rsid w:val="00926B5E"/>
    <w:rsid w:val="00930571"/>
    <w:rsid w:val="00930A30"/>
    <w:rsid w:val="00931633"/>
    <w:rsid w:val="00931BC4"/>
    <w:rsid w:val="0093286A"/>
    <w:rsid w:val="00933D21"/>
    <w:rsid w:val="00933F71"/>
    <w:rsid w:val="00936092"/>
    <w:rsid w:val="0093767B"/>
    <w:rsid w:val="00937AA5"/>
    <w:rsid w:val="00941914"/>
    <w:rsid w:val="00944C62"/>
    <w:rsid w:val="00951D2A"/>
    <w:rsid w:val="0095568D"/>
    <w:rsid w:val="00955CBE"/>
    <w:rsid w:val="0095648C"/>
    <w:rsid w:val="00962753"/>
    <w:rsid w:val="009634A7"/>
    <w:rsid w:val="0096445E"/>
    <w:rsid w:val="009646A1"/>
    <w:rsid w:val="00967A27"/>
    <w:rsid w:val="00970C98"/>
    <w:rsid w:val="009713B7"/>
    <w:rsid w:val="009726D8"/>
    <w:rsid w:val="009730AA"/>
    <w:rsid w:val="0097443C"/>
    <w:rsid w:val="00975E4B"/>
    <w:rsid w:val="00975E5A"/>
    <w:rsid w:val="00981BB6"/>
    <w:rsid w:val="00982BC1"/>
    <w:rsid w:val="00983206"/>
    <w:rsid w:val="00984D77"/>
    <w:rsid w:val="00986EF2"/>
    <w:rsid w:val="009924FA"/>
    <w:rsid w:val="00993F8B"/>
    <w:rsid w:val="009940D3"/>
    <w:rsid w:val="00997764"/>
    <w:rsid w:val="009A223C"/>
    <w:rsid w:val="009A29E1"/>
    <w:rsid w:val="009A2CE7"/>
    <w:rsid w:val="009A4E6E"/>
    <w:rsid w:val="009A66B9"/>
    <w:rsid w:val="009A6A35"/>
    <w:rsid w:val="009B1BA3"/>
    <w:rsid w:val="009B51CD"/>
    <w:rsid w:val="009C4DA7"/>
    <w:rsid w:val="009C7CB0"/>
    <w:rsid w:val="009D390C"/>
    <w:rsid w:val="009D3A51"/>
    <w:rsid w:val="009D4F00"/>
    <w:rsid w:val="009E0393"/>
    <w:rsid w:val="009E03AF"/>
    <w:rsid w:val="009E0407"/>
    <w:rsid w:val="009E08AF"/>
    <w:rsid w:val="009E16FB"/>
    <w:rsid w:val="009F059E"/>
    <w:rsid w:val="009F3F2E"/>
    <w:rsid w:val="009F5D73"/>
    <w:rsid w:val="009F66F4"/>
    <w:rsid w:val="009F69C1"/>
    <w:rsid w:val="009F6A06"/>
    <w:rsid w:val="009F6CAC"/>
    <w:rsid w:val="009F76DB"/>
    <w:rsid w:val="00A041FA"/>
    <w:rsid w:val="00A0581A"/>
    <w:rsid w:val="00A064FD"/>
    <w:rsid w:val="00A07111"/>
    <w:rsid w:val="00A07A1C"/>
    <w:rsid w:val="00A07AB8"/>
    <w:rsid w:val="00A114E6"/>
    <w:rsid w:val="00A14529"/>
    <w:rsid w:val="00A14B41"/>
    <w:rsid w:val="00A17F7A"/>
    <w:rsid w:val="00A2180C"/>
    <w:rsid w:val="00A2560E"/>
    <w:rsid w:val="00A259A5"/>
    <w:rsid w:val="00A32C3B"/>
    <w:rsid w:val="00A34B31"/>
    <w:rsid w:val="00A361CD"/>
    <w:rsid w:val="00A37F53"/>
    <w:rsid w:val="00A40F0D"/>
    <w:rsid w:val="00A41D53"/>
    <w:rsid w:val="00A42D85"/>
    <w:rsid w:val="00A43070"/>
    <w:rsid w:val="00A44D52"/>
    <w:rsid w:val="00A45F4F"/>
    <w:rsid w:val="00A4631D"/>
    <w:rsid w:val="00A4750B"/>
    <w:rsid w:val="00A5062D"/>
    <w:rsid w:val="00A510E0"/>
    <w:rsid w:val="00A530B2"/>
    <w:rsid w:val="00A531C2"/>
    <w:rsid w:val="00A53410"/>
    <w:rsid w:val="00A53804"/>
    <w:rsid w:val="00A5399D"/>
    <w:rsid w:val="00A55D78"/>
    <w:rsid w:val="00A5674B"/>
    <w:rsid w:val="00A5716E"/>
    <w:rsid w:val="00A57813"/>
    <w:rsid w:val="00A57B0C"/>
    <w:rsid w:val="00A600A9"/>
    <w:rsid w:val="00A60439"/>
    <w:rsid w:val="00A613E2"/>
    <w:rsid w:val="00A6573F"/>
    <w:rsid w:val="00A7317B"/>
    <w:rsid w:val="00A77BAC"/>
    <w:rsid w:val="00A80613"/>
    <w:rsid w:val="00A81DE7"/>
    <w:rsid w:val="00A81FF7"/>
    <w:rsid w:val="00A82307"/>
    <w:rsid w:val="00A826C4"/>
    <w:rsid w:val="00A83ADA"/>
    <w:rsid w:val="00A8609A"/>
    <w:rsid w:val="00A8626C"/>
    <w:rsid w:val="00A94B08"/>
    <w:rsid w:val="00AA55B7"/>
    <w:rsid w:val="00AA5938"/>
    <w:rsid w:val="00AA5B9E"/>
    <w:rsid w:val="00AB0E3A"/>
    <w:rsid w:val="00AB2407"/>
    <w:rsid w:val="00AB35B2"/>
    <w:rsid w:val="00AB53DF"/>
    <w:rsid w:val="00AC14DA"/>
    <w:rsid w:val="00AC2B55"/>
    <w:rsid w:val="00AD152D"/>
    <w:rsid w:val="00AD1EB9"/>
    <w:rsid w:val="00AD5083"/>
    <w:rsid w:val="00AD5D1D"/>
    <w:rsid w:val="00AE341E"/>
    <w:rsid w:val="00AE4236"/>
    <w:rsid w:val="00AE6F7A"/>
    <w:rsid w:val="00AF0B7D"/>
    <w:rsid w:val="00AF169B"/>
    <w:rsid w:val="00AF3B09"/>
    <w:rsid w:val="00AF499F"/>
    <w:rsid w:val="00AF5652"/>
    <w:rsid w:val="00AF5898"/>
    <w:rsid w:val="00AF6A71"/>
    <w:rsid w:val="00B00498"/>
    <w:rsid w:val="00B0083E"/>
    <w:rsid w:val="00B008B3"/>
    <w:rsid w:val="00B059A9"/>
    <w:rsid w:val="00B069C0"/>
    <w:rsid w:val="00B07C9F"/>
    <w:rsid w:val="00B07E5C"/>
    <w:rsid w:val="00B11D83"/>
    <w:rsid w:val="00B16192"/>
    <w:rsid w:val="00B166B7"/>
    <w:rsid w:val="00B17127"/>
    <w:rsid w:val="00B17987"/>
    <w:rsid w:val="00B20A77"/>
    <w:rsid w:val="00B21ECC"/>
    <w:rsid w:val="00B265B6"/>
    <w:rsid w:val="00B27D06"/>
    <w:rsid w:val="00B31E84"/>
    <w:rsid w:val="00B3212D"/>
    <w:rsid w:val="00B33353"/>
    <w:rsid w:val="00B37596"/>
    <w:rsid w:val="00B40E3D"/>
    <w:rsid w:val="00B41D18"/>
    <w:rsid w:val="00B537C0"/>
    <w:rsid w:val="00B5464B"/>
    <w:rsid w:val="00B54902"/>
    <w:rsid w:val="00B55D55"/>
    <w:rsid w:val="00B61A54"/>
    <w:rsid w:val="00B65F3B"/>
    <w:rsid w:val="00B702E3"/>
    <w:rsid w:val="00B728A8"/>
    <w:rsid w:val="00B729F1"/>
    <w:rsid w:val="00B732B5"/>
    <w:rsid w:val="00B767DF"/>
    <w:rsid w:val="00B811F7"/>
    <w:rsid w:val="00B813BF"/>
    <w:rsid w:val="00B859B0"/>
    <w:rsid w:val="00B862F2"/>
    <w:rsid w:val="00B86649"/>
    <w:rsid w:val="00B9013C"/>
    <w:rsid w:val="00B91B1F"/>
    <w:rsid w:val="00B93846"/>
    <w:rsid w:val="00B93CFD"/>
    <w:rsid w:val="00B94C44"/>
    <w:rsid w:val="00B961D1"/>
    <w:rsid w:val="00B961E1"/>
    <w:rsid w:val="00B967ED"/>
    <w:rsid w:val="00BA12AF"/>
    <w:rsid w:val="00BA12FD"/>
    <w:rsid w:val="00BA1D86"/>
    <w:rsid w:val="00BA5DC6"/>
    <w:rsid w:val="00BA6196"/>
    <w:rsid w:val="00BB30FC"/>
    <w:rsid w:val="00BB6603"/>
    <w:rsid w:val="00BC3E89"/>
    <w:rsid w:val="00BC47E2"/>
    <w:rsid w:val="00BC4C02"/>
    <w:rsid w:val="00BC4C9B"/>
    <w:rsid w:val="00BC50CA"/>
    <w:rsid w:val="00BC5CC5"/>
    <w:rsid w:val="00BC6D8C"/>
    <w:rsid w:val="00BD344E"/>
    <w:rsid w:val="00BD3F1B"/>
    <w:rsid w:val="00BD5A2F"/>
    <w:rsid w:val="00BE1195"/>
    <w:rsid w:val="00BE1A9E"/>
    <w:rsid w:val="00BE2F99"/>
    <w:rsid w:val="00BE5221"/>
    <w:rsid w:val="00BE52A1"/>
    <w:rsid w:val="00BF02D4"/>
    <w:rsid w:val="00BF0415"/>
    <w:rsid w:val="00BF0995"/>
    <w:rsid w:val="00BF279F"/>
    <w:rsid w:val="00BF27A9"/>
    <w:rsid w:val="00BF4BA9"/>
    <w:rsid w:val="00BF7978"/>
    <w:rsid w:val="00C00BF8"/>
    <w:rsid w:val="00C040D9"/>
    <w:rsid w:val="00C05C1D"/>
    <w:rsid w:val="00C070C6"/>
    <w:rsid w:val="00C10D3C"/>
    <w:rsid w:val="00C11F0A"/>
    <w:rsid w:val="00C12BE8"/>
    <w:rsid w:val="00C201CF"/>
    <w:rsid w:val="00C2107B"/>
    <w:rsid w:val="00C25130"/>
    <w:rsid w:val="00C253C3"/>
    <w:rsid w:val="00C25E0B"/>
    <w:rsid w:val="00C3233C"/>
    <w:rsid w:val="00C32CF6"/>
    <w:rsid w:val="00C34006"/>
    <w:rsid w:val="00C36333"/>
    <w:rsid w:val="00C365AD"/>
    <w:rsid w:val="00C37026"/>
    <w:rsid w:val="00C400CC"/>
    <w:rsid w:val="00C40A1C"/>
    <w:rsid w:val="00C41557"/>
    <w:rsid w:val="00C426B1"/>
    <w:rsid w:val="00C42C8A"/>
    <w:rsid w:val="00C438E3"/>
    <w:rsid w:val="00C43F47"/>
    <w:rsid w:val="00C47464"/>
    <w:rsid w:val="00C47E1A"/>
    <w:rsid w:val="00C50146"/>
    <w:rsid w:val="00C53892"/>
    <w:rsid w:val="00C53D27"/>
    <w:rsid w:val="00C578B6"/>
    <w:rsid w:val="00C608E3"/>
    <w:rsid w:val="00C60D3B"/>
    <w:rsid w:val="00C62134"/>
    <w:rsid w:val="00C6557B"/>
    <w:rsid w:val="00C65F43"/>
    <w:rsid w:val="00C66160"/>
    <w:rsid w:val="00C66D85"/>
    <w:rsid w:val="00C67A91"/>
    <w:rsid w:val="00C70929"/>
    <w:rsid w:val="00C721AC"/>
    <w:rsid w:val="00C73A52"/>
    <w:rsid w:val="00C7503F"/>
    <w:rsid w:val="00C75FAC"/>
    <w:rsid w:val="00C80B93"/>
    <w:rsid w:val="00C80C3A"/>
    <w:rsid w:val="00C80DFD"/>
    <w:rsid w:val="00C83FCF"/>
    <w:rsid w:val="00C84461"/>
    <w:rsid w:val="00C847F8"/>
    <w:rsid w:val="00C85A6C"/>
    <w:rsid w:val="00C86E6F"/>
    <w:rsid w:val="00C90D6A"/>
    <w:rsid w:val="00C93803"/>
    <w:rsid w:val="00C94627"/>
    <w:rsid w:val="00CA0A5E"/>
    <w:rsid w:val="00CA247E"/>
    <w:rsid w:val="00CA25E5"/>
    <w:rsid w:val="00CA487D"/>
    <w:rsid w:val="00CA7185"/>
    <w:rsid w:val="00CB05CB"/>
    <w:rsid w:val="00CB0A94"/>
    <w:rsid w:val="00CB4FD2"/>
    <w:rsid w:val="00CB662F"/>
    <w:rsid w:val="00CB66F7"/>
    <w:rsid w:val="00CC004E"/>
    <w:rsid w:val="00CC037E"/>
    <w:rsid w:val="00CC1B1F"/>
    <w:rsid w:val="00CC1B6C"/>
    <w:rsid w:val="00CC289D"/>
    <w:rsid w:val="00CC72B6"/>
    <w:rsid w:val="00CC74FE"/>
    <w:rsid w:val="00CD29DA"/>
    <w:rsid w:val="00CD5886"/>
    <w:rsid w:val="00CD6797"/>
    <w:rsid w:val="00CD7AEA"/>
    <w:rsid w:val="00CE70D9"/>
    <w:rsid w:val="00CF1753"/>
    <w:rsid w:val="00CF2248"/>
    <w:rsid w:val="00CF502C"/>
    <w:rsid w:val="00CF5A15"/>
    <w:rsid w:val="00CF63FC"/>
    <w:rsid w:val="00D0218D"/>
    <w:rsid w:val="00D03357"/>
    <w:rsid w:val="00D05979"/>
    <w:rsid w:val="00D16945"/>
    <w:rsid w:val="00D17D56"/>
    <w:rsid w:val="00D23216"/>
    <w:rsid w:val="00D25FB5"/>
    <w:rsid w:val="00D27005"/>
    <w:rsid w:val="00D270B9"/>
    <w:rsid w:val="00D301A9"/>
    <w:rsid w:val="00D30E25"/>
    <w:rsid w:val="00D31782"/>
    <w:rsid w:val="00D318FE"/>
    <w:rsid w:val="00D320CE"/>
    <w:rsid w:val="00D33AA7"/>
    <w:rsid w:val="00D33BE8"/>
    <w:rsid w:val="00D3478E"/>
    <w:rsid w:val="00D36ED7"/>
    <w:rsid w:val="00D37DDB"/>
    <w:rsid w:val="00D37ED9"/>
    <w:rsid w:val="00D404A0"/>
    <w:rsid w:val="00D40799"/>
    <w:rsid w:val="00D41403"/>
    <w:rsid w:val="00D44223"/>
    <w:rsid w:val="00D500C9"/>
    <w:rsid w:val="00D53DDE"/>
    <w:rsid w:val="00D54298"/>
    <w:rsid w:val="00D55F94"/>
    <w:rsid w:val="00D611BE"/>
    <w:rsid w:val="00D614BC"/>
    <w:rsid w:val="00D66902"/>
    <w:rsid w:val="00D70E5F"/>
    <w:rsid w:val="00D72CFF"/>
    <w:rsid w:val="00D72E51"/>
    <w:rsid w:val="00D7509B"/>
    <w:rsid w:val="00D7511B"/>
    <w:rsid w:val="00D852FC"/>
    <w:rsid w:val="00D915A1"/>
    <w:rsid w:val="00D92A9C"/>
    <w:rsid w:val="00D93078"/>
    <w:rsid w:val="00D93489"/>
    <w:rsid w:val="00D9677B"/>
    <w:rsid w:val="00D971D0"/>
    <w:rsid w:val="00DA024F"/>
    <w:rsid w:val="00DA2529"/>
    <w:rsid w:val="00DA37B2"/>
    <w:rsid w:val="00DA4A03"/>
    <w:rsid w:val="00DA7FFD"/>
    <w:rsid w:val="00DB130A"/>
    <w:rsid w:val="00DB13AD"/>
    <w:rsid w:val="00DB2EBB"/>
    <w:rsid w:val="00DB3BEB"/>
    <w:rsid w:val="00DB41A9"/>
    <w:rsid w:val="00DB454F"/>
    <w:rsid w:val="00DB4656"/>
    <w:rsid w:val="00DB595F"/>
    <w:rsid w:val="00DB603C"/>
    <w:rsid w:val="00DB7A84"/>
    <w:rsid w:val="00DC10A1"/>
    <w:rsid w:val="00DC655F"/>
    <w:rsid w:val="00DC71F6"/>
    <w:rsid w:val="00DC79A2"/>
    <w:rsid w:val="00DC7CCE"/>
    <w:rsid w:val="00DD0733"/>
    <w:rsid w:val="00DD0B59"/>
    <w:rsid w:val="00DD27D5"/>
    <w:rsid w:val="00DD5089"/>
    <w:rsid w:val="00DD5B3D"/>
    <w:rsid w:val="00DD7EBD"/>
    <w:rsid w:val="00DE18A1"/>
    <w:rsid w:val="00DE1DF2"/>
    <w:rsid w:val="00DE360B"/>
    <w:rsid w:val="00DE4D40"/>
    <w:rsid w:val="00DE6595"/>
    <w:rsid w:val="00DE6AD8"/>
    <w:rsid w:val="00DF1236"/>
    <w:rsid w:val="00DF2475"/>
    <w:rsid w:val="00DF43B3"/>
    <w:rsid w:val="00DF62B6"/>
    <w:rsid w:val="00DF7475"/>
    <w:rsid w:val="00DF752F"/>
    <w:rsid w:val="00E00A75"/>
    <w:rsid w:val="00E010B0"/>
    <w:rsid w:val="00E01196"/>
    <w:rsid w:val="00E02E7E"/>
    <w:rsid w:val="00E05733"/>
    <w:rsid w:val="00E065FE"/>
    <w:rsid w:val="00E07225"/>
    <w:rsid w:val="00E13B1B"/>
    <w:rsid w:val="00E13B24"/>
    <w:rsid w:val="00E16520"/>
    <w:rsid w:val="00E2160B"/>
    <w:rsid w:val="00E21F62"/>
    <w:rsid w:val="00E2434A"/>
    <w:rsid w:val="00E251D6"/>
    <w:rsid w:val="00E25AB9"/>
    <w:rsid w:val="00E25C07"/>
    <w:rsid w:val="00E2612D"/>
    <w:rsid w:val="00E26343"/>
    <w:rsid w:val="00E31913"/>
    <w:rsid w:val="00E31D3B"/>
    <w:rsid w:val="00E32926"/>
    <w:rsid w:val="00E32BF1"/>
    <w:rsid w:val="00E3526D"/>
    <w:rsid w:val="00E369D8"/>
    <w:rsid w:val="00E3721A"/>
    <w:rsid w:val="00E4087C"/>
    <w:rsid w:val="00E4212F"/>
    <w:rsid w:val="00E4239A"/>
    <w:rsid w:val="00E43462"/>
    <w:rsid w:val="00E435B5"/>
    <w:rsid w:val="00E451ED"/>
    <w:rsid w:val="00E47324"/>
    <w:rsid w:val="00E51256"/>
    <w:rsid w:val="00E535F7"/>
    <w:rsid w:val="00E5409F"/>
    <w:rsid w:val="00E5730F"/>
    <w:rsid w:val="00E64726"/>
    <w:rsid w:val="00E659A0"/>
    <w:rsid w:val="00E660F2"/>
    <w:rsid w:val="00E664E4"/>
    <w:rsid w:val="00E6712B"/>
    <w:rsid w:val="00E704C9"/>
    <w:rsid w:val="00E74D1A"/>
    <w:rsid w:val="00E74EBA"/>
    <w:rsid w:val="00E763D3"/>
    <w:rsid w:val="00E808E5"/>
    <w:rsid w:val="00E80E24"/>
    <w:rsid w:val="00E82805"/>
    <w:rsid w:val="00E840A9"/>
    <w:rsid w:val="00E84394"/>
    <w:rsid w:val="00E84591"/>
    <w:rsid w:val="00E86043"/>
    <w:rsid w:val="00E87BFA"/>
    <w:rsid w:val="00E92759"/>
    <w:rsid w:val="00E9320B"/>
    <w:rsid w:val="00E96B93"/>
    <w:rsid w:val="00EA1377"/>
    <w:rsid w:val="00EA2475"/>
    <w:rsid w:val="00EA3041"/>
    <w:rsid w:val="00EA368B"/>
    <w:rsid w:val="00EA3D17"/>
    <w:rsid w:val="00EA68D4"/>
    <w:rsid w:val="00EB208B"/>
    <w:rsid w:val="00EC34A0"/>
    <w:rsid w:val="00ED52B3"/>
    <w:rsid w:val="00ED5CCE"/>
    <w:rsid w:val="00ED7A23"/>
    <w:rsid w:val="00EE036C"/>
    <w:rsid w:val="00EE18F1"/>
    <w:rsid w:val="00EE2A80"/>
    <w:rsid w:val="00EE4420"/>
    <w:rsid w:val="00EE50BE"/>
    <w:rsid w:val="00EE5E71"/>
    <w:rsid w:val="00EE6488"/>
    <w:rsid w:val="00EF1B8E"/>
    <w:rsid w:val="00EF1FAE"/>
    <w:rsid w:val="00EF21E1"/>
    <w:rsid w:val="00EF2F79"/>
    <w:rsid w:val="00EF637D"/>
    <w:rsid w:val="00F02054"/>
    <w:rsid w:val="00F021FA"/>
    <w:rsid w:val="00F05837"/>
    <w:rsid w:val="00F12548"/>
    <w:rsid w:val="00F13FF4"/>
    <w:rsid w:val="00F15397"/>
    <w:rsid w:val="00F17778"/>
    <w:rsid w:val="00F20B19"/>
    <w:rsid w:val="00F2166D"/>
    <w:rsid w:val="00F21B7B"/>
    <w:rsid w:val="00F23D71"/>
    <w:rsid w:val="00F24980"/>
    <w:rsid w:val="00F24DFE"/>
    <w:rsid w:val="00F26759"/>
    <w:rsid w:val="00F26E42"/>
    <w:rsid w:val="00F26F09"/>
    <w:rsid w:val="00F3099B"/>
    <w:rsid w:val="00F314F1"/>
    <w:rsid w:val="00F31CAB"/>
    <w:rsid w:val="00F31E9D"/>
    <w:rsid w:val="00F32A6F"/>
    <w:rsid w:val="00F32C5B"/>
    <w:rsid w:val="00F3323B"/>
    <w:rsid w:val="00F3685A"/>
    <w:rsid w:val="00F447DB"/>
    <w:rsid w:val="00F45BE0"/>
    <w:rsid w:val="00F45F83"/>
    <w:rsid w:val="00F47C18"/>
    <w:rsid w:val="00F502E2"/>
    <w:rsid w:val="00F50A00"/>
    <w:rsid w:val="00F52A41"/>
    <w:rsid w:val="00F531C7"/>
    <w:rsid w:val="00F62E97"/>
    <w:rsid w:val="00F64209"/>
    <w:rsid w:val="00F70660"/>
    <w:rsid w:val="00F72692"/>
    <w:rsid w:val="00F7380F"/>
    <w:rsid w:val="00F7409F"/>
    <w:rsid w:val="00F77FD5"/>
    <w:rsid w:val="00F818F7"/>
    <w:rsid w:val="00F83118"/>
    <w:rsid w:val="00F85335"/>
    <w:rsid w:val="00F8586F"/>
    <w:rsid w:val="00F863CF"/>
    <w:rsid w:val="00F86A2B"/>
    <w:rsid w:val="00F86AD9"/>
    <w:rsid w:val="00F86FFC"/>
    <w:rsid w:val="00F92C0B"/>
    <w:rsid w:val="00F93A0B"/>
    <w:rsid w:val="00F93BF5"/>
    <w:rsid w:val="00F969FC"/>
    <w:rsid w:val="00FA0A2C"/>
    <w:rsid w:val="00FA1483"/>
    <w:rsid w:val="00FA4380"/>
    <w:rsid w:val="00FA4472"/>
    <w:rsid w:val="00FA4BAB"/>
    <w:rsid w:val="00FA5F00"/>
    <w:rsid w:val="00FA6DEE"/>
    <w:rsid w:val="00FB0127"/>
    <w:rsid w:val="00FB0F78"/>
    <w:rsid w:val="00FB459E"/>
    <w:rsid w:val="00FC087F"/>
    <w:rsid w:val="00FC0896"/>
    <w:rsid w:val="00FC1E8D"/>
    <w:rsid w:val="00FC2590"/>
    <w:rsid w:val="00FC48A1"/>
    <w:rsid w:val="00FC7D14"/>
    <w:rsid w:val="00FD177D"/>
    <w:rsid w:val="00FD1958"/>
    <w:rsid w:val="00FD2AE0"/>
    <w:rsid w:val="00FD39DB"/>
    <w:rsid w:val="00FD6AD2"/>
    <w:rsid w:val="00FD7463"/>
    <w:rsid w:val="00FE0249"/>
    <w:rsid w:val="00FE0B76"/>
    <w:rsid w:val="00FE16C7"/>
    <w:rsid w:val="00FE1F3E"/>
    <w:rsid w:val="00FE3CB7"/>
    <w:rsid w:val="00FE55D0"/>
    <w:rsid w:val="00FF3757"/>
    <w:rsid w:val="00FF52E2"/>
    <w:rsid w:val="00FF688B"/>
    <w:rsid w:val="00FF6898"/>
    <w:rsid w:val="00FF6CCE"/>
    <w:rsid w:val="00FF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41E"/>
    <w:pPr>
      <w:widowControl w:val="0"/>
    </w:pPr>
    <w:rPr>
      <w:snapToGrid w:val="0"/>
      <w:kern w:val="28"/>
      <w:sz w:val="22"/>
    </w:rPr>
  </w:style>
  <w:style w:type="paragraph" w:styleId="Heading1">
    <w:name w:val="heading 1"/>
    <w:basedOn w:val="Normal"/>
    <w:next w:val="ParaNum"/>
    <w:qFormat/>
    <w:rsid w:val="0025141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5141E"/>
    <w:pPr>
      <w:keepNext/>
      <w:numPr>
        <w:ilvl w:val="1"/>
        <w:numId w:val="3"/>
      </w:numPr>
      <w:spacing w:after="120"/>
      <w:outlineLvl w:val="1"/>
    </w:pPr>
    <w:rPr>
      <w:b/>
    </w:rPr>
  </w:style>
  <w:style w:type="paragraph" w:styleId="Heading3">
    <w:name w:val="heading 3"/>
    <w:basedOn w:val="Normal"/>
    <w:next w:val="ParaNum"/>
    <w:qFormat/>
    <w:rsid w:val="0025141E"/>
    <w:pPr>
      <w:keepNext/>
      <w:numPr>
        <w:ilvl w:val="2"/>
        <w:numId w:val="3"/>
      </w:numPr>
      <w:tabs>
        <w:tab w:val="left" w:pos="2160"/>
      </w:tabs>
      <w:spacing w:after="120"/>
      <w:outlineLvl w:val="2"/>
    </w:pPr>
    <w:rPr>
      <w:b/>
    </w:rPr>
  </w:style>
  <w:style w:type="paragraph" w:styleId="Heading4">
    <w:name w:val="heading 4"/>
    <w:basedOn w:val="Normal"/>
    <w:next w:val="ParaNum"/>
    <w:qFormat/>
    <w:rsid w:val="0025141E"/>
    <w:pPr>
      <w:keepNext/>
      <w:numPr>
        <w:ilvl w:val="3"/>
        <w:numId w:val="3"/>
      </w:numPr>
      <w:tabs>
        <w:tab w:val="left" w:pos="2880"/>
      </w:tabs>
      <w:spacing w:after="120"/>
      <w:outlineLvl w:val="3"/>
    </w:pPr>
    <w:rPr>
      <w:b/>
    </w:rPr>
  </w:style>
  <w:style w:type="paragraph" w:styleId="Heading5">
    <w:name w:val="heading 5"/>
    <w:basedOn w:val="Normal"/>
    <w:next w:val="ParaNum"/>
    <w:qFormat/>
    <w:rsid w:val="0025141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5141E"/>
    <w:pPr>
      <w:numPr>
        <w:ilvl w:val="5"/>
        <w:numId w:val="3"/>
      </w:numPr>
      <w:tabs>
        <w:tab w:val="left" w:pos="4320"/>
      </w:tabs>
      <w:spacing w:after="120"/>
      <w:outlineLvl w:val="5"/>
    </w:pPr>
    <w:rPr>
      <w:b/>
    </w:rPr>
  </w:style>
  <w:style w:type="paragraph" w:styleId="Heading7">
    <w:name w:val="heading 7"/>
    <w:basedOn w:val="Normal"/>
    <w:next w:val="ParaNum"/>
    <w:qFormat/>
    <w:rsid w:val="0025141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5141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5141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514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141E"/>
  </w:style>
  <w:style w:type="paragraph" w:customStyle="1" w:styleId="ParaNum">
    <w:name w:val="ParaNum"/>
    <w:basedOn w:val="Normal"/>
    <w:rsid w:val="0025141E"/>
    <w:pPr>
      <w:numPr>
        <w:numId w:val="2"/>
      </w:numPr>
      <w:tabs>
        <w:tab w:val="clear" w:pos="1080"/>
        <w:tab w:val="num" w:pos="1440"/>
      </w:tabs>
      <w:spacing w:after="120"/>
    </w:pPr>
  </w:style>
  <w:style w:type="paragraph" w:styleId="EndnoteText">
    <w:name w:val="endnote text"/>
    <w:basedOn w:val="Normal"/>
    <w:semiHidden/>
    <w:rsid w:val="0025141E"/>
    <w:rPr>
      <w:sz w:val="20"/>
    </w:rPr>
  </w:style>
  <w:style w:type="character" w:styleId="EndnoteReference">
    <w:name w:val="endnote reference"/>
    <w:semiHidden/>
    <w:rsid w:val="0025141E"/>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25141E"/>
    <w:pPr>
      <w:spacing w:after="120"/>
    </w:pPr>
  </w:style>
  <w:style w:type="character" w:styleId="FootnoteReference">
    <w:name w:val="footnote reference"/>
    <w:aliases w:val="Style 12,(NECG) Footnote Reference,Appel note de bas de p,Style 124,o,fr,Style 3,Style 13,Style 17,FR,Style 4,Footnote Reference/,Style 6"/>
    <w:rsid w:val="0025141E"/>
    <w:rPr>
      <w:rFonts w:ascii="Times New Roman" w:hAnsi="Times New Roman"/>
      <w:dstrike w:val="0"/>
      <w:color w:val="auto"/>
      <w:sz w:val="20"/>
      <w:vertAlign w:val="superscript"/>
    </w:rPr>
  </w:style>
  <w:style w:type="paragraph" w:styleId="TOC1">
    <w:name w:val="toc 1"/>
    <w:basedOn w:val="Normal"/>
    <w:next w:val="Normal"/>
    <w:semiHidden/>
    <w:rsid w:val="0025141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5141E"/>
    <w:pPr>
      <w:tabs>
        <w:tab w:val="left" w:pos="720"/>
        <w:tab w:val="right" w:leader="dot" w:pos="9360"/>
      </w:tabs>
      <w:suppressAutoHyphens/>
      <w:ind w:left="720" w:right="720" w:hanging="360"/>
    </w:pPr>
    <w:rPr>
      <w:noProof/>
    </w:rPr>
  </w:style>
  <w:style w:type="paragraph" w:styleId="TOC3">
    <w:name w:val="toc 3"/>
    <w:basedOn w:val="Normal"/>
    <w:next w:val="Normal"/>
    <w:semiHidden/>
    <w:rsid w:val="0025141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5141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5141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5141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5141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5141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5141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5141E"/>
    <w:pPr>
      <w:tabs>
        <w:tab w:val="right" w:pos="9360"/>
      </w:tabs>
      <w:suppressAutoHyphens/>
    </w:pPr>
  </w:style>
  <w:style w:type="character" w:customStyle="1" w:styleId="EquationCaption">
    <w:name w:val="_Equation Caption"/>
    <w:rsid w:val="0025141E"/>
  </w:style>
  <w:style w:type="paragraph" w:styleId="Header">
    <w:name w:val="header"/>
    <w:basedOn w:val="Normal"/>
    <w:autoRedefine/>
    <w:rsid w:val="0025141E"/>
    <w:pPr>
      <w:tabs>
        <w:tab w:val="center" w:pos="4680"/>
        <w:tab w:val="right" w:pos="9360"/>
      </w:tabs>
    </w:pPr>
    <w:rPr>
      <w:b/>
    </w:rPr>
  </w:style>
  <w:style w:type="paragraph" w:styleId="Footer">
    <w:name w:val="footer"/>
    <w:basedOn w:val="Normal"/>
    <w:rsid w:val="0025141E"/>
    <w:pPr>
      <w:tabs>
        <w:tab w:val="center" w:pos="4320"/>
        <w:tab w:val="right" w:pos="8640"/>
      </w:tabs>
    </w:pPr>
  </w:style>
  <w:style w:type="character" w:styleId="PageNumber">
    <w:name w:val="page number"/>
    <w:basedOn w:val="DefaultParagraphFont"/>
    <w:rsid w:val="0025141E"/>
  </w:style>
  <w:style w:type="paragraph" w:styleId="BlockText">
    <w:name w:val="Block Text"/>
    <w:basedOn w:val="Normal"/>
    <w:rsid w:val="0025141E"/>
    <w:pPr>
      <w:spacing w:after="240"/>
      <w:ind w:left="1440" w:right="1440"/>
    </w:pPr>
  </w:style>
  <w:style w:type="paragraph" w:customStyle="1" w:styleId="Paratitle">
    <w:name w:val="Para title"/>
    <w:basedOn w:val="Normal"/>
    <w:rsid w:val="0025141E"/>
    <w:pPr>
      <w:tabs>
        <w:tab w:val="center" w:pos="9270"/>
      </w:tabs>
      <w:spacing w:after="240"/>
    </w:pPr>
    <w:rPr>
      <w:spacing w:val="-2"/>
    </w:rPr>
  </w:style>
  <w:style w:type="paragraph" w:customStyle="1" w:styleId="Bullet">
    <w:name w:val="Bullet"/>
    <w:basedOn w:val="Normal"/>
    <w:rsid w:val="0025141E"/>
    <w:pPr>
      <w:tabs>
        <w:tab w:val="left" w:pos="2160"/>
      </w:tabs>
      <w:spacing w:after="220"/>
      <w:ind w:left="2160" w:hanging="720"/>
    </w:pPr>
  </w:style>
  <w:style w:type="paragraph" w:customStyle="1" w:styleId="TableFormat">
    <w:name w:val="TableFormat"/>
    <w:basedOn w:val="Bullet"/>
    <w:rsid w:val="0025141E"/>
    <w:pPr>
      <w:tabs>
        <w:tab w:val="clear" w:pos="2160"/>
        <w:tab w:val="left" w:pos="5040"/>
      </w:tabs>
      <w:ind w:left="5040" w:hanging="3600"/>
    </w:pPr>
  </w:style>
  <w:style w:type="paragraph" w:customStyle="1" w:styleId="TOCTitle">
    <w:name w:val="TOC Title"/>
    <w:basedOn w:val="Normal"/>
    <w:rsid w:val="0025141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5141E"/>
    <w:pPr>
      <w:jc w:val="center"/>
    </w:pPr>
    <w:rPr>
      <w:rFonts w:ascii="Times New Roman Bold" w:hAnsi="Times New Roman Bold"/>
      <w:b/>
      <w:bCs/>
      <w:caps/>
      <w:szCs w:val="22"/>
    </w:rPr>
  </w:style>
  <w:style w:type="character" w:styleId="Hyperlink">
    <w:name w:val="Hyperlink"/>
    <w:rsid w:val="0025141E"/>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A2560E"/>
  </w:style>
  <w:style w:type="paragraph" w:styleId="BalloonText">
    <w:name w:val="Balloon Text"/>
    <w:basedOn w:val="Normal"/>
    <w:link w:val="BalloonTextChar"/>
    <w:rsid w:val="002036D6"/>
    <w:rPr>
      <w:rFonts w:ascii="Segoe UI" w:hAnsi="Segoe UI" w:cs="Segoe UI"/>
      <w:sz w:val="18"/>
      <w:szCs w:val="18"/>
    </w:rPr>
  </w:style>
  <w:style w:type="character" w:customStyle="1" w:styleId="BalloonTextChar">
    <w:name w:val="Balloon Text Char"/>
    <w:link w:val="BalloonText"/>
    <w:rsid w:val="002036D6"/>
    <w:rPr>
      <w:rFonts w:ascii="Segoe UI" w:hAnsi="Segoe UI" w:cs="Segoe UI"/>
      <w:snapToGrid w:val="0"/>
      <w:kern w:val="28"/>
      <w:sz w:val="18"/>
      <w:szCs w:val="18"/>
    </w:rPr>
  </w:style>
  <w:style w:type="character" w:styleId="CommentReference">
    <w:name w:val="annotation reference"/>
    <w:rsid w:val="00E840A9"/>
    <w:rPr>
      <w:sz w:val="16"/>
      <w:szCs w:val="16"/>
    </w:rPr>
  </w:style>
  <w:style w:type="paragraph" w:styleId="CommentText">
    <w:name w:val="annotation text"/>
    <w:basedOn w:val="Normal"/>
    <w:link w:val="CommentTextChar"/>
    <w:rsid w:val="00E840A9"/>
    <w:rPr>
      <w:sz w:val="20"/>
    </w:rPr>
  </w:style>
  <w:style w:type="character" w:customStyle="1" w:styleId="CommentTextChar">
    <w:name w:val="Comment Text Char"/>
    <w:link w:val="CommentText"/>
    <w:rsid w:val="00E840A9"/>
    <w:rPr>
      <w:snapToGrid w:val="0"/>
      <w:kern w:val="28"/>
    </w:rPr>
  </w:style>
  <w:style w:type="paragraph" w:styleId="CommentSubject">
    <w:name w:val="annotation subject"/>
    <w:basedOn w:val="CommentText"/>
    <w:next w:val="CommentText"/>
    <w:link w:val="CommentSubjectChar"/>
    <w:rsid w:val="00E840A9"/>
    <w:rPr>
      <w:b/>
      <w:bCs/>
    </w:rPr>
  </w:style>
  <w:style w:type="character" w:customStyle="1" w:styleId="CommentSubjectChar">
    <w:name w:val="Comment Subject Char"/>
    <w:link w:val="CommentSubject"/>
    <w:rsid w:val="00E840A9"/>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966788">
      <w:bodyDiv w:val="1"/>
      <w:marLeft w:val="0"/>
      <w:marRight w:val="0"/>
      <w:marTop w:val="0"/>
      <w:marBottom w:val="0"/>
      <w:divBdr>
        <w:top w:val="none" w:sz="0" w:space="0" w:color="auto"/>
        <w:left w:val="none" w:sz="0" w:space="0" w:color="auto"/>
        <w:bottom w:val="none" w:sz="0" w:space="0" w:color="auto"/>
        <w:right w:val="none" w:sz="0" w:space="0" w:color="auto"/>
      </w:divBdr>
    </w:div>
    <w:div w:id="1394893532">
      <w:bodyDiv w:val="1"/>
      <w:marLeft w:val="0"/>
      <w:marRight w:val="0"/>
      <w:marTop w:val="0"/>
      <w:marBottom w:val="0"/>
      <w:divBdr>
        <w:top w:val="none" w:sz="0" w:space="0" w:color="auto"/>
        <w:left w:val="none" w:sz="0" w:space="0" w:color="auto"/>
        <w:bottom w:val="none" w:sz="0" w:space="0" w:color="auto"/>
        <w:right w:val="none" w:sz="0" w:space="0" w:color="auto"/>
      </w:divBdr>
    </w:div>
    <w:div w:id="1491284720">
      <w:bodyDiv w:val="1"/>
      <w:marLeft w:val="0"/>
      <w:marRight w:val="0"/>
      <w:marTop w:val="0"/>
      <w:marBottom w:val="0"/>
      <w:divBdr>
        <w:top w:val="none" w:sz="0" w:space="0" w:color="auto"/>
        <w:left w:val="none" w:sz="0" w:space="0" w:color="auto"/>
        <w:bottom w:val="none" w:sz="0" w:space="0" w:color="auto"/>
        <w:right w:val="none" w:sz="0" w:space="0" w:color="auto"/>
      </w:divBdr>
    </w:div>
    <w:div w:id="1545632003">
      <w:bodyDiv w:val="1"/>
      <w:marLeft w:val="0"/>
      <w:marRight w:val="0"/>
      <w:marTop w:val="0"/>
      <w:marBottom w:val="0"/>
      <w:divBdr>
        <w:top w:val="none" w:sz="0" w:space="0" w:color="auto"/>
        <w:left w:val="none" w:sz="0" w:space="0" w:color="auto"/>
        <w:bottom w:val="none" w:sz="0" w:space="0" w:color="auto"/>
        <w:right w:val="none" w:sz="0" w:space="0" w:color="auto"/>
      </w:divBdr>
    </w:div>
    <w:div w:id="1595243981">
      <w:bodyDiv w:val="1"/>
      <w:marLeft w:val="0"/>
      <w:marRight w:val="0"/>
      <w:marTop w:val="0"/>
      <w:marBottom w:val="0"/>
      <w:divBdr>
        <w:top w:val="none" w:sz="0" w:space="0" w:color="auto"/>
        <w:left w:val="none" w:sz="0" w:space="0" w:color="auto"/>
        <w:bottom w:val="none" w:sz="0" w:space="0" w:color="auto"/>
        <w:right w:val="none" w:sz="0" w:space="0" w:color="auto"/>
      </w:divBdr>
    </w:div>
    <w:div w:id="1717196816">
      <w:bodyDiv w:val="1"/>
      <w:marLeft w:val="0"/>
      <w:marRight w:val="0"/>
      <w:marTop w:val="0"/>
      <w:marBottom w:val="0"/>
      <w:divBdr>
        <w:top w:val="none" w:sz="0" w:space="0" w:color="auto"/>
        <w:left w:val="none" w:sz="0" w:space="0" w:color="auto"/>
        <w:bottom w:val="none" w:sz="0" w:space="0" w:color="auto"/>
        <w:right w:val="none" w:sz="0" w:space="0" w:color="auto"/>
      </w:divBdr>
    </w:div>
    <w:div w:id="18234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1160</Words>
  <Characters>6230</Characters>
  <Application>Microsoft Office Word</Application>
  <DocSecurity>0</DocSecurity>
  <Lines>116</Lines>
  <Paragraphs>30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7438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2017-04-14T17:39:00Z</cp:lastPrinted>
  <dcterms:created xsi:type="dcterms:W3CDTF">2017-06-12T11:56:00Z</dcterms:created>
  <dcterms:modified xsi:type="dcterms:W3CDTF">2017-06-12T11:56:00Z</dcterms:modified>
  <cp:category> </cp:category>
  <cp:contentStatus> </cp:contentStatus>
</cp:coreProperties>
</file>