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83E9" w14:textId="23801F05" w:rsidR="00871332" w:rsidRDefault="003B147A" w:rsidP="00713A98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871332">
        <w:rPr>
          <w:rFonts w:cs="Times New Roman"/>
          <w:b/>
        </w:rPr>
        <w:t>STATEMENT OF</w:t>
      </w:r>
      <w:r w:rsidRPr="00871332">
        <w:rPr>
          <w:rFonts w:cs="Times New Roman"/>
          <w:b/>
        </w:rPr>
        <w:br/>
        <w:t>CHAIRMAN AJIT PAI</w:t>
      </w:r>
    </w:p>
    <w:p w14:paraId="5738D880" w14:textId="77777777" w:rsidR="00713A98" w:rsidRPr="00871332" w:rsidRDefault="00713A98" w:rsidP="00713A98">
      <w:pPr>
        <w:spacing w:after="0"/>
        <w:jc w:val="center"/>
        <w:rPr>
          <w:rFonts w:cs="Times New Roman"/>
          <w:b/>
        </w:rPr>
      </w:pPr>
    </w:p>
    <w:p w14:paraId="2C583B31" w14:textId="1F75DBF3" w:rsidR="00871332" w:rsidRPr="002D37C3" w:rsidRDefault="003B147A" w:rsidP="00713A98">
      <w:pPr>
        <w:pStyle w:val="NormalWeb"/>
        <w:spacing w:before="0" w:beforeAutospacing="0" w:after="0" w:afterAutospacing="0"/>
        <w:ind w:left="720" w:hanging="720"/>
        <w:rPr>
          <w:i/>
          <w:sz w:val="22"/>
          <w:szCs w:val="22"/>
        </w:rPr>
      </w:pPr>
      <w:r w:rsidRPr="002D37C3">
        <w:rPr>
          <w:sz w:val="22"/>
          <w:szCs w:val="22"/>
        </w:rPr>
        <w:t>Re:</w:t>
      </w:r>
      <w:r w:rsidRPr="002D37C3">
        <w:rPr>
          <w:sz w:val="22"/>
          <w:szCs w:val="22"/>
        </w:rPr>
        <w:tab/>
      </w:r>
      <w:r w:rsidR="00FE7908" w:rsidRPr="002D37C3">
        <w:rPr>
          <w:i/>
          <w:sz w:val="22"/>
          <w:szCs w:val="22"/>
        </w:rPr>
        <w:t>Amendment of Parts 1 and 22 of the Commission’s Rules with Regard to the Cellular Service, Includ</w:t>
      </w:r>
      <w:r w:rsidR="00972D74">
        <w:rPr>
          <w:i/>
          <w:sz w:val="22"/>
          <w:szCs w:val="22"/>
        </w:rPr>
        <w:t>ing</w:t>
      </w:r>
      <w:r w:rsidR="00FE7908" w:rsidRPr="002D37C3">
        <w:rPr>
          <w:i/>
          <w:sz w:val="22"/>
          <w:szCs w:val="22"/>
        </w:rPr>
        <w:t xml:space="preserve"> Changes in Licensing of Unserved Area</w:t>
      </w:r>
      <w:r w:rsidR="00FE7908" w:rsidRPr="00985B06">
        <w:rPr>
          <w:sz w:val="22"/>
          <w:szCs w:val="22"/>
        </w:rPr>
        <w:t>,</w:t>
      </w:r>
      <w:r w:rsidRPr="00985B06">
        <w:rPr>
          <w:sz w:val="22"/>
          <w:szCs w:val="22"/>
        </w:rPr>
        <w:t xml:space="preserve"> </w:t>
      </w:r>
      <w:r w:rsidR="00FE7908" w:rsidRPr="002D37C3">
        <w:rPr>
          <w:sz w:val="22"/>
          <w:szCs w:val="22"/>
        </w:rPr>
        <w:t>WT Docket No</w:t>
      </w:r>
      <w:r w:rsidR="00DF39F6" w:rsidRPr="002D37C3">
        <w:rPr>
          <w:sz w:val="22"/>
          <w:szCs w:val="22"/>
        </w:rPr>
        <w:t>. 12-40</w:t>
      </w:r>
      <w:r w:rsidR="002D37C3">
        <w:rPr>
          <w:sz w:val="22"/>
          <w:szCs w:val="22"/>
        </w:rPr>
        <w:t>,</w:t>
      </w:r>
      <w:r w:rsidR="002D37C3" w:rsidRPr="002D37C3">
        <w:rPr>
          <w:sz w:val="22"/>
          <w:szCs w:val="22"/>
        </w:rPr>
        <w:t xml:space="preserve"> RM No, 11510; </w:t>
      </w:r>
      <w:r w:rsidR="002D37C3" w:rsidRPr="002D37C3">
        <w:rPr>
          <w:i/>
          <w:color w:val="000000"/>
          <w:sz w:val="22"/>
          <w:szCs w:val="22"/>
        </w:rPr>
        <w:t>Amendment of the Commission’s Rules with Regard to Relocation of Part 24 to Part 27; Interim Restrictions and Procedures for Cellular Service Applications; Amendment of Parts 0, 1, and 22 of the Commission’s Rules with Regard to Frequency Coordination for the Cellular Service; Amendment of the Commission’s Rules Governing Radiated Power Limits for the Cellular Service</w:t>
      </w:r>
      <w:r w:rsidR="002D37C3" w:rsidRPr="002D37C3">
        <w:rPr>
          <w:color w:val="000000"/>
          <w:sz w:val="22"/>
          <w:szCs w:val="22"/>
        </w:rPr>
        <w:t xml:space="preserve">, RM No. 11660; </w:t>
      </w:r>
      <w:r w:rsidR="00FE7908" w:rsidRPr="002D37C3">
        <w:rPr>
          <w:i/>
          <w:sz w:val="22"/>
          <w:szCs w:val="22"/>
        </w:rPr>
        <w:t xml:space="preserve">Amendment of Parts 1, 22, 24, 27, 74, 80, 90, 95, and 101 to Establish Uniform License Renewal, Discontinuance of Operation, and Geographic Partitioning and Spectrum Disaggregation Rules and </w:t>
      </w:r>
      <w:r w:rsidR="00985B06">
        <w:rPr>
          <w:i/>
          <w:sz w:val="22"/>
          <w:szCs w:val="22"/>
        </w:rPr>
        <w:t>P</w:t>
      </w:r>
      <w:r w:rsidR="00FE7908" w:rsidRPr="002D37C3">
        <w:rPr>
          <w:i/>
          <w:sz w:val="22"/>
          <w:szCs w:val="22"/>
        </w:rPr>
        <w:t>olicies for Certain Wireless Radio Services</w:t>
      </w:r>
      <w:r w:rsidR="00FE7908" w:rsidRPr="002D37C3">
        <w:rPr>
          <w:sz w:val="22"/>
          <w:szCs w:val="22"/>
        </w:rPr>
        <w:t>,</w:t>
      </w:r>
      <w:r w:rsidR="00DF39F6" w:rsidRPr="002D37C3">
        <w:rPr>
          <w:sz w:val="22"/>
          <w:szCs w:val="22"/>
        </w:rPr>
        <w:t xml:space="preserve"> </w:t>
      </w:r>
      <w:r w:rsidR="002D37C3">
        <w:rPr>
          <w:sz w:val="22"/>
          <w:szCs w:val="22"/>
        </w:rPr>
        <w:t>WT Docket No. 10-112;</w:t>
      </w:r>
      <w:r w:rsidR="00FE7908" w:rsidRPr="002D37C3">
        <w:rPr>
          <w:sz w:val="22"/>
          <w:szCs w:val="22"/>
        </w:rPr>
        <w:t xml:space="preserve"> </w:t>
      </w:r>
      <w:r w:rsidR="00FE7908" w:rsidRPr="002D37C3">
        <w:rPr>
          <w:i/>
          <w:sz w:val="22"/>
          <w:szCs w:val="22"/>
        </w:rPr>
        <w:t>2016 Biennial Review of Telecommunications Regulations</w:t>
      </w:r>
      <w:r w:rsidR="00FE7908" w:rsidRPr="002D37C3">
        <w:rPr>
          <w:sz w:val="22"/>
          <w:szCs w:val="22"/>
        </w:rPr>
        <w:t>,</w:t>
      </w:r>
      <w:r w:rsidR="00FE7908" w:rsidRPr="00985B06">
        <w:rPr>
          <w:sz w:val="22"/>
          <w:szCs w:val="22"/>
        </w:rPr>
        <w:t xml:space="preserve"> </w:t>
      </w:r>
      <w:r w:rsidR="00FE7908" w:rsidRPr="002D37C3">
        <w:rPr>
          <w:sz w:val="22"/>
          <w:szCs w:val="22"/>
        </w:rPr>
        <w:t xml:space="preserve">WT Docket No. </w:t>
      </w:r>
      <w:r w:rsidR="00DF39F6" w:rsidRPr="002D37C3">
        <w:rPr>
          <w:sz w:val="22"/>
          <w:szCs w:val="22"/>
        </w:rPr>
        <w:t>16-138</w:t>
      </w:r>
    </w:p>
    <w:p w14:paraId="3AD696F8" w14:textId="77777777" w:rsidR="00713A98" w:rsidRDefault="00713A98" w:rsidP="00713A98">
      <w:pPr>
        <w:spacing w:after="0"/>
        <w:ind w:firstLine="720"/>
      </w:pPr>
    </w:p>
    <w:p w14:paraId="27AD156C" w14:textId="0E19272A" w:rsidR="0095338A" w:rsidRDefault="00B3562D" w:rsidP="00713A98">
      <w:pPr>
        <w:spacing w:after="0"/>
        <w:ind w:firstLine="720"/>
        <w:rPr>
          <w:rFonts w:eastAsia="Times New Roman" w:cs="Times New Roman"/>
        </w:rPr>
      </w:pPr>
      <w:r>
        <w:t xml:space="preserve">The Commission first adopted </w:t>
      </w:r>
      <w:r w:rsidR="00C66C1B">
        <w:t xml:space="preserve">rules governing commercial </w:t>
      </w:r>
      <w:r w:rsidR="00DB716B">
        <w:t>c</w:t>
      </w:r>
      <w:r w:rsidR="00C66C1B">
        <w:t>ellular service</w:t>
      </w:r>
      <w:r>
        <w:t xml:space="preserve"> in 1981</w:t>
      </w:r>
      <w:r w:rsidR="0095338A">
        <w:t>—</w:t>
      </w:r>
      <w:r w:rsidR="00683C8D">
        <w:t xml:space="preserve">the </w:t>
      </w:r>
      <w:r w:rsidR="0095338A">
        <w:t xml:space="preserve">same </w:t>
      </w:r>
      <w:r w:rsidR="00683C8D">
        <w:t>year MTV was launched</w:t>
      </w:r>
      <w:r w:rsidR="00C66C1B">
        <w:t xml:space="preserve">.  </w:t>
      </w:r>
      <w:r w:rsidR="0095338A">
        <w:t xml:space="preserve">One of the </w:t>
      </w:r>
      <w:r w:rsidR="007332E1">
        <w:t xml:space="preserve">very </w:t>
      </w:r>
      <w:r w:rsidR="0095338A">
        <w:t>first videos MTV aired was “Rockin’ the Paradise,” by Styx.  Notably, the song’s lyrics included the following:</w:t>
      </w:r>
      <w:r w:rsidR="00985B06">
        <w:t xml:space="preserve"> </w:t>
      </w:r>
      <w:r w:rsidR="0095338A">
        <w:t xml:space="preserve"> “We need long term, slow burn, getting it done / And some straight talking, hard working son of a gun / . . . Let’s stick together and futurize </w:t>
      </w:r>
      <w:r w:rsidR="00985B06">
        <w:t>our attitudes.”</w:t>
      </w:r>
    </w:p>
    <w:p w14:paraId="556A7438" w14:textId="77777777" w:rsidR="00713A98" w:rsidRDefault="00713A98" w:rsidP="00713A98">
      <w:pPr>
        <w:spacing w:after="0"/>
        <w:ind w:firstLine="720"/>
      </w:pPr>
    </w:p>
    <w:p w14:paraId="655D6C91" w14:textId="115A1FDF" w:rsidR="00D70639" w:rsidRDefault="0095338A" w:rsidP="00713A98">
      <w:pPr>
        <w:spacing w:after="0"/>
        <w:ind w:firstLine="720"/>
      </w:pPr>
      <w:r>
        <w:t xml:space="preserve">Those lyrics </w:t>
      </w:r>
      <w:r w:rsidR="007B26C4">
        <w:t>underscore</w:t>
      </w:r>
      <w:r>
        <w:t xml:space="preserve"> our </w:t>
      </w:r>
      <w:r w:rsidR="007B26C4">
        <w:t xml:space="preserve">decision </w:t>
      </w:r>
      <w:r>
        <w:t xml:space="preserve">today </w:t>
      </w:r>
      <w:r w:rsidR="007B26C4">
        <w:t xml:space="preserve">to </w:t>
      </w:r>
      <w:r>
        <w:t>moderniz</w:t>
      </w:r>
      <w:r w:rsidR="007B26C4">
        <w:t>e</w:t>
      </w:r>
      <w:r>
        <w:t xml:space="preserve"> our cellular licensing and power rules.  </w:t>
      </w:r>
      <w:r w:rsidR="00683C8D">
        <w:t xml:space="preserve">MTV has </w:t>
      </w:r>
      <w:r w:rsidR="00B3562D">
        <w:t>evolved enormously</w:t>
      </w:r>
      <w:r w:rsidR="00D66310">
        <w:t xml:space="preserve"> since its inception</w:t>
      </w:r>
      <w:r w:rsidR="00683C8D">
        <w:t xml:space="preserve">, </w:t>
      </w:r>
      <w:r w:rsidR="003B0EE5">
        <w:t xml:space="preserve">but </w:t>
      </w:r>
      <w:r>
        <w:t xml:space="preserve">those </w:t>
      </w:r>
      <w:r w:rsidR="00683C8D">
        <w:t xml:space="preserve">rules have </w:t>
      </w:r>
      <w:r w:rsidR="002F2941">
        <w:t>largely stayed the same</w:t>
      </w:r>
      <w:r w:rsidR="00985B06">
        <w:t>.</w:t>
      </w:r>
    </w:p>
    <w:p w14:paraId="5D624ECC" w14:textId="77777777" w:rsidR="00DD3BC3" w:rsidRDefault="00DD3BC3" w:rsidP="00713A98">
      <w:pPr>
        <w:spacing w:after="0"/>
        <w:ind w:firstLine="720"/>
        <w:rPr>
          <w:rFonts w:eastAsia="Calibri"/>
        </w:rPr>
      </w:pPr>
    </w:p>
    <w:p w14:paraId="7E222EC6" w14:textId="56DA34BF" w:rsidR="00071DE0" w:rsidRDefault="007B26C4" w:rsidP="00713A98">
      <w:pPr>
        <w:spacing w:after="0"/>
        <w:ind w:firstLine="720"/>
        <w:rPr>
          <w:rFonts w:eastAsia="Calibri"/>
        </w:rPr>
      </w:pPr>
      <w:r>
        <w:rPr>
          <w:rFonts w:eastAsia="Calibri"/>
        </w:rPr>
        <w:t xml:space="preserve">And so </w:t>
      </w:r>
      <w:r w:rsidR="00071DE0">
        <w:rPr>
          <w:rFonts w:eastAsia="Calibri"/>
        </w:rPr>
        <w:t xml:space="preserve">we update </w:t>
      </w:r>
      <w:r>
        <w:rPr>
          <w:rFonts w:eastAsia="Calibri"/>
        </w:rPr>
        <w:t xml:space="preserve">in this </w:t>
      </w:r>
      <w:r w:rsidRPr="00CD752C">
        <w:rPr>
          <w:rFonts w:eastAsia="Calibri"/>
          <w:i/>
        </w:rPr>
        <w:t>Order</w:t>
      </w:r>
      <w:r>
        <w:rPr>
          <w:rFonts w:eastAsia="Calibri"/>
        </w:rPr>
        <w:t xml:space="preserve"> various </w:t>
      </w:r>
      <w:r w:rsidR="00071DE0">
        <w:rPr>
          <w:rFonts w:eastAsia="Calibri"/>
        </w:rPr>
        <w:t xml:space="preserve">technical and service rules in the 800 MHz </w:t>
      </w:r>
      <w:r w:rsidR="00DB716B">
        <w:rPr>
          <w:rFonts w:eastAsia="Calibri"/>
        </w:rPr>
        <w:t>c</w:t>
      </w:r>
      <w:r w:rsidR="00071DE0">
        <w:rPr>
          <w:rFonts w:eastAsia="Calibri"/>
        </w:rPr>
        <w:t xml:space="preserve">ellular band.  We also conform our </w:t>
      </w:r>
      <w:r w:rsidR="00DB716B">
        <w:rPr>
          <w:rFonts w:eastAsia="Calibri"/>
        </w:rPr>
        <w:t>c</w:t>
      </w:r>
      <w:r w:rsidR="00071DE0">
        <w:rPr>
          <w:rFonts w:eastAsia="Calibri"/>
        </w:rPr>
        <w:t>ellular rules to those of other commercial wireless services with respect to out of band emissions, power measurement, field strength, and</w:t>
      </w:r>
      <w:r w:rsidR="00985B06">
        <w:rPr>
          <w:rFonts w:eastAsia="Calibri"/>
        </w:rPr>
        <w:t xml:space="preserve"> discontinuance of operations.</w:t>
      </w:r>
    </w:p>
    <w:p w14:paraId="6FF97729" w14:textId="77777777" w:rsidR="00713A98" w:rsidRDefault="00713A98" w:rsidP="00713A98">
      <w:pPr>
        <w:spacing w:after="0"/>
        <w:ind w:firstLine="720"/>
      </w:pPr>
    </w:p>
    <w:p w14:paraId="204A5C64" w14:textId="50A6972D" w:rsidR="00BA2A0E" w:rsidRDefault="00683C8D" w:rsidP="00713A98">
      <w:pPr>
        <w:spacing w:after="0"/>
        <w:ind w:firstLine="720"/>
      </w:pPr>
      <w:r>
        <w:t>The</w:t>
      </w:r>
      <w:r w:rsidR="00180E16">
        <w:t xml:space="preserve"> Commission’s</w:t>
      </w:r>
      <w:r w:rsidR="00C66C1B">
        <w:t xml:space="preserve"> </w:t>
      </w:r>
      <w:r w:rsidR="00DB716B">
        <w:t>c</w:t>
      </w:r>
      <w:r w:rsidR="00180E16">
        <w:t xml:space="preserve">ellular </w:t>
      </w:r>
      <w:r w:rsidR="00C66C1B">
        <w:t xml:space="preserve">rules were adopted when commercial mobile service </w:t>
      </w:r>
      <w:r w:rsidR="007332E1">
        <w:t xml:space="preserve">relied on </w:t>
      </w:r>
      <w:r w:rsidR="00C66C1B">
        <w:t xml:space="preserve">narrowband technologies. </w:t>
      </w:r>
      <w:r w:rsidR="00B3562D">
        <w:t xml:space="preserve"> </w:t>
      </w:r>
      <w:r w:rsidR="00946671">
        <w:t xml:space="preserve">Over three and a half decades </w:t>
      </w:r>
      <w:r w:rsidR="007332E1">
        <w:t>later</w:t>
      </w:r>
      <w:r w:rsidR="00B3562D">
        <w:t xml:space="preserve">, </w:t>
      </w:r>
      <w:r w:rsidR="00946671">
        <w:t xml:space="preserve">these </w:t>
      </w:r>
      <w:r w:rsidR="00336364">
        <w:t xml:space="preserve">rules (and the technical assumptions that underlay them) </w:t>
      </w:r>
      <w:r w:rsidR="00946671">
        <w:t xml:space="preserve">are hopelessly </w:t>
      </w:r>
      <w:r w:rsidR="00240CFF">
        <w:t>obsolete</w:t>
      </w:r>
      <w:r w:rsidR="00D70639">
        <w:t>.</w:t>
      </w:r>
      <w:r w:rsidR="00946671">
        <w:t xml:space="preserve"> </w:t>
      </w:r>
      <w:r w:rsidR="00D70639">
        <w:t xml:space="preserve"> </w:t>
      </w:r>
      <w:r w:rsidR="001C0C73">
        <w:t>L</w:t>
      </w:r>
      <w:r w:rsidR="00946671">
        <w:t xml:space="preserve">ong </w:t>
      </w:r>
      <w:r w:rsidR="001C0C73">
        <w:t>T</w:t>
      </w:r>
      <w:r w:rsidR="00946671">
        <w:t xml:space="preserve">erm </w:t>
      </w:r>
      <w:r w:rsidR="001C0C73">
        <w:t>E</w:t>
      </w:r>
      <w:r w:rsidR="00946671">
        <w:t>volution, or LTE,</w:t>
      </w:r>
      <w:r w:rsidR="001C0C73">
        <w:t xml:space="preserve"> </w:t>
      </w:r>
      <w:r w:rsidR="007332E1">
        <w:t xml:space="preserve">is </w:t>
      </w:r>
      <w:r w:rsidR="00B3562D">
        <w:t>now</w:t>
      </w:r>
      <w:r w:rsidR="00C57A26">
        <w:t xml:space="preserve"> </w:t>
      </w:r>
      <w:r w:rsidR="007332E1">
        <w:t>well-developed and broadly deployed</w:t>
      </w:r>
      <w:r w:rsidR="00946671">
        <w:t>.  It</w:t>
      </w:r>
      <w:r w:rsidR="007332E1">
        <w:t xml:space="preserve"> offer</w:t>
      </w:r>
      <w:r w:rsidR="00946671">
        <w:t>s</w:t>
      </w:r>
      <w:r w:rsidR="007332E1">
        <w:t xml:space="preserve"> </w:t>
      </w:r>
      <w:r w:rsidR="00C57A26">
        <w:t>consumers</w:t>
      </w:r>
      <w:r w:rsidR="007C5F00">
        <w:t xml:space="preserve"> </w:t>
      </w:r>
      <w:r w:rsidR="00C57A26">
        <w:t xml:space="preserve">high-speed </w:t>
      </w:r>
      <w:r w:rsidR="007332E1">
        <w:t xml:space="preserve">access </w:t>
      </w:r>
      <w:r w:rsidR="00180E16">
        <w:t>that let</w:t>
      </w:r>
      <w:r w:rsidR="007332E1">
        <w:t>s</w:t>
      </w:r>
      <w:r w:rsidR="00180E16">
        <w:t xml:space="preserve"> us</w:t>
      </w:r>
      <w:r w:rsidR="00FC656A">
        <w:t xml:space="preserve"> stream videos</w:t>
      </w:r>
      <w:r w:rsidR="00ED0565">
        <w:t>—i</w:t>
      </w:r>
      <w:r w:rsidR="00E365FA">
        <w:t xml:space="preserve">ncluding </w:t>
      </w:r>
      <w:r w:rsidR="00ED0565">
        <w:t>“Rockin’ the Paradise,” which you can find online—</w:t>
      </w:r>
      <w:r w:rsidR="00F83518">
        <w:t>to</w:t>
      </w:r>
      <w:r w:rsidR="00946671">
        <w:t xml:space="preserve"> mobile devices more powerful than most personal computers that existed in 1981</w:t>
      </w:r>
      <w:r w:rsidR="00C57A26">
        <w:t>.</w:t>
      </w:r>
      <w:r w:rsidR="007F033E">
        <w:t xml:space="preserve"> </w:t>
      </w:r>
      <w:r w:rsidR="00946671">
        <w:t xml:space="preserve"> </w:t>
      </w:r>
      <w:r w:rsidR="00EB4B61">
        <w:t xml:space="preserve">But the legacy rules limit wireless coverage for </w:t>
      </w:r>
      <w:r w:rsidR="00DA5936">
        <w:t xml:space="preserve">companies </w:t>
      </w:r>
      <w:r w:rsidR="00985B06">
        <w:t>that want to deploy LTE.</w:t>
      </w:r>
    </w:p>
    <w:p w14:paraId="505D5289" w14:textId="77777777" w:rsidR="00713A98" w:rsidRDefault="00713A98" w:rsidP="00713A98">
      <w:pPr>
        <w:spacing w:after="0"/>
        <w:ind w:firstLine="720"/>
      </w:pPr>
    </w:p>
    <w:p w14:paraId="48C9B7C2" w14:textId="3D137CF2" w:rsidR="00180E16" w:rsidRDefault="00EB4B61" w:rsidP="00713A98">
      <w:pPr>
        <w:spacing w:after="0"/>
        <w:ind w:firstLine="720"/>
      </w:pPr>
      <w:r>
        <w:t>Th</w:t>
      </w:r>
      <w:r w:rsidR="00204B37">
        <w:t>is</w:t>
      </w:r>
      <w:r>
        <w:t xml:space="preserve"> </w:t>
      </w:r>
      <w:r w:rsidR="00204B37">
        <w:t xml:space="preserve">state of affairs </w:t>
      </w:r>
      <w:r>
        <w:t xml:space="preserve">changes today.  </w:t>
      </w:r>
      <w:r w:rsidR="009675CC">
        <w:t>The</w:t>
      </w:r>
      <w:r>
        <w:t xml:space="preserve"> </w:t>
      </w:r>
      <w:r w:rsidR="009675CC">
        <w:t xml:space="preserve">reforms we </w:t>
      </w:r>
      <w:r>
        <w:t xml:space="preserve">are </w:t>
      </w:r>
      <w:r w:rsidR="009675CC">
        <w:t>adopt</w:t>
      </w:r>
      <w:r>
        <w:t>ing</w:t>
      </w:r>
      <w:r w:rsidR="009675CC">
        <w:t xml:space="preserve"> </w:t>
      </w:r>
      <w:r w:rsidR="00946671">
        <w:t xml:space="preserve">will help wireless companies </w:t>
      </w:r>
      <w:r w:rsidR="00BA2A0E">
        <w:t xml:space="preserve">better </w:t>
      </w:r>
      <w:r w:rsidR="00946671">
        <w:t xml:space="preserve">meet </w:t>
      </w:r>
      <w:r w:rsidR="00180E16">
        <w:t>consumer demand</w:t>
      </w:r>
      <w:r w:rsidR="00552C9B">
        <w:t xml:space="preserve"> for mobile connectivity</w:t>
      </w:r>
      <w:r w:rsidR="009675CC">
        <w:t xml:space="preserve"> and </w:t>
      </w:r>
      <w:r w:rsidR="00946671">
        <w:t xml:space="preserve">continue to innovate </w:t>
      </w:r>
      <w:r w:rsidR="00552C9B">
        <w:t xml:space="preserve">by facilitating the use of </w:t>
      </w:r>
      <w:r w:rsidR="00DB716B">
        <w:t>c</w:t>
      </w:r>
      <w:r w:rsidR="00552C9B">
        <w:t>ellular spectrum to provide advanced services such as LTE.</w:t>
      </w:r>
    </w:p>
    <w:p w14:paraId="27342850" w14:textId="77777777" w:rsidR="00713A98" w:rsidRDefault="00713A98" w:rsidP="00713A98">
      <w:pPr>
        <w:spacing w:after="0"/>
        <w:ind w:firstLine="720"/>
        <w:rPr>
          <w:rFonts w:cs="Times New Roman"/>
        </w:rPr>
      </w:pPr>
    </w:p>
    <w:p w14:paraId="5D5AC86C" w14:textId="5BA11D78" w:rsidR="00080819" w:rsidRPr="00985B06" w:rsidRDefault="003B147A" w:rsidP="00713A98">
      <w:pPr>
        <w:spacing w:after="0"/>
        <w:ind w:firstLine="720"/>
        <w:rPr>
          <w:rFonts w:eastAsia="Calibri"/>
        </w:rPr>
      </w:pPr>
      <w:r w:rsidRPr="00871332">
        <w:rPr>
          <w:rFonts w:cs="Times New Roman"/>
        </w:rPr>
        <w:t>I’d like to thank</w:t>
      </w:r>
      <w:r w:rsidR="00D41C4F">
        <w:rPr>
          <w:rFonts w:cs="Times New Roman"/>
        </w:rPr>
        <w:t xml:space="preserve"> the </w:t>
      </w:r>
      <w:r w:rsidR="001C0C73">
        <w:rPr>
          <w:rFonts w:cs="Times New Roman"/>
        </w:rPr>
        <w:t xml:space="preserve">Commission’s </w:t>
      </w:r>
      <w:r w:rsidR="00D41C4F">
        <w:rPr>
          <w:rFonts w:cs="Times New Roman"/>
        </w:rPr>
        <w:t>dedicated staff</w:t>
      </w:r>
      <w:r w:rsidR="00080819">
        <w:rPr>
          <w:rFonts w:cs="Times New Roman"/>
        </w:rPr>
        <w:t>,</w:t>
      </w:r>
      <w:r w:rsidR="00AB7700">
        <w:rPr>
          <w:rFonts w:cs="Times New Roman"/>
        </w:rPr>
        <w:t xml:space="preserve"> including</w:t>
      </w:r>
      <w:r w:rsidR="00AB7700" w:rsidRPr="00AB7700">
        <w:t xml:space="preserve"> </w:t>
      </w:r>
      <w:r w:rsidR="00080819">
        <w:rPr>
          <w:rStyle w:val="s1"/>
        </w:rPr>
        <w:t xml:space="preserve">Linda Chang, Lloyd Coward, Tom Derenge, </w:t>
      </w:r>
      <w:r w:rsidR="00985B06">
        <w:t>Nese Guendelsberger,</w:t>
      </w:r>
      <w:r w:rsidR="00985B06">
        <w:rPr>
          <w:rFonts w:cs="Times New Roman"/>
        </w:rPr>
        <w:t xml:space="preserve"> </w:t>
      </w:r>
      <w:r w:rsidR="00080819">
        <w:rPr>
          <w:rStyle w:val="s1"/>
        </w:rPr>
        <w:t>Roger Noel, Moslem Sawez, Jim Schlichting, and Nina Shafran in the Wireless Telecommunications Bureau</w:t>
      </w:r>
      <w:r w:rsidR="002F6753">
        <w:rPr>
          <w:rStyle w:val="s1"/>
        </w:rPr>
        <w:t>;</w:t>
      </w:r>
      <w:r w:rsidR="00080819">
        <w:rPr>
          <w:rStyle w:val="s1"/>
        </w:rPr>
        <w:t xml:space="preserve"> Michael Ha and Ira Keltz in the Office of Engineering </w:t>
      </w:r>
      <w:r w:rsidR="002F6753">
        <w:rPr>
          <w:rStyle w:val="s1"/>
        </w:rPr>
        <w:t>and</w:t>
      </w:r>
      <w:r w:rsidR="00080819">
        <w:rPr>
          <w:rStyle w:val="s1"/>
        </w:rPr>
        <w:t xml:space="preserve"> Technology</w:t>
      </w:r>
      <w:r w:rsidR="002F6753">
        <w:rPr>
          <w:rStyle w:val="s1"/>
        </w:rPr>
        <w:t>;</w:t>
      </w:r>
      <w:r w:rsidR="00080819">
        <w:rPr>
          <w:rStyle w:val="s1"/>
        </w:rPr>
        <w:t xml:space="preserve"> and </w:t>
      </w:r>
      <w:r w:rsidR="00C34607">
        <w:rPr>
          <w:rStyle w:val="s1"/>
        </w:rPr>
        <w:t xml:space="preserve">David Furth, Brian Marenco, and </w:t>
      </w:r>
      <w:r w:rsidR="00080819">
        <w:rPr>
          <w:rStyle w:val="s1"/>
        </w:rPr>
        <w:t>Mic</w:t>
      </w:r>
      <w:r w:rsidR="00C34607">
        <w:rPr>
          <w:rStyle w:val="s1"/>
        </w:rPr>
        <w:t>hael Wilhelm</w:t>
      </w:r>
      <w:r w:rsidR="00080819">
        <w:rPr>
          <w:rStyle w:val="s1"/>
        </w:rPr>
        <w:t xml:space="preserve"> in the Public Safety and Homeland Security Bureau.  </w:t>
      </w:r>
      <w:r w:rsidR="00071DE0">
        <w:rPr>
          <w:rFonts w:eastAsia="Calibri"/>
        </w:rPr>
        <w:t xml:space="preserve">Thanks to your </w:t>
      </w:r>
      <w:r w:rsidR="00787DB4">
        <w:rPr>
          <w:rFonts w:eastAsia="Calibri"/>
        </w:rPr>
        <w:t>labors</w:t>
      </w:r>
      <w:r w:rsidR="00071DE0">
        <w:rPr>
          <w:rFonts w:eastAsia="Calibri"/>
        </w:rPr>
        <w:t>, we are sticking together and futurizing our attitudes about cellular licensing in ways that will benefit consumers</w:t>
      </w:r>
      <w:r w:rsidR="002F6753">
        <w:rPr>
          <w:rFonts w:eastAsia="Calibri"/>
        </w:rPr>
        <w:t xml:space="preserve"> in years to come</w:t>
      </w:r>
      <w:r w:rsidR="00071DE0">
        <w:rPr>
          <w:rFonts w:eastAsia="Calibri"/>
        </w:rPr>
        <w:t>.</w:t>
      </w:r>
    </w:p>
    <w:sectPr w:rsidR="00080819" w:rsidRPr="00985B06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BBA12" w14:textId="77777777" w:rsidR="008F4C14" w:rsidRDefault="008F4C14" w:rsidP="00707EF7">
      <w:pPr>
        <w:spacing w:after="0"/>
      </w:pPr>
      <w:r>
        <w:separator/>
      </w:r>
    </w:p>
  </w:endnote>
  <w:endnote w:type="continuationSeparator" w:id="0">
    <w:p w14:paraId="6D794C58" w14:textId="77777777" w:rsidR="008F4C14" w:rsidRDefault="008F4C14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8A98C" w14:textId="77777777" w:rsidR="00AE1B9C" w:rsidRDefault="00AE1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9913B" w14:textId="77777777" w:rsidR="007B26C4" w:rsidRDefault="007B2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6998" w14:textId="77777777" w:rsidR="00AE1B9C" w:rsidRDefault="00AE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FD6BB" w14:textId="77777777" w:rsidR="008F4C14" w:rsidRDefault="008F4C14" w:rsidP="00707EF7">
      <w:pPr>
        <w:spacing w:after="0"/>
      </w:pPr>
      <w:r>
        <w:separator/>
      </w:r>
    </w:p>
  </w:footnote>
  <w:footnote w:type="continuationSeparator" w:id="0">
    <w:p w14:paraId="148DF7A9" w14:textId="77777777" w:rsidR="008F4C14" w:rsidRDefault="008F4C14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6F2E" w14:textId="77777777" w:rsidR="00AE1B9C" w:rsidRDefault="00AE1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756D8" w14:textId="77777777" w:rsidR="00AE1B9C" w:rsidRDefault="00AE1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0BFE" w14:textId="77777777" w:rsidR="00AE1B9C" w:rsidRDefault="00AE1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71DE0"/>
    <w:rsid w:val="00074FC9"/>
    <w:rsid w:val="00080819"/>
    <w:rsid w:val="00136C25"/>
    <w:rsid w:val="00166AFC"/>
    <w:rsid w:val="00180E16"/>
    <w:rsid w:val="001B5AF9"/>
    <w:rsid w:val="001C0C73"/>
    <w:rsid w:val="001D4D9D"/>
    <w:rsid w:val="00204B37"/>
    <w:rsid w:val="00234381"/>
    <w:rsid w:val="00240CFF"/>
    <w:rsid w:val="002D0EBB"/>
    <w:rsid w:val="002D37C3"/>
    <w:rsid w:val="002D7624"/>
    <w:rsid w:val="002F2941"/>
    <w:rsid w:val="002F6753"/>
    <w:rsid w:val="00304531"/>
    <w:rsid w:val="00336364"/>
    <w:rsid w:val="00340778"/>
    <w:rsid w:val="00347A72"/>
    <w:rsid w:val="00382F6B"/>
    <w:rsid w:val="003A08EA"/>
    <w:rsid w:val="003B0EE5"/>
    <w:rsid w:val="003B147A"/>
    <w:rsid w:val="004000BC"/>
    <w:rsid w:val="00412832"/>
    <w:rsid w:val="004B204E"/>
    <w:rsid w:val="004C1BB3"/>
    <w:rsid w:val="0052479A"/>
    <w:rsid w:val="00552C9B"/>
    <w:rsid w:val="005649FD"/>
    <w:rsid w:val="005F1D0A"/>
    <w:rsid w:val="005F7C56"/>
    <w:rsid w:val="00644288"/>
    <w:rsid w:val="00661614"/>
    <w:rsid w:val="006678AF"/>
    <w:rsid w:val="00683C8D"/>
    <w:rsid w:val="006949BD"/>
    <w:rsid w:val="006C378F"/>
    <w:rsid w:val="006C7011"/>
    <w:rsid w:val="006D6CE1"/>
    <w:rsid w:val="00707EF7"/>
    <w:rsid w:val="00713A98"/>
    <w:rsid w:val="007332E1"/>
    <w:rsid w:val="00766F04"/>
    <w:rsid w:val="00771851"/>
    <w:rsid w:val="00781053"/>
    <w:rsid w:val="00787DB4"/>
    <w:rsid w:val="007926F3"/>
    <w:rsid w:val="007B26C4"/>
    <w:rsid w:val="007B39D4"/>
    <w:rsid w:val="007C5F00"/>
    <w:rsid w:val="007F033E"/>
    <w:rsid w:val="00807B92"/>
    <w:rsid w:val="00841B94"/>
    <w:rsid w:val="00855A8C"/>
    <w:rsid w:val="00871332"/>
    <w:rsid w:val="008A05A7"/>
    <w:rsid w:val="008E1764"/>
    <w:rsid w:val="008F4C14"/>
    <w:rsid w:val="00935D6B"/>
    <w:rsid w:val="00946671"/>
    <w:rsid w:val="0095338A"/>
    <w:rsid w:val="00966512"/>
    <w:rsid w:val="009675CC"/>
    <w:rsid w:val="00967C16"/>
    <w:rsid w:val="00972D74"/>
    <w:rsid w:val="00984F83"/>
    <w:rsid w:val="00985B06"/>
    <w:rsid w:val="009A04B5"/>
    <w:rsid w:val="009C388B"/>
    <w:rsid w:val="009E44B1"/>
    <w:rsid w:val="00A06745"/>
    <w:rsid w:val="00A968F7"/>
    <w:rsid w:val="00AB00E3"/>
    <w:rsid w:val="00AB29AC"/>
    <w:rsid w:val="00AB7700"/>
    <w:rsid w:val="00AC6225"/>
    <w:rsid w:val="00AD5B94"/>
    <w:rsid w:val="00AE1B9C"/>
    <w:rsid w:val="00AF0B95"/>
    <w:rsid w:val="00AF2146"/>
    <w:rsid w:val="00B3562D"/>
    <w:rsid w:val="00B53A9B"/>
    <w:rsid w:val="00B80B62"/>
    <w:rsid w:val="00BA2A0E"/>
    <w:rsid w:val="00BA6AAD"/>
    <w:rsid w:val="00BB2461"/>
    <w:rsid w:val="00C34607"/>
    <w:rsid w:val="00C410DD"/>
    <w:rsid w:val="00C462A3"/>
    <w:rsid w:val="00C55E16"/>
    <w:rsid w:val="00C57A26"/>
    <w:rsid w:val="00C66C1B"/>
    <w:rsid w:val="00CF3147"/>
    <w:rsid w:val="00CF48A7"/>
    <w:rsid w:val="00D21AA4"/>
    <w:rsid w:val="00D41C4F"/>
    <w:rsid w:val="00D47A7C"/>
    <w:rsid w:val="00D66310"/>
    <w:rsid w:val="00D70639"/>
    <w:rsid w:val="00D81A7C"/>
    <w:rsid w:val="00D92739"/>
    <w:rsid w:val="00DA1558"/>
    <w:rsid w:val="00DA5936"/>
    <w:rsid w:val="00DA7526"/>
    <w:rsid w:val="00DB716B"/>
    <w:rsid w:val="00DC27D0"/>
    <w:rsid w:val="00DD3BC3"/>
    <w:rsid w:val="00DF39F6"/>
    <w:rsid w:val="00E00C8D"/>
    <w:rsid w:val="00E109AD"/>
    <w:rsid w:val="00E23721"/>
    <w:rsid w:val="00E365FA"/>
    <w:rsid w:val="00EA712A"/>
    <w:rsid w:val="00EB0EC4"/>
    <w:rsid w:val="00EB4B61"/>
    <w:rsid w:val="00EC622F"/>
    <w:rsid w:val="00ED0565"/>
    <w:rsid w:val="00EE2167"/>
    <w:rsid w:val="00F5561A"/>
    <w:rsid w:val="00F83518"/>
    <w:rsid w:val="00F928A1"/>
    <w:rsid w:val="00FC656A"/>
    <w:rsid w:val="00FC7301"/>
    <w:rsid w:val="00FD26AD"/>
    <w:rsid w:val="00FE7908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customStyle="1" w:styleId="p1">
    <w:name w:val="p1"/>
    <w:basedOn w:val="Normal"/>
    <w:rsid w:val="00080819"/>
    <w:pPr>
      <w:spacing w:after="0"/>
    </w:pPr>
    <w:rPr>
      <w:rFonts w:ascii="Times" w:hAnsi="Times" w:cs="Times New Roman"/>
      <w:sz w:val="24"/>
      <w:szCs w:val="24"/>
    </w:rPr>
  </w:style>
  <w:style w:type="character" w:customStyle="1" w:styleId="s1">
    <w:name w:val="s1"/>
    <w:basedOn w:val="DefaultParagraphFont"/>
    <w:rsid w:val="00080819"/>
  </w:style>
  <w:style w:type="character" w:styleId="CommentReference">
    <w:name w:val="annotation reference"/>
    <w:basedOn w:val="DefaultParagraphFont"/>
    <w:uiPriority w:val="99"/>
    <w:semiHidden/>
    <w:unhideWhenUsed/>
    <w:rsid w:val="00B35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2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2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37C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customStyle="1" w:styleId="p1">
    <w:name w:val="p1"/>
    <w:basedOn w:val="Normal"/>
    <w:rsid w:val="00080819"/>
    <w:pPr>
      <w:spacing w:after="0"/>
    </w:pPr>
    <w:rPr>
      <w:rFonts w:ascii="Times" w:hAnsi="Times" w:cs="Times New Roman"/>
      <w:sz w:val="24"/>
      <w:szCs w:val="24"/>
    </w:rPr>
  </w:style>
  <w:style w:type="character" w:customStyle="1" w:styleId="s1">
    <w:name w:val="s1"/>
    <w:basedOn w:val="DefaultParagraphFont"/>
    <w:rsid w:val="00080819"/>
  </w:style>
  <w:style w:type="character" w:styleId="CommentReference">
    <w:name w:val="annotation reference"/>
    <w:basedOn w:val="DefaultParagraphFont"/>
    <w:uiPriority w:val="99"/>
    <w:semiHidden/>
    <w:unhideWhenUsed/>
    <w:rsid w:val="00B35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2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2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37C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2724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2017-03-24T18:00:00Z</dcterms:created>
  <dcterms:modified xsi:type="dcterms:W3CDTF">2017-03-24T18:00:00Z</dcterms:modified>
  <cp:category> </cp:category>
  <cp:contentStatus> </cp:contentStatus>
</cp:coreProperties>
</file>