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55F5" w14:textId="7FE6BBB8" w:rsidR="007D7D91" w:rsidRPr="007D7D91" w:rsidRDefault="007D7D91" w:rsidP="00346EF6">
      <w:pPr>
        <w:widowControl/>
        <w:jc w:val="center"/>
        <w:rPr>
          <w:b/>
          <w:szCs w:val="22"/>
        </w:rPr>
      </w:pPr>
      <w:bookmarkStart w:id="0" w:name="_GoBack"/>
      <w:bookmarkEnd w:id="0"/>
      <w:r w:rsidRPr="007D7D91">
        <w:rPr>
          <w:b/>
          <w:szCs w:val="22"/>
        </w:rPr>
        <w:t>Before the</w:t>
      </w:r>
    </w:p>
    <w:p w14:paraId="60363DC4" w14:textId="77777777" w:rsidR="007D7D91" w:rsidRPr="007D7D91" w:rsidRDefault="007D7D91" w:rsidP="00346EF6">
      <w:pPr>
        <w:pStyle w:val="StyleBoldCentered"/>
        <w:widowControl/>
        <w:rPr>
          <w:rFonts w:ascii="Times New Roman" w:hAnsi="Times New Roman"/>
        </w:rPr>
      </w:pPr>
      <w:r w:rsidRPr="007D7D91">
        <w:rPr>
          <w:rFonts w:ascii="Times New Roman" w:hAnsi="Times New Roman"/>
        </w:rPr>
        <w:t>F</w:t>
      </w:r>
      <w:r w:rsidRPr="007D7D91">
        <w:rPr>
          <w:rFonts w:ascii="Times New Roman" w:hAnsi="Times New Roman"/>
          <w:caps w:val="0"/>
        </w:rPr>
        <w:t>ederal Communications Commission</w:t>
      </w:r>
    </w:p>
    <w:p w14:paraId="1BEC7706" w14:textId="77777777" w:rsidR="007D7D91" w:rsidRPr="007D7D91" w:rsidRDefault="007D7D91" w:rsidP="00346EF6">
      <w:pPr>
        <w:pStyle w:val="StyleBoldCentered"/>
        <w:widowControl/>
        <w:rPr>
          <w:rFonts w:ascii="Times New Roman" w:hAnsi="Times New Roman"/>
        </w:rPr>
      </w:pPr>
      <w:r w:rsidRPr="007D7D91">
        <w:rPr>
          <w:rFonts w:ascii="Times New Roman" w:hAnsi="Times New Roman"/>
          <w:caps w:val="0"/>
        </w:rPr>
        <w:t>Washington, D.C. 20554</w:t>
      </w:r>
    </w:p>
    <w:p w14:paraId="3201C1D2" w14:textId="77777777" w:rsidR="00216D2B" w:rsidRPr="007D7D91" w:rsidRDefault="00216D2B" w:rsidP="00346EF6">
      <w:pPr>
        <w:widowControl/>
        <w:rPr>
          <w:szCs w:val="22"/>
        </w:rPr>
      </w:pPr>
    </w:p>
    <w:tbl>
      <w:tblPr>
        <w:tblW w:w="9576" w:type="dxa"/>
        <w:tblLayout w:type="fixed"/>
        <w:tblLook w:val="0000" w:firstRow="0" w:lastRow="0" w:firstColumn="0" w:lastColumn="0" w:noHBand="0" w:noVBand="0"/>
      </w:tblPr>
      <w:tblGrid>
        <w:gridCol w:w="4698"/>
        <w:gridCol w:w="630"/>
        <w:gridCol w:w="4248"/>
      </w:tblGrid>
      <w:tr w:rsidR="007D7D91" w:rsidRPr="007D7D91" w14:paraId="5848AC17" w14:textId="77777777" w:rsidTr="00224FFC">
        <w:tc>
          <w:tcPr>
            <w:tcW w:w="4698" w:type="dxa"/>
          </w:tcPr>
          <w:p w14:paraId="7CEC7696" w14:textId="77777777" w:rsidR="007D7D91" w:rsidRPr="007D7D91" w:rsidRDefault="007D7D91" w:rsidP="00346EF6">
            <w:pPr>
              <w:widowControl/>
              <w:tabs>
                <w:tab w:val="center" w:pos="4680"/>
              </w:tabs>
              <w:suppressAutoHyphens/>
              <w:rPr>
                <w:spacing w:val="-2"/>
                <w:szCs w:val="22"/>
              </w:rPr>
            </w:pPr>
            <w:r w:rsidRPr="007D7D91">
              <w:rPr>
                <w:spacing w:val="-2"/>
                <w:szCs w:val="22"/>
              </w:rPr>
              <w:t>In the Matter of</w:t>
            </w:r>
          </w:p>
          <w:p w14:paraId="168E5600" w14:textId="77777777" w:rsidR="007D7D91" w:rsidRPr="007D7D91" w:rsidRDefault="007D7D91" w:rsidP="00346EF6">
            <w:pPr>
              <w:widowControl/>
              <w:tabs>
                <w:tab w:val="center" w:pos="4680"/>
              </w:tabs>
              <w:suppressAutoHyphens/>
              <w:rPr>
                <w:spacing w:val="-2"/>
                <w:szCs w:val="22"/>
              </w:rPr>
            </w:pPr>
          </w:p>
          <w:p w14:paraId="6D85FB10" w14:textId="77777777" w:rsidR="007D7D91" w:rsidRDefault="005F44F6" w:rsidP="00346EF6">
            <w:pPr>
              <w:widowControl/>
              <w:tabs>
                <w:tab w:val="center" w:pos="4680"/>
              </w:tabs>
              <w:suppressAutoHyphens/>
              <w:rPr>
                <w:spacing w:val="-2"/>
                <w:szCs w:val="22"/>
              </w:rPr>
            </w:pPr>
            <w:r w:rsidRPr="005F44F6">
              <w:rPr>
                <w:spacing w:val="-2"/>
                <w:szCs w:val="22"/>
              </w:rPr>
              <w:t>Joseph A. Sofio</w:t>
            </w:r>
          </w:p>
          <w:p w14:paraId="47FD9670" w14:textId="77777777" w:rsidR="007D7D91" w:rsidRDefault="007D7D91" w:rsidP="00346EF6">
            <w:pPr>
              <w:widowControl/>
              <w:tabs>
                <w:tab w:val="center" w:pos="4680"/>
              </w:tabs>
              <w:suppressAutoHyphens/>
              <w:rPr>
                <w:spacing w:val="-2"/>
                <w:szCs w:val="22"/>
              </w:rPr>
            </w:pPr>
          </w:p>
          <w:p w14:paraId="668129D1" w14:textId="77777777" w:rsidR="005F44F6" w:rsidRDefault="005F44F6" w:rsidP="00346EF6">
            <w:pPr>
              <w:widowControl/>
              <w:tabs>
                <w:tab w:val="center" w:pos="4680"/>
              </w:tabs>
              <w:suppressAutoHyphens/>
              <w:rPr>
                <w:szCs w:val="22"/>
              </w:rPr>
            </w:pPr>
            <w:r>
              <w:rPr>
                <w:szCs w:val="22"/>
              </w:rPr>
              <w:t xml:space="preserve">Application for AWS-3 Licenses in the </w:t>
            </w:r>
          </w:p>
          <w:p w14:paraId="042E1CAF" w14:textId="77777777" w:rsidR="005F44F6" w:rsidRDefault="005F44F6" w:rsidP="00346EF6">
            <w:pPr>
              <w:widowControl/>
              <w:tabs>
                <w:tab w:val="center" w:pos="4680"/>
              </w:tabs>
              <w:suppressAutoHyphens/>
              <w:rPr>
                <w:szCs w:val="22"/>
              </w:rPr>
            </w:pPr>
            <w:r>
              <w:rPr>
                <w:szCs w:val="22"/>
              </w:rPr>
              <w:t xml:space="preserve">1695-1710 MHz, 1755-1780 MHz </w:t>
            </w:r>
          </w:p>
          <w:p w14:paraId="780F0C4F" w14:textId="77777777" w:rsidR="007D7D91" w:rsidRPr="007D7D91" w:rsidRDefault="005F44F6" w:rsidP="00346EF6">
            <w:pPr>
              <w:widowControl/>
              <w:tabs>
                <w:tab w:val="center" w:pos="4680"/>
              </w:tabs>
              <w:suppressAutoHyphens/>
              <w:rPr>
                <w:spacing w:val="-2"/>
                <w:szCs w:val="22"/>
              </w:rPr>
            </w:pPr>
            <w:r>
              <w:rPr>
                <w:szCs w:val="22"/>
              </w:rPr>
              <w:t>and 2155-2180 MHz Bands</w:t>
            </w:r>
          </w:p>
        </w:tc>
        <w:tc>
          <w:tcPr>
            <w:tcW w:w="630" w:type="dxa"/>
          </w:tcPr>
          <w:p w14:paraId="74582F61" w14:textId="77777777" w:rsidR="007D7D91" w:rsidRPr="007D7D91" w:rsidRDefault="007D7D91" w:rsidP="00346EF6">
            <w:pPr>
              <w:widowControl/>
              <w:tabs>
                <w:tab w:val="center" w:pos="4680"/>
              </w:tabs>
              <w:suppressAutoHyphens/>
              <w:rPr>
                <w:b/>
                <w:spacing w:val="-2"/>
                <w:szCs w:val="22"/>
              </w:rPr>
            </w:pPr>
            <w:r w:rsidRPr="007D7D91">
              <w:rPr>
                <w:b/>
                <w:spacing w:val="-2"/>
                <w:szCs w:val="22"/>
              </w:rPr>
              <w:t>)</w:t>
            </w:r>
          </w:p>
          <w:p w14:paraId="761E7FAA" w14:textId="77777777" w:rsidR="007D7D91" w:rsidRPr="007D7D91" w:rsidRDefault="007D7D91" w:rsidP="00346EF6">
            <w:pPr>
              <w:widowControl/>
              <w:tabs>
                <w:tab w:val="center" w:pos="4680"/>
              </w:tabs>
              <w:suppressAutoHyphens/>
              <w:rPr>
                <w:b/>
                <w:spacing w:val="-2"/>
                <w:szCs w:val="22"/>
              </w:rPr>
            </w:pPr>
            <w:r w:rsidRPr="007D7D91">
              <w:rPr>
                <w:b/>
                <w:spacing w:val="-2"/>
                <w:szCs w:val="22"/>
              </w:rPr>
              <w:t>)</w:t>
            </w:r>
          </w:p>
          <w:p w14:paraId="0B149E76" w14:textId="77777777" w:rsidR="007D7D91" w:rsidRPr="007D7D91" w:rsidRDefault="007D7D91" w:rsidP="00346EF6">
            <w:pPr>
              <w:widowControl/>
              <w:tabs>
                <w:tab w:val="center" w:pos="4680"/>
              </w:tabs>
              <w:suppressAutoHyphens/>
              <w:rPr>
                <w:b/>
                <w:spacing w:val="-2"/>
                <w:szCs w:val="22"/>
              </w:rPr>
            </w:pPr>
            <w:r w:rsidRPr="007D7D91">
              <w:rPr>
                <w:b/>
                <w:spacing w:val="-2"/>
                <w:szCs w:val="22"/>
              </w:rPr>
              <w:t>)</w:t>
            </w:r>
          </w:p>
          <w:p w14:paraId="310FD887" w14:textId="77777777" w:rsidR="007D7D91" w:rsidRPr="007D7D91" w:rsidRDefault="007D7D91" w:rsidP="00346EF6">
            <w:pPr>
              <w:widowControl/>
              <w:tabs>
                <w:tab w:val="center" w:pos="4680"/>
              </w:tabs>
              <w:suppressAutoHyphens/>
              <w:rPr>
                <w:b/>
                <w:spacing w:val="-2"/>
                <w:szCs w:val="22"/>
              </w:rPr>
            </w:pPr>
            <w:r w:rsidRPr="007D7D91">
              <w:rPr>
                <w:b/>
                <w:spacing w:val="-2"/>
                <w:szCs w:val="22"/>
              </w:rPr>
              <w:t>)</w:t>
            </w:r>
          </w:p>
          <w:p w14:paraId="47F28DB5" w14:textId="77777777" w:rsidR="007D7D91" w:rsidRPr="007D7D91" w:rsidRDefault="007D7D91" w:rsidP="00346EF6">
            <w:pPr>
              <w:widowControl/>
              <w:tabs>
                <w:tab w:val="center" w:pos="4680"/>
              </w:tabs>
              <w:suppressAutoHyphens/>
              <w:rPr>
                <w:b/>
                <w:spacing w:val="-2"/>
                <w:szCs w:val="22"/>
              </w:rPr>
            </w:pPr>
            <w:r w:rsidRPr="007D7D91">
              <w:rPr>
                <w:b/>
                <w:spacing w:val="-2"/>
                <w:szCs w:val="22"/>
              </w:rPr>
              <w:t>)</w:t>
            </w:r>
          </w:p>
          <w:p w14:paraId="3F332A5A" w14:textId="77777777" w:rsidR="007D7D91" w:rsidRDefault="007D7D91" w:rsidP="00346EF6">
            <w:pPr>
              <w:widowControl/>
              <w:tabs>
                <w:tab w:val="center" w:pos="4680"/>
              </w:tabs>
              <w:suppressAutoHyphens/>
              <w:rPr>
                <w:b/>
                <w:spacing w:val="-2"/>
                <w:szCs w:val="22"/>
              </w:rPr>
            </w:pPr>
            <w:r w:rsidRPr="007D7D91">
              <w:rPr>
                <w:b/>
                <w:spacing w:val="-2"/>
                <w:szCs w:val="22"/>
              </w:rPr>
              <w:t>)</w:t>
            </w:r>
          </w:p>
          <w:p w14:paraId="28EC911E" w14:textId="77777777" w:rsidR="00DC0649" w:rsidRPr="007D7D91" w:rsidRDefault="00DC0649" w:rsidP="00346EF6">
            <w:pPr>
              <w:widowControl/>
              <w:tabs>
                <w:tab w:val="center" w:pos="4680"/>
              </w:tabs>
              <w:suppressAutoHyphens/>
              <w:rPr>
                <w:b/>
                <w:spacing w:val="-2"/>
                <w:szCs w:val="22"/>
              </w:rPr>
            </w:pPr>
            <w:r>
              <w:rPr>
                <w:b/>
                <w:spacing w:val="-2"/>
                <w:szCs w:val="22"/>
              </w:rPr>
              <w:t>)</w:t>
            </w:r>
          </w:p>
        </w:tc>
        <w:tc>
          <w:tcPr>
            <w:tcW w:w="4248" w:type="dxa"/>
          </w:tcPr>
          <w:p w14:paraId="1687FE3F" w14:textId="77777777" w:rsidR="007D7D91" w:rsidRPr="007D7D91" w:rsidRDefault="007D7D91" w:rsidP="00346EF6">
            <w:pPr>
              <w:widowControl/>
              <w:tabs>
                <w:tab w:val="center" w:pos="4680"/>
              </w:tabs>
              <w:suppressAutoHyphens/>
              <w:rPr>
                <w:spacing w:val="-2"/>
                <w:szCs w:val="22"/>
              </w:rPr>
            </w:pPr>
          </w:p>
          <w:p w14:paraId="7A318243" w14:textId="77777777" w:rsidR="007D7D91" w:rsidRPr="007D7D91" w:rsidRDefault="007D7D91" w:rsidP="00346EF6">
            <w:pPr>
              <w:pStyle w:val="TOAHeading"/>
              <w:widowControl/>
              <w:tabs>
                <w:tab w:val="clear" w:pos="9360"/>
                <w:tab w:val="center" w:pos="4680"/>
              </w:tabs>
              <w:rPr>
                <w:spacing w:val="-2"/>
                <w:szCs w:val="22"/>
              </w:rPr>
            </w:pPr>
          </w:p>
          <w:p w14:paraId="585F3A33" w14:textId="77777777" w:rsidR="007D7D91" w:rsidRPr="007D7D91" w:rsidRDefault="007D7D91" w:rsidP="00346EF6">
            <w:pPr>
              <w:widowControl/>
              <w:tabs>
                <w:tab w:val="center" w:pos="4680"/>
              </w:tabs>
              <w:suppressAutoHyphens/>
              <w:rPr>
                <w:spacing w:val="-2"/>
                <w:szCs w:val="22"/>
              </w:rPr>
            </w:pPr>
            <w:r w:rsidRPr="007D7D91">
              <w:rPr>
                <w:spacing w:val="-2"/>
                <w:szCs w:val="22"/>
              </w:rPr>
              <w:t xml:space="preserve">File No. </w:t>
            </w:r>
            <w:r w:rsidR="005F44F6" w:rsidRPr="007B0F53">
              <w:rPr>
                <w:szCs w:val="22"/>
              </w:rPr>
              <w:t>0006670108</w:t>
            </w:r>
          </w:p>
        </w:tc>
      </w:tr>
    </w:tbl>
    <w:p w14:paraId="76FEC7F7" w14:textId="77777777" w:rsidR="007D7D91" w:rsidRPr="007D7D91" w:rsidRDefault="007D7D91" w:rsidP="00346EF6">
      <w:pPr>
        <w:widowControl/>
        <w:rPr>
          <w:szCs w:val="22"/>
        </w:rPr>
      </w:pPr>
    </w:p>
    <w:p w14:paraId="274A583A" w14:textId="77777777" w:rsidR="007D7D91" w:rsidRPr="007D7D91" w:rsidRDefault="007D7D91" w:rsidP="00346EF6">
      <w:pPr>
        <w:pStyle w:val="StyleBoldCentered"/>
        <w:widowControl/>
        <w:rPr>
          <w:rFonts w:ascii="Times New Roman" w:hAnsi="Times New Roman"/>
        </w:rPr>
      </w:pPr>
      <w:r w:rsidRPr="007D7D91">
        <w:rPr>
          <w:rFonts w:ascii="Times New Roman" w:hAnsi="Times New Roman"/>
        </w:rPr>
        <w:t>Memorandum Opinion and order</w:t>
      </w:r>
    </w:p>
    <w:p w14:paraId="6A276888" w14:textId="77777777" w:rsidR="007D7D91" w:rsidRPr="007D7D91" w:rsidRDefault="007D7D91" w:rsidP="00346EF6">
      <w:pPr>
        <w:widowControl/>
        <w:tabs>
          <w:tab w:val="left" w:pos="-720"/>
        </w:tabs>
        <w:suppressAutoHyphens/>
        <w:spacing w:line="227" w:lineRule="auto"/>
        <w:rPr>
          <w:spacing w:val="-2"/>
          <w:szCs w:val="22"/>
        </w:rPr>
      </w:pPr>
    </w:p>
    <w:p w14:paraId="04E223D8" w14:textId="4D6432D7" w:rsidR="007D7D91" w:rsidRPr="007D7D91" w:rsidRDefault="007D7D91" w:rsidP="00346EF6">
      <w:pPr>
        <w:widowControl/>
        <w:tabs>
          <w:tab w:val="left" w:pos="720"/>
          <w:tab w:val="right" w:pos="9360"/>
        </w:tabs>
        <w:suppressAutoHyphens/>
        <w:spacing w:line="227" w:lineRule="auto"/>
        <w:rPr>
          <w:spacing w:val="-2"/>
          <w:szCs w:val="22"/>
        </w:rPr>
      </w:pPr>
      <w:r w:rsidRPr="007D7D91">
        <w:rPr>
          <w:b/>
          <w:spacing w:val="-2"/>
          <w:szCs w:val="22"/>
        </w:rPr>
        <w:t xml:space="preserve">Adopted:  </w:t>
      </w:r>
      <w:r w:rsidR="0083583F">
        <w:rPr>
          <w:b/>
          <w:spacing w:val="-2"/>
          <w:szCs w:val="22"/>
        </w:rPr>
        <w:t>February 27</w:t>
      </w:r>
      <w:r w:rsidR="00BA6A11">
        <w:rPr>
          <w:b/>
          <w:spacing w:val="-2"/>
          <w:szCs w:val="22"/>
        </w:rPr>
        <w:t>, 201</w:t>
      </w:r>
      <w:r w:rsidR="006C7A00">
        <w:rPr>
          <w:b/>
          <w:spacing w:val="-2"/>
          <w:szCs w:val="22"/>
        </w:rPr>
        <w:t>7</w:t>
      </w:r>
      <w:r w:rsidRPr="007D7D91">
        <w:rPr>
          <w:b/>
          <w:spacing w:val="-2"/>
          <w:szCs w:val="22"/>
        </w:rPr>
        <w:tab/>
        <w:t xml:space="preserve">Released:  </w:t>
      </w:r>
      <w:r w:rsidR="0083583F">
        <w:rPr>
          <w:b/>
          <w:spacing w:val="-2"/>
          <w:szCs w:val="22"/>
        </w:rPr>
        <w:t>February 2</w:t>
      </w:r>
      <w:r w:rsidR="00C45CE0">
        <w:rPr>
          <w:b/>
          <w:spacing w:val="-2"/>
          <w:szCs w:val="22"/>
        </w:rPr>
        <w:t>8</w:t>
      </w:r>
      <w:r w:rsidR="00B939D3">
        <w:rPr>
          <w:b/>
          <w:spacing w:val="-2"/>
          <w:szCs w:val="22"/>
        </w:rPr>
        <w:t>, 201</w:t>
      </w:r>
      <w:r w:rsidR="006C7A00">
        <w:rPr>
          <w:b/>
          <w:spacing w:val="-2"/>
          <w:szCs w:val="22"/>
        </w:rPr>
        <w:t>7</w:t>
      </w:r>
    </w:p>
    <w:p w14:paraId="7285C14D" w14:textId="77777777" w:rsidR="007D7D91" w:rsidRPr="007D7D91" w:rsidRDefault="007D7D91" w:rsidP="00346EF6">
      <w:pPr>
        <w:widowControl/>
        <w:rPr>
          <w:szCs w:val="22"/>
        </w:rPr>
      </w:pPr>
    </w:p>
    <w:p w14:paraId="10558AC8" w14:textId="77777777" w:rsidR="007D7D91" w:rsidRDefault="007D7D91" w:rsidP="00346EF6">
      <w:pPr>
        <w:widowControl/>
        <w:rPr>
          <w:spacing w:val="-2"/>
          <w:szCs w:val="22"/>
        </w:rPr>
      </w:pPr>
      <w:r w:rsidRPr="007D7D91">
        <w:rPr>
          <w:szCs w:val="22"/>
        </w:rPr>
        <w:t xml:space="preserve">By the </w:t>
      </w:r>
      <w:r>
        <w:rPr>
          <w:spacing w:val="-2"/>
          <w:szCs w:val="22"/>
        </w:rPr>
        <w:t>Commission</w:t>
      </w:r>
      <w:r w:rsidRPr="007D7D91">
        <w:rPr>
          <w:spacing w:val="-2"/>
          <w:szCs w:val="22"/>
        </w:rPr>
        <w:t>:</w:t>
      </w:r>
    </w:p>
    <w:p w14:paraId="3CB9CC09" w14:textId="77777777" w:rsidR="007D7D91" w:rsidRPr="007D7D91" w:rsidRDefault="007D7D91" w:rsidP="00346EF6">
      <w:pPr>
        <w:widowControl/>
        <w:rPr>
          <w:spacing w:val="-2"/>
          <w:szCs w:val="22"/>
        </w:rPr>
      </w:pPr>
    </w:p>
    <w:p w14:paraId="3ED543A5" w14:textId="77777777" w:rsidR="007A5836" w:rsidRDefault="007A5836" w:rsidP="00346EF6">
      <w:pPr>
        <w:pStyle w:val="Heading1"/>
        <w:widowControl/>
      </w:pPr>
      <w:r>
        <w:t>introduction</w:t>
      </w:r>
    </w:p>
    <w:p w14:paraId="1690EAA2" w14:textId="660F5DF8" w:rsidR="00B939D3" w:rsidRDefault="0053156D" w:rsidP="00346EF6">
      <w:pPr>
        <w:pStyle w:val="ParaNum"/>
        <w:widowControl/>
      </w:pPr>
      <w:r>
        <w:t xml:space="preserve">In this </w:t>
      </w:r>
      <w:r>
        <w:rPr>
          <w:i/>
        </w:rPr>
        <w:t xml:space="preserve">Memorandum Opinion and </w:t>
      </w:r>
      <w:r w:rsidRPr="0053156D">
        <w:rPr>
          <w:i/>
        </w:rPr>
        <w:t>Order</w:t>
      </w:r>
      <w:r>
        <w:t xml:space="preserve">, we affirm the denial, in part, of a </w:t>
      </w:r>
      <w:r w:rsidRPr="00B939D3">
        <w:rPr>
          <w:szCs w:val="22"/>
        </w:rPr>
        <w:t xml:space="preserve">request </w:t>
      </w:r>
      <w:r>
        <w:rPr>
          <w:szCs w:val="22"/>
        </w:rPr>
        <w:t xml:space="preserve">for </w:t>
      </w:r>
      <w:r w:rsidRPr="00B939D3">
        <w:rPr>
          <w:szCs w:val="22"/>
        </w:rPr>
        <w:t>confidential treatment under Section 0.459 of the Commission’s rules</w:t>
      </w:r>
      <w:r>
        <w:rPr>
          <w:szCs w:val="22"/>
        </w:rPr>
        <w:t>.</w:t>
      </w:r>
      <w:r>
        <w:rPr>
          <w:rStyle w:val="FootnoteReference"/>
          <w:szCs w:val="22"/>
        </w:rPr>
        <w:footnoteReference w:id="2"/>
      </w:r>
      <w:r w:rsidRPr="00B939D3">
        <w:rPr>
          <w:szCs w:val="22"/>
        </w:rPr>
        <w:t xml:space="preserve"> </w:t>
      </w:r>
      <w:r>
        <w:rPr>
          <w:szCs w:val="22"/>
        </w:rPr>
        <w:t xml:space="preserve"> </w:t>
      </w:r>
      <w:r w:rsidR="00B939D3" w:rsidRPr="00B939D3">
        <w:rPr>
          <w:szCs w:val="22"/>
        </w:rPr>
        <w:t>Joseph A. Sofio (“Mr. Sofio” or “Applicant”)</w:t>
      </w:r>
      <w:r w:rsidR="00B939D3">
        <w:rPr>
          <w:rStyle w:val="FootnoteReference"/>
          <w:szCs w:val="22"/>
        </w:rPr>
        <w:footnoteReference w:id="3"/>
      </w:r>
      <w:r w:rsidR="00B939D3" w:rsidRPr="00B939D3">
        <w:rPr>
          <w:szCs w:val="22"/>
        </w:rPr>
        <w:t xml:space="preserve"> </w:t>
      </w:r>
      <w:r>
        <w:rPr>
          <w:szCs w:val="22"/>
        </w:rPr>
        <w:t xml:space="preserve">requested </w:t>
      </w:r>
      <w:r w:rsidRPr="00435120">
        <w:t>confidential</w:t>
      </w:r>
      <w:r>
        <w:rPr>
          <w:szCs w:val="22"/>
        </w:rPr>
        <w:t xml:space="preserve"> treatment </w:t>
      </w:r>
      <w:r w:rsidR="00EA477B" w:rsidRPr="00B939D3">
        <w:rPr>
          <w:szCs w:val="22"/>
        </w:rPr>
        <w:t>for certain information disclosed to the Commission in his application</w:t>
      </w:r>
      <w:r w:rsidR="00EA477B">
        <w:rPr>
          <w:szCs w:val="22"/>
        </w:rPr>
        <w:t xml:space="preserve"> for various AWS-3 licenses.</w:t>
      </w:r>
      <w:r w:rsidR="00EA477B">
        <w:rPr>
          <w:rStyle w:val="FootnoteReference"/>
          <w:szCs w:val="22"/>
        </w:rPr>
        <w:footnoteReference w:id="4"/>
      </w:r>
      <w:r w:rsidR="00EA477B">
        <w:rPr>
          <w:szCs w:val="22"/>
        </w:rPr>
        <w:t xml:space="preserve">  T</w:t>
      </w:r>
      <w:r w:rsidR="00CF5932">
        <w:rPr>
          <w:szCs w:val="22"/>
        </w:rPr>
        <w:t xml:space="preserve">he Broadband Division </w:t>
      </w:r>
      <w:r w:rsidR="002F5930">
        <w:rPr>
          <w:szCs w:val="22"/>
        </w:rPr>
        <w:t xml:space="preserve">(Division) </w:t>
      </w:r>
      <w:r w:rsidR="00CF5932">
        <w:rPr>
          <w:szCs w:val="22"/>
        </w:rPr>
        <w:t>of the Wireless Telecommunications Bureau</w:t>
      </w:r>
      <w:r w:rsidR="00EA477B">
        <w:rPr>
          <w:szCs w:val="22"/>
        </w:rPr>
        <w:t xml:space="preserve"> denied in part</w:t>
      </w:r>
      <w:r w:rsidR="00B939D3">
        <w:rPr>
          <w:szCs w:val="22"/>
        </w:rPr>
        <w:t xml:space="preserve"> the</w:t>
      </w:r>
      <w:r w:rsidR="00DC0E07">
        <w:rPr>
          <w:szCs w:val="22"/>
        </w:rPr>
        <w:t xml:space="preserve"> </w:t>
      </w:r>
      <w:r w:rsidR="00B939D3" w:rsidRPr="00B939D3">
        <w:rPr>
          <w:szCs w:val="22"/>
        </w:rPr>
        <w:t>request</w:t>
      </w:r>
      <w:r w:rsidR="00EA477B">
        <w:rPr>
          <w:szCs w:val="22"/>
        </w:rPr>
        <w:t>.</w:t>
      </w:r>
      <w:r w:rsidR="00EA477B">
        <w:rPr>
          <w:rStyle w:val="FootnoteReference"/>
          <w:szCs w:val="22"/>
        </w:rPr>
        <w:footnoteReference w:id="5"/>
      </w:r>
      <w:r w:rsidR="00CE154A">
        <w:rPr>
          <w:szCs w:val="22"/>
        </w:rPr>
        <w:t xml:space="preserve">  For the reasons discussed below, we </w:t>
      </w:r>
      <w:r w:rsidR="00EA477B">
        <w:rPr>
          <w:szCs w:val="22"/>
        </w:rPr>
        <w:t xml:space="preserve">affirm the Division and </w:t>
      </w:r>
      <w:r w:rsidR="00AE70DC">
        <w:rPr>
          <w:szCs w:val="22"/>
        </w:rPr>
        <w:t>deny</w:t>
      </w:r>
      <w:r w:rsidR="00CE154A">
        <w:rPr>
          <w:szCs w:val="22"/>
        </w:rPr>
        <w:t xml:space="preserve"> the </w:t>
      </w:r>
      <w:r w:rsidR="008B0F72">
        <w:rPr>
          <w:szCs w:val="22"/>
        </w:rPr>
        <w:t>Application for Review (</w:t>
      </w:r>
      <w:r w:rsidR="00CE154A">
        <w:rPr>
          <w:szCs w:val="22"/>
        </w:rPr>
        <w:t>AFR</w:t>
      </w:r>
      <w:r w:rsidR="008B0F72">
        <w:rPr>
          <w:szCs w:val="22"/>
        </w:rPr>
        <w:t>)</w:t>
      </w:r>
      <w:r w:rsidR="00CE154A">
        <w:rPr>
          <w:szCs w:val="22"/>
        </w:rPr>
        <w:t>.</w:t>
      </w:r>
    </w:p>
    <w:p w14:paraId="50860C96" w14:textId="77777777" w:rsidR="007A5836" w:rsidRPr="007A5836" w:rsidRDefault="007A5836" w:rsidP="00346EF6">
      <w:pPr>
        <w:pStyle w:val="Heading1"/>
        <w:widowControl/>
      </w:pPr>
      <w:r>
        <w:t>background</w:t>
      </w:r>
    </w:p>
    <w:p w14:paraId="419DB820" w14:textId="2D92EAD2" w:rsidR="007B78DF" w:rsidRDefault="00FC4508" w:rsidP="00346EF6">
      <w:pPr>
        <w:pStyle w:val="ParaNum"/>
        <w:widowControl/>
      </w:pPr>
      <w:r w:rsidRPr="00FC4508">
        <w:rPr>
          <w:i/>
        </w:rPr>
        <w:t>Claim for Designated Entity Status</w:t>
      </w:r>
      <w:r>
        <w:t xml:space="preserve">.  </w:t>
      </w:r>
      <w:r w:rsidR="00CE154A">
        <w:t xml:space="preserve">Mr. Sofio </w:t>
      </w:r>
      <w:r w:rsidR="00EA477B">
        <w:t>wa</w:t>
      </w:r>
      <w:r w:rsidR="00B205F2">
        <w:t xml:space="preserve">s </w:t>
      </w:r>
      <w:r w:rsidR="00CE154A">
        <w:t xml:space="preserve">the winning bidder for 28 licenses offered in Auction 97 with </w:t>
      </w:r>
      <w:r w:rsidR="007F0279">
        <w:t>net provisionally winning bids totaling $</w:t>
      </w:r>
      <w:r w:rsidR="007F0279" w:rsidRPr="00567589">
        <w:t>13</w:t>
      </w:r>
      <w:r w:rsidR="007F0279">
        <w:t>,</w:t>
      </w:r>
      <w:r w:rsidR="007F0279" w:rsidRPr="00567589">
        <w:t>483</w:t>
      </w:r>
      <w:r w:rsidR="007F0279">
        <w:t>,</w:t>
      </w:r>
      <w:r w:rsidR="007F0279" w:rsidRPr="00567589">
        <w:t>500</w:t>
      </w:r>
      <w:r w:rsidR="007F0279">
        <w:t xml:space="preserve"> (net of a requested “very small business” bidding credit of </w:t>
      </w:r>
      <w:r w:rsidR="003511A4">
        <w:t>$4,494,500</w:t>
      </w:r>
      <w:r w:rsidR="0062282E">
        <w:t>)</w:t>
      </w:r>
      <w:r w:rsidR="003511A4">
        <w:t>.</w:t>
      </w:r>
      <w:r w:rsidR="00CE154A">
        <w:rPr>
          <w:rStyle w:val="FootnoteReference"/>
          <w:szCs w:val="22"/>
        </w:rPr>
        <w:footnoteReference w:id="6"/>
      </w:r>
      <w:r w:rsidR="003511A4">
        <w:t xml:space="preserve">  </w:t>
      </w:r>
      <w:r w:rsidR="00162699">
        <w:t>Mr. Sofio applied in his individual capacity and</w:t>
      </w:r>
      <w:r w:rsidR="002E68F6">
        <w:t xml:space="preserve"> certified that he </w:t>
      </w:r>
      <w:r w:rsidR="00EA477B">
        <w:t>wa</w:t>
      </w:r>
      <w:r w:rsidR="002E68F6">
        <w:t xml:space="preserve">s </w:t>
      </w:r>
      <w:r w:rsidR="007B78DF">
        <w:t>a designated entity (“DE”)</w:t>
      </w:r>
      <w:r w:rsidR="00EA477B">
        <w:t xml:space="preserve">.  </w:t>
      </w:r>
      <w:r w:rsidR="00837CA1">
        <w:t xml:space="preserve">If found to be </w:t>
      </w:r>
      <w:r w:rsidR="00EA477B">
        <w:t xml:space="preserve">a DE, he </w:t>
      </w:r>
      <w:r w:rsidR="00837CA1">
        <w:t xml:space="preserve">would be </w:t>
      </w:r>
      <w:r w:rsidR="002E68F6">
        <w:t xml:space="preserve">eligible for a </w:t>
      </w:r>
      <w:r w:rsidR="009B2AFC">
        <w:t xml:space="preserve">25 percent bidding credit </w:t>
      </w:r>
      <w:r w:rsidR="007B78DF">
        <w:t xml:space="preserve">available to </w:t>
      </w:r>
      <w:r w:rsidR="00F424B8">
        <w:t>a very small business</w:t>
      </w:r>
      <w:r w:rsidR="007B78DF">
        <w:t xml:space="preserve">, </w:t>
      </w:r>
      <w:r w:rsidR="00567589">
        <w:t xml:space="preserve">which </w:t>
      </w:r>
      <w:r w:rsidR="00F424B8">
        <w:t xml:space="preserve">for Auction 97 was defined </w:t>
      </w:r>
      <w:r w:rsidR="007B78DF">
        <w:t xml:space="preserve">as </w:t>
      </w:r>
      <w:r w:rsidR="00E81B8A" w:rsidRPr="00E81B8A">
        <w:t>an entity that, together with its affiliates, its controlling interests and the affiliates of its controlling interests, ha</w:t>
      </w:r>
      <w:r w:rsidR="00F424B8">
        <w:t>d</w:t>
      </w:r>
      <w:r w:rsidR="00E81B8A" w:rsidRPr="00E81B8A">
        <w:t xml:space="preserve"> average gross revenues that </w:t>
      </w:r>
      <w:r w:rsidR="00B5170F">
        <w:t xml:space="preserve">were </w:t>
      </w:r>
      <w:r w:rsidR="00E81B8A" w:rsidRPr="00E81B8A">
        <w:t>not more than $15 million for the preceding three years</w:t>
      </w:r>
      <w:r w:rsidR="00F424B8">
        <w:t xml:space="preserve"> (2011-2013</w:t>
      </w:r>
      <w:r w:rsidR="003511A4">
        <w:t>)</w:t>
      </w:r>
      <w:r w:rsidR="00F424B8">
        <w:t>.</w:t>
      </w:r>
      <w:r>
        <w:rPr>
          <w:rStyle w:val="FootnoteReference"/>
        </w:rPr>
        <w:footnoteReference w:id="7"/>
      </w:r>
      <w:r w:rsidR="003511A4">
        <w:t xml:space="preserve">  </w:t>
      </w:r>
    </w:p>
    <w:p w14:paraId="5AAD7119" w14:textId="7128F6F7" w:rsidR="00C43623" w:rsidRPr="00C43623" w:rsidRDefault="008D35E8" w:rsidP="00346EF6">
      <w:pPr>
        <w:pStyle w:val="ParaNum"/>
        <w:widowControl/>
      </w:pPr>
      <w:r w:rsidRPr="008D35E8">
        <w:rPr>
          <w:i/>
        </w:rPr>
        <w:t>Long-form Application</w:t>
      </w:r>
      <w:r>
        <w:t xml:space="preserve">.  </w:t>
      </w:r>
      <w:r w:rsidR="002D697B">
        <w:t xml:space="preserve">Applicants seeking </w:t>
      </w:r>
      <w:r w:rsidR="002D697B" w:rsidRPr="00806938">
        <w:rPr>
          <w:szCs w:val="22"/>
        </w:rPr>
        <w:t>bidding</w:t>
      </w:r>
      <w:r w:rsidR="002D697B">
        <w:t xml:space="preserve"> credits are required to adhere to reporting requirements, including disclosure of affiliates or agreements.  </w:t>
      </w:r>
      <w:r w:rsidR="00C85DD0">
        <w:t xml:space="preserve">In </w:t>
      </w:r>
      <w:r w:rsidR="002D697B">
        <w:t xml:space="preserve">his initial </w:t>
      </w:r>
      <w:r w:rsidR="00C85DD0">
        <w:t xml:space="preserve">application </w:t>
      </w:r>
      <w:r w:rsidR="002D697B">
        <w:t>of</w:t>
      </w:r>
      <w:r w:rsidR="00CE154A">
        <w:t xml:space="preserve"> </w:t>
      </w:r>
      <w:r w:rsidR="00CE154A">
        <w:lastRenderedPageBreak/>
        <w:t xml:space="preserve">February 13, 2015, </w:t>
      </w:r>
      <w:r w:rsidR="00D13ECA">
        <w:t xml:space="preserve">Mr. Sofio </w:t>
      </w:r>
      <w:r w:rsidR="005E111E">
        <w:t xml:space="preserve">represented that he </w:t>
      </w:r>
      <w:r w:rsidR="002E68F6">
        <w:t xml:space="preserve">had no </w:t>
      </w:r>
      <w:r w:rsidR="00CE154A" w:rsidRPr="00A9697B">
        <w:t xml:space="preserve">affiliates </w:t>
      </w:r>
      <w:r w:rsidR="00D13ECA">
        <w:t xml:space="preserve">or agreements </w:t>
      </w:r>
      <w:r w:rsidR="002D697B">
        <w:t xml:space="preserve">to </w:t>
      </w:r>
      <w:r w:rsidR="00E16BD3">
        <w:t>disclose.</w:t>
      </w:r>
      <w:r w:rsidR="003511A4">
        <w:t xml:space="preserve">  </w:t>
      </w:r>
      <w:r w:rsidR="00FA1F07">
        <w:t>T</w:t>
      </w:r>
      <w:r w:rsidR="009E2642">
        <w:t xml:space="preserve">he </w:t>
      </w:r>
      <w:r w:rsidR="004042D0">
        <w:t xml:space="preserve">staff </w:t>
      </w:r>
      <w:r w:rsidR="008B0BA1">
        <w:t xml:space="preserve">informally </w:t>
      </w:r>
      <w:r w:rsidR="004042D0">
        <w:t xml:space="preserve">contacted </w:t>
      </w:r>
      <w:r w:rsidR="00FA1F07">
        <w:t xml:space="preserve">Mr. Sofio </w:t>
      </w:r>
      <w:r w:rsidR="007E7BB3">
        <w:t xml:space="preserve">to discuss the Commission’s reporting requirements including several </w:t>
      </w:r>
      <w:r w:rsidR="00FA1F07">
        <w:t xml:space="preserve">exhibits </w:t>
      </w:r>
      <w:r w:rsidR="007E7BB3">
        <w:t xml:space="preserve">that Mr. Sofio needed to file </w:t>
      </w:r>
      <w:r w:rsidR="00FA1F07">
        <w:t xml:space="preserve">to make </w:t>
      </w:r>
      <w:r w:rsidR="007E7BB3">
        <w:t xml:space="preserve">his </w:t>
      </w:r>
      <w:r w:rsidR="00FA1F07">
        <w:t>application complete</w:t>
      </w:r>
      <w:r w:rsidR="007E7BB3">
        <w:t xml:space="preserve">.  </w:t>
      </w:r>
      <w:r w:rsidR="00CE154A">
        <w:t xml:space="preserve">Mr. </w:t>
      </w:r>
      <w:r w:rsidR="00C83AA0">
        <w:t xml:space="preserve">Sofio </w:t>
      </w:r>
      <w:r w:rsidR="00CE154A">
        <w:t>reiterated</w:t>
      </w:r>
      <w:r w:rsidR="002D697B">
        <w:t xml:space="preserve"> at that time</w:t>
      </w:r>
      <w:r w:rsidR="00CE154A">
        <w:t xml:space="preserve"> that he had </w:t>
      </w:r>
      <w:r w:rsidR="00E16BD3">
        <w:t xml:space="preserve">no affiliates and had </w:t>
      </w:r>
      <w:r w:rsidR="00CE154A">
        <w:t xml:space="preserve">entered </w:t>
      </w:r>
      <w:r w:rsidR="003E09A9">
        <w:t xml:space="preserve">no </w:t>
      </w:r>
      <w:r w:rsidR="00CE154A">
        <w:t xml:space="preserve">agreements </w:t>
      </w:r>
      <w:r w:rsidR="00E16BD3">
        <w:t xml:space="preserve">relevant to his </w:t>
      </w:r>
      <w:r w:rsidR="008B0BA1">
        <w:t>application.</w:t>
      </w:r>
      <w:r w:rsidR="003E09A9">
        <w:t xml:space="preserve"> </w:t>
      </w:r>
      <w:r w:rsidR="00477355">
        <w:t xml:space="preserve"> </w:t>
      </w:r>
      <w:r w:rsidR="0095395A">
        <w:t xml:space="preserve">Subsequently, </w:t>
      </w:r>
      <w:r w:rsidR="00F17187">
        <w:t xml:space="preserve">on March 10, 2015, </w:t>
      </w:r>
      <w:r w:rsidR="009B459F">
        <w:t xml:space="preserve">Mr. Sofio </w:t>
      </w:r>
      <w:r w:rsidR="00C673F2">
        <w:t>amended his application to disclose an affiliate</w:t>
      </w:r>
      <w:r w:rsidR="00E47F16">
        <w:rPr>
          <w:rStyle w:val="FootnoteReference"/>
        </w:rPr>
        <w:footnoteReference w:id="8"/>
      </w:r>
      <w:r w:rsidR="00C673F2">
        <w:t xml:space="preserve"> </w:t>
      </w:r>
      <w:r w:rsidR="00F17187">
        <w:t xml:space="preserve">and </w:t>
      </w:r>
      <w:r w:rsidR="00837CA1">
        <w:t xml:space="preserve">to </w:t>
      </w:r>
      <w:r w:rsidR="00F17187">
        <w:t>add exhibits.</w:t>
      </w:r>
      <w:r w:rsidR="00E47F16">
        <w:rPr>
          <w:rStyle w:val="FootnoteReference"/>
        </w:rPr>
        <w:footnoteReference w:id="9"/>
      </w:r>
      <w:r w:rsidR="00FF19D0">
        <w:t xml:space="preserve">  </w:t>
      </w:r>
      <w:r w:rsidR="002D697B">
        <w:t xml:space="preserve">On </w:t>
      </w:r>
      <w:r w:rsidR="00FF3537">
        <w:t xml:space="preserve">March 30, 2015, </w:t>
      </w:r>
      <w:r w:rsidR="00991AB6">
        <w:t xml:space="preserve">counsel </w:t>
      </w:r>
      <w:r w:rsidR="006758A9">
        <w:t>for</w:t>
      </w:r>
      <w:r w:rsidR="00FF19D0">
        <w:t xml:space="preserve"> Mr. Sofio</w:t>
      </w:r>
      <w:r w:rsidR="00E22A50">
        <w:t xml:space="preserve"> informed the staff </w:t>
      </w:r>
      <w:r w:rsidR="00DE7339">
        <w:t xml:space="preserve">that </w:t>
      </w:r>
      <w:r w:rsidR="00991AB6">
        <w:t xml:space="preserve">Mr. Sofio </w:t>
      </w:r>
      <w:r w:rsidR="00E22A50">
        <w:t xml:space="preserve">had </w:t>
      </w:r>
      <w:r w:rsidR="00DE7339">
        <w:t xml:space="preserve">one disclosable agreement </w:t>
      </w:r>
      <w:r w:rsidR="00F94877">
        <w:t xml:space="preserve">that </w:t>
      </w:r>
      <w:r w:rsidR="00023146">
        <w:t xml:space="preserve">counsel </w:t>
      </w:r>
      <w:r w:rsidR="00F94877">
        <w:t xml:space="preserve">described as an </w:t>
      </w:r>
      <w:r w:rsidR="00CE154A">
        <w:t xml:space="preserve">arms-length loan </w:t>
      </w:r>
      <w:r w:rsidR="00DE7339">
        <w:t>with an institutional lender.</w:t>
      </w:r>
      <w:r w:rsidR="00F94877">
        <w:t xml:space="preserve"> </w:t>
      </w:r>
      <w:r w:rsidR="00DE7339">
        <w:t xml:space="preserve"> </w:t>
      </w:r>
    </w:p>
    <w:p w14:paraId="4AD8C53E" w14:textId="1C8029CB" w:rsidR="00CE154A" w:rsidRPr="00CE154A" w:rsidRDefault="00C43623" w:rsidP="00346EF6">
      <w:pPr>
        <w:pStyle w:val="ParaNum"/>
        <w:widowControl/>
      </w:pPr>
      <w:r w:rsidRPr="00C43623">
        <w:rPr>
          <w:i/>
          <w:szCs w:val="22"/>
        </w:rPr>
        <w:t>Confidentiality Request</w:t>
      </w:r>
      <w:r>
        <w:rPr>
          <w:szCs w:val="22"/>
        </w:rPr>
        <w:t xml:space="preserve">.  </w:t>
      </w:r>
      <w:r w:rsidR="00CE154A">
        <w:rPr>
          <w:szCs w:val="22"/>
        </w:rPr>
        <w:t>On April 2, 2015, in response t</w:t>
      </w:r>
      <w:r w:rsidR="00DF3A2F">
        <w:rPr>
          <w:szCs w:val="22"/>
        </w:rPr>
        <w:t>o multiple staff inquiries, Mr. </w:t>
      </w:r>
      <w:r w:rsidR="00CE154A">
        <w:rPr>
          <w:szCs w:val="22"/>
        </w:rPr>
        <w:t xml:space="preserve">Sofio provided thirteen agreements, dated April 2, 2015, between Mr. Sofio and </w:t>
      </w:r>
      <w:r w:rsidR="009265F0">
        <w:rPr>
          <w:szCs w:val="22"/>
        </w:rPr>
        <w:t xml:space="preserve">ten </w:t>
      </w:r>
      <w:r w:rsidR="00CE154A">
        <w:rPr>
          <w:szCs w:val="22"/>
        </w:rPr>
        <w:t>individuals, one limited liability company, and two trusts.</w:t>
      </w:r>
      <w:r w:rsidR="00CE154A">
        <w:rPr>
          <w:rStyle w:val="FootnoteReference"/>
          <w:szCs w:val="22"/>
        </w:rPr>
        <w:footnoteReference w:id="10"/>
      </w:r>
      <w:r w:rsidR="00CE154A">
        <w:rPr>
          <w:szCs w:val="22"/>
        </w:rPr>
        <w:t xml:space="preserve">  Mr. Sofio sought confidential </w:t>
      </w:r>
      <w:r w:rsidR="00CE154A" w:rsidRPr="00435120">
        <w:t>treatment</w:t>
      </w:r>
      <w:r w:rsidR="00CE154A">
        <w:rPr>
          <w:szCs w:val="22"/>
        </w:rPr>
        <w:t xml:space="preserve"> for the </w:t>
      </w:r>
      <w:r w:rsidR="002D697B">
        <w:rPr>
          <w:szCs w:val="22"/>
        </w:rPr>
        <w:t xml:space="preserve">identities </w:t>
      </w:r>
      <w:r w:rsidR="00CE154A">
        <w:rPr>
          <w:szCs w:val="22"/>
        </w:rPr>
        <w:t>of nine of the individuals, one limited liability company, and two trusts</w:t>
      </w:r>
      <w:r w:rsidR="002D697B">
        <w:rPr>
          <w:szCs w:val="22"/>
        </w:rPr>
        <w:t>,</w:t>
      </w:r>
      <w:r w:rsidR="00CE154A">
        <w:rPr>
          <w:szCs w:val="22"/>
        </w:rPr>
        <w:t xml:space="preserve"> as well as </w:t>
      </w:r>
      <w:r w:rsidR="00D63EAF">
        <w:rPr>
          <w:szCs w:val="22"/>
        </w:rPr>
        <w:t>other details of the agreements</w:t>
      </w:r>
      <w:r w:rsidR="00CE154A">
        <w:rPr>
          <w:szCs w:val="22"/>
        </w:rPr>
        <w:t>.</w:t>
      </w:r>
      <w:r w:rsidR="00CE154A">
        <w:rPr>
          <w:rStyle w:val="FootnoteReference"/>
          <w:szCs w:val="22"/>
        </w:rPr>
        <w:footnoteReference w:id="11"/>
      </w:r>
      <w:r w:rsidR="00CE154A">
        <w:rPr>
          <w:szCs w:val="22"/>
        </w:rPr>
        <w:t xml:space="preserve">  </w:t>
      </w:r>
      <w:r w:rsidR="00027272">
        <w:t xml:space="preserve">Mr. Sofio did not seek confidential treatment </w:t>
      </w:r>
      <w:r w:rsidR="00B57D22">
        <w:t xml:space="preserve">of </w:t>
      </w:r>
      <w:r w:rsidR="00027272">
        <w:t>the names of his mother and sister</w:t>
      </w:r>
      <w:r w:rsidR="002D697B">
        <w:t xml:space="preserve">, </w:t>
      </w:r>
      <w:r w:rsidR="00027272">
        <w:t>explain</w:t>
      </w:r>
      <w:r w:rsidR="002D697B">
        <w:t>ing</w:t>
      </w:r>
      <w:r w:rsidR="00027272">
        <w:t xml:space="preserve"> that “the Commission’s rules presume some kinship affinity based on that level of family relatedness, but for the other lenders there is no reason </w:t>
      </w:r>
      <w:r w:rsidR="00027272" w:rsidRPr="00D63EAF">
        <w:t>for their identities to be released.”</w:t>
      </w:r>
      <w:bookmarkStart w:id="1" w:name="_Ref444785560"/>
      <w:r w:rsidR="00027272">
        <w:rPr>
          <w:rStyle w:val="FootnoteReference"/>
        </w:rPr>
        <w:footnoteReference w:id="12"/>
      </w:r>
      <w:bookmarkEnd w:id="1"/>
      <w:r w:rsidR="00027272">
        <w:t xml:space="preserve">  </w:t>
      </w:r>
      <w:r w:rsidR="00CE154A">
        <w:rPr>
          <w:szCs w:val="22"/>
        </w:rPr>
        <w:t xml:space="preserve">Mr. Sofio </w:t>
      </w:r>
      <w:r w:rsidR="00780930">
        <w:rPr>
          <w:szCs w:val="22"/>
        </w:rPr>
        <w:t xml:space="preserve">filed the redacted agreements as attachments to the FCC Form 601, but </w:t>
      </w:r>
      <w:r w:rsidR="00CE154A">
        <w:rPr>
          <w:szCs w:val="22"/>
        </w:rPr>
        <w:t>did not provide summaries of the agreements in Exhibit D to the FCC Form 601 or include the names of the parties to the agreements on FCC Form 601, Schedule B, as required.</w:t>
      </w:r>
      <w:r w:rsidR="00CE154A">
        <w:rPr>
          <w:rStyle w:val="FootnoteReference"/>
          <w:szCs w:val="22"/>
        </w:rPr>
        <w:footnoteReference w:id="13"/>
      </w:r>
      <w:r w:rsidR="00030495">
        <w:rPr>
          <w:szCs w:val="22"/>
        </w:rPr>
        <w:t xml:space="preserve">  </w:t>
      </w:r>
    </w:p>
    <w:p w14:paraId="7913AA58" w14:textId="18D53EBA" w:rsidR="00CE154A" w:rsidRPr="00EC36B0" w:rsidRDefault="00D17576" w:rsidP="00346EF6">
      <w:pPr>
        <w:pStyle w:val="ParaNum"/>
        <w:widowControl/>
      </w:pPr>
      <w:r w:rsidRPr="00D17576">
        <w:rPr>
          <w:i/>
          <w:szCs w:val="22"/>
        </w:rPr>
        <w:t>Supplemental Confidentiality Request</w:t>
      </w:r>
      <w:r>
        <w:rPr>
          <w:szCs w:val="22"/>
        </w:rPr>
        <w:t xml:space="preserve">.  </w:t>
      </w:r>
      <w:r w:rsidR="00CE154A">
        <w:rPr>
          <w:szCs w:val="22"/>
        </w:rPr>
        <w:t>On April 21, 2015, in response to further staff inquiries, Mr. Sofio again amended the FCC Form 601 to provide, as attachments to Exhibit D, agreements that were referenced in or superseded by the April 2</w:t>
      </w:r>
      <w:r w:rsidR="00CE154A" w:rsidRPr="00F12A12">
        <w:rPr>
          <w:szCs w:val="22"/>
        </w:rPr>
        <w:t>nd</w:t>
      </w:r>
      <w:r w:rsidR="00CE154A">
        <w:rPr>
          <w:szCs w:val="22"/>
        </w:rPr>
        <w:t xml:space="preserve"> agreements.</w:t>
      </w:r>
      <w:r w:rsidR="00CE154A">
        <w:rPr>
          <w:rStyle w:val="FootnoteReference"/>
          <w:szCs w:val="22"/>
        </w:rPr>
        <w:footnoteReference w:id="14"/>
      </w:r>
      <w:r w:rsidR="00CE154A">
        <w:rPr>
          <w:szCs w:val="22"/>
        </w:rPr>
        <w:t xml:space="preserve">  </w:t>
      </w:r>
      <w:r w:rsidR="00CE154A" w:rsidRPr="00435120">
        <w:t>Specifically</w:t>
      </w:r>
      <w:r w:rsidR="00CE154A">
        <w:rPr>
          <w:szCs w:val="22"/>
        </w:rPr>
        <w:t>, Mr. Sofio provided one promissory note to a limited liability company, dated October 2, 2014, and twelve promissory notes, dated February 25, 2015, to ten individuals and two trusts, with the promissory note to one of those indi</w:t>
      </w:r>
      <w:r w:rsidR="00527326">
        <w:rPr>
          <w:szCs w:val="22"/>
        </w:rPr>
        <w:t>viduals superseding the October </w:t>
      </w:r>
      <w:r w:rsidR="00CE154A">
        <w:rPr>
          <w:szCs w:val="22"/>
        </w:rPr>
        <w:t>2</w:t>
      </w:r>
      <w:r w:rsidR="00CE154A" w:rsidRPr="00F12A12">
        <w:rPr>
          <w:szCs w:val="22"/>
        </w:rPr>
        <w:t>nd</w:t>
      </w:r>
      <w:r w:rsidR="00CE154A">
        <w:rPr>
          <w:szCs w:val="22"/>
        </w:rPr>
        <w:t xml:space="preserve"> promissory note to the limited liability company.  </w:t>
      </w:r>
      <w:r w:rsidR="00D63EAF">
        <w:rPr>
          <w:szCs w:val="22"/>
        </w:rPr>
        <w:t xml:space="preserve">In a </w:t>
      </w:r>
      <w:r w:rsidR="00CE154A">
        <w:rPr>
          <w:szCs w:val="22"/>
        </w:rPr>
        <w:t xml:space="preserve">Supplemental Confidentiality Request, </w:t>
      </w:r>
      <w:r w:rsidR="00D63EAF">
        <w:rPr>
          <w:szCs w:val="22"/>
        </w:rPr>
        <w:t xml:space="preserve">Mr. Sofio </w:t>
      </w:r>
      <w:r w:rsidR="00CE154A">
        <w:rPr>
          <w:szCs w:val="22"/>
        </w:rPr>
        <w:t xml:space="preserve">again </w:t>
      </w:r>
      <w:r w:rsidR="00030495">
        <w:rPr>
          <w:szCs w:val="22"/>
        </w:rPr>
        <w:t xml:space="preserve">sought </w:t>
      </w:r>
      <w:r w:rsidR="00381369">
        <w:rPr>
          <w:szCs w:val="22"/>
        </w:rPr>
        <w:t>confidentiality for certain terms</w:t>
      </w:r>
      <w:r w:rsidR="00780930">
        <w:rPr>
          <w:szCs w:val="22"/>
        </w:rPr>
        <w:t xml:space="preserve"> and other information set forth in FCC Form 601, Exhibit D, including </w:t>
      </w:r>
      <w:r w:rsidR="00381369">
        <w:rPr>
          <w:szCs w:val="22"/>
        </w:rPr>
        <w:t>identities of the parties to the agreements</w:t>
      </w:r>
      <w:r w:rsidR="00780930">
        <w:rPr>
          <w:szCs w:val="22"/>
        </w:rPr>
        <w:t xml:space="preserve"> and other parties with whom Mr. Sofio had auction-related discussions</w:t>
      </w:r>
      <w:r w:rsidR="00CE154A">
        <w:rPr>
          <w:szCs w:val="22"/>
        </w:rPr>
        <w:t>.</w:t>
      </w:r>
      <w:r w:rsidR="00CE154A">
        <w:rPr>
          <w:rStyle w:val="FootnoteReference"/>
          <w:szCs w:val="22"/>
        </w:rPr>
        <w:footnoteReference w:id="15"/>
      </w:r>
      <w:r w:rsidR="00CE154A">
        <w:rPr>
          <w:szCs w:val="22"/>
        </w:rPr>
        <w:t xml:space="preserve">  The Supplemental</w:t>
      </w:r>
      <w:r w:rsidR="00EC36B0">
        <w:rPr>
          <w:szCs w:val="22"/>
        </w:rPr>
        <w:t xml:space="preserve"> Confidentiality Request argue</w:t>
      </w:r>
      <w:r w:rsidR="00030495">
        <w:rPr>
          <w:szCs w:val="22"/>
        </w:rPr>
        <w:t>d</w:t>
      </w:r>
      <w:r w:rsidR="00EC36B0">
        <w:rPr>
          <w:szCs w:val="22"/>
        </w:rPr>
        <w:t xml:space="preserve"> that t</w:t>
      </w:r>
      <w:r w:rsidR="00EC36B0" w:rsidRPr="00D754F9">
        <w:rPr>
          <w:szCs w:val="22"/>
        </w:rPr>
        <w:t xml:space="preserve">he redacted terms </w:t>
      </w:r>
      <w:r w:rsidR="00EC36B0">
        <w:rPr>
          <w:szCs w:val="22"/>
        </w:rPr>
        <w:t xml:space="preserve">in </w:t>
      </w:r>
      <w:r w:rsidR="00EC36B0" w:rsidRPr="00D754F9">
        <w:rPr>
          <w:szCs w:val="22"/>
        </w:rPr>
        <w:t xml:space="preserve">the </w:t>
      </w:r>
      <w:r w:rsidR="00EC36B0">
        <w:rPr>
          <w:szCs w:val="22"/>
        </w:rPr>
        <w:t>agreements “</w:t>
      </w:r>
      <w:r w:rsidR="00EC36B0" w:rsidRPr="00D754F9">
        <w:rPr>
          <w:szCs w:val="22"/>
        </w:rPr>
        <w:t xml:space="preserve">constitute </w:t>
      </w:r>
      <w:r w:rsidR="00EC36B0">
        <w:rPr>
          <w:szCs w:val="22"/>
        </w:rPr>
        <w:t>‘</w:t>
      </w:r>
      <w:r w:rsidR="00EC36B0" w:rsidRPr="00D754F9">
        <w:rPr>
          <w:szCs w:val="22"/>
        </w:rPr>
        <w:t>commercial or financial information obtained from any</w:t>
      </w:r>
      <w:r w:rsidR="00EC36B0">
        <w:rPr>
          <w:szCs w:val="22"/>
        </w:rPr>
        <w:t xml:space="preserve"> </w:t>
      </w:r>
      <w:r w:rsidR="00EC36B0" w:rsidRPr="00D754F9">
        <w:rPr>
          <w:szCs w:val="22"/>
        </w:rPr>
        <w:t>person</w:t>
      </w:r>
      <w:r w:rsidR="00EC36B0">
        <w:rPr>
          <w:szCs w:val="22"/>
        </w:rPr>
        <w:t>’</w:t>
      </w:r>
      <w:r w:rsidR="00EC36B0" w:rsidRPr="00D754F9">
        <w:rPr>
          <w:szCs w:val="22"/>
        </w:rPr>
        <w:t>, which is an exception to the public disclosure rules identified in Section 0.457(d).</w:t>
      </w:r>
      <w:r w:rsidR="00EC36B0">
        <w:rPr>
          <w:szCs w:val="22"/>
        </w:rPr>
        <w:t>”</w:t>
      </w:r>
      <w:r w:rsidR="00EC36B0">
        <w:rPr>
          <w:rStyle w:val="FootnoteReference"/>
          <w:szCs w:val="22"/>
        </w:rPr>
        <w:footnoteReference w:id="16"/>
      </w:r>
      <w:r w:rsidR="00EC36B0">
        <w:rPr>
          <w:szCs w:val="22"/>
        </w:rPr>
        <w:t xml:space="preserve">  Mr. Sofio also raise</w:t>
      </w:r>
      <w:r w:rsidR="00030495">
        <w:rPr>
          <w:szCs w:val="22"/>
        </w:rPr>
        <w:t>d</w:t>
      </w:r>
      <w:r w:rsidR="00EC36B0">
        <w:rPr>
          <w:szCs w:val="22"/>
        </w:rPr>
        <w:t xml:space="preserve"> the privacy interests of the parties to the agreements as a separate ground for non-disclosure.</w:t>
      </w:r>
      <w:r w:rsidR="00EC36B0">
        <w:rPr>
          <w:rStyle w:val="FootnoteReference"/>
          <w:szCs w:val="22"/>
        </w:rPr>
        <w:footnoteReference w:id="17"/>
      </w:r>
      <w:r w:rsidR="00EC36B0">
        <w:rPr>
          <w:szCs w:val="22"/>
        </w:rPr>
        <w:t xml:space="preserve">  </w:t>
      </w:r>
    </w:p>
    <w:p w14:paraId="027AF579" w14:textId="5F48655F" w:rsidR="008B1D2F" w:rsidRPr="008B1D2F" w:rsidRDefault="00C43623" w:rsidP="00346EF6">
      <w:pPr>
        <w:pStyle w:val="ParaNum"/>
        <w:widowControl/>
      </w:pPr>
      <w:r w:rsidRPr="00C43623">
        <w:rPr>
          <w:i/>
          <w:szCs w:val="22"/>
        </w:rPr>
        <w:t>Letter</w:t>
      </w:r>
      <w:r w:rsidR="00E5259C">
        <w:rPr>
          <w:i/>
          <w:szCs w:val="22"/>
        </w:rPr>
        <w:t xml:space="preserve"> Order</w:t>
      </w:r>
      <w:r>
        <w:rPr>
          <w:szCs w:val="22"/>
        </w:rPr>
        <w:t xml:space="preserve">.  </w:t>
      </w:r>
      <w:r w:rsidR="00EC36B0">
        <w:rPr>
          <w:szCs w:val="22"/>
        </w:rPr>
        <w:t xml:space="preserve">On December 2, 2015, the </w:t>
      </w:r>
      <w:r w:rsidR="006C0C1A">
        <w:rPr>
          <w:szCs w:val="22"/>
        </w:rPr>
        <w:t xml:space="preserve">Division </w:t>
      </w:r>
      <w:r w:rsidR="008124BF">
        <w:rPr>
          <w:szCs w:val="22"/>
        </w:rPr>
        <w:t xml:space="preserve">partially denied the Request as to </w:t>
      </w:r>
      <w:r w:rsidR="00EC36B0" w:rsidRPr="00C73002">
        <w:rPr>
          <w:szCs w:val="22"/>
        </w:rPr>
        <w:t xml:space="preserve">confidential </w:t>
      </w:r>
      <w:r w:rsidR="00EC36B0">
        <w:rPr>
          <w:szCs w:val="22"/>
        </w:rPr>
        <w:t>t</w:t>
      </w:r>
      <w:r w:rsidR="00EC36B0" w:rsidRPr="00C73002">
        <w:rPr>
          <w:szCs w:val="22"/>
        </w:rPr>
        <w:t>reatment</w:t>
      </w:r>
      <w:r w:rsidR="00EC36B0">
        <w:rPr>
          <w:szCs w:val="22"/>
        </w:rPr>
        <w:t xml:space="preserve"> of the names of the parties to agreements and of the names of parties that the </w:t>
      </w:r>
      <w:r w:rsidR="00EC36B0">
        <w:rPr>
          <w:szCs w:val="22"/>
        </w:rPr>
        <w:lastRenderedPageBreak/>
        <w:t xml:space="preserve">Applicant had </w:t>
      </w:r>
      <w:r w:rsidR="00EC36B0" w:rsidRPr="00B30D82">
        <w:rPr>
          <w:szCs w:val="22"/>
        </w:rPr>
        <w:t xml:space="preserve">conversations </w:t>
      </w:r>
      <w:r w:rsidR="00EC36B0">
        <w:rPr>
          <w:szCs w:val="22"/>
        </w:rPr>
        <w:t xml:space="preserve">with or reached oral </w:t>
      </w:r>
      <w:r w:rsidR="00EC36B0" w:rsidRPr="00B30D82">
        <w:rPr>
          <w:szCs w:val="22"/>
        </w:rPr>
        <w:t xml:space="preserve">understandings </w:t>
      </w:r>
      <w:r w:rsidR="00EC36B0">
        <w:rPr>
          <w:szCs w:val="22"/>
        </w:rPr>
        <w:t>with prior to and during Auction 97.</w:t>
      </w:r>
      <w:r w:rsidR="00D158B2">
        <w:rPr>
          <w:rStyle w:val="FootnoteReference"/>
          <w:szCs w:val="22"/>
        </w:rPr>
        <w:footnoteReference w:id="18"/>
      </w:r>
      <w:r w:rsidR="00EC36B0">
        <w:rPr>
          <w:szCs w:val="22"/>
        </w:rPr>
        <w:t xml:space="preserve">  </w:t>
      </w:r>
      <w:r w:rsidR="00C85DD0">
        <w:rPr>
          <w:szCs w:val="22"/>
        </w:rPr>
        <w:t xml:space="preserve">The Division found that Mr. Sofio </w:t>
      </w:r>
      <w:r w:rsidR="00C85DD0" w:rsidRPr="00D9324B">
        <w:rPr>
          <w:szCs w:val="22"/>
        </w:rPr>
        <w:t>fail</w:t>
      </w:r>
      <w:r w:rsidR="00C85DD0">
        <w:rPr>
          <w:szCs w:val="22"/>
        </w:rPr>
        <w:t xml:space="preserve">ed </w:t>
      </w:r>
      <w:r w:rsidR="00C85DD0" w:rsidRPr="00D9324B">
        <w:rPr>
          <w:szCs w:val="22"/>
        </w:rPr>
        <w:t xml:space="preserve">to </w:t>
      </w:r>
      <w:r w:rsidR="00C85DD0">
        <w:rPr>
          <w:szCs w:val="22"/>
        </w:rPr>
        <w:t>demonstrate</w:t>
      </w:r>
      <w:r w:rsidR="00C85DD0" w:rsidRPr="00D9324B">
        <w:rPr>
          <w:szCs w:val="22"/>
        </w:rPr>
        <w:t xml:space="preserve"> </w:t>
      </w:r>
      <w:r w:rsidR="00C85DD0">
        <w:rPr>
          <w:szCs w:val="22"/>
        </w:rPr>
        <w:t xml:space="preserve">that such public disclosure would </w:t>
      </w:r>
      <w:r w:rsidR="00C85DD0" w:rsidRPr="00D9324B">
        <w:rPr>
          <w:szCs w:val="22"/>
        </w:rPr>
        <w:t>cause substantial harm to the competitive position of the person from whom the information was obtained.</w:t>
      </w:r>
      <w:r w:rsidR="00C85DD0">
        <w:rPr>
          <w:szCs w:val="22"/>
        </w:rPr>
        <w:t xml:space="preserve">  </w:t>
      </w:r>
      <w:r w:rsidR="00D7402B">
        <w:rPr>
          <w:szCs w:val="22"/>
        </w:rPr>
        <w:t xml:space="preserve">The Division did not dispute that the </w:t>
      </w:r>
      <w:r w:rsidR="008056D5">
        <w:rPr>
          <w:szCs w:val="22"/>
        </w:rPr>
        <w:t xml:space="preserve">agreements </w:t>
      </w:r>
      <w:r w:rsidR="00EC36B0">
        <w:rPr>
          <w:szCs w:val="22"/>
        </w:rPr>
        <w:t>contain</w:t>
      </w:r>
      <w:r w:rsidR="00780930">
        <w:rPr>
          <w:szCs w:val="22"/>
        </w:rPr>
        <w:t>ed</w:t>
      </w:r>
      <w:r w:rsidR="00EC36B0">
        <w:rPr>
          <w:szCs w:val="22"/>
        </w:rPr>
        <w:t xml:space="preserve"> financial information obtained from a person</w:t>
      </w:r>
      <w:r w:rsidR="00D7402B">
        <w:rPr>
          <w:szCs w:val="22"/>
        </w:rPr>
        <w:t>, but</w:t>
      </w:r>
      <w:r w:rsidR="00EC36B0">
        <w:rPr>
          <w:szCs w:val="22"/>
        </w:rPr>
        <w:t xml:space="preserve"> found </w:t>
      </w:r>
      <w:r w:rsidR="00837AF3">
        <w:rPr>
          <w:szCs w:val="22"/>
        </w:rPr>
        <w:t xml:space="preserve">that Mr. Sofio had not demonstrated that non-disclosure to the public of the </w:t>
      </w:r>
      <w:r w:rsidR="00837AF3" w:rsidRPr="00A865DE">
        <w:rPr>
          <w:i/>
          <w:szCs w:val="22"/>
        </w:rPr>
        <w:t>identities</w:t>
      </w:r>
      <w:r w:rsidR="00837AF3">
        <w:rPr>
          <w:szCs w:val="22"/>
        </w:rPr>
        <w:t xml:space="preserve"> of parties to agreements with him—an applicant claiming eligibility for DE </w:t>
      </w:r>
      <w:r w:rsidR="00EC36B0">
        <w:rPr>
          <w:szCs w:val="22"/>
        </w:rPr>
        <w:t xml:space="preserve">credits in a competitive </w:t>
      </w:r>
      <w:r w:rsidR="00837AF3">
        <w:rPr>
          <w:szCs w:val="22"/>
        </w:rPr>
        <w:t xml:space="preserve">bidding </w:t>
      </w:r>
      <w:r w:rsidR="00EC36B0">
        <w:rPr>
          <w:szCs w:val="22"/>
        </w:rPr>
        <w:t>auction</w:t>
      </w:r>
      <w:r w:rsidR="00837AF3">
        <w:rPr>
          <w:szCs w:val="22"/>
        </w:rPr>
        <w:t>—</w:t>
      </w:r>
      <w:r w:rsidR="006758A9">
        <w:rPr>
          <w:szCs w:val="22"/>
        </w:rPr>
        <w:t xml:space="preserve"> </w:t>
      </w:r>
      <w:r w:rsidR="00C85DD0">
        <w:rPr>
          <w:szCs w:val="22"/>
        </w:rPr>
        <w:t>was warranted under our rules or was</w:t>
      </w:r>
      <w:r w:rsidR="006758A9">
        <w:rPr>
          <w:szCs w:val="22"/>
        </w:rPr>
        <w:t xml:space="preserve"> </w:t>
      </w:r>
      <w:r w:rsidR="00EC36B0">
        <w:rPr>
          <w:szCs w:val="22"/>
        </w:rPr>
        <w:t xml:space="preserve">consistent with the </w:t>
      </w:r>
      <w:r w:rsidR="00C160AB">
        <w:rPr>
          <w:szCs w:val="22"/>
        </w:rPr>
        <w:t>Freedom of Information Act</w:t>
      </w:r>
      <w:r w:rsidR="00837AF3">
        <w:rPr>
          <w:szCs w:val="22"/>
        </w:rPr>
        <w:t xml:space="preserve"> </w:t>
      </w:r>
      <w:r w:rsidR="00C160AB">
        <w:rPr>
          <w:szCs w:val="22"/>
        </w:rPr>
        <w:t>(</w:t>
      </w:r>
      <w:r w:rsidR="00EC36B0">
        <w:rPr>
          <w:szCs w:val="22"/>
        </w:rPr>
        <w:t>FOIA</w:t>
      </w:r>
      <w:r w:rsidR="00C160AB">
        <w:rPr>
          <w:szCs w:val="22"/>
        </w:rPr>
        <w:t>)</w:t>
      </w:r>
      <w:r w:rsidR="008056D5">
        <w:rPr>
          <w:szCs w:val="22"/>
        </w:rPr>
        <w:t>.</w:t>
      </w:r>
      <w:r w:rsidR="008056D5">
        <w:rPr>
          <w:rStyle w:val="FootnoteReference"/>
          <w:szCs w:val="22"/>
        </w:rPr>
        <w:footnoteReference w:id="19"/>
      </w:r>
      <w:r w:rsidR="008056D5">
        <w:rPr>
          <w:szCs w:val="22"/>
        </w:rPr>
        <w:t xml:space="preserve">  </w:t>
      </w:r>
    </w:p>
    <w:p w14:paraId="4227CE0A" w14:textId="44793C1B" w:rsidR="001E7C2B" w:rsidRDefault="008B1D2F" w:rsidP="00346EF6">
      <w:pPr>
        <w:pStyle w:val="ParaNum"/>
        <w:widowControl/>
      </w:pPr>
      <w:r w:rsidRPr="00436A64">
        <w:rPr>
          <w:szCs w:val="22"/>
        </w:rPr>
        <w:t xml:space="preserve">The Division rejected Mr. Sofio’s suggestion that the identities of parties to agreements with </w:t>
      </w:r>
      <w:r w:rsidR="00B62417">
        <w:rPr>
          <w:szCs w:val="22"/>
        </w:rPr>
        <w:t>DE</w:t>
      </w:r>
      <w:r w:rsidRPr="00436A64">
        <w:rPr>
          <w:szCs w:val="22"/>
        </w:rPr>
        <w:t xml:space="preserve"> applicants </w:t>
      </w:r>
      <w:r>
        <w:rPr>
          <w:szCs w:val="22"/>
        </w:rPr>
        <w:t>are “irrelevant to this process</w:t>
      </w:r>
      <w:r w:rsidRPr="00436A64">
        <w:rPr>
          <w:szCs w:val="22"/>
        </w:rPr>
        <w:t>”</w:t>
      </w:r>
      <w:r w:rsidR="00D06D41" w:rsidRPr="00D06D41">
        <w:rPr>
          <w:rStyle w:val="FootnoteReference"/>
          <w:szCs w:val="22"/>
        </w:rPr>
        <w:t xml:space="preserve"> </w:t>
      </w:r>
      <w:r w:rsidR="00D06D41">
        <w:rPr>
          <w:rStyle w:val="FootnoteReference"/>
          <w:szCs w:val="22"/>
        </w:rPr>
        <w:footnoteReference w:id="20"/>
      </w:r>
      <w:r>
        <w:rPr>
          <w:szCs w:val="22"/>
        </w:rPr>
        <w:t xml:space="preserve"> and explained </w:t>
      </w:r>
      <w:r w:rsidR="001E7C2B" w:rsidRPr="00436A64">
        <w:rPr>
          <w:color w:val="000000"/>
          <w:szCs w:val="22"/>
        </w:rPr>
        <w:t xml:space="preserve">that </w:t>
      </w:r>
      <w:r w:rsidR="001E7C2B" w:rsidRPr="00436A64">
        <w:rPr>
          <w:szCs w:val="22"/>
        </w:rPr>
        <w:t>the disclosure of the names of parties to the agreements is required by the Commission’s rules</w:t>
      </w:r>
      <w:r w:rsidR="00780930">
        <w:rPr>
          <w:szCs w:val="22"/>
        </w:rPr>
        <w:t>,</w:t>
      </w:r>
      <w:r w:rsidR="001E7C2B" w:rsidRPr="00436A64">
        <w:rPr>
          <w:szCs w:val="22"/>
        </w:rPr>
        <w:t xml:space="preserve"> and that the </w:t>
      </w:r>
      <w:r w:rsidR="001E7C2B" w:rsidRPr="00435120">
        <w:t>privacy</w:t>
      </w:r>
      <w:r w:rsidR="001E7C2B" w:rsidRPr="00436A64">
        <w:rPr>
          <w:szCs w:val="22"/>
        </w:rPr>
        <w:t xml:space="preserve"> interest</w:t>
      </w:r>
      <w:r w:rsidR="00076C86" w:rsidRPr="00436A64">
        <w:rPr>
          <w:szCs w:val="22"/>
        </w:rPr>
        <w:t>s of those</w:t>
      </w:r>
      <w:r w:rsidR="00780930">
        <w:rPr>
          <w:szCs w:val="22"/>
        </w:rPr>
        <w:t xml:space="preserve"> parties</w:t>
      </w:r>
      <w:r w:rsidR="001E7C2B" w:rsidRPr="00436A64">
        <w:rPr>
          <w:szCs w:val="22"/>
        </w:rPr>
        <w:t xml:space="preserve"> </w:t>
      </w:r>
      <w:r w:rsidR="00076C86" w:rsidRPr="00436A64">
        <w:rPr>
          <w:szCs w:val="22"/>
        </w:rPr>
        <w:t>are</w:t>
      </w:r>
      <w:r w:rsidR="001E7C2B" w:rsidRPr="00436A64">
        <w:rPr>
          <w:szCs w:val="22"/>
        </w:rPr>
        <w:t xml:space="preserve"> minimal </w:t>
      </w:r>
      <w:r w:rsidR="00C85DD0">
        <w:rPr>
          <w:szCs w:val="22"/>
        </w:rPr>
        <w:t>as th</w:t>
      </w:r>
      <w:r w:rsidR="00780930">
        <w:rPr>
          <w:szCs w:val="22"/>
        </w:rPr>
        <w:t>eir participation</w:t>
      </w:r>
      <w:r w:rsidR="00C85DD0">
        <w:rPr>
          <w:szCs w:val="22"/>
        </w:rPr>
        <w:t xml:space="preserve"> is </w:t>
      </w:r>
      <w:r w:rsidR="001E7C2B" w:rsidRPr="00436A64">
        <w:rPr>
          <w:szCs w:val="22"/>
        </w:rPr>
        <w:t xml:space="preserve">a business investment.  </w:t>
      </w:r>
      <w:r w:rsidR="00B62417">
        <w:rPr>
          <w:szCs w:val="22"/>
        </w:rPr>
        <w:t>T</w:t>
      </w:r>
      <w:r w:rsidR="00563239" w:rsidRPr="00436A64">
        <w:rPr>
          <w:szCs w:val="22"/>
        </w:rPr>
        <w:t xml:space="preserve">he Division </w:t>
      </w:r>
      <w:r w:rsidR="00B62417">
        <w:rPr>
          <w:szCs w:val="22"/>
        </w:rPr>
        <w:t xml:space="preserve">also </w:t>
      </w:r>
      <w:r w:rsidR="00563239" w:rsidRPr="00436A64">
        <w:rPr>
          <w:szCs w:val="22"/>
        </w:rPr>
        <w:t xml:space="preserve">found that </w:t>
      </w:r>
      <w:r w:rsidR="00780930">
        <w:rPr>
          <w:szCs w:val="22"/>
        </w:rPr>
        <w:t xml:space="preserve">the </w:t>
      </w:r>
      <w:r w:rsidR="00563239" w:rsidRPr="00436A64">
        <w:rPr>
          <w:szCs w:val="22"/>
        </w:rPr>
        <w:t xml:space="preserve">public interest in disclosure and transparent, open agency evaluation of an applicant’s eligibility for </w:t>
      </w:r>
      <w:r w:rsidR="00B62417">
        <w:rPr>
          <w:szCs w:val="22"/>
        </w:rPr>
        <w:t>DE</w:t>
      </w:r>
      <w:r w:rsidR="00563239" w:rsidRPr="00436A64">
        <w:rPr>
          <w:szCs w:val="22"/>
        </w:rPr>
        <w:t xml:space="preserve"> benefits outweigh</w:t>
      </w:r>
      <w:r w:rsidR="00B62417">
        <w:rPr>
          <w:szCs w:val="22"/>
        </w:rPr>
        <w:t>ed</w:t>
      </w:r>
      <w:r w:rsidR="00563239" w:rsidRPr="00436A64">
        <w:rPr>
          <w:szCs w:val="22"/>
        </w:rPr>
        <w:t xml:space="preserve"> any </w:t>
      </w:r>
      <w:r w:rsidR="00563239" w:rsidRPr="00436A64">
        <w:rPr>
          <w:i/>
          <w:szCs w:val="22"/>
        </w:rPr>
        <w:t>de minimis</w:t>
      </w:r>
      <w:r w:rsidR="00563239" w:rsidRPr="00436A64">
        <w:rPr>
          <w:szCs w:val="22"/>
        </w:rPr>
        <w:t xml:space="preserve"> privacy concerns raised by Mr. Sofio</w:t>
      </w:r>
      <w:r w:rsidR="00563239" w:rsidRPr="00436A64">
        <w:rPr>
          <w:color w:val="000000"/>
          <w:szCs w:val="22"/>
        </w:rPr>
        <w:t>.</w:t>
      </w:r>
      <w:r w:rsidR="00563239">
        <w:rPr>
          <w:rStyle w:val="FootnoteReference"/>
          <w:color w:val="000000"/>
          <w:szCs w:val="22"/>
        </w:rPr>
        <w:footnoteReference w:id="21"/>
      </w:r>
      <w:r w:rsidR="00563239" w:rsidRPr="00436A64">
        <w:rPr>
          <w:color w:val="000000"/>
          <w:szCs w:val="22"/>
        </w:rPr>
        <w:t xml:space="preserve"> </w:t>
      </w:r>
      <w:r w:rsidR="001E7C2B" w:rsidRPr="00D158B2">
        <w:rPr>
          <w:szCs w:val="22"/>
        </w:rPr>
        <w:t xml:space="preserve">  </w:t>
      </w:r>
    </w:p>
    <w:p w14:paraId="0C18407D" w14:textId="77777777" w:rsidR="00F73B57" w:rsidRDefault="00C43623" w:rsidP="00346EF6">
      <w:pPr>
        <w:pStyle w:val="ParaNum"/>
        <w:widowControl/>
      </w:pPr>
      <w:r w:rsidRPr="00C43623">
        <w:rPr>
          <w:i/>
        </w:rPr>
        <w:t>Application for Review</w:t>
      </w:r>
      <w:r>
        <w:t xml:space="preserve">.  </w:t>
      </w:r>
      <w:r w:rsidR="00297799">
        <w:t>On December 16, 2015, Mr. Sofio filed the instant AFR</w:t>
      </w:r>
      <w:r w:rsidR="00C27A3F">
        <w:t xml:space="preserve"> stating that the </w:t>
      </w:r>
      <w:r w:rsidR="00FC187B" w:rsidRPr="00FC187B">
        <w:rPr>
          <w:i/>
        </w:rPr>
        <w:t>Letter Order</w:t>
      </w:r>
      <w:r w:rsidR="00FC187B">
        <w:t xml:space="preserve"> </w:t>
      </w:r>
      <w:r w:rsidR="00B46CAC">
        <w:t xml:space="preserve">(i) </w:t>
      </w:r>
      <w:r w:rsidR="00FC187B">
        <w:t xml:space="preserve">is </w:t>
      </w:r>
      <w:r w:rsidR="00B46CAC" w:rsidRPr="005068D2">
        <w:t>contrary to the Commission</w:t>
      </w:r>
      <w:r w:rsidR="00B46CAC">
        <w:t>’</w:t>
      </w:r>
      <w:r w:rsidR="00B46CAC" w:rsidRPr="005068D2">
        <w:t xml:space="preserve">s </w:t>
      </w:r>
      <w:r w:rsidR="00B46CAC" w:rsidRPr="00806938">
        <w:rPr>
          <w:szCs w:val="22"/>
        </w:rPr>
        <w:t>regulations</w:t>
      </w:r>
      <w:r w:rsidR="00B46CAC" w:rsidRPr="005068D2">
        <w:t xml:space="preserve"> and case precedent</w:t>
      </w:r>
      <w:r w:rsidR="00B46CAC">
        <w:t>; (ii) represent</w:t>
      </w:r>
      <w:r w:rsidR="00FC187B">
        <w:t>s</w:t>
      </w:r>
      <w:r w:rsidR="00B46CAC" w:rsidRPr="005068D2">
        <w:t xml:space="preserve"> a novel policy contrary to the public interest </w:t>
      </w:r>
      <w:r w:rsidR="00ED296D">
        <w:t xml:space="preserve">that the Commission should review </w:t>
      </w:r>
      <w:r w:rsidR="00B46CAC">
        <w:t>t</w:t>
      </w:r>
      <w:r w:rsidR="00B46CAC" w:rsidRPr="005068D2">
        <w:t xml:space="preserve">o the extent that </w:t>
      </w:r>
      <w:r w:rsidR="00B46CAC">
        <w:t xml:space="preserve">it </w:t>
      </w:r>
      <w:r w:rsidR="00B46CAC" w:rsidRPr="005068D2">
        <w:t>imposes new filing requirements on non-parties</w:t>
      </w:r>
      <w:r w:rsidR="00B46CAC">
        <w:t xml:space="preserve"> to the Application; and (iii) violates the </w:t>
      </w:r>
      <w:r w:rsidR="00B46CAC" w:rsidRPr="005068D2">
        <w:t>Paperwork Reduction Act</w:t>
      </w:r>
      <w:r w:rsidR="00B46CAC">
        <w:t xml:space="preserve"> to </w:t>
      </w:r>
      <w:r w:rsidR="00B46CAC" w:rsidRPr="005068D2">
        <w:t xml:space="preserve">the extent that </w:t>
      </w:r>
      <w:r w:rsidR="00B46CAC">
        <w:t xml:space="preserve">it </w:t>
      </w:r>
      <w:r w:rsidR="00B46CAC" w:rsidRPr="005068D2">
        <w:t>imposes a new paperwork obligation</w:t>
      </w:r>
      <w:r w:rsidR="00B46CAC">
        <w:t>.</w:t>
      </w:r>
    </w:p>
    <w:p w14:paraId="196EA047" w14:textId="77777777" w:rsidR="007A5836" w:rsidRPr="007A5836" w:rsidRDefault="007A5836" w:rsidP="00346EF6">
      <w:pPr>
        <w:pStyle w:val="Heading1"/>
        <w:widowControl/>
      </w:pPr>
      <w:r>
        <w:t>discussion</w:t>
      </w:r>
    </w:p>
    <w:p w14:paraId="4407855B" w14:textId="77777777" w:rsidR="007A5836" w:rsidRDefault="007A5836" w:rsidP="00346EF6">
      <w:pPr>
        <w:pStyle w:val="Heading2"/>
        <w:widowControl/>
      </w:pPr>
      <w:r>
        <w:t>Required Disclosure</w:t>
      </w:r>
      <w:r w:rsidR="00D062F2">
        <w:t xml:space="preserve"> of Agreements that </w:t>
      </w:r>
      <w:r w:rsidR="004E45C0">
        <w:t>Affect Applicant’s DE Status</w:t>
      </w:r>
    </w:p>
    <w:p w14:paraId="6F93CB6C" w14:textId="254AF70A" w:rsidR="003D5A65" w:rsidRDefault="00906970" w:rsidP="00346EF6">
      <w:pPr>
        <w:pStyle w:val="ParaNum"/>
        <w:widowControl/>
      </w:pPr>
      <w:bookmarkStart w:id="2" w:name="_Ref455063741"/>
      <w:r>
        <w:rPr>
          <w:szCs w:val="22"/>
        </w:rPr>
        <w:t xml:space="preserve">In challenging the </w:t>
      </w:r>
      <w:r w:rsidR="00C869A1">
        <w:rPr>
          <w:szCs w:val="22"/>
        </w:rPr>
        <w:t xml:space="preserve">Division’s </w:t>
      </w:r>
      <w:r>
        <w:rPr>
          <w:szCs w:val="22"/>
        </w:rPr>
        <w:t xml:space="preserve">partial denial of the Request, the AFR first alleges that </w:t>
      </w:r>
      <w:r w:rsidR="003D5A65">
        <w:rPr>
          <w:szCs w:val="22"/>
        </w:rPr>
        <w:t>applicants claiming DE bidding credits are not required to disclose and summarize agreements with lenders and that the Divisi</w:t>
      </w:r>
      <w:r w:rsidR="003414FF">
        <w:rPr>
          <w:szCs w:val="22"/>
        </w:rPr>
        <w:t xml:space="preserve">on erred by stating otherwise.  </w:t>
      </w:r>
      <w:r w:rsidR="003D5A65">
        <w:rPr>
          <w:szCs w:val="22"/>
        </w:rPr>
        <w:t xml:space="preserve">Mr. Sofio contends that </w:t>
      </w:r>
      <w:r w:rsidR="000F03B8">
        <w:rPr>
          <w:szCs w:val="22"/>
        </w:rPr>
        <w:t xml:space="preserve">the </w:t>
      </w:r>
      <w:r w:rsidR="00831326" w:rsidRPr="00831326">
        <w:rPr>
          <w:i/>
          <w:szCs w:val="22"/>
        </w:rPr>
        <w:t>Letter Order</w:t>
      </w:r>
      <w:r w:rsidR="00831326">
        <w:rPr>
          <w:szCs w:val="22"/>
        </w:rPr>
        <w:t xml:space="preserve"> relies on rules that </w:t>
      </w:r>
      <w:r w:rsidR="00AF39FC">
        <w:rPr>
          <w:szCs w:val="22"/>
        </w:rPr>
        <w:t xml:space="preserve">require </w:t>
      </w:r>
      <w:r w:rsidR="00DD3104">
        <w:t xml:space="preserve">applicants </w:t>
      </w:r>
      <w:r w:rsidR="00AF39FC">
        <w:t xml:space="preserve">to </w:t>
      </w:r>
      <w:r w:rsidR="00DD3104">
        <w:t xml:space="preserve">identify and provide copies of agreements that support the applicant’s </w:t>
      </w:r>
      <w:r w:rsidR="00831326">
        <w:t xml:space="preserve">claim for DE </w:t>
      </w:r>
      <w:r w:rsidR="00DD3104">
        <w:t xml:space="preserve">eligibility, including the </w:t>
      </w:r>
      <w:r w:rsidR="00DD3104" w:rsidRPr="00806938">
        <w:rPr>
          <w:szCs w:val="22"/>
        </w:rPr>
        <w:t>establishment</w:t>
      </w:r>
      <w:r w:rsidR="001F585C">
        <w:t xml:space="preserve"> of de facto or de jure control</w:t>
      </w:r>
      <w:r w:rsidR="00837CA1">
        <w:t>,</w:t>
      </w:r>
      <w:r w:rsidR="00DD3104">
        <w:t xml:space="preserve"> </w:t>
      </w:r>
      <w:r w:rsidR="001F585C">
        <w:t xml:space="preserve">and that </w:t>
      </w:r>
      <w:r w:rsidR="00B10E30">
        <w:t xml:space="preserve">all of the examples in the cited </w:t>
      </w:r>
      <w:r w:rsidR="00831326">
        <w:t xml:space="preserve">rules </w:t>
      </w:r>
      <w:r w:rsidR="00B10E30">
        <w:t xml:space="preserve">are </w:t>
      </w:r>
      <w:r w:rsidR="000F03B8">
        <w:rPr>
          <w:szCs w:val="22"/>
        </w:rPr>
        <w:t xml:space="preserve">agreements </w:t>
      </w:r>
      <w:r w:rsidR="003D5A65" w:rsidRPr="00ED0F1C">
        <w:rPr>
          <w:szCs w:val="22"/>
        </w:rPr>
        <w:t>concerned with</w:t>
      </w:r>
      <w:r w:rsidR="003D5A65">
        <w:rPr>
          <w:szCs w:val="22"/>
        </w:rPr>
        <w:t xml:space="preserve"> ownership and management rights or leasing rights</w:t>
      </w:r>
      <w:r w:rsidR="003D5A65" w:rsidRPr="00ED0F1C">
        <w:rPr>
          <w:szCs w:val="22"/>
        </w:rPr>
        <w:t>.</w:t>
      </w:r>
      <w:r w:rsidR="00727AA7">
        <w:rPr>
          <w:rStyle w:val="FootnoteReference"/>
        </w:rPr>
        <w:footnoteReference w:id="22"/>
      </w:r>
      <w:r w:rsidR="00191B74">
        <w:rPr>
          <w:szCs w:val="22"/>
        </w:rPr>
        <w:t xml:space="preserve">  Mr. Sofio avers that “there is nothing whatsoever to suggest that non-equity loan agreements are the kind of agreements that impact an applicant’s DE status.”</w:t>
      </w:r>
      <w:r w:rsidR="00191B74">
        <w:rPr>
          <w:rStyle w:val="FootnoteReference"/>
          <w:szCs w:val="22"/>
        </w:rPr>
        <w:footnoteReference w:id="23"/>
      </w:r>
      <w:r>
        <w:rPr>
          <w:szCs w:val="22"/>
        </w:rPr>
        <w:t xml:space="preserve">  </w:t>
      </w:r>
      <w:r w:rsidR="00D6785E">
        <w:rPr>
          <w:szCs w:val="22"/>
        </w:rPr>
        <w:t>A</w:t>
      </w:r>
      <w:r w:rsidR="00191B74">
        <w:rPr>
          <w:szCs w:val="22"/>
        </w:rPr>
        <w:t>ccording to Mr. Sofio, the Commission recently rejected a suggestion that DE eligibility criteria should be changed to make non-equity debt financing a factor in determining DE eligibility.</w:t>
      </w:r>
      <w:bookmarkStart w:id="3" w:name="_Ref473286777"/>
      <w:r w:rsidR="00191B74">
        <w:rPr>
          <w:rStyle w:val="FootnoteReference"/>
          <w:szCs w:val="22"/>
        </w:rPr>
        <w:footnoteReference w:id="24"/>
      </w:r>
      <w:bookmarkEnd w:id="3"/>
      <w:r w:rsidR="008D4218">
        <w:rPr>
          <w:szCs w:val="22"/>
        </w:rPr>
        <w:t xml:space="preserve">  </w:t>
      </w:r>
      <w:r w:rsidR="00C95EAE">
        <w:t xml:space="preserve">Mr. Sofio </w:t>
      </w:r>
      <w:r w:rsidR="00092C26">
        <w:t xml:space="preserve">also </w:t>
      </w:r>
      <w:r w:rsidR="00C95EAE">
        <w:t>takes issue with the requirement that he file summaries of the agreements</w:t>
      </w:r>
      <w:r w:rsidR="00092C26">
        <w:t>.</w:t>
      </w:r>
      <w:r w:rsidR="00C95EAE">
        <w:rPr>
          <w:rStyle w:val="FootnoteReference"/>
        </w:rPr>
        <w:footnoteReference w:id="25"/>
      </w:r>
      <w:r w:rsidR="00C95EAE">
        <w:t xml:space="preserve"> </w:t>
      </w:r>
      <w:r w:rsidR="00092C26">
        <w:t xml:space="preserve"> Furthermore, </w:t>
      </w:r>
      <w:r w:rsidR="00EC2648">
        <w:t xml:space="preserve">Mr. Sofio </w:t>
      </w:r>
      <w:r w:rsidR="00C737E9">
        <w:t>contends that</w:t>
      </w:r>
      <w:r w:rsidR="00344CC4">
        <w:t>, because he is an applicant, not a licensee,</w:t>
      </w:r>
      <w:r w:rsidR="00C737E9">
        <w:t xml:space="preserve"> the Division erred </w:t>
      </w:r>
      <w:r w:rsidR="00D62E2F">
        <w:t xml:space="preserve">by referring to </w:t>
      </w:r>
      <w:r w:rsidR="00DC43A4">
        <w:t>1</w:t>
      </w:r>
      <w:r w:rsidR="00D62E2F">
        <w:t xml:space="preserve">) </w:t>
      </w:r>
      <w:r w:rsidR="00D37D8F">
        <w:t xml:space="preserve">a </w:t>
      </w:r>
      <w:r w:rsidR="008D5A95">
        <w:t xml:space="preserve">Commission </w:t>
      </w:r>
      <w:r w:rsidR="00D37D8F">
        <w:t xml:space="preserve">rule </w:t>
      </w:r>
      <w:r w:rsidR="0095084F">
        <w:t xml:space="preserve">that requires </w:t>
      </w:r>
      <w:r w:rsidR="0095084F" w:rsidRPr="006C570F">
        <w:t>licensees</w:t>
      </w:r>
      <w:r w:rsidR="0095084F">
        <w:t xml:space="preserve"> </w:t>
      </w:r>
      <w:r w:rsidR="0095084F" w:rsidRPr="006C570F">
        <w:t>that</w:t>
      </w:r>
      <w:r w:rsidR="0095084F">
        <w:t xml:space="preserve"> receive DE credits to file annual reports </w:t>
      </w:r>
      <w:r w:rsidR="00C95EAE">
        <w:t xml:space="preserve">and </w:t>
      </w:r>
      <w:r w:rsidR="00DC43A4">
        <w:t>2</w:t>
      </w:r>
      <w:r w:rsidR="00D62E2F">
        <w:t xml:space="preserve">) </w:t>
      </w:r>
      <w:r w:rsidR="00C95EAE">
        <w:t xml:space="preserve">the instructions to the corresponding FCC </w:t>
      </w:r>
      <w:r w:rsidR="0095084F">
        <w:t>form</w:t>
      </w:r>
      <w:bookmarkStart w:id="4" w:name="_Ref473276280"/>
      <w:r w:rsidR="00C42194">
        <w:t xml:space="preserve"> for those licensees</w:t>
      </w:r>
      <w:r w:rsidR="00D83E1A">
        <w:t>.</w:t>
      </w:r>
      <w:r w:rsidR="00EC2648">
        <w:rPr>
          <w:rStyle w:val="FootnoteReference"/>
        </w:rPr>
        <w:footnoteReference w:id="26"/>
      </w:r>
      <w:bookmarkEnd w:id="4"/>
      <w:r w:rsidR="00AF0938">
        <w:t xml:space="preserve">  </w:t>
      </w:r>
      <w:bookmarkEnd w:id="2"/>
    </w:p>
    <w:p w14:paraId="13EFE67F" w14:textId="52ADA084" w:rsidR="00225AC3" w:rsidRDefault="00AA514A" w:rsidP="00346EF6">
      <w:pPr>
        <w:pStyle w:val="ParaNum"/>
        <w:widowControl/>
      </w:pPr>
      <w:r>
        <w:t xml:space="preserve">We affirm the </w:t>
      </w:r>
      <w:r w:rsidRPr="00AA514A">
        <w:rPr>
          <w:i/>
        </w:rPr>
        <w:t>Letter Order</w:t>
      </w:r>
      <w:r>
        <w:t xml:space="preserve"> </w:t>
      </w:r>
      <w:r w:rsidR="00906970">
        <w:t xml:space="preserve">on this </w:t>
      </w:r>
      <w:r>
        <w:t>issue.</w:t>
      </w:r>
      <w:r w:rsidR="00D1593B" w:rsidRPr="006E6B1D">
        <w:t xml:space="preserve">  </w:t>
      </w:r>
      <w:r w:rsidR="006C19DB">
        <w:t>A</w:t>
      </w:r>
      <w:r w:rsidR="00CE23C7" w:rsidRPr="006E6B1D">
        <w:t xml:space="preserve">pplicants claiming </w:t>
      </w:r>
      <w:r w:rsidR="00F87195" w:rsidRPr="006E6B1D">
        <w:t>DE</w:t>
      </w:r>
      <w:r w:rsidR="00CE23C7" w:rsidRPr="006E6B1D">
        <w:t xml:space="preserve"> eligibility </w:t>
      </w:r>
      <w:r w:rsidR="00F87195" w:rsidRPr="006E6B1D">
        <w:t>must demonstrate how they satisfy the requirements and must list and summarize all agreements or instruments</w:t>
      </w:r>
      <w:r w:rsidR="00EC40E1">
        <w:rPr>
          <w:rStyle w:val="FootnoteReference"/>
          <w:szCs w:val="22"/>
        </w:rPr>
        <w:footnoteReference w:id="27"/>
      </w:r>
      <w:r w:rsidR="00F87195" w:rsidRPr="006E6B1D">
        <w:t xml:space="preserve"> that support the applicant’s eligibility as a small business</w:t>
      </w:r>
      <w:r w:rsidR="006C19DB">
        <w:t xml:space="preserve">, including any that establish the presence </w:t>
      </w:r>
      <w:r w:rsidR="006C19DB" w:rsidRPr="005F7E11">
        <w:t>or absence</w:t>
      </w:r>
      <w:r w:rsidR="006C19DB">
        <w:t xml:space="preserve"> of attributable material relationships</w:t>
      </w:r>
      <w:r w:rsidR="00F87195" w:rsidRPr="006E6B1D">
        <w:t>.</w:t>
      </w:r>
      <w:r w:rsidR="00F87195">
        <w:rPr>
          <w:rStyle w:val="FootnoteReference"/>
          <w:szCs w:val="22"/>
        </w:rPr>
        <w:footnoteReference w:id="28"/>
      </w:r>
      <w:r w:rsidR="00F87195" w:rsidRPr="006E6B1D">
        <w:t xml:space="preserve">  </w:t>
      </w:r>
      <w:r w:rsidR="00AA4C21" w:rsidRPr="006E6B1D">
        <w:t>I</w:t>
      </w:r>
      <w:r w:rsidR="00F87195" w:rsidRPr="006E6B1D">
        <w:t xml:space="preserve">n adopting </w:t>
      </w:r>
      <w:r w:rsidR="00AA4C21" w:rsidRPr="006E6B1D">
        <w:t xml:space="preserve">these </w:t>
      </w:r>
      <w:r w:rsidR="00F87195" w:rsidRPr="006E6B1D">
        <w:t>rules</w:t>
      </w:r>
      <w:r w:rsidR="00AA4C21" w:rsidRPr="006E6B1D">
        <w:t>,</w:t>
      </w:r>
      <w:r w:rsidR="00F87195" w:rsidRPr="006E6B1D">
        <w:t xml:space="preserve"> the Commission explained the critical importance of reviewing agreements that include auction applicants</w:t>
      </w:r>
      <w:r w:rsidR="00DF34CC">
        <w:t>.</w:t>
      </w:r>
      <w:r w:rsidR="00F87195">
        <w:rPr>
          <w:rStyle w:val="FootnoteReference"/>
          <w:szCs w:val="22"/>
        </w:rPr>
        <w:footnoteReference w:id="29"/>
      </w:r>
      <w:r w:rsidR="00F87195" w:rsidRPr="006E6B1D">
        <w:t xml:space="preserve"> </w:t>
      </w:r>
      <w:r w:rsidR="00DF34CC">
        <w:t xml:space="preserve"> The Commission</w:t>
      </w:r>
      <w:r w:rsidR="00AA4C21" w:rsidRPr="006E6B1D">
        <w:t xml:space="preserve"> stated </w:t>
      </w:r>
      <w:r w:rsidR="00F87195" w:rsidRPr="006E6B1D">
        <w:t>unambiguously that</w:t>
      </w:r>
      <w:r w:rsidR="00DF34CC">
        <w:t xml:space="preserve"> review would include</w:t>
      </w:r>
      <w:r w:rsidR="00F87195" w:rsidRPr="006E6B1D">
        <w:t xml:space="preserve"> “agreements to which </w:t>
      </w:r>
      <w:r w:rsidR="0019351D" w:rsidRPr="006E6B1D">
        <w:t>designated entity applicants and licensees are parties.”</w:t>
      </w:r>
      <w:r w:rsidR="00B62417" w:rsidRPr="00B62417">
        <w:t xml:space="preserve"> </w:t>
      </w:r>
      <w:r w:rsidR="00B62417">
        <w:t>and</w:t>
      </w:r>
      <w:r w:rsidR="00B62417" w:rsidRPr="006E6B1D">
        <w:t xml:space="preserve"> required </w:t>
      </w:r>
      <w:r w:rsidR="00DF34CC">
        <w:t>all winning bi</w:t>
      </w:r>
      <w:r w:rsidR="00FD1D4B">
        <w:t>dders that are DE applicants to “</w:t>
      </w:r>
      <w:r w:rsidR="00DF34CC">
        <w:t xml:space="preserve">file </w:t>
      </w:r>
      <w:r w:rsidR="00B62417" w:rsidRPr="006E6B1D">
        <w:t>all relevant contracts, agreements, letters of intent, and other such documents affecting that applicant as part of the long-form application (FCC Form 601)</w:t>
      </w:r>
      <w:r w:rsidR="00DF34CC">
        <w:t>,</w:t>
      </w:r>
      <w:r w:rsidR="00B62417" w:rsidRPr="006E6B1D">
        <w:t>”</w:t>
      </w:r>
      <w:r w:rsidR="00B62417">
        <w:t xml:space="preserve"> </w:t>
      </w:r>
      <w:r w:rsidR="0019351D" w:rsidRPr="006E6B1D">
        <w:t>emphasiz</w:t>
      </w:r>
      <w:r w:rsidR="00DF34CC">
        <w:t>ing</w:t>
      </w:r>
      <w:r w:rsidR="0019351D" w:rsidRPr="006E6B1D">
        <w:t xml:space="preserve"> that</w:t>
      </w:r>
      <w:r w:rsidR="00DF34CC">
        <w:t xml:space="preserve"> there would be “careful[] review” of all of those documents once filed</w:t>
      </w:r>
      <w:r w:rsidR="0019351D" w:rsidRPr="006E6B1D">
        <w:t>.”</w:t>
      </w:r>
      <w:r w:rsidR="0019351D">
        <w:rPr>
          <w:rStyle w:val="FootnoteReference"/>
          <w:szCs w:val="22"/>
        </w:rPr>
        <w:footnoteReference w:id="30"/>
      </w:r>
      <w:r w:rsidR="00DF34CC">
        <w:t xml:space="preserve"> </w:t>
      </w:r>
      <w:r w:rsidR="0019351D" w:rsidRPr="006E6B1D">
        <w:t xml:space="preserve"> </w:t>
      </w:r>
      <w:r w:rsidR="00B62417" w:rsidRPr="00B62417">
        <w:rPr>
          <w:szCs w:val="22"/>
        </w:rPr>
        <w:t>Although each rule provides illustrative examples of agreements to be submitted for review, the Commission has been very clear that those lists are neither intended to be exhaustive nor limiting on the Commission’s authority to ensure that only eligible applicants are awarded bidding credits.</w:t>
      </w:r>
      <w:r w:rsidR="00041972">
        <w:rPr>
          <w:rStyle w:val="FootnoteReference"/>
          <w:szCs w:val="22"/>
        </w:rPr>
        <w:footnoteReference w:id="31"/>
      </w:r>
      <w:r w:rsidR="00B62417" w:rsidRPr="00B62417">
        <w:rPr>
          <w:szCs w:val="22"/>
        </w:rPr>
        <w:t xml:space="preserve">  Moreover, each list concludes with a requirement to submit “all other agreements” or “any other relevant agreements.”</w:t>
      </w:r>
      <w:bookmarkStart w:id="5" w:name="_Ref473297356"/>
      <w:r w:rsidR="000C0778">
        <w:rPr>
          <w:rStyle w:val="FootnoteReference"/>
          <w:szCs w:val="22"/>
        </w:rPr>
        <w:footnoteReference w:id="32"/>
      </w:r>
      <w:bookmarkEnd w:id="5"/>
      <w:r w:rsidR="00B62417" w:rsidRPr="00B62417">
        <w:rPr>
          <w:szCs w:val="22"/>
        </w:rPr>
        <w:t xml:space="preserve">  </w:t>
      </w:r>
      <w:r w:rsidR="006C19DB">
        <w:t xml:space="preserve">As the </w:t>
      </w:r>
      <w:r w:rsidR="000C0778">
        <w:t xml:space="preserve">Division </w:t>
      </w:r>
      <w:r w:rsidR="006C19DB">
        <w:t>determined, this includes agreements that relate to the bidder’s financing arrangements.</w:t>
      </w:r>
      <w:r w:rsidR="000C0778">
        <w:rPr>
          <w:rStyle w:val="FootnoteReference"/>
        </w:rPr>
        <w:footnoteReference w:id="33"/>
      </w:r>
      <w:r w:rsidR="000630CC">
        <w:t xml:space="preserve">  Loan documents may contain provisions that can provide the lenders with control or influence over the DE, either outright or under certain circumstances.</w:t>
      </w:r>
      <w:r w:rsidR="000106A2">
        <w:rPr>
          <w:rStyle w:val="FootnoteReference"/>
        </w:rPr>
        <w:footnoteReference w:id="34"/>
      </w:r>
      <w:r w:rsidR="000630CC">
        <w:t xml:space="preserve">  Such provisions could make the lenders attributable under our rules.  Accordingly, the disclosure and inspection of loan documents assist in determining whether there is the “presence </w:t>
      </w:r>
      <w:r w:rsidR="000630CC" w:rsidRPr="008C0E7B">
        <w:t>or absence</w:t>
      </w:r>
      <w:r w:rsidR="000630CC">
        <w:t xml:space="preserve"> of attributable material relationships” under our rules.</w:t>
      </w:r>
      <w:r w:rsidR="00872DEA">
        <w:rPr>
          <w:rStyle w:val="FootnoteReference"/>
          <w:szCs w:val="22"/>
        </w:rPr>
        <w:footnoteReference w:id="35"/>
      </w:r>
      <w:r w:rsidR="000630CC">
        <w:t xml:space="preserve">  </w:t>
      </w:r>
      <w:r w:rsidR="000630CC">
        <w:rPr>
          <w:bCs/>
          <w:color w:val="000000"/>
          <w:spacing w:val="-6"/>
        </w:rPr>
        <w:t>Indeed, established case law cited in th</w:t>
      </w:r>
      <w:r w:rsidR="000C0778">
        <w:rPr>
          <w:bCs/>
          <w:color w:val="000000"/>
          <w:spacing w:val="-6"/>
        </w:rPr>
        <w:t>e</w:t>
      </w:r>
      <w:r w:rsidR="000630CC">
        <w:rPr>
          <w:bCs/>
          <w:color w:val="000000"/>
          <w:spacing w:val="-6"/>
        </w:rPr>
        <w:t xml:space="preserve"> Auction 97 public notice makes clear that “payment of financial obligations” is a critical factor in determining whether DE applicants maintain the </w:t>
      </w:r>
      <w:r w:rsidR="000630CC" w:rsidRPr="0093232A">
        <w:rPr>
          <w:bCs/>
          <w:i/>
          <w:color w:val="000000"/>
          <w:spacing w:val="-6"/>
        </w:rPr>
        <w:t>de facto</w:t>
      </w:r>
      <w:r w:rsidR="000630CC">
        <w:rPr>
          <w:bCs/>
          <w:color w:val="000000"/>
          <w:spacing w:val="-6"/>
        </w:rPr>
        <w:t xml:space="preserve"> control essential for their eligibility for such bidding credits.</w:t>
      </w:r>
      <w:r w:rsidR="000630CC">
        <w:rPr>
          <w:rStyle w:val="FootnoteReference"/>
          <w:bCs/>
          <w:spacing w:val="-6"/>
        </w:rPr>
        <w:footnoteReference w:id="36"/>
      </w:r>
      <w:r w:rsidR="000630CC">
        <w:rPr>
          <w:bCs/>
          <w:color w:val="000000"/>
          <w:spacing w:val="-6"/>
        </w:rPr>
        <w:t xml:space="preserve">  </w:t>
      </w:r>
      <w:r w:rsidR="000630CC">
        <w:t xml:space="preserve">The </w:t>
      </w:r>
      <w:r w:rsidR="000C0778">
        <w:t xml:space="preserve">Division </w:t>
      </w:r>
      <w:r w:rsidR="000630CC">
        <w:t>therefore properly required Mr. Sofio to submit any documents or agreements with regard to financing.</w:t>
      </w:r>
      <w:r w:rsidR="009575E5">
        <w:t xml:space="preserve">  </w:t>
      </w:r>
    </w:p>
    <w:p w14:paraId="5952BC54" w14:textId="627F610C" w:rsidR="001B7397" w:rsidRPr="00C30AF2" w:rsidRDefault="00F642D2" w:rsidP="00346EF6">
      <w:pPr>
        <w:pStyle w:val="ParaNum"/>
        <w:widowControl/>
      </w:pPr>
      <w:bookmarkStart w:id="6" w:name="_Ref453863980"/>
      <w:r w:rsidRPr="002D1491">
        <w:rPr>
          <w:szCs w:val="22"/>
        </w:rPr>
        <w:t>While t</w:t>
      </w:r>
      <w:r w:rsidR="004E7D13" w:rsidRPr="002D1491">
        <w:rPr>
          <w:szCs w:val="22"/>
        </w:rPr>
        <w:t xml:space="preserve">he Commission declined in the </w:t>
      </w:r>
      <w:r w:rsidR="004E7D13" w:rsidRPr="002D1491">
        <w:rPr>
          <w:i/>
          <w:szCs w:val="22"/>
        </w:rPr>
        <w:t>2015 Competitive Bidding R&amp;O</w:t>
      </w:r>
      <w:r w:rsidR="004E7D13" w:rsidRPr="002D1491">
        <w:rPr>
          <w:szCs w:val="22"/>
        </w:rPr>
        <w:t xml:space="preserve"> to adopt a bright-line rule regarding non-equity debt financing</w:t>
      </w:r>
      <w:r w:rsidRPr="002D1491">
        <w:rPr>
          <w:szCs w:val="22"/>
        </w:rPr>
        <w:t>,</w:t>
      </w:r>
      <w:r w:rsidR="004E7D13" w:rsidRPr="002D1491">
        <w:rPr>
          <w:szCs w:val="22"/>
        </w:rPr>
        <w:t xml:space="preserve"> t</w:t>
      </w:r>
      <w:r w:rsidR="00480791" w:rsidRPr="002D1491">
        <w:rPr>
          <w:szCs w:val="22"/>
        </w:rPr>
        <w:t xml:space="preserve">he AFR </w:t>
      </w:r>
      <w:r w:rsidR="00E42CF0" w:rsidRPr="002D1491">
        <w:rPr>
          <w:szCs w:val="22"/>
        </w:rPr>
        <w:t xml:space="preserve">conflates the </w:t>
      </w:r>
      <w:r w:rsidR="0019351D" w:rsidRPr="002D1491">
        <w:rPr>
          <w:szCs w:val="22"/>
        </w:rPr>
        <w:t xml:space="preserve">disclosure requirements </w:t>
      </w:r>
      <w:r w:rsidR="00966EDC" w:rsidRPr="002D1491">
        <w:rPr>
          <w:szCs w:val="22"/>
        </w:rPr>
        <w:t xml:space="preserve">for applicants seeking DE credits </w:t>
      </w:r>
      <w:r w:rsidR="0019351D" w:rsidRPr="002D1491">
        <w:rPr>
          <w:szCs w:val="22"/>
        </w:rPr>
        <w:t xml:space="preserve">with </w:t>
      </w:r>
      <w:r w:rsidR="00C86105" w:rsidRPr="002D1491">
        <w:rPr>
          <w:szCs w:val="22"/>
        </w:rPr>
        <w:t xml:space="preserve">the Commission’s </w:t>
      </w:r>
      <w:r w:rsidR="00C107DA" w:rsidRPr="002D1491">
        <w:rPr>
          <w:szCs w:val="22"/>
        </w:rPr>
        <w:t>rules for attributing revenues or spectrum to applicant</w:t>
      </w:r>
      <w:r w:rsidR="00966EDC" w:rsidRPr="002D1491">
        <w:rPr>
          <w:szCs w:val="22"/>
        </w:rPr>
        <w:t>s</w:t>
      </w:r>
      <w:r w:rsidR="00C107DA" w:rsidRPr="002D1491">
        <w:rPr>
          <w:szCs w:val="22"/>
        </w:rPr>
        <w:t xml:space="preserve"> claiming DE eligibility.</w:t>
      </w:r>
      <w:r w:rsidR="00232C81">
        <w:rPr>
          <w:rStyle w:val="FootnoteReference"/>
          <w:szCs w:val="22"/>
        </w:rPr>
        <w:footnoteReference w:id="37"/>
      </w:r>
      <w:r w:rsidR="00232C81" w:rsidRPr="002D1491">
        <w:rPr>
          <w:szCs w:val="22"/>
        </w:rPr>
        <w:t xml:space="preserve">  </w:t>
      </w:r>
      <w:r w:rsidR="00C107DA" w:rsidRPr="002D1491">
        <w:rPr>
          <w:szCs w:val="22"/>
        </w:rPr>
        <w:t xml:space="preserve">Specifically, the </w:t>
      </w:r>
      <w:r w:rsidR="00C107DA" w:rsidRPr="002D1491">
        <w:t>Commission</w:t>
      </w:r>
      <w:r w:rsidR="00C107DA" w:rsidRPr="002D1491">
        <w:rPr>
          <w:szCs w:val="22"/>
        </w:rPr>
        <w:t xml:space="preserve"> rejected </w:t>
      </w:r>
      <w:r w:rsidR="00C86105" w:rsidRPr="002D1491">
        <w:rPr>
          <w:szCs w:val="22"/>
        </w:rPr>
        <w:t xml:space="preserve">a </w:t>
      </w:r>
      <w:r w:rsidR="00B064CE" w:rsidRPr="002D1491">
        <w:rPr>
          <w:szCs w:val="22"/>
        </w:rPr>
        <w:t>bright-</w:t>
      </w:r>
      <w:r w:rsidR="00BA6766" w:rsidRPr="002D1491">
        <w:rPr>
          <w:szCs w:val="22"/>
        </w:rPr>
        <w:t xml:space="preserve">line </w:t>
      </w:r>
      <w:r w:rsidR="00B064CE" w:rsidRPr="002D1491">
        <w:rPr>
          <w:szCs w:val="22"/>
        </w:rPr>
        <w:t xml:space="preserve">rule </w:t>
      </w:r>
      <w:r w:rsidR="00BA6766" w:rsidRPr="002D1491">
        <w:rPr>
          <w:szCs w:val="22"/>
        </w:rPr>
        <w:t xml:space="preserve">that, </w:t>
      </w:r>
      <w:r w:rsidR="00BA6766" w:rsidRPr="002D1491">
        <w:rPr>
          <w:i/>
          <w:szCs w:val="22"/>
        </w:rPr>
        <w:t>in every case</w:t>
      </w:r>
      <w:r w:rsidR="00BA6766" w:rsidRPr="002D1491">
        <w:rPr>
          <w:szCs w:val="22"/>
        </w:rPr>
        <w:t xml:space="preserve">, would have </w:t>
      </w:r>
      <w:r w:rsidR="00C747C7" w:rsidRPr="002D1491">
        <w:rPr>
          <w:szCs w:val="22"/>
        </w:rPr>
        <w:t xml:space="preserve">attributed to </w:t>
      </w:r>
      <w:r w:rsidR="00666B49" w:rsidRPr="002D1491">
        <w:rPr>
          <w:szCs w:val="22"/>
        </w:rPr>
        <w:t xml:space="preserve">a DE applicant </w:t>
      </w:r>
      <w:r w:rsidR="00C747C7" w:rsidRPr="002D1491">
        <w:rPr>
          <w:szCs w:val="22"/>
        </w:rPr>
        <w:t xml:space="preserve">the gross revenues and spectrum holdings of any entity holding more than a </w:t>
      </w:r>
      <w:r w:rsidR="00837CA1" w:rsidRPr="002D1491">
        <w:rPr>
          <w:szCs w:val="22"/>
        </w:rPr>
        <w:t>10</w:t>
      </w:r>
      <w:r w:rsidR="00C747C7" w:rsidRPr="002D1491">
        <w:rPr>
          <w:szCs w:val="22"/>
        </w:rPr>
        <w:t xml:space="preserve"> percent—equity or </w:t>
      </w:r>
      <w:r w:rsidR="00D47A07" w:rsidRPr="002D1491">
        <w:rPr>
          <w:szCs w:val="22"/>
        </w:rPr>
        <w:t>non-equity</w:t>
      </w:r>
      <w:r w:rsidR="00C747C7" w:rsidRPr="002D1491">
        <w:rPr>
          <w:szCs w:val="22"/>
        </w:rPr>
        <w:t>—interest in the applicant.</w:t>
      </w:r>
      <w:r w:rsidR="00B4574A">
        <w:rPr>
          <w:rStyle w:val="FootnoteReference"/>
          <w:szCs w:val="22"/>
        </w:rPr>
        <w:footnoteReference w:id="38"/>
      </w:r>
      <w:r w:rsidR="00C747C7" w:rsidRPr="002D1491">
        <w:rPr>
          <w:szCs w:val="22"/>
        </w:rPr>
        <w:t xml:space="preserve"> </w:t>
      </w:r>
      <w:r w:rsidR="004639CD">
        <w:t xml:space="preserve"> </w:t>
      </w:r>
      <w:r w:rsidR="004E7D13" w:rsidRPr="002D1491">
        <w:rPr>
          <w:szCs w:val="22"/>
        </w:rPr>
        <w:t xml:space="preserve">Thus, the AFR’s implication that the Commission has rejected examining non-equity debt financing in determining DE eligibility is incorrect.  </w:t>
      </w:r>
      <w:r w:rsidR="00393B66" w:rsidRPr="002D1491">
        <w:rPr>
          <w:szCs w:val="22"/>
        </w:rPr>
        <w:t>Although t</w:t>
      </w:r>
      <w:r w:rsidR="00134CE6" w:rsidRPr="002D1491">
        <w:rPr>
          <w:szCs w:val="22"/>
        </w:rPr>
        <w:t xml:space="preserve">he </w:t>
      </w:r>
      <w:r w:rsidR="00134CE6" w:rsidRPr="002D1491">
        <w:rPr>
          <w:i/>
          <w:szCs w:val="22"/>
        </w:rPr>
        <w:t>2015 Competitive Bidding R</w:t>
      </w:r>
      <w:r w:rsidR="00896883" w:rsidRPr="002D1491">
        <w:rPr>
          <w:i/>
          <w:szCs w:val="22"/>
        </w:rPr>
        <w:t xml:space="preserve">&amp;O </w:t>
      </w:r>
      <w:r w:rsidR="004A1D16" w:rsidRPr="002D1491">
        <w:rPr>
          <w:szCs w:val="22"/>
        </w:rPr>
        <w:t>cited in the AFR</w:t>
      </w:r>
      <w:r w:rsidR="004A1D16">
        <w:rPr>
          <w:rStyle w:val="FootnoteReference"/>
          <w:szCs w:val="22"/>
        </w:rPr>
        <w:footnoteReference w:id="39"/>
      </w:r>
      <w:r w:rsidR="004A1D16" w:rsidRPr="002D1491">
        <w:rPr>
          <w:szCs w:val="22"/>
        </w:rPr>
        <w:t xml:space="preserve"> </w:t>
      </w:r>
      <w:r w:rsidR="00134CE6" w:rsidRPr="002D1491">
        <w:rPr>
          <w:szCs w:val="22"/>
        </w:rPr>
        <w:t xml:space="preserve">is </w:t>
      </w:r>
      <w:r w:rsidR="000D441D" w:rsidRPr="002D1491">
        <w:rPr>
          <w:szCs w:val="22"/>
        </w:rPr>
        <w:t>not controlling for Auction </w:t>
      </w:r>
      <w:r w:rsidR="00741E9A" w:rsidRPr="002D1491">
        <w:rPr>
          <w:szCs w:val="22"/>
        </w:rPr>
        <w:t>97 applicants</w:t>
      </w:r>
      <w:r w:rsidR="00393B66" w:rsidRPr="002D1491">
        <w:rPr>
          <w:szCs w:val="22"/>
        </w:rPr>
        <w:t xml:space="preserve">, </w:t>
      </w:r>
      <w:r w:rsidR="001907FC" w:rsidRPr="002D1491">
        <w:rPr>
          <w:szCs w:val="22"/>
        </w:rPr>
        <w:t xml:space="preserve">we note that </w:t>
      </w:r>
      <w:r w:rsidR="00B674CD" w:rsidRPr="002D1491">
        <w:rPr>
          <w:szCs w:val="22"/>
        </w:rPr>
        <w:t xml:space="preserve">the item </w:t>
      </w:r>
      <w:r w:rsidR="00136FA4" w:rsidRPr="002D1491">
        <w:rPr>
          <w:szCs w:val="22"/>
        </w:rPr>
        <w:t xml:space="preserve">is replete with emphasis on the </w:t>
      </w:r>
      <w:r w:rsidR="00B6752D" w:rsidRPr="002D1491">
        <w:rPr>
          <w:szCs w:val="22"/>
        </w:rPr>
        <w:t>long</w:t>
      </w:r>
      <w:r w:rsidR="00D6785E" w:rsidRPr="002D1491">
        <w:rPr>
          <w:szCs w:val="22"/>
        </w:rPr>
        <w:t>-</w:t>
      </w:r>
      <w:r w:rsidR="00B6752D" w:rsidRPr="002D1491">
        <w:rPr>
          <w:szCs w:val="22"/>
        </w:rPr>
        <w:t xml:space="preserve">established </w:t>
      </w:r>
      <w:r w:rsidR="00136FA4" w:rsidRPr="002D1491">
        <w:rPr>
          <w:szCs w:val="22"/>
        </w:rPr>
        <w:t>need to review all agreements on a case-by</w:t>
      </w:r>
      <w:r w:rsidR="00D6785E" w:rsidRPr="002D1491">
        <w:rPr>
          <w:szCs w:val="22"/>
        </w:rPr>
        <w:t>-</w:t>
      </w:r>
      <w:r w:rsidR="00136FA4" w:rsidRPr="002D1491">
        <w:rPr>
          <w:szCs w:val="22"/>
        </w:rPr>
        <w:t xml:space="preserve">case basis, including, for example, </w:t>
      </w:r>
      <w:r w:rsidR="00B6752D" w:rsidRPr="002D1491">
        <w:rPr>
          <w:szCs w:val="22"/>
        </w:rPr>
        <w:t>“</w:t>
      </w:r>
      <w:r w:rsidR="00136FA4" w:rsidRPr="002D1491">
        <w:rPr>
          <w:szCs w:val="22"/>
        </w:rPr>
        <w:t xml:space="preserve">loan </w:t>
      </w:r>
      <w:r w:rsidR="00B6752D" w:rsidRPr="002D1491">
        <w:rPr>
          <w:szCs w:val="22"/>
        </w:rPr>
        <w:t>. . . documents,”</w:t>
      </w:r>
      <w:r w:rsidR="00136FA4" w:rsidRPr="002D1491">
        <w:rPr>
          <w:szCs w:val="22"/>
        </w:rPr>
        <w:t xml:space="preserve"> prior to determining the DE eligibility of an applicant.</w:t>
      </w:r>
      <w:r w:rsidR="0019351D">
        <w:rPr>
          <w:rStyle w:val="FootnoteReference"/>
          <w:szCs w:val="22"/>
        </w:rPr>
        <w:footnoteReference w:id="40"/>
      </w:r>
      <w:r w:rsidR="00C576AD" w:rsidRPr="002D1491">
        <w:rPr>
          <w:szCs w:val="22"/>
        </w:rPr>
        <w:t xml:space="preserve">  </w:t>
      </w:r>
      <w:r w:rsidR="00ED79A0" w:rsidRPr="002D1491">
        <w:rPr>
          <w:szCs w:val="22"/>
        </w:rPr>
        <w:t xml:space="preserve">We </w:t>
      </w:r>
      <w:r w:rsidR="0077355E">
        <w:rPr>
          <w:szCs w:val="22"/>
        </w:rPr>
        <w:t xml:space="preserve">also </w:t>
      </w:r>
      <w:r w:rsidR="00ED79A0" w:rsidRPr="002D1491">
        <w:rPr>
          <w:szCs w:val="22"/>
        </w:rPr>
        <w:t xml:space="preserve">disagree that the Division erred by referring to the </w:t>
      </w:r>
      <w:r w:rsidR="00ED79A0" w:rsidRPr="006A2E0C">
        <w:t>annual reporting requirement</w:t>
      </w:r>
      <w:r w:rsidR="00ED79A0" w:rsidRPr="0038720D">
        <w:t xml:space="preserve"> </w:t>
      </w:r>
      <w:r w:rsidR="00ED79A0">
        <w:t>for licensees that receive DE credits.</w:t>
      </w:r>
      <w:r w:rsidR="00ED79A0">
        <w:rPr>
          <w:rStyle w:val="FootnoteReference"/>
        </w:rPr>
        <w:footnoteReference w:id="41"/>
      </w:r>
      <w:r w:rsidR="00ED79A0">
        <w:t xml:space="preserve">  The </w:t>
      </w:r>
      <w:r w:rsidR="00ED79A0" w:rsidRPr="002D1491">
        <w:rPr>
          <w:i/>
        </w:rPr>
        <w:t>Letter Order</w:t>
      </w:r>
      <w:r w:rsidR="00ED79A0">
        <w:t xml:space="preserve"> made clear that the annual reporting requirement was not controlling authority for Mr. Sofio’s application</w:t>
      </w:r>
      <w:r w:rsidR="00DF26CA">
        <w:t>, but rather noted that it is</w:t>
      </w:r>
      <w:r w:rsidR="00ED79A0">
        <w:t xml:space="preserve"> </w:t>
      </w:r>
      <w:r w:rsidR="00ED79A0" w:rsidRPr="00D36CAC">
        <w:t xml:space="preserve">a </w:t>
      </w:r>
      <w:r w:rsidR="00ED79A0" w:rsidRPr="002D1491">
        <w:t>continuing</w:t>
      </w:r>
      <w:r w:rsidR="00ED79A0" w:rsidRPr="00D36CAC">
        <w:t xml:space="preserve"> requirement</w:t>
      </w:r>
      <w:r w:rsidR="00ED79A0">
        <w:t xml:space="preserve"> for licensees that receive credits</w:t>
      </w:r>
      <w:r w:rsidR="00DF26CA">
        <w:t>, in addition to being a requirement in the initial application</w:t>
      </w:r>
      <w:r w:rsidR="00ED79A0">
        <w:t>.</w:t>
      </w:r>
      <w:r w:rsidR="00ED79A0" w:rsidRPr="006A2E0C">
        <w:rPr>
          <w:rStyle w:val="FootnoteReference"/>
        </w:rPr>
        <w:footnoteReference w:id="42"/>
      </w:r>
      <w:r w:rsidR="00ED79A0">
        <w:t xml:space="preserve">  </w:t>
      </w:r>
    </w:p>
    <w:bookmarkEnd w:id="6"/>
    <w:p w14:paraId="0CAA7A46" w14:textId="5E6AD70F" w:rsidR="00FC364E" w:rsidRPr="004467A2" w:rsidRDefault="000630CC" w:rsidP="00346EF6">
      <w:pPr>
        <w:pStyle w:val="ParaNum"/>
        <w:widowControl/>
      </w:pPr>
      <w:r>
        <w:t>Further, w</w:t>
      </w:r>
      <w:r w:rsidR="00D203F8">
        <w:t>e find no merit to Mr. Sofio’s unsupported assertion that the Division erred in requiring Mr. Sofio to summarize the agreements, as required, in Exhibit D to the FCC Form 601.  In this regard, the AFR is an untimely petition for reconsideration of the Commission’s decision adopting the requirement.</w:t>
      </w:r>
      <w:r w:rsidR="00D203F8">
        <w:rPr>
          <w:rStyle w:val="FootnoteReference"/>
        </w:rPr>
        <w:footnoteReference w:id="43"/>
      </w:r>
      <w:r w:rsidR="00D203F8">
        <w:t xml:space="preserve">  Noting that he has filed the agreements, Mr. Sofio asks “what purpose would be served by ‘summarizing’ those brief promissory notes.”</w:t>
      </w:r>
      <w:r w:rsidR="00D203F8">
        <w:rPr>
          <w:rStyle w:val="FootnoteReference"/>
        </w:rPr>
        <w:footnoteReference w:id="44"/>
      </w:r>
      <w:r w:rsidR="00D203F8">
        <w:t xml:space="preserve">  Simply put, summaries</w:t>
      </w:r>
      <w:r w:rsidR="0014360D">
        <w:t xml:space="preserve"> are required by the rules, and</w:t>
      </w:r>
      <w:r w:rsidR="00D203F8">
        <w:t xml:space="preserve"> assist the </w:t>
      </w:r>
      <w:r w:rsidR="003A1E34">
        <w:t xml:space="preserve">public’s review </w:t>
      </w:r>
      <w:r w:rsidR="00D203F8">
        <w:t>once the application is placed on public notice as accepted for filing</w:t>
      </w:r>
      <w:r w:rsidR="003A1E34">
        <w:t xml:space="preserve"> and may assist the Commission.</w:t>
      </w:r>
      <w:r w:rsidR="00D203F8">
        <w:t xml:space="preserve">  </w:t>
      </w:r>
      <w:r w:rsidR="00FC364E">
        <w:t xml:space="preserve">We </w:t>
      </w:r>
      <w:r w:rsidR="004467A2">
        <w:t xml:space="preserve">also </w:t>
      </w:r>
      <w:r w:rsidR="00FC364E">
        <w:t xml:space="preserve">find no merit to </w:t>
      </w:r>
      <w:r w:rsidR="00FC364E" w:rsidRPr="004467A2">
        <w:rPr>
          <w:szCs w:val="22"/>
        </w:rPr>
        <w:t>Mr. Sofio’s contention that the Division “imposes an unprecedented obligation on the applicant to identify everyone with whom he has had ‘conversations’ since his application was filed back in 2014.”</w:t>
      </w:r>
      <w:r w:rsidR="00FC364E">
        <w:rPr>
          <w:rStyle w:val="FootnoteReference"/>
          <w:szCs w:val="22"/>
        </w:rPr>
        <w:footnoteReference w:id="45"/>
      </w:r>
      <w:r w:rsidR="00FC364E" w:rsidRPr="004467A2">
        <w:rPr>
          <w:szCs w:val="22"/>
        </w:rPr>
        <w:t xml:space="preserve">  </w:t>
      </w:r>
      <w:r w:rsidR="009915EE">
        <w:rPr>
          <w:szCs w:val="22"/>
        </w:rPr>
        <w:t>I</w:t>
      </w:r>
      <w:r w:rsidR="00F57151">
        <w:rPr>
          <w:szCs w:val="22"/>
        </w:rPr>
        <w:t xml:space="preserve">n the context of the </w:t>
      </w:r>
      <w:r w:rsidR="00F57151">
        <w:rPr>
          <w:i/>
          <w:szCs w:val="22"/>
        </w:rPr>
        <w:t xml:space="preserve">Letter Order </w:t>
      </w:r>
      <w:r w:rsidR="00F57151">
        <w:rPr>
          <w:szCs w:val="22"/>
        </w:rPr>
        <w:t xml:space="preserve">and the Commission’s rules, it is clear that the </w:t>
      </w:r>
      <w:r w:rsidR="00F57151">
        <w:rPr>
          <w:i/>
          <w:szCs w:val="22"/>
        </w:rPr>
        <w:t xml:space="preserve">Letter Order </w:t>
      </w:r>
      <w:r w:rsidR="00F57151">
        <w:rPr>
          <w:szCs w:val="22"/>
        </w:rPr>
        <w:t>requi</w:t>
      </w:r>
      <w:r w:rsidR="008B5F45">
        <w:rPr>
          <w:szCs w:val="22"/>
        </w:rPr>
        <w:t xml:space="preserve">res </w:t>
      </w:r>
      <w:r w:rsidR="00F57151">
        <w:rPr>
          <w:szCs w:val="22"/>
        </w:rPr>
        <w:t xml:space="preserve">Mr. Sofio </w:t>
      </w:r>
      <w:r w:rsidR="009915EE">
        <w:rPr>
          <w:szCs w:val="22"/>
        </w:rPr>
        <w:t xml:space="preserve">only </w:t>
      </w:r>
      <w:r w:rsidR="00F57151">
        <w:rPr>
          <w:szCs w:val="22"/>
        </w:rPr>
        <w:t>to identify those with whom he had conversations where those conversations pertained to actual or potential contracts, agreements, letters of intent, etc. regarding his bidding</w:t>
      </w:r>
      <w:r w:rsidR="00AE42B3">
        <w:rPr>
          <w:szCs w:val="22"/>
        </w:rPr>
        <w:t xml:space="preserve"> and the licenses on which he as bidding</w:t>
      </w:r>
      <w:r w:rsidR="008B5F45">
        <w:rPr>
          <w:szCs w:val="22"/>
        </w:rPr>
        <w:t>; t</w:t>
      </w:r>
      <w:r w:rsidR="00BE501F">
        <w:rPr>
          <w:szCs w:val="22"/>
        </w:rPr>
        <w:t>his obligation include</w:t>
      </w:r>
      <w:r w:rsidR="00AE42B3">
        <w:rPr>
          <w:szCs w:val="22"/>
        </w:rPr>
        <w:t>s</w:t>
      </w:r>
      <w:r w:rsidR="00FC364E" w:rsidRPr="004467A2">
        <w:rPr>
          <w:szCs w:val="22"/>
        </w:rPr>
        <w:t xml:space="preserve"> oral understandings</w:t>
      </w:r>
      <w:r w:rsidR="008B5F45">
        <w:rPr>
          <w:szCs w:val="22"/>
        </w:rPr>
        <w:t>.</w:t>
      </w:r>
      <w:r w:rsidR="00FC364E">
        <w:rPr>
          <w:rStyle w:val="FootnoteReference"/>
          <w:szCs w:val="22"/>
        </w:rPr>
        <w:footnoteReference w:id="46"/>
      </w:r>
      <w:r w:rsidR="00FC364E" w:rsidRPr="004467A2">
        <w:rPr>
          <w:szCs w:val="22"/>
        </w:rPr>
        <w:t xml:space="preserve"> </w:t>
      </w:r>
      <w:r w:rsidR="006B417A">
        <w:rPr>
          <w:szCs w:val="22"/>
        </w:rPr>
        <w:t xml:space="preserve"> </w:t>
      </w:r>
      <w:r w:rsidR="00AE42B3">
        <w:rPr>
          <w:szCs w:val="22"/>
        </w:rPr>
        <w:t>Mr. Sofio well underst</w:t>
      </w:r>
      <w:r w:rsidR="008B5F45">
        <w:rPr>
          <w:szCs w:val="22"/>
        </w:rPr>
        <w:t xml:space="preserve">ood this requirement, </w:t>
      </w:r>
      <w:r w:rsidR="00AE42B3">
        <w:rPr>
          <w:szCs w:val="22"/>
        </w:rPr>
        <w:t xml:space="preserve">as he disclosed at least some of these </w:t>
      </w:r>
      <w:r w:rsidR="003D0E00" w:rsidRPr="004467A2">
        <w:rPr>
          <w:szCs w:val="22"/>
        </w:rPr>
        <w:t xml:space="preserve">conversations </w:t>
      </w:r>
      <w:r w:rsidR="00FC364E" w:rsidRPr="004467A2">
        <w:rPr>
          <w:szCs w:val="22"/>
        </w:rPr>
        <w:t xml:space="preserve">in </w:t>
      </w:r>
      <w:r w:rsidR="00AE42B3">
        <w:rPr>
          <w:szCs w:val="22"/>
        </w:rPr>
        <w:t xml:space="preserve">his </w:t>
      </w:r>
      <w:r w:rsidR="00FC364E" w:rsidRPr="004467A2">
        <w:rPr>
          <w:szCs w:val="22"/>
        </w:rPr>
        <w:t>application under “Financing Arrangements”</w:t>
      </w:r>
      <w:r w:rsidR="00060F96" w:rsidRPr="004467A2">
        <w:rPr>
          <w:szCs w:val="22"/>
        </w:rPr>
        <w:t xml:space="preserve"> and “No Strategy Discussions.”</w:t>
      </w:r>
      <w:r w:rsidR="00FC364E" w:rsidRPr="009E745F">
        <w:rPr>
          <w:rStyle w:val="FootnoteReference"/>
          <w:szCs w:val="22"/>
        </w:rPr>
        <w:footnoteReference w:id="47"/>
      </w:r>
      <w:r w:rsidR="00872DEA">
        <w:rPr>
          <w:szCs w:val="22"/>
        </w:rPr>
        <w:t xml:space="preserve">  </w:t>
      </w:r>
    </w:p>
    <w:p w14:paraId="03219830" w14:textId="1128C9B9" w:rsidR="0019351D" w:rsidRDefault="0019351D" w:rsidP="00346EF6">
      <w:pPr>
        <w:pStyle w:val="ParaNum"/>
        <w:widowControl/>
      </w:pPr>
      <w:bookmarkStart w:id="7" w:name="_Ref455063752"/>
      <w:r w:rsidRPr="008D517C">
        <w:rPr>
          <w:szCs w:val="22"/>
        </w:rPr>
        <w:t xml:space="preserve">We therefore affirm the Division’s finding that Mr. Sofio </w:t>
      </w:r>
      <w:r w:rsidR="008D517C">
        <w:rPr>
          <w:szCs w:val="22"/>
        </w:rPr>
        <w:t xml:space="preserve">is </w:t>
      </w:r>
      <w:r w:rsidRPr="008D517C">
        <w:rPr>
          <w:szCs w:val="22"/>
        </w:rPr>
        <w:t xml:space="preserve">required to submit the referenced agreements as part of his application seeking </w:t>
      </w:r>
      <w:r w:rsidR="009915EE">
        <w:rPr>
          <w:szCs w:val="22"/>
        </w:rPr>
        <w:t>DE</w:t>
      </w:r>
      <w:r w:rsidRPr="008D517C">
        <w:rPr>
          <w:szCs w:val="22"/>
        </w:rPr>
        <w:t xml:space="preserve"> benefits in a </w:t>
      </w:r>
      <w:r w:rsidR="004467A2">
        <w:rPr>
          <w:szCs w:val="22"/>
        </w:rPr>
        <w:t xml:space="preserve">Commission </w:t>
      </w:r>
      <w:r w:rsidRPr="008D517C">
        <w:rPr>
          <w:szCs w:val="22"/>
        </w:rPr>
        <w:t>auction.</w:t>
      </w:r>
      <w:r w:rsidR="000E1F7A">
        <w:rPr>
          <w:rStyle w:val="FootnoteReference"/>
          <w:szCs w:val="22"/>
        </w:rPr>
        <w:footnoteReference w:id="48"/>
      </w:r>
      <w:r w:rsidRPr="008D517C">
        <w:rPr>
          <w:szCs w:val="22"/>
        </w:rPr>
        <w:t xml:space="preserve">  Having affirmed that the information is required</w:t>
      </w:r>
      <w:r w:rsidR="004C2C0E">
        <w:rPr>
          <w:szCs w:val="22"/>
        </w:rPr>
        <w:t xml:space="preserve">, </w:t>
      </w:r>
      <w:r w:rsidRPr="008D517C">
        <w:rPr>
          <w:szCs w:val="22"/>
        </w:rPr>
        <w:t xml:space="preserve">we </w:t>
      </w:r>
      <w:r w:rsidR="004C2C0E">
        <w:rPr>
          <w:szCs w:val="22"/>
        </w:rPr>
        <w:t xml:space="preserve">address </w:t>
      </w:r>
      <w:r w:rsidR="003D6916">
        <w:rPr>
          <w:szCs w:val="22"/>
        </w:rPr>
        <w:t xml:space="preserve">the </w:t>
      </w:r>
      <w:r w:rsidR="0068081B">
        <w:rPr>
          <w:szCs w:val="22"/>
        </w:rPr>
        <w:t xml:space="preserve">Division’s partial denial of </w:t>
      </w:r>
      <w:r w:rsidR="003D6916">
        <w:rPr>
          <w:szCs w:val="22"/>
        </w:rPr>
        <w:t xml:space="preserve">the </w:t>
      </w:r>
      <w:r w:rsidRPr="008D517C">
        <w:rPr>
          <w:szCs w:val="22"/>
        </w:rPr>
        <w:t>Request.</w:t>
      </w:r>
      <w:bookmarkEnd w:id="7"/>
      <w:r w:rsidR="006B5936">
        <w:rPr>
          <w:szCs w:val="22"/>
        </w:rPr>
        <w:t xml:space="preserve">  </w:t>
      </w:r>
    </w:p>
    <w:p w14:paraId="3AD82B3A" w14:textId="77777777" w:rsidR="007A5836" w:rsidRPr="007A5836" w:rsidRDefault="007A5836" w:rsidP="00346EF6">
      <w:pPr>
        <w:pStyle w:val="Heading2"/>
        <w:widowControl/>
      </w:pPr>
      <w:r>
        <w:t>Request for Confidential Treatment</w:t>
      </w:r>
    </w:p>
    <w:p w14:paraId="11FF15FC" w14:textId="77777777" w:rsidR="00343DBC" w:rsidRPr="00343DBC" w:rsidRDefault="008B5F45" w:rsidP="00346EF6">
      <w:pPr>
        <w:pStyle w:val="ParaNum"/>
        <w:widowControl/>
      </w:pPr>
      <w:r>
        <w:rPr>
          <w:szCs w:val="22"/>
        </w:rPr>
        <w:t>Section 0.459 provides that parties may ask that certain information they file be kept confidential – that is, not released to the general public.</w:t>
      </w:r>
      <w:r>
        <w:rPr>
          <w:rStyle w:val="FootnoteReference"/>
          <w:szCs w:val="22"/>
        </w:rPr>
        <w:footnoteReference w:id="49"/>
      </w:r>
      <w:r>
        <w:rPr>
          <w:szCs w:val="22"/>
        </w:rPr>
        <w:t xml:space="preserve">  A requestor must explain, among other things, how disclosure of the information could cause substantial </w:t>
      </w:r>
      <w:r w:rsidRPr="00435120">
        <w:t>competitive</w:t>
      </w:r>
      <w:r>
        <w:rPr>
          <w:szCs w:val="22"/>
        </w:rPr>
        <w:t xml:space="preserve"> harm.</w:t>
      </w:r>
      <w:r>
        <w:rPr>
          <w:rStyle w:val="FootnoteReference"/>
          <w:szCs w:val="22"/>
        </w:rPr>
        <w:footnoteReference w:id="50"/>
      </w:r>
      <w:r>
        <w:rPr>
          <w:szCs w:val="22"/>
        </w:rPr>
        <w:t xml:space="preserve">  </w:t>
      </w:r>
      <w:r w:rsidR="00343DBC">
        <w:rPr>
          <w:szCs w:val="22"/>
        </w:rPr>
        <w:t xml:space="preserve">A request for confidentiality may be granted only </w:t>
      </w:r>
      <w:r w:rsidR="00343DBC" w:rsidRPr="00EA6869">
        <w:rPr>
          <w:szCs w:val="22"/>
        </w:rPr>
        <w:t xml:space="preserve">if it </w:t>
      </w:r>
      <w:r w:rsidR="00343DBC">
        <w:rPr>
          <w:szCs w:val="22"/>
        </w:rPr>
        <w:t xml:space="preserve">is </w:t>
      </w:r>
      <w:r w:rsidR="00343DBC" w:rsidRPr="00EA6869">
        <w:rPr>
          <w:szCs w:val="22"/>
        </w:rPr>
        <w:t>demonstrate</w:t>
      </w:r>
      <w:r w:rsidR="00343DBC">
        <w:rPr>
          <w:szCs w:val="22"/>
        </w:rPr>
        <w:t>d</w:t>
      </w:r>
      <w:r w:rsidR="00343DBC" w:rsidRPr="00EA6869">
        <w:rPr>
          <w:szCs w:val="22"/>
        </w:rPr>
        <w:t xml:space="preserve"> by a preponderance of the evidence that non-disclosure is consistent with the provisions of the </w:t>
      </w:r>
      <w:r w:rsidR="00343DBC">
        <w:rPr>
          <w:szCs w:val="22"/>
        </w:rPr>
        <w:t>FOIA</w:t>
      </w:r>
      <w:r w:rsidR="00343DBC" w:rsidRPr="00EA6869">
        <w:rPr>
          <w:szCs w:val="22"/>
        </w:rPr>
        <w:t>.</w:t>
      </w:r>
      <w:r w:rsidR="00343DBC">
        <w:rPr>
          <w:rStyle w:val="FootnoteReference"/>
          <w:szCs w:val="22"/>
        </w:rPr>
        <w:footnoteReference w:id="51"/>
      </w:r>
      <w:r w:rsidR="00343DBC">
        <w:rPr>
          <w:szCs w:val="22"/>
        </w:rPr>
        <w:t xml:space="preserve">  </w:t>
      </w:r>
      <w:r>
        <w:rPr>
          <w:szCs w:val="22"/>
        </w:rPr>
        <w:t>As is relevant here, the Commission may withhold from public inspection commercial or financial information only to the extent that it is privileged or confidential.</w:t>
      </w:r>
      <w:r>
        <w:rPr>
          <w:rStyle w:val="FootnoteReference"/>
          <w:szCs w:val="22"/>
        </w:rPr>
        <w:footnoteReference w:id="52"/>
      </w:r>
      <w:r>
        <w:rPr>
          <w:szCs w:val="22"/>
        </w:rPr>
        <w:t xml:space="preserve">  There must be </w:t>
      </w:r>
      <w:r w:rsidR="00343DBC" w:rsidRPr="008518E0">
        <w:rPr>
          <w:szCs w:val="22"/>
        </w:rPr>
        <w:t>specific evidence substantiating an assertion that release of a record would cause substantial competitive harm to the person from whom the information was obtained.</w:t>
      </w:r>
      <w:r w:rsidR="00343DBC">
        <w:rPr>
          <w:rStyle w:val="FootnoteReference"/>
          <w:szCs w:val="22"/>
        </w:rPr>
        <w:footnoteReference w:id="53"/>
      </w:r>
      <w:r w:rsidR="00343DBC">
        <w:rPr>
          <w:szCs w:val="22"/>
        </w:rPr>
        <w:t xml:space="preserve">  T</w:t>
      </w:r>
      <w:r w:rsidR="00343DBC" w:rsidRPr="008518E0">
        <w:rPr>
          <w:szCs w:val="22"/>
        </w:rPr>
        <w:t>he specific evidence must show that the competitive harm will result from the affirmative use of the information by competitors of the person from whom the information was obtained, not merely injuries to that person's competitive position in the marketplace or “embarrassing publicity attendant upon public revelations.”</w:t>
      </w:r>
      <w:r w:rsidR="00343DBC">
        <w:rPr>
          <w:rStyle w:val="FootnoteReference"/>
          <w:szCs w:val="22"/>
        </w:rPr>
        <w:footnoteReference w:id="54"/>
      </w:r>
    </w:p>
    <w:p w14:paraId="01FB1AB9" w14:textId="005D13D7" w:rsidR="004E00C8" w:rsidRPr="004E00C8" w:rsidRDefault="008B5F45" w:rsidP="00346EF6">
      <w:pPr>
        <w:pStyle w:val="ParaNum"/>
        <w:widowControl/>
      </w:pPr>
      <w:r>
        <w:rPr>
          <w:szCs w:val="22"/>
        </w:rPr>
        <w:t xml:space="preserve">We find that Mr. Sofio </w:t>
      </w:r>
      <w:r w:rsidR="0014360D">
        <w:rPr>
          <w:szCs w:val="22"/>
        </w:rPr>
        <w:t xml:space="preserve">presents only conclusory and generalized allegations and </w:t>
      </w:r>
      <w:r>
        <w:rPr>
          <w:szCs w:val="22"/>
        </w:rPr>
        <w:t xml:space="preserve">has </w:t>
      </w:r>
      <w:r w:rsidR="006B635C">
        <w:rPr>
          <w:szCs w:val="22"/>
        </w:rPr>
        <w:t xml:space="preserve">not </w:t>
      </w:r>
      <w:r w:rsidR="00BE501F">
        <w:rPr>
          <w:szCs w:val="22"/>
        </w:rPr>
        <w:t>substantiate</w:t>
      </w:r>
      <w:r>
        <w:rPr>
          <w:szCs w:val="22"/>
        </w:rPr>
        <w:t>d</w:t>
      </w:r>
      <w:r w:rsidR="00BE501F">
        <w:rPr>
          <w:szCs w:val="22"/>
        </w:rPr>
        <w:t xml:space="preserve"> </w:t>
      </w:r>
      <w:r>
        <w:rPr>
          <w:szCs w:val="22"/>
        </w:rPr>
        <w:t xml:space="preserve">his </w:t>
      </w:r>
      <w:r w:rsidR="00343DBC" w:rsidRPr="008518E0">
        <w:rPr>
          <w:szCs w:val="22"/>
        </w:rPr>
        <w:t xml:space="preserve">assertion that </w:t>
      </w:r>
      <w:r w:rsidR="00CA6BEB">
        <w:rPr>
          <w:szCs w:val="22"/>
        </w:rPr>
        <w:t xml:space="preserve">disclosure of the identities of the parties </w:t>
      </w:r>
      <w:r w:rsidR="00343DBC" w:rsidRPr="008518E0">
        <w:rPr>
          <w:szCs w:val="22"/>
        </w:rPr>
        <w:t>would cause substantial competitive harm</w:t>
      </w:r>
      <w:r w:rsidR="000630CC">
        <w:rPr>
          <w:szCs w:val="22"/>
        </w:rPr>
        <w:t>, either to him or to his lenders</w:t>
      </w:r>
      <w:r w:rsidR="00343DBC" w:rsidRPr="008518E0">
        <w:rPr>
          <w:szCs w:val="22"/>
        </w:rPr>
        <w:t>.</w:t>
      </w:r>
      <w:r w:rsidR="00343DBC">
        <w:rPr>
          <w:rStyle w:val="FootnoteReference"/>
          <w:szCs w:val="22"/>
        </w:rPr>
        <w:footnoteReference w:id="55"/>
      </w:r>
      <w:r w:rsidR="00343DBC">
        <w:rPr>
          <w:szCs w:val="22"/>
        </w:rPr>
        <w:t xml:space="preserve">  </w:t>
      </w:r>
      <w:r w:rsidR="00CD4AF8">
        <w:rPr>
          <w:szCs w:val="22"/>
        </w:rPr>
        <w:t xml:space="preserve">The record before us </w:t>
      </w:r>
      <w:r w:rsidR="00CD4AF8" w:rsidRPr="00435120">
        <w:t>provides</w:t>
      </w:r>
      <w:r w:rsidR="00343DBC" w:rsidRPr="00847F58">
        <w:rPr>
          <w:szCs w:val="22"/>
        </w:rPr>
        <w:t xml:space="preserve"> </w:t>
      </w:r>
      <w:r w:rsidR="00F579A1">
        <w:rPr>
          <w:szCs w:val="22"/>
        </w:rPr>
        <w:t xml:space="preserve">no </w:t>
      </w:r>
      <w:r w:rsidR="00343DBC" w:rsidRPr="00847F58">
        <w:rPr>
          <w:szCs w:val="22"/>
        </w:rPr>
        <w:t xml:space="preserve">specific evidence that </w:t>
      </w:r>
      <w:r w:rsidR="00CD4AF8">
        <w:rPr>
          <w:szCs w:val="22"/>
        </w:rPr>
        <w:t xml:space="preserve">any </w:t>
      </w:r>
      <w:r w:rsidR="00CC0139">
        <w:rPr>
          <w:szCs w:val="22"/>
        </w:rPr>
        <w:t xml:space="preserve">substantial </w:t>
      </w:r>
      <w:r w:rsidR="00343DBC" w:rsidRPr="00847F58">
        <w:rPr>
          <w:szCs w:val="22"/>
        </w:rPr>
        <w:t xml:space="preserve">competitive harm </w:t>
      </w:r>
      <w:r w:rsidR="00CC0139">
        <w:rPr>
          <w:szCs w:val="22"/>
        </w:rPr>
        <w:t xml:space="preserve">likely </w:t>
      </w:r>
      <w:r w:rsidR="00343DBC" w:rsidRPr="00847F58">
        <w:rPr>
          <w:szCs w:val="22"/>
        </w:rPr>
        <w:t>will result from the affirmative use of the information by competitors</w:t>
      </w:r>
      <w:r w:rsidR="00CD4AF8">
        <w:rPr>
          <w:szCs w:val="22"/>
        </w:rPr>
        <w:t xml:space="preserve">, if any, </w:t>
      </w:r>
      <w:r w:rsidR="00343DBC" w:rsidRPr="00847F58">
        <w:rPr>
          <w:szCs w:val="22"/>
        </w:rPr>
        <w:t xml:space="preserve">of </w:t>
      </w:r>
      <w:r w:rsidR="00A4487E">
        <w:rPr>
          <w:szCs w:val="22"/>
        </w:rPr>
        <w:t>either Mr. Sofio or his lenders</w:t>
      </w:r>
      <w:r w:rsidR="00F579A1">
        <w:rPr>
          <w:szCs w:val="22"/>
        </w:rPr>
        <w:t>.</w:t>
      </w:r>
      <w:r w:rsidR="00313D61">
        <w:rPr>
          <w:szCs w:val="22"/>
        </w:rPr>
        <w:t xml:space="preserve">  </w:t>
      </w:r>
      <w:r w:rsidR="00CD4AF8">
        <w:rPr>
          <w:szCs w:val="22"/>
        </w:rPr>
        <w:t>Nonetheless</w:t>
      </w:r>
      <w:r w:rsidR="00313D61">
        <w:rPr>
          <w:szCs w:val="22"/>
        </w:rPr>
        <w:t xml:space="preserve">, </w:t>
      </w:r>
      <w:r w:rsidR="00343DBC">
        <w:rPr>
          <w:szCs w:val="22"/>
        </w:rPr>
        <w:t xml:space="preserve">we address </w:t>
      </w:r>
      <w:r w:rsidR="00CD4AF8">
        <w:rPr>
          <w:szCs w:val="22"/>
        </w:rPr>
        <w:t xml:space="preserve">the assertions </w:t>
      </w:r>
      <w:r w:rsidR="00313D61">
        <w:rPr>
          <w:szCs w:val="22"/>
        </w:rPr>
        <w:t xml:space="preserve">in the AFR.  </w:t>
      </w:r>
    </w:p>
    <w:p w14:paraId="193CEB33" w14:textId="2C61CB6B" w:rsidR="0014360D" w:rsidRDefault="004E00C8" w:rsidP="00346EF6">
      <w:pPr>
        <w:pStyle w:val="ParaNum"/>
        <w:widowControl/>
      </w:pPr>
      <w:r>
        <w:rPr>
          <w:i/>
        </w:rPr>
        <w:t>Commercial and Financial Information</w:t>
      </w:r>
      <w:r w:rsidR="00FA000D">
        <w:t>.</w:t>
      </w:r>
      <w:r>
        <w:rPr>
          <w:i/>
        </w:rPr>
        <w:t xml:space="preserve"> </w:t>
      </w:r>
      <w:r w:rsidR="00FA000D">
        <w:rPr>
          <w:i/>
        </w:rPr>
        <w:t xml:space="preserve"> </w:t>
      </w:r>
      <w:r w:rsidR="00FA000D" w:rsidRPr="00FA000D">
        <w:t>As noted above,</w:t>
      </w:r>
      <w:r w:rsidR="00FA000D">
        <w:rPr>
          <w:i/>
        </w:rPr>
        <w:t xml:space="preserve"> </w:t>
      </w:r>
      <w:r w:rsidR="00FA000D">
        <w:t>the AFR argues that the identities of the parties to agreements with Mr. Sofio is commercial and financial information the public disclosure of which could cause competitive harm to the parties.</w:t>
      </w:r>
      <w:r w:rsidR="0014360D">
        <w:rPr>
          <w:rStyle w:val="FootnoteReference"/>
          <w:szCs w:val="22"/>
        </w:rPr>
        <w:footnoteReference w:id="56"/>
      </w:r>
      <w:r w:rsidR="0014360D">
        <w:t xml:space="preserve"> </w:t>
      </w:r>
      <w:r w:rsidR="00FA000D">
        <w:t xml:space="preserve"> </w:t>
      </w:r>
      <w:r w:rsidR="001E7BFA">
        <w:t>As an initial matter, w</w:t>
      </w:r>
      <w:r w:rsidR="003C1EDF">
        <w:t>e find that th</w:t>
      </w:r>
      <w:r w:rsidR="008B7A09">
        <w:t xml:space="preserve">e Division correctly rejected Mr. Sofio’s </w:t>
      </w:r>
      <w:r w:rsidR="003C1EDF">
        <w:t xml:space="preserve">arguments analogizing his situation </w:t>
      </w:r>
      <w:r w:rsidR="008B7A09">
        <w:t>to “</w:t>
      </w:r>
      <w:r w:rsidR="008B7A09" w:rsidRPr="00D9324B">
        <w:t>very different proceedings</w:t>
      </w:r>
      <w:r w:rsidR="003C1EDF">
        <w:t>” where</w:t>
      </w:r>
      <w:r w:rsidR="008B7A09" w:rsidRPr="00D9324B">
        <w:t xml:space="preserve"> </w:t>
      </w:r>
      <w:r w:rsidR="003C1EDF">
        <w:t>“</w:t>
      </w:r>
      <w:r w:rsidR="008B7A09" w:rsidRPr="00D9324B">
        <w:t xml:space="preserve">the Commission </w:t>
      </w:r>
      <w:r w:rsidR="008B7A09" w:rsidRPr="000545D0">
        <w:t>has afforded sensitive financial information confidential treatment</w:t>
      </w:r>
      <w:r w:rsidR="008B7A09" w:rsidRPr="00D9324B">
        <w:t>, such as the prices for licenses being acquired in a transfer of control application</w:t>
      </w:r>
      <w:r w:rsidR="008135FB">
        <w:t>.</w:t>
      </w:r>
      <w:r w:rsidR="008B7A09">
        <w:t>”</w:t>
      </w:r>
      <w:r w:rsidR="008B7A09">
        <w:rPr>
          <w:rStyle w:val="FootnoteReference"/>
          <w:szCs w:val="22"/>
        </w:rPr>
        <w:footnoteReference w:id="57"/>
      </w:r>
      <w:r w:rsidR="008B7A09">
        <w:t xml:space="preserve">  </w:t>
      </w:r>
      <w:r w:rsidR="0014360D" w:rsidRPr="0014360D">
        <w:rPr>
          <w:szCs w:val="22"/>
        </w:rPr>
        <w:t xml:space="preserve">The Commission has distinguished </w:t>
      </w:r>
      <w:r w:rsidR="008135FB">
        <w:rPr>
          <w:szCs w:val="22"/>
        </w:rPr>
        <w:t xml:space="preserve">the reporting requirements for a </w:t>
      </w:r>
      <w:r w:rsidR="0014360D" w:rsidRPr="0014360D">
        <w:rPr>
          <w:szCs w:val="22"/>
        </w:rPr>
        <w:t>transfer of control</w:t>
      </w:r>
      <w:r w:rsidR="008135FB">
        <w:rPr>
          <w:szCs w:val="22"/>
        </w:rPr>
        <w:t xml:space="preserve"> of a license received through competitive bidding (</w:t>
      </w:r>
      <w:r w:rsidR="008135FB" w:rsidRPr="0014360D">
        <w:rPr>
          <w:szCs w:val="22"/>
        </w:rPr>
        <w:t>47 C</w:t>
      </w:r>
      <w:r w:rsidR="00FB6D12">
        <w:rPr>
          <w:szCs w:val="22"/>
        </w:rPr>
        <w:t>.</w:t>
      </w:r>
      <w:r w:rsidR="008135FB" w:rsidRPr="0014360D">
        <w:rPr>
          <w:szCs w:val="22"/>
        </w:rPr>
        <w:t>F</w:t>
      </w:r>
      <w:r w:rsidR="00FB6D12">
        <w:rPr>
          <w:szCs w:val="22"/>
        </w:rPr>
        <w:t>.R.</w:t>
      </w:r>
      <w:r w:rsidR="008135FB" w:rsidRPr="0014360D">
        <w:rPr>
          <w:szCs w:val="22"/>
        </w:rPr>
        <w:t xml:space="preserve"> § 1.2111</w:t>
      </w:r>
      <w:r w:rsidR="008135FB">
        <w:rPr>
          <w:szCs w:val="22"/>
        </w:rPr>
        <w:t>)</w:t>
      </w:r>
      <w:r w:rsidR="008135FB" w:rsidRPr="0014360D">
        <w:rPr>
          <w:szCs w:val="22"/>
        </w:rPr>
        <w:t xml:space="preserve"> </w:t>
      </w:r>
      <w:r w:rsidR="008135FB">
        <w:rPr>
          <w:szCs w:val="22"/>
        </w:rPr>
        <w:t xml:space="preserve">from </w:t>
      </w:r>
      <w:r w:rsidR="008135FB" w:rsidRPr="0014360D">
        <w:rPr>
          <w:szCs w:val="22"/>
        </w:rPr>
        <w:t xml:space="preserve">the </w:t>
      </w:r>
      <w:r w:rsidR="008135FB">
        <w:rPr>
          <w:szCs w:val="22"/>
        </w:rPr>
        <w:t xml:space="preserve">designated entity </w:t>
      </w:r>
      <w:r w:rsidR="008135FB" w:rsidRPr="0014360D">
        <w:rPr>
          <w:szCs w:val="22"/>
        </w:rPr>
        <w:t>provisions set forth in 47 C</w:t>
      </w:r>
      <w:r w:rsidR="00FB6D12">
        <w:rPr>
          <w:szCs w:val="22"/>
        </w:rPr>
        <w:t>.</w:t>
      </w:r>
      <w:r w:rsidR="008135FB" w:rsidRPr="0014360D">
        <w:rPr>
          <w:szCs w:val="22"/>
        </w:rPr>
        <w:t>F</w:t>
      </w:r>
      <w:r w:rsidR="00FB6D12">
        <w:rPr>
          <w:szCs w:val="22"/>
        </w:rPr>
        <w:t>.</w:t>
      </w:r>
      <w:r w:rsidR="008135FB" w:rsidRPr="0014360D">
        <w:rPr>
          <w:szCs w:val="22"/>
        </w:rPr>
        <w:t>R</w:t>
      </w:r>
      <w:r w:rsidR="00FB6D12">
        <w:rPr>
          <w:szCs w:val="22"/>
        </w:rPr>
        <w:t>.</w:t>
      </w:r>
      <w:r w:rsidR="008135FB" w:rsidRPr="0014360D">
        <w:rPr>
          <w:szCs w:val="22"/>
        </w:rPr>
        <w:t xml:space="preserve"> § 1.2110</w:t>
      </w:r>
      <w:r w:rsidR="0014360D" w:rsidRPr="0014360D">
        <w:rPr>
          <w:szCs w:val="22"/>
        </w:rPr>
        <w:t xml:space="preserve">.  </w:t>
      </w:r>
      <w:r w:rsidR="008B0F72">
        <w:rPr>
          <w:szCs w:val="22"/>
        </w:rPr>
        <w:t>A</w:t>
      </w:r>
      <w:r w:rsidR="008135FB">
        <w:rPr>
          <w:szCs w:val="22"/>
        </w:rPr>
        <w:t xml:space="preserve"> </w:t>
      </w:r>
      <w:r w:rsidR="0014360D">
        <w:rPr>
          <w:szCs w:val="22"/>
        </w:rPr>
        <w:t>DE</w:t>
      </w:r>
      <w:r w:rsidR="0014360D" w:rsidRPr="0014360D">
        <w:rPr>
          <w:szCs w:val="22"/>
        </w:rPr>
        <w:t xml:space="preserve"> applicant</w:t>
      </w:r>
      <w:r w:rsidR="008135FB">
        <w:rPr>
          <w:szCs w:val="22"/>
        </w:rPr>
        <w:t xml:space="preserve"> must</w:t>
      </w:r>
      <w:r w:rsidR="0014360D" w:rsidRPr="0014360D">
        <w:rPr>
          <w:szCs w:val="22"/>
        </w:rPr>
        <w:t xml:space="preserve"> file agreements to demonstrate</w:t>
      </w:r>
      <w:r w:rsidR="00F32C0F">
        <w:rPr>
          <w:szCs w:val="22"/>
        </w:rPr>
        <w:t xml:space="preserve">, subject to </w:t>
      </w:r>
      <w:r w:rsidR="00F32C0F" w:rsidRPr="0014360D">
        <w:rPr>
          <w:szCs w:val="22"/>
        </w:rPr>
        <w:t>public scrutiny</w:t>
      </w:r>
      <w:r w:rsidR="00F32C0F">
        <w:rPr>
          <w:szCs w:val="22"/>
        </w:rPr>
        <w:t>,</w:t>
      </w:r>
      <w:r w:rsidR="0014360D" w:rsidRPr="0014360D">
        <w:rPr>
          <w:szCs w:val="22"/>
        </w:rPr>
        <w:t xml:space="preserve"> that it qualifies for certain bidding credits</w:t>
      </w:r>
      <w:r w:rsidR="008B0F72">
        <w:rPr>
          <w:szCs w:val="22"/>
        </w:rPr>
        <w:t>.  By contrast</w:t>
      </w:r>
      <w:r w:rsidR="0014360D" w:rsidRPr="0014360D">
        <w:rPr>
          <w:szCs w:val="22"/>
        </w:rPr>
        <w:t xml:space="preserve">, </w:t>
      </w:r>
      <w:r w:rsidR="008135FB">
        <w:rPr>
          <w:szCs w:val="22"/>
        </w:rPr>
        <w:t>an applicant seeking approval of a transfer of control must</w:t>
      </w:r>
      <w:r w:rsidR="0014360D" w:rsidRPr="0014360D">
        <w:rPr>
          <w:szCs w:val="22"/>
        </w:rPr>
        <w:t xml:space="preserve"> fil</w:t>
      </w:r>
      <w:r w:rsidR="008135FB">
        <w:rPr>
          <w:szCs w:val="22"/>
        </w:rPr>
        <w:t>e</w:t>
      </w:r>
      <w:r w:rsidR="0014360D" w:rsidRPr="0014360D">
        <w:rPr>
          <w:szCs w:val="22"/>
        </w:rPr>
        <w:t xml:space="preserve"> purchase agreements </w:t>
      </w:r>
      <w:r w:rsidR="00D31CBD">
        <w:rPr>
          <w:szCs w:val="22"/>
        </w:rPr>
        <w:t xml:space="preserve">primarily so the Commission can </w:t>
      </w:r>
      <w:r w:rsidR="005420FD">
        <w:rPr>
          <w:szCs w:val="22"/>
        </w:rPr>
        <w:t xml:space="preserve">monitor transfers of licenses </w:t>
      </w:r>
      <w:r w:rsidR="00D31CBD">
        <w:rPr>
          <w:szCs w:val="22"/>
        </w:rPr>
        <w:t>awarded</w:t>
      </w:r>
      <w:r w:rsidR="005420FD">
        <w:rPr>
          <w:szCs w:val="22"/>
        </w:rPr>
        <w:t xml:space="preserve"> by competitive bidding</w:t>
      </w:r>
      <w:r w:rsidR="008B0F72">
        <w:rPr>
          <w:szCs w:val="22"/>
        </w:rPr>
        <w:t xml:space="preserve"> in order</w:t>
      </w:r>
      <w:r w:rsidR="005420FD">
        <w:rPr>
          <w:szCs w:val="22"/>
        </w:rPr>
        <w:t xml:space="preserve"> to accumulate the data necessary to evaluate auction designs and judge whether licenses have been issued for bids that fall short of the true market value of the licenses</w:t>
      </w:r>
      <w:r w:rsidR="0014360D" w:rsidRPr="0014360D">
        <w:rPr>
          <w:szCs w:val="22"/>
        </w:rPr>
        <w:t>.</w:t>
      </w:r>
      <w:r w:rsidR="0014360D">
        <w:rPr>
          <w:rStyle w:val="FootnoteReference"/>
          <w:szCs w:val="22"/>
        </w:rPr>
        <w:footnoteReference w:id="58"/>
      </w:r>
      <w:r w:rsidR="0014360D" w:rsidRPr="0014360D">
        <w:rPr>
          <w:szCs w:val="22"/>
        </w:rPr>
        <w:t xml:space="preserve">  </w:t>
      </w:r>
      <w:r w:rsidR="008B7A09">
        <w:t>Mr.</w:t>
      </w:r>
      <w:r w:rsidR="00F32C0F">
        <w:t xml:space="preserve"> </w:t>
      </w:r>
      <w:r w:rsidR="008B7A09">
        <w:t>Sofio</w:t>
      </w:r>
      <w:r w:rsidR="008B7A09" w:rsidRPr="00D9324B">
        <w:t xml:space="preserve"> </w:t>
      </w:r>
      <w:r w:rsidR="008B7A09">
        <w:t xml:space="preserve">is </w:t>
      </w:r>
      <w:r w:rsidR="008B7A09" w:rsidRPr="00D9324B">
        <w:t xml:space="preserve">the winning bidder </w:t>
      </w:r>
      <w:r w:rsidR="008B7A09">
        <w:t>in a public auction, Auction 97</w:t>
      </w:r>
      <w:r w:rsidR="008C746F">
        <w:t>,</w:t>
      </w:r>
      <w:r w:rsidR="008B7A09">
        <w:t xml:space="preserve"> and seeks DE benefits to subsidize his winning bids.</w:t>
      </w:r>
      <w:r w:rsidR="008B7A09">
        <w:rPr>
          <w:rStyle w:val="FootnoteReference"/>
          <w:szCs w:val="22"/>
        </w:rPr>
        <w:footnoteReference w:id="59"/>
      </w:r>
      <w:r w:rsidR="008B7A09">
        <w:t xml:space="preserve">  </w:t>
      </w:r>
      <w:r w:rsidR="008135FB">
        <w:t xml:space="preserve">As such, he is required to provide documentation of his qualifications, including the names of parties to agreements relevant to this inquiry.  </w:t>
      </w:r>
      <w:r w:rsidR="003044E0">
        <w:t xml:space="preserve">In addition, </w:t>
      </w:r>
      <w:r w:rsidR="008B7A09" w:rsidRPr="00052582">
        <w:t xml:space="preserve">Mr. Sofio’s requests for confidential treatment are contrary to the Commission’s consistent experience </w:t>
      </w:r>
      <w:r w:rsidR="003044E0">
        <w:t>that</w:t>
      </w:r>
      <w:r w:rsidR="008B7A09" w:rsidRPr="00052582">
        <w:t xml:space="preserve"> applicants seeking </w:t>
      </w:r>
      <w:r w:rsidR="0014360D">
        <w:t>DE</w:t>
      </w:r>
      <w:r w:rsidR="008B7A09" w:rsidRPr="00052582">
        <w:t xml:space="preserve"> benefits disclose the names of parties that have entered into agreements with the applicants.  </w:t>
      </w:r>
    </w:p>
    <w:p w14:paraId="5117BBA6" w14:textId="54B89677" w:rsidR="001A2D4B" w:rsidRDefault="0014360D" w:rsidP="00346EF6">
      <w:pPr>
        <w:pStyle w:val="ParaNum"/>
        <w:widowControl/>
      </w:pPr>
      <w:r>
        <w:t>Further, Mr. Sofio’s</w:t>
      </w:r>
      <w:r w:rsidR="008B7A09" w:rsidRPr="00052582">
        <w:t xml:space="preserve"> argument is based not on competitive considerations</w:t>
      </w:r>
      <w:r>
        <w:t>,</w:t>
      </w:r>
      <w:r w:rsidR="008B7A09" w:rsidRPr="00052582">
        <w:t xml:space="preserve"> but on the speculation that parties that have entered into financing agreements with Mr. Sofio “might well be subject to solicitations from others</w:t>
      </w:r>
      <w:r>
        <w:t xml:space="preserve"> . . . </w:t>
      </w:r>
      <w:r w:rsidR="008B7A09" w:rsidRPr="00052582">
        <w:t>once they learn the</w:t>
      </w:r>
      <w:r w:rsidR="008B7A09">
        <w:t xml:space="preserve"> </w:t>
      </w:r>
      <w:r w:rsidR="008B7A09" w:rsidRPr="00052582">
        <w:t>amounts which have been extended.”</w:t>
      </w:r>
      <w:r w:rsidR="008B7A09">
        <w:rPr>
          <w:rStyle w:val="FootnoteReference"/>
          <w:szCs w:val="22"/>
        </w:rPr>
        <w:footnoteReference w:id="60"/>
      </w:r>
      <w:r w:rsidR="008B7A09" w:rsidRPr="00052582">
        <w:t xml:space="preserve">  </w:t>
      </w:r>
      <w:r w:rsidR="00A0300D">
        <w:t xml:space="preserve">This argument is </w:t>
      </w:r>
      <w:r w:rsidR="008505DC">
        <w:t>unavailing</w:t>
      </w:r>
      <w:r w:rsidR="00A4487E">
        <w:t xml:space="preserve">.  </w:t>
      </w:r>
      <w:r w:rsidR="003044E0" w:rsidRPr="003044E0">
        <w:t>The Court of Appeals for the District of Columbia Circuit has emphasized that the important point for competitive harm in the FOIA context is that it be limited to harm flowing from the affirmative use of proprietary information by competitors.</w:t>
      </w:r>
      <w:r w:rsidR="003044E0">
        <w:rPr>
          <w:rStyle w:val="FootnoteReference"/>
        </w:rPr>
        <w:footnoteReference w:id="61"/>
      </w:r>
      <w:r w:rsidR="003044E0" w:rsidRPr="003044E0">
        <w:t xml:space="preserve">  Mr. Sofio has not demonstrated how the disclosure of the names of parties that have entered into agreements with him would cause substantial harm to the competitive positions of Mr. Sofio or those parties or, more generally, how the identities of the parties are proprietary information that a competitor could affirmatively use to harm Mr. Sofio competitively.  </w:t>
      </w:r>
      <w:r w:rsidR="00A4487E">
        <w:t xml:space="preserve">Not only is being solicited for loans not a competitive harm, but those amounts (and the terms of the loans) remain non-public, and </w:t>
      </w:r>
      <w:r w:rsidR="00AA1ABE">
        <w:t>M</w:t>
      </w:r>
      <w:r w:rsidR="00A4487E">
        <w:t>r. Sofio has not shown that the mere identity of the lenders will lead to the harm he describes</w:t>
      </w:r>
      <w:r w:rsidR="008B7A09">
        <w:t xml:space="preserve">.  </w:t>
      </w:r>
      <w:r w:rsidR="00A4487E">
        <w:t>T</w:t>
      </w:r>
      <w:r w:rsidR="006D67EB">
        <w:t xml:space="preserve">he </w:t>
      </w:r>
      <w:r w:rsidR="000F6A2F">
        <w:rPr>
          <w:i/>
        </w:rPr>
        <w:t>Letter Order</w:t>
      </w:r>
      <w:r w:rsidR="008505DC">
        <w:t xml:space="preserve"> </w:t>
      </w:r>
      <w:r w:rsidR="006D67EB">
        <w:t xml:space="preserve">found </w:t>
      </w:r>
      <w:r w:rsidR="008C746F">
        <w:t xml:space="preserve">only </w:t>
      </w:r>
      <w:r w:rsidR="006D67EB">
        <w:t xml:space="preserve">that Mr. Sofio has not justified his request to keep </w:t>
      </w:r>
      <w:r w:rsidR="008505DC">
        <w:t xml:space="preserve">non-public </w:t>
      </w:r>
      <w:r w:rsidR="008B7A09">
        <w:t xml:space="preserve">the </w:t>
      </w:r>
      <w:r w:rsidR="008505DC" w:rsidRPr="00A15903">
        <w:rPr>
          <w:i/>
        </w:rPr>
        <w:t>identities</w:t>
      </w:r>
      <w:r w:rsidR="008505DC">
        <w:t xml:space="preserve"> of </w:t>
      </w:r>
      <w:r w:rsidR="008B7A09">
        <w:t xml:space="preserve">parties </w:t>
      </w:r>
      <w:r w:rsidR="008505DC">
        <w:t>to agreements with him—</w:t>
      </w:r>
      <w:r w:rsidR="008B7A09">
        <w:t xml:space="preserve">an applicant seeking </w:t>
      </w:r>
      <w:r>
        <w:t>DE</w:t>
      </w:r>
      <w:r w:rsidR="008B7A09">
        <w:t xml:space="preserve"> benefits in a </w:t>
      </w:r>
      <w:r w:rsidR="009678A7">
        <w:t xml:space="preserve">Commission </w:t>
      </w:r>
      <w:r w:rsidR="008505DC">
        <w:t>auction.</w:t>
      </w:r>
      <w:r w:rsidR="003044E0" w:rsidRPr="003044E0">
        <w:rPr>
          <w:rStyle w:val="FootnoteReference"/>
        </w:rPr>
        <w:t xml:space="preserve"> </w:t>
      </w:r>
      <w:r w:rsidR="003044E0">
        <w:rPr>
          <w:rStyle w:val="FootnoteReference"/>
        </w:rPr>
        <w:footnoteReference w:id="62"/>
      </w:r>
      <w:r w:rsidR="003044E0">
        <w:t xml:space="preserve"> </w:t>
      </w:r>
      <w:r w:rsidR="002D7BBF">
        <w:t xml:space="preserve"> </w:t>
      </w:r>
      <w:r w:rsidR="006D67EB">
        <w:t>We affirm this</w:t>
      </w:r>
      <w:r w:rsidR="00057EBA">
        <w:t xml:space="preserve"> </w:t>
      </w:r>
      <w:r w:rsidR="008B5F45">
        <w:t>conclusion</w:t>
      </w:r>
      <w:r w:rsidR="002D7BBF">
        <w:t>.</w:t>
      </w:r>
      <w:r w:rsidR="002D7BBF">
        <w:rPr>
          <w:rStyle w:val="FootnoteReference"/>
          <w:szCs w:val="22"/>
        </w:rPr>
        <w:footnoteReference w:id="63"/>
      </w:r>
      <w:r w:rsidR="006D67EB">
        <w:t xml:space="preserve">  </w:t>
      </w:r>
      <w:r w:rsidR="00BB2910">
        <w:t xml:space="preserve">Withholding from public inspection </w:t>
      </w:r>
      <w:r w:rsidR="008C746F">
        <w:t xml:space="preserve">the identities of those to whom one seeking DE bidding credits has financial obligations </w:t>
      </w:r>
      <w:r w:rsidR="005D4262">
        <w:t xml:space="preserve">would directly conflict </w:t>
      </w:r>
      <w:r w:rsidR="008B7A09">
        <w:t>with our rules, au</w:t>
      </w:r>
      <w:r w:rsidR="005D4262">
        <w:t>ction procedures, and precedent</w:t>
      </w:r>
      <w:r w:rsidR="008B7A09">
        <w:t xml:space="preserve"> discussed above</w:t>
      </w:r>
      <w:r w:rsidR="000A2E42">
        <w:t xml:space="preserve"> whereas public disclosure will reveal </w:t>
      </w:r>
      <w:r w:rsidR="008C746F">
        <w:t xml:space="preserve">only </w:t>
      </w:r>
      <w:r w:rsidR="000A2E42">
        <w:t xml:space="preserve">that certain persons or entities entered into agreements with </w:t>
      </w:r>
      <w:r w:rsidR="000A2E42" w:rsidRPr="00052582">
        <w:t xml:space="preserve">Mr. Sofio </w:t>
      </w:r>
      <w:r w:rsidR="000A2E42">
        <w:t>to loan him</w:t>
      </w:r>
      <w:r w:rsidR="000A2E42" w:rsidRPr="00052582">
        <w:t xml:space="preserve"> </w:t>
      </w:r>
      <w:r w:rsidR="000A2E42">
        <w:t xml:space="preserve">undisclosed sums </w:t>
      </w:r>
      <w:r w:rsidR="000A2E42" w:rsidRPr="00052582">
        <w:t>at undisclosed rate</w:t>
      </w:r>
      <w:r w:rsidR="000A2E42">
        <w:t>s</w:t>
      </w:r>
      <w:r w:rsidR="000A2E42" w:rsidRPr="00052582">
        <w:t xml:space="preserve"> for unspecified term</w:t>
      </w:r>
      <w:r w:rsidR="000A2E42">
        <w:t>s</w:t>
      </w:r>
      <w:r w:rsidR="000A2E42" w:rsidRPr="00052582">
        <w:t xml:space="preserve"> for </w:t>
      </w:r>
      <w:r w:rsidR="000A2E42">
        <w:t>licenses in Auction 97.</w:t>
      </w:r>
      <w:r w:rsidR="003044E0">
        <w:rPr>
          <w:rStyle w:val="FootnoteReference"/>
          <w:szCs w:val="22"/>
        </w:rPr>
        <w:footnoteReference w:id="64"/>
      </w:r>
      <w:r w:rsidR="003044E0" w:rsidRPr="008D517C">
        <w:t xml:space="preserve"> </w:t>
      </w:r>
      <w:r w:rsidR="000A2E42">
        <w:t xml:space="preserve"> </w:t>
      </w:r>
    </w:p>
    <w:p w14:paraId="1686C206" w14:textId="258009E4" w:rsidR="008B7A09" w:rsidRPr="001A2D4B" w:rsidRDefault="00A07A42" w:rsidP="00346EF6">
      <w:pPr>
        <w:pStyle w:val="ParaNum"/>
        <w:widowControl/>
      </w:pPr>
      <w:r>
        <w:t>The AFR</w:t>
      </w:r>
      <w:r w:rsidR="003044E0">
        <w:t xml:space="preserve"> also relies on </w:t>
      </w:r>
      <w:r w:rsidR="008B7A09" w:rsidRPr="001A2D4B">
        <w:rPr>
          <w:i/>
        </w:rPr>
        <w:t>Percy Squire,</w:t>
      </w:r>
      <w:r w:rsidR="008B7A09">
        <w:t xml:space="preserve"> </w:t>
      </w:r>
      <w:r w:rsidR="003044E0">
        <w:t xml:space="preserve">arguing that </w:t>
      </w:r>
      <w:r w:rsidR="008B7A09">
        <w:t>the Commission “</w:t>
      </w:r>
      <w:r w:rsidR="008B7A09" w:rsidRPr="006E14A1">
        <w:t>preserved the confidentiality of the lender’s practices</w:t>
      </w:r>
      <w:r w:rsidR="008B7A09">
        <w:t>”</w:t>
      </w:r>
      <w:r w:rsidR="003044E0">
        <w:t xml:space="preserve"> in that case</w:t>
      </w:r>
      <w:r w:rsidR="008B7A09">
        <w:t xml:space="preserve"> and “</w:t>
      </w:r>
      <w:r w:rsidR="008B7A09" w:rsidRPr="006E14A1">
        <w:t>ruled that disclosure of certain loan terms would alert the public to the lender’s</w:t>
      </w:r>
      <w:r w:rsidR="008B7A09">
        <w:t xml:space="preserve"> ‘</w:t>
      </w:r>
      <w:r w:rsidR="008B7A09" w:rsidRPr="006E14A1">
        <w:t>practices in dealing with debtors that could prejudice [the lender] in its future business</w:t>
      </w:r>
      <w:r w:rsidR="008B7A09">
        <w:t xml:space="preserve"> d</w:t>
      </w:r>
      <w:r w:rsidR="008B7A09" w:rsidRPr="006E14A1">
        <w:t>ealings.</w:t>
      </w:r>
      <w:r w:rsidR="008B7A09">
        <w:t>’”</w:t>
      </w:r>
      <w:r w:rsidR="008B7A09">
        <w:rPr>
          <w:rStyle w:val="FootnoteReference"/>
          <w:szCs w:val="22"/>
        </w:rPr>
        <w:footnoteReference w:id="65"/>
      </w:r>
      <w:r w:rsidR="008B7A09">
        <w:t xml:space="preserve">  </w:t>
      </w:r>
      <w:r>
        <w:t xml:space="preserve">According to </w:t>
      </w:r>
      <w:r w:rsidR="008B7A09">
        <w:t>Mr. Sofio</w:t>
      </w:r>
      <w:r>
        <w:t>,</w:t>
      </w:r>
      <w:r w:rsidR="008B7A09">
        <w:t xml:space="preserve"> </w:t>
      </w:r>
      <w:r w:rsidR="001C25D9">
        <w:t xml:space="preserve">“[i]f the Commission publicly associates the lenders’ names with their business terms here, they would suffer the precise prejudice which the Commission identified and rejected in </w:t>
      </w:r>
      <w:r w:rsidR="001C25D9" w:rsidRPr="001A2D4B">
        <w:rPr>
          <w:i/>
        </w:rPr>
        <w:t>Percy Squire</w:t>
      </w:r>
      <w:r w:rsidR="001C25D9">
        <w:t>.”</w:t>
      </w:r>
      <w:r w:rsidR="001C25D9">
        <w:rPr>
          <w:rStyle w:val="FootnoteReference"/>
        </w:rPr>
        <w:footnoteReference w:id="66"/>
      </w:r>
      <w:r w:rsidR="001C25D9">
        <w:t xml:space="preserve">  </w:t>
      </w:r>
      <w:r>
        <w:t xml:space="preserve">We disagree.  </w:t>
      </w:r>
      <w:r w:rsidR="003044E0">
        <w:t xml:space="preserve">As noted in the </w:t>
      </w:r>
      <w:r w:rsidR="003044E0">
        <w:rPr>
          <w:i/>
        </w:rPr>
        <w:t xml:space="preserve">Letter </w:t>
      </w:r>
      <w:r w:rsidR="003044E0" w:rsidRPr="003044E0">
        <w:rPr>
          <w:i/>
        </w:rPr>
        <w:t>Order</w:t>
      </w:r>
      <w:r w:rsidR="003044E0" w:rsidRPr="00EB421A">
        <w:rPr>
          <w:i/>
        </w:rPr>
        <w:t xml:space="preserve">, </w:t>
      </w:r>
      <w:r w:rsidR="003044E0">
        <w:t>c</w:t>
      </w:r>
      <w:r w:rsidR="003044E0" w:rsidRPr="003044E0">
        <w:t>onfidential treatment for the identity of the lender was not granted in th</w:t>
      </w:r>
      <w:r w:rsidR="003044E0">
        <w:t xml:space="preserve">e </w:t>
      </w:r>
      <w:r w:rsidR="003044E0">
        <w:rPr>
          <w:i/>
        </w:rPr>
        <w:t>Percy Squire</w:t>
      </w:r>
      <w:r w:rsidR="003044E0" w:rsidRPr="003044E0">
        <w:t xml:space="preserve"> case.</w:t>
      </w:r>
      <w:r w:rsidR="003044E0">
        <w:rPr>
          <w:rStyle w:val="FootnoteReference"/>
        </w:rPr>
        <w:footnoteReference w:id="67"/>
      </w:r>
      <w:r w:rsidR="003044E0" w:rsidRPr="003044E0">
        <w:t xml:space="preserve">  </w:t>
      </w:r>
      <w:r w:rsidR="003044E0">
        <w:t>And, t</w:t>
      </w:r>
      <w:r w:rsidR="009D11E6">
        <w:t xml:space="preserve">he </w:t>
      </w:r>
      <w:r w:rsidR="009D11E6" w:rsidRPr="001A2D4B">
        <w:rPr>
          <w:i/>
        </w:rPr>
        <w:t>Letter Order</w:t>
      </w:r>
      <w:r w:rsidR="009D11E6">
        <w:t xml:space="preserve"> </w:t>
      </w:r>
      <w:r w:rsidR="008F0C1E">
        <w:t xml:space="preserve">partially denied the </w:t>
      </w:r>
      <w:r w:rsidR="008F0C1E" w:rsidRPr="001A2D4B">
        <w:rPr>
          <w:szCs w:val="22"/>
        </w:rPr>
        <w:t>Request</w:t>
      </w:r>
      <w:r w:rsidR="008F0C1E">
        <w:t xml:space="preserve"> only as to the identities of the parties to agreements</w:t>
      </w:r>
      <w:r>
        <w:t xml:space="preserve"> and </w:t>
      </w:r>
      <w:r w:rsidR="00994E72">
        <w:t xml:space="preserve">did not </w:t>
      </w:r>
      <w:r w:rsidR="00D728F2">
        <w:t xml:space="preserve">require public disclosure of any </w:t>
      </w:r>
      <w:r w:rsidR="00E455B1">
        <w:t xml:space="preserve">other </w:t>
      </w:r>
      <w:r w:rsidR="00994E72">
        <w:t xml:space="preserve">redacted </w:t>
      </w:r>
      <w:r w:rsidR="00D728F2">
        <w:t xml:space="preserve">information </w:t>
      </w:r>
      <w:r w:rsidR="00994E72">
        <w:t>covered by the Request</w:t>
      </w:r>
      <w:r w:rsidR="00E455B1">
        <w:t xml:space="preserve">.  </w:t>
      </w:r>
      <w:r w:rsidR="00D728F2">
        <w:t>Indeed, t</w:t>
      </w:r>
      <w:r w:rsidR="008F0C1E">
        <w:t xml:space="preserve">he </w:t>
      </w:r>
      <w:r w:rsidR="008F0C1E" w:rsidRPr="001A2D4B">
        <w:rPr>
          <w:i/>
        </w:rPr>
        <w:t>Letter Order</w:t>
      </w:r>
      <w:r w:rsidR="008F0C1E">
        <w:t xml:space="preserve"> </w:t>
      </w:r>
      <w:r w:rsidR="00B46EC9">
        <w:t>did “not dispute that the agreements contain financial information obtained from a person</w:t>
      </w:r>
      <w:r w:rsidR="00994E72">
        <w:t>.</w:t>
      </w:r>
      <w:r w:rsidR="00B46EC9">
        <w:t>”</w:t>
      </w:r>
      <w:r w:rsidR="00B46EC9">
        <w:rPr>
          <w:rStyle w:val="FootnoteReference"/>
        </w:rPr>
        <w:footnoteReference w:id="68"/>
      </w:r>
      <w:r w:rsidR="00403F2C">
        <w:t xml:space="preserve"> </w:t>
      </w:r>
      <w:r w:rsidR="00994E72">
        <w:t xml:space="preserve"> The Division </w:t>
      </w:r>
      <w:r w:rsidR="006637F3">
        <w:t xml:space="preserve">deferred </w:t>
      </w:r>
      <w:r w:rsidR="00064AE0">
        <w:t xml:space="preserve">action </w:t>
      </w:r>
      <w:r w:rsidR="006637F3">
        <w:t>on any other information</w:t>
      </w:r>
      <w:r w:rsidR="009678A7">
        <w:t xml:space="preserve"> in the agreements, including any terms or practices, that Mr. Sofio redacted </w:t>
      </w:r>
      <w:r w:rsidR="001F2B0D">
        <w:t xml:space="preserve">under the </w:t>
      </w:r>
      <w:r w:rsidR="006637F3">
        <w:t>Request</w:t>
      </w:r>
      <w:r w:rsidR="001F2B0D">
        <w:t xml:space="preserve"> and </w:t>
      </w:r>
      <w:r w:rsidR="00CC4F2A">
        <w:t>t</w:t>
      </w:r>
      <w:r w:rsidR="006637F3">
        <w:t>he Commission will continue to keep that information non-public in accordance with Section 0.459(d)(3</w:t>
      </w:r>
      <w:r w:rsidR="006637F3" w:rsidRPr="001A2D4B">
        <w:t>).</w:t>
      </w:r>
      <w:r w:rsidR="00CC4F2A" w:rsidRPr="001A2D4B">
        <w:rPr>
          <w:rStyle w:val="FootnoteReference"/>
        </w:rPr>
        <w:footnoteReference w:id="69"/>
      </w:r>
      <w:r w:rsidR="006637F3" w:rsidRPr="001A2D4B">
        <w:t xml:space="preserve">  </w:t>
      </w:r>
    </w:p>
    <w:p w14:paraId="4ACE172D" w14:textId="652DFDBE" w:rsidR="002322CC" w:rsidRPr="005A5396" w:rsidRDefault="008B5F45" w:rsidP="00346EF6">
      <w:pPr>
        <w:pStyle w:val="ParaNum"/>
        <w:widowControl/>
      </w:pPr>
      <w:r w:rsidRPr="00313D61">
        <w:rPr>
          <w:i/>
          <w:szCs w:val="22"/>
        </w:rPr>
        <w:t>Privacy</w:t>
      </w:r>
      <w:r>
        <w:rPr>
          <w:szCs w:val="22"/>
        </w:rPr>
        <w:t>.  Section IV of the AFR is titled “The Commission Has Not Properly Taken Into Account the Privacy Interests of the Applicant’s Lenders”</w:t>
      </w:r>
      <w:r>
        <w:rPr>
          <w:rStyle w:val="FootnoteReference"/>
          <w:szCs w:val="22"/>
        </w:rPr>
        <w:footnoteReference w:id="70"/>
      </w:r>
      <w:r>
        <w:rPr>
          <w:szCs w:val="22"/>
        </w:rPr>
        <w:t xml:space="preserve"> </w:t>
      </w:r>
      <w:r w:rsidR="002322CC">
        <w:rPr>
          <w:szCs w:val="22"/>
        </w:rPr>
        <w:t>but the section does not raise</w:t>
      </w:r>
      <w:r>
        <w:rPr>
          <w:szCs w:val="22"/>
        </w:rPr>
        <w:t xml:space="preserve"> individual privacy claims.  Rather, the AFR argues that the identities of the parties to agreements with Mr. Sofio is commercial and financial information the public disclosure of which could cause </w:t>
      </w:r>
      <w:r w:rsidR="002322CC">
        <w:rPr>
          <w:szCs w:val="22"/>
        </w:rPr>
        <w:t xml:space="preserve">them </w:t>
      </w:r>
      <w:r>
        <w:rPr>
          <w:szCs w:val="22"/>
        </w:rPr>
        <w:t xml:space="preserve">competitive harm.  </w:t>
      </w:r>
      <w:r w:rsidR="00A4487E">
        <w:rPr>
          <w:szCs w:val="22"/>
        </w:rPr>
        <w:t xml:space="preserve">In any event, we agree with the </w:t>
      </w:r>
      <w:r w:rsidR="002322CC">
        <w:rPr>
          <w:szCs w:val="22"/>
        </w:rPr>
        <w:t>Division</w:t>
      </w:r>
      <w:r w:rsidR="00A4487E">
        <w:rPr>
          <w:szCs w:val="22"/>
        </w:rPr>
        <w:t xml:space="preserve"> </w:t>
      </w:r>
      <w:r>
        <w:rPr>
          <w:szCs w:val="22"/>
        </w:rPr>
        <w:t xml:space="preserve">that the </w:t>
      </w:r>
      <w:r w:rsidRPr="004E00C8">
        <w:rPr>
          <w:i/>
          <w:szCs w:val="22"/>
        </w:rPr>
        <w:t>Letter Order</w:t>
      </w:r>
      <w:r>
        <w:rPr>
          <w:szCs w:val="22"/>
        </w:rPr>
        <w:t xml:space="preserve"> properly addressed the individual privacy interests of the third parties that have entered into agreements with an applicant seeking DE benefits in a Commission auction.  As noted above, disclosure of information about the identities of parties to agreements with </w:t>
      </w:r>
      <w:r w:rsidR="002322CC">
        <w:rPr>
          <w:szCs w:val="22"/>
        </w:rPr>
        <w:t>an ap</w:t>
      </w:r>
      <w:r>
        <w:rPr>
          <w:szCs w:val="22"/>
        </w:rPr>
        <w:t xml:space="preserve">plicant, and in particular agreements relating to the </w:t>
      </w:r>
      <w:r w:rsidR="002322CC">
        <w:rPr>
          <w:szCs w:val="22"/>
        </w:rPr>
        <w:t>a</w:t>
      </w:r>
      <w:r>
        <w:rPr>
          <w:szCs w:val="22"/>
        </w:rPr>
        <w:t>pplicant’s financial obligations, is a well-established requirement of Commission rules and precedents</w:t>
      </w:r>
      <w:r w:rsidR="002322CC">
        <w:rPr>
          <w:szCs w:val="22"/>
        </w:rPr>
        <w:t xml:space="preserve">; </w:t>
      </w:r>
      <w:r w:rsidR="002322CC">
        <w:rPr>
          <w:bCs/>
          <w:color w:val="000000"/>
          <w:spacing w:val="-6"/>
        </w:rPr>
        <w:t xml:space="preserve">the Commission’s rules and the Bureau’s Auction 97 public notice made clear that the parties’ identities were required to be reported to the Commission.  </w:t>
      </w:r>
      <w:r w:rsidR="002322CC">
        <w:rPr>
          <w:szCs w:val="22"/>
        </w:rPr>
        <w:t xml:space="preserve">We thus reject </w:t>
      </w:r>
      <w:r w:rsidR="00CF6286">
        <w:t>Mr. Sofio’s claim in the AFR that “[t]</w:t>
      </w:r>
      <w:r w:rsidR="00CF6286" w:rsidRPr="0067312C">
        <w:rPr>
          <w:bCs/>
          <w:color w:val="000000"/>
          <w:spacing w:val="-6"/>
        </w:rPr>
        <w:t xml:space="preserve">he lenders </w:t>
      </w:r>
      <w:r w:rsidR="00CF6286">
        <w:rPr>
          <w:bCs/>
          <w:color w:val="000000"/>
          <w:spacing w:val="-6"/>
        </w:rPr>
        <w:t xml:space="preserve">. . . </w:t>
      </w:r>
      <w:r w:rsidR="00CF6286" w:rsidRPr="0067312C">
        <w:rPr>
          <w:bCs/>
          <w:color w:val="000000"/>
          <w:spacing w:val="-6"/>
        </w:rPr>
        <w:t>had no reason to believe that their personal financial</w:t>
      </w:r>
      <w:r w:rsidR="00CF6286">
        <w:rPr>
          <w:bCs/>
          <w:color w:val="000000"/>
          <w:spacing w:val="-6"/>
        </w:rPr>
        <w:t xml:space="preserve"> </w:t>
      </w:r>
      <w:r w:rsidR="00CF6286" w:rsidRPr="0067312C">
        <w:rPr>
          <w:color w:val="000000"/>
          <w:spacing w:val="-6"/>
        </w:rPr>
        <w:t>information would become a matter of public record and that, at a minimum, their privacy</w:t>
      </w:r>
      <w:r w:rsidR="00CF6286">
        <w:rPr>
          <w:color w:val="000000"/>
          <w:spacing w:val="-6"/>
        </w:rPr>
        <w:t xml:space="preserve"> </w:t>
      </w:r>
      <w:r w:rsidR="00CF6286" w:rsidRPr="0067312C">
        <w:rPr>
          <w:bCs/>
          <w:color w:val="000000"/>
          <w:spacing w:val="-6"/>
        </w:rPr>
        <w:t>interests would be protected</w:t>
      </w:r>
      <w:r w:rsidR="00CF6286">
        <w:rPr>
          <w:bCs/>
          <w:color w:val="000000"/>
          <w:spacing w:val="-6"/>
        </w:rPr>
        <w:t>”</w:t>
      </w:r>
      <w:r w:rsidR="00CF6286">
        <w:rPr>
          <w:rStyle w:val="FootnoteReference"/>
          <w:bCs/>
          <w:spacing w:val="-6"/>
        </w:rPr>
        <w:footnoteReference w:id="71"/>
      </w:r>
      <w:r w:rsidR="00CF6286">
        <w:rPr>
          <w:bCs/>
          <w:color w:val="000000"/>
          <w:spacing w:val="-6"/>
        </w:rPr>
        <w:t xml:space="preserve"> is meritless.  </w:t>
      </w:r>
    </w:p>
    <w:p w14:paraId="5F5BFFA0" w14:textId="47C93C48" w:rsidR="008B5F45" w:rsidRDefault="00CF6286" w:rsidP="00346EF6">
      <w:pPr>
        <w:pStyle w:val="ParaNum"/>
        <w:widowControl/>
      </w:pPr>
      <w:r>
        <w:t xml:space="preserve">Mr. Sofio’s claim that, as an applicant seeking DE bidding credits, he need not disclose </w:t>
      </w:r>
      <w:r w:rsidR="004207FE">
        <w:t>on FCC Form 601</w:t>
      </w:r>
      <w:r w:rsidR="0082110A">
        <w:t>,</w:t>
      </w:r>
      <w:r w:rsidR="004207FE">
        <w:t xml:space="preserve"> </w:t>
      </w:r>
      <w:r>
        <w:t xml:space="preserve">and </w:t>
      </w:r>
      <w:r w:rsidR="00F70429">
        <w:t xml:space="preserve">that </w:t>
      </w:r>
      <w:r>
        <w:t xml:space="preserve">the Commission would not review his loan agreements is equally misplaced.  </w:t>
      </w:r>
      <w:r w:rsidR="007D5BEA" w:rsidRPr="007D5BEA">
        <w:rPr>
          <w:bCs/>
          <w:color w:val="000000"/>
          <w:spacing w:val="-6"/>
        </w:rPr>
        <w:t>We address the required disclosure of agreements to which DE applicants are parties in our discussion above.</w:t>
      </w:r>
      <w:r w:rsidR="007D5BEA">
        <w:rPr>
          <w:rStyle w:val="FootnoteReference"/>
          <w:bCs/>
          <w:spacing w:val="-6"/>
        </w:rPr>
        <w:footnoteReference w:id="72"/>
      </w:r>
      <w:r w:rsidR="007D5BEA" w:rsidRPr="007D5BEA">
        <w:rPr>
          <w:bCs/>
          <w:color w:val="000000"/>
          <w:spacing w:val="-6"/>
        </w:rPr>
        <w:t xml:space="preserve">  </w:t>
      </w:r>
      <w:r w:rsidR="008B5F45">
        <w:rPr>
          <w:szCs w:val="22"/>
        </w:rPr>
        <w:t xml:space="preserve">To the extent any privacy concern </w:t>
      </w:r>
      <w:r w:rsidR="00A83B76">
        <w:rPr>
          <w:szCs w:val="22"/>
        </w:rPr>
        <w:t xml:space="preserve">in the mere identification of those who have lent money to </w:t>
      </w:r>
      <w:r w:rsidR="00903BEF">
        <w:rPr>
          <w:szCs w:val="22"/>
        </w:rPr>
        <w:t>M</w:t>
      </w:r>
      <w:r w:rsidR="00A83B76">
        <w:rPr>
          <w:szCs w:val="22"/>
        </w:rPr>
        <w:t xml:space="preserve">r. Sofio or otherwise helped finance his bidding </w:t>
      </w:r>
      <w:r w:rsidR="008B5F45">
        <w:rPr>
          <w:szCs w:val="22"/>
        </w:rPr>
        <w:t xml:space="preserve">has been raised, we find it to be </w:t>
      </w:r>
      <w:r w:rsidR="008B5F45">
        <w:rPr>
          <w:i/>
          <w:szCs w:val="22"/>
        </w:rPr>
        <w:t xml:space="preserve">de </w:t>
      </w:r>
      <w:r w:rsidR="008B5F45" w:rsidRPr="005433E1">
        <w:rPr>
          <w:i/>
          <w:szCs w:val="22"/>
        </w:rPr>
        <w:t>minim</w:t>
      </w:r>
      <w:r w:rsidR="008B5F45">
        <w:rPr>
          <w:i/>
          <w:szCs w:val="22"/>
        </w:rPr>
        <w:t>i</w:t>
      </w:r>
      <w:r w:rsidR="008B5F45" w:rsidRPr="005433E1">
        <w:rPr>
          <w:i/>
          <w:szCs w:val="22"/>
        </w:rPr>
        <w:t>s</w:t>
      </w:r>
      <w:r w:rsidR="00A83B76">
        <w:rPr>
          <w:szCs w:val="22"/>
        </w:rPr>
        <w:t>,</w:t>
      </w:r>
      <w:r w:rsidR="008B5F45">
        <w:rPr>
          <w:szCs w:val="22"/>
        </w:rPr>
        <w:t xml:space="preserve"> </w:t>
      </w:r>
      <w:r w:rsidR="00A83B76">
        <w:rPr>
          <w:szCs w:val="22"/>
        </w:rPr>
        <w:t xml:space="preserve">especially </w:t>
      </w:r>
      <w:r w:rsidR="008B5F45" w:rsidRPr="005433E1">
        <w:rPr>
          <w:szCs w:val="22"/>
        </w:rPr>
        <w:t xml:space="preserve">when balanced against the public interest in disclosure of agreements between an applicant for designated entity credits and </w:t>
      </w:r>
      <w:r w:rsidR="008B5F45">
        <w:rPr>
          <w:szCs w:val="22"/>
        </w:rPr>
        <w:t xml:space="preserve">other parties </w:t>
      </w:r>
      <w:r w:rsidR="008B5F45" w:rsidRPr="005433E1">
        <w:rPr>
          <w:szCs w:val="22"/>
        </w:rPr>
        <w:t>and in ensuring that the Commission maintain</w:t>
      </w:r>
      <w:r w:rsidR="008B5F45">
        <w:rPr>
          <w:szCs w:val="22"/>
        </w:rPr>
        <w:t>s</w:t>
      </w:r>
      <w:r w:rsidR="008B5F45" w:rsidRPr="005433E1">
        <w:rPr>
          <w:szCs w:val="22"/>
        </w:rPr>
        <w:t xml:space="preserve"> the integrity of the auction and licensing process by being open and transparent.</w:t>
      </w:r>
      <w:r w:rsidR="00903BEF">
        <w:rPr>
          <w:szCs w:val="22"/>
        </w:rPr>
        <w:t xml:space="preserve">  Accordingly, we reject the AFR’s arguments in this regard.</w:t>
      </w:r>
    </w:p>
    <w:p w14:paraId="676A74A4" w14:textId="77777777" w:rsidR="007A5836" w:rsidRPr="007A5836" w:rsidRDefault="00637B1F" w:rsidP="00346EF6">
      <w:pPr>
        <w:pStyle w:val="Heading2"/>
        <w:widowControl/>
      </w:pPr>
      <w:r>
        <w:t xml:space="preserve">Claim of </w:t>
      </w:r>
      <w:r w:rsidR="007A5836">
        <w:t>Disparate Treatment</w:t>
      </w:r>
    </w:p>
    <w:p w14:paraId="7A099768" w14:textId="38FA6B91" w:rsidR="002322CC" w:rsidRPr="002322CC" w:rsidRDefault="008B7A09" w:rsidP="00346EF6">
      <w:pPr>
        <w:pStyle w:val="ParaNum"/>
        <w:widowControl/>
      </w:pPr>
      <w:r>
        <w:rPr>
          <w:szCs w:val="22"/>
        </w:rPr>
        <w:t xml:space="preserve">We </w:t>
      </w:r>
      <w:r w:rsidR="002322CC">
        <w:rPr>
          <w:szCs w:val="22"/>
        </w:rPr>
        <w:t xml:space="preserve">likewise </w:t>
      </w:r>
      <w:r>
        <w:rPr>
          <w:szCs w:val="22"/>
        </w:rPr>
        <w:t xml:space="preserve">reject Mr. Sofio’s arguments that he is being </w:t>
      </w:r>
      <w:r w:rsidR="000F4D18">
        <w:rPr>
          <w:szCs w:val="22"/>
        </w:rPr>
        <w:t xml:space="preserve">treated </w:t>
      </w:r>
      <w:r>
        <w:rPr>
          <w:szCs w:val="22"/>
        </w:rPr>
        <w:t xml:space="preserve">differently than other applicants in Auction 97.  </w:t>
      </w:r>
      <w:r w:rsidR="00F642D2">
        <w:rPr>
          <w:szCs w:val="22"/>
        </w:rPr>
        <w:t xml:space="preserve">We find nothing in the record to support </w:t>
      </w:r>
      <w:r w:rsidR="00F642D2" w:rsidRPr="00435120">
        <w:t>such</w:t>
      </w:r>
      <w:r w:rsidR="00F642D2">
        <w:rPr>
          <w:szCs w:val="22"/>
        </w:rPr>
        <w:t xml:space="preserve"> an allegation.  </w:t>
      </w:r>
      <w:r>
        <w:rPr>
          <w:szCs w:val="22"/>
        </w:rPr>
        <w:t xml:space="preserve">Mr. Sofio </w:t>
      </w:r>
      <w:r w:rsidR="008D5899">
        <w:rPr>
          <w:szCs w:val="22"/>
        </w:rPr>
        <w:t xml:space="preserve">alleges that </w:t>
      </w:r>
      <w:r w:rsidR="00E10326">
        <w:rPr>
          <w:szCs w:val="22"/>
        </w:rPr>
        <w:t xml:space="preserve">there is </w:t>
      </w:r>
      <w:r w:rsidR="008D5899">
        <w:rPr>
          <w:szCs w:val="22"/>
        </w:rPr>
        <w:t xml:space="preserve">at least one other Auction 97 applicant with non-equity debt financing through intervening entities (rather than directly from individuals), which resulted in the </w:t>
      </w:r>
      <w:r w:rsidR="000A1768">
        <w:rPr>
          <w:szCs w:val="22"/>
        </w:rPr>
        <w:t>public disclosure of the entities rather than all of the persons or entities that funded the loans.</w:t>
      </w:r>
      <w:r w:rsidR="000A1768">
        <w:rPr>
          <w:rStyle w:val="FootnoteReference"/>
          <w:szCs w:val="22"/>
        </w:rPr>
        <w:footnoteReference w:id="73"/>
      </w:r>
      <w:r w:rsidR="000A1768">
        <w:rPr>
          <w:szCs w:val="22"/>
        </w:rPr>
        <w:t xml:space="preserve">  </w:t>
      </w:r>
    </w:p>
    <w:p w14:paraId="5D027D32" w14:textId="16510988" w:rsidR="002322CC" w:rsidRPr="002322CC" w:rsidRDefault="003A50CE" w:rsidP="00346EF6">
      <w:pPr>
        <w:pStyle w:val="ParaNum"/>
        <w:widowControl/>
      </w:pPr>
      <w:r>
        <w:rPr>
          <w:szCs w:val="22"/>
        </w:rPr>
        <w:t>Mr. Sofio</w:t>
      </w:r>
      <w:r w:rsidR="002322CC">
        <w:rPr>
          <w:szCs w:val="22"/>
        </w:rPr>
        <w:t xml:space="preserve"> also alleges that</w:t>
      </w:r>
      <w:r>
        <w:rPr>
          <w:szCs w:val="22"/>
        </w:rPr>
        <w:t xml:space="preserve"> disclos</w:t>
      </w:r>
      <w:r w:rsidR="002322CC">
        <w:rPr>
          <w:szCs w:val="22"/>
        </w:rPr>
        <w:t>ing</w:t>
      </w:r>
      <w:r>
        <w:rPr>
          <w:szCs w:val="22"/>
        </w:rPr>
        <w:t xml:space="preserve"> the identities of parties to agreements with him is “</w:t>
      </w:r>
      <w:r w:rsidR="005F2651">
        <w:rPr>
          <w:szCs w:val="22"/>
        </w:rPr>
        <w:t xml:space="preserve">disparate treatment </w:t>
      </w:r>
      <w:r>
        <w:rPr>
          <w:szCs w:val="22"/>
        </w:rPr>
        <w:t xml:space="preserve">of </w:t>
      </w:r>
      <w:r w:rsidR="005F2651">
        <w:rPr>
          <w:szCs w:val="22"/>
        </w:rPr>
        <w:t xml:space="preserve">small </w:t>
      </w:r>
      <w:r w:rsidR="00C731CB">
        <w:rPr>
          <w:szCs w:val="22"/>
        </w:rPr>
        <w:t>entrepreneurs</w:t>
      </w:r>
      <w:r w:rsidR="005F2651">
        <w:rPr>
          <w:szCs w:val="22"/>
        </w:rPr>
        <w:t xml:space="preserve"> </w:t>
      </w:r>
      <w:r>
        <w:rPr>
          <w:szCs w:val="22"/>
        </w:rPr>
        <w:t xml:space="preserve">. . . </w:t>
      </w:r>
      <w:r w:rsidR="005F2651" w:rsidRPr="00C731CB">
        <w:rPr>
          <w:szCs w:val="22"/>
        </w:rPr>
        <w:t>vis-à-vis</w:t>
      </w:r>
      <w:r w:rsidR="005F2651">
        <w:rPr>
          <w:szCs w:val="22"/>
        </w:rPr>
        <w:t xml:space="preserve"> large companies who can shield the </w:t>
      </w:r>
      <w:r w:rsidR="00C731CB">
        <w:rPr>
          <w:szCs w:val="22"/>
        </w:rPr>
        <w:t>identities</w:t>
      </w:r>
      <w:r w:rsidR="005F2651">
        <w:rPr>
          <w:szCs w:val="22"/>
        </w:rPr>
        <w:t xml:space="preserve"> of their actual lenders behind a maze of corporate </w:t>
      </w:r>
      <w:r w:rsidR="00C731CB">
        <w:rPr>
          <w:szCs w:val="22"/>
        </w:rPr>
        <w:t>intermediaries</w:t>
      </w:r>
      <w:r w:rsidR="005F2651">
        <w:rPr>
          <w:szCs w:val="22"/>
        </w:rPr>
        <w:t>.</w:t>
      </w:r>
      <w:r w:rsidR="00C731CB">
        <w:rPr>
          <w:szCs w:val="22"/>
        </w:rPr>
        <w:t>”</w:t>
      </w:r>
      <w:r w:rsidR="00C731CB">
        <w:rPr>
          <w:rStyle w:val="FootnoteReference"/>
          <w:szCs w:val="22"/>
        </w:rPr>
        <w:footnoteReference w:id="74"/>
      </w:r>
      <w:r w:rsidR="005F2651">
        <w:rPr>
          <w:szCs w:val="22"/>
        </w:rPr>
        <w:t xml:space="preserve">  </w:t>
      </w:r>
      <w:r w:rsidR="00333BB5">
        <w:rPr>
          <w:szCs w:val="22"/>
        </w:rPr>
        <w:t xml:space="preserve">This appears to be an argument that Mr. Sofio’s loans were from individuals, and that another </w:t>
      </w:r>
      <w:r w:rsidR="00333BB5" w:rsidRPr="00435120">
        <w:t>unspecified</w:t>
      </w:r>
      <w:r w:rsidR="00333BB5">
        <w:rPr>
          <w:szCs w:val="22"/>
        </w:rPr>
        <w:t xml:space="preserve"> applicant’s loan was from a legal entity whose owners were not disclosed.  This appears to be another collateral attack on the rules themselves, which require identification of the lender but not of the equity owners of the lender.  </w:t>
      </w:r>
      <w:r>
        <w:rPr>
          <w:szCs w:val="22"/>
        </w:rPr>
        <w:t>E</w:t>
      </w:r>
      <w:r w:rsidR="0009566D">
        <w:rPr>
          <w:szCs w:val="22"/>
        </w:rPr>
        <w:t xml:space="preserve">very applicant claiming DE benefits is subject to the same disclosure rules </w:t>
      </w:r>
      <w:r>
        <w:rPr>
          <w:szCs w:val="22"/>
        </w:rPr>
        <w:t>and case-by-case analysis</w:t>
      </w:r>
      <w:r w:rsidR="008976D5">
        <w:rPr>
          <w:szCs w:val="22"/>
        </w:rPr>
        <w:t>.</w:t>
      </w:r>
      <w:r w:rsidR="00043B4E">
        <w:rPr>
          <w:rStyle w:val="FootnoteReference"/>
          <w:szCs w:val="22"/>
        </w:rPr>
        <w:footnoteReference w:id="75"/>
      </w:r>
      <w:r w:rsidR="008976D5">
        <w:rPr>
          <w:szCs w:val="22"/>
        </w:rPr>
        <w:t xml:space="preserve">  </w:t>
      </w:r>
    </w:p>
    <w:p w14:paraId="4389D04A" w14:textId="338A15EC" w:rsidR="008B7A09" w:rsidRPr="008B7A09" w:rsidRDefault="002322CC" w:rsidP="00346EF6">
      <w:pPr>
        <w:pStyle w:val="ParaNum"/>
        <w:widowControl/>
      </w:pPr>
      <w:r>
        <w:rPr>
          <w:szCs w:val="22"/>
        </w:rPr>
        <w:t xml:space="preserve">Mr. Sofio also fails to provide evidence to support his particular claim here, which fails based on the record before us on at least two grounds.  </w:t>
      </w:r>
      <w:r w:rsidR="008976D5">
        <w:rPr>
          <w:szCs w:val="22"/>
        </w:rPr>
        <w:t xml:space="preserve">First, we note that Mr. Sofio himself </w:t>
      </w:r>
      <w:r w:rsidR="008B7A09">
        <w:rPr>
          <w:szCs w:val="22"/>
        </w:rPr>
        <w:t>h</w:t>
      </w:r>
      <w:r w:rsidR="00CB0DA8">
        <w:rPr>
          <w:szCs w:val="22"/>
        </w:rPr>
        <w:t>as</w:t>
      </w:r>
      <w:r w:rsidR="008B7A09">
        <w:rPr>
          <w:szCs w:val="22"/>
        </w:rPr>
        <w:t xml:space="preserve"> entered into agreements with a limited liability company</w:t>
      </w:r>
      <w:r w:rsidR="006B46B5">
        <w:rPr>
          <w:szCs w:val="22"/>
        </w:rPr>
        <w:t xml:space="preserve"> </w:t>
      </w:r>
      <w:r w:rsidR="008976D5">
        <w:rPr>
          <w:szCs w:val="22"/>
        </w:rPr>
        <w:t>(</w:t>
      </w:r>
      <w:r w:rsidR="00DA0B5F" w:rsidRPr="00435120">
        <w:t>though</w:t>
      </w:r>
      <w:r w:rsidR="00D6769C">
        <w:rPr>
          <w:szCs w:val="22"/>
        </w:rPr>
        <w:t xml:space="preserve">, unlike </w:t>
      </w:r>
      <w:r w:rsidR="00D87F44">
        <w:rPr>
          <w:szCs w:val="22"/>
        </w:rPr>
        <w:t xml:space="preserve">all of the other applicants in Auction 97, </w:t>
      </w:r>
      <w:r w:rsidR="008976D5">
        <w:rPr>
          <w:szCs w:val="22"/>
        </w:rPr>
        <w:t xml:space="preserve">only </w:t>
      </w:r>
      <w:r w:rsidR="00D87F44">
        <w:rPr>
          <w:szCs w:val="22"/>
        </w:rPr>
        <w:t>he is unwilling to publicly disclose the identity of that company</w:t>
      </w:r>
      <w:r w:rsidR="0090685C">
        <w:rPr>
          <w:szCs w:val="22"/>
        </w:rPr>
        <w:t>)</w:t>
      </w:r>
      <w:r w:rsidR="00D87F44">
        <w:rPr>
          <w:szCs w:val="22"/>
        </w:rPr>
        <w:t xml:space="preserve">.  </w:t>
      </w:r>
      <w:r w:rsidR="0090685C">
        <w:rPr>
          <w:szCs w:val="22"/>
        </w:rPr>
        <w:t xml:space="preserve">Second, Mr. Sofio and the parties with which he has entered agreements </w:t>
      </w:r>
      <w:r w:rsidR="0017623B">
        <w:rPr>
          <w:szCs w:val="22"/>
        </w:rPr>
        <w:t xml:space="preserve">chose how to </w:t>
      </w:r>
      <w:r w:rsidR="005C247C">
        <w:rPr>
          <w:szCs w:val="22"/>
        </w:rPr>
        <w:t xml:space="preserve">organize </w:t>
      </w:r>
      <w:r w:rsidR="0017623B">
        <w:rPr>
          <w:szCs w:val="22"/>
        </w:rPr>
        <w:t>their business</w:t>
      </w:r>
      <w:r w:rsidR="005C247C">
        <w:rPr>
          <w:szCs w:val="22"/>
        </w:rPr>
        <w:t xml:space="preserve"> </w:t>
      </w:r>
      <w:r w:rsidR="00483B0C">
        <w:rPr>
          <w:szCs w:val="22"/>
        </w:rPr>
        <w:t xml:space="preserve">affairs and the AFR </w:t>
      </w:r>
      <w:r w:rsidR="00DC447C">
        <w:rPr>
          <w:szCs w:val="22"/>
        </w:rPr>
        <w:t>acknowledges that different business structures will result in different public disclosures.</w:t>
      </w:r>
      <w:r w:rsidR="0015139B">
        <w:rPr>
          <w:rStyle w:val="FootnoteReference"/>
          <w:szCs w:val="22"/>
        </w:rPr>
        <w:footnoteReference w:id="76"/>
      </w:r>
      <w:r w:rsidR="0015139B">
        <w:rPr>
          <w:szCs w:val="22"/>
        </w:rPr>
        <w:t xml:space="preserve"> </w:t>
      </w:r>
      <w:r w:rsidR="00DC447C">
        <w:rPr>
          <w:szCs w:val="22"/>
        </w:rPr>
        <w:t xml:space="preserve"> </w:t>
      </w:r>
      <w:r>
        <w:rPr>
          <w:szCs w:val="22"/>
        </w:rPr>
        <w:t xml:space="preserve">Each applicant is responsible for its own business decisions, and </w:t>
      </w:r>
      <w:r w:rsidR="00B813B5">
        <w:rPr>
          <w:szCs w:val="22"/>
        </w:rPr>
        <w:t xml:space="preserve">Mr. Sofio </w:t>
      </w:r>
      <w:r w:rsidR="00FB2C59">
        <w:rPr>
          <w:szCs w:val="22"/>
        </w:rPr>
        <w:t xml:space="preserve">cannot claim disparate treatment </w:t>
      </w:r>
      <w:r w:rsidR="00CD7943">
        <w:rPr>
          <w:szCs w:val="22"/>
        </w:rPr>
        <w:t xml:space="preserve">resulting from </w:t>
      </w:r>
      <w:r w:rsidR="00A1255D">
        <w:rPr>
          <w:szCs w:val="22"/>
        </w:rPr>
        <w:t>his own</w:t>
      </w:r>
      <w:r w:rsidR="00CD7943">
        <w:rPr>
          <w:szCs w:val="22"/>
        </w:rPr>
        <w:t xml:space="preserve"> </w:t>
      </w:r>
      <w:r w:rsidR="00A1255D">
        <w:rPr>
          <w:szCs w:val="22"/>
        </w:rPr>
        <w:t>choices.</w:t>
      </w:r>
      <w:r w:rsidR="008B7A09">
        <w:rPr>
          <w:szCs w:val="22"/>
        </w:rPr>
        <w:t xml:space="preserve">  </w:t>
      </w:r>
      <w:r w:rsidR="007D5BEA">
        <w:rPr>
          <w:bCs/>
          <w:color w:val="000000"/>
          <w:spacing w:val="-6"/>
        </w:rPr>
        <w:t xml:space="preserve">Mr. Sofio identifies no other DE bidder that has obtained (or even sought) confidential treatment for the mere </w:t>
      </w:r>
      <w:r w:rsidR="007D5BEA">
        <w:rPr>
          <w:bCs/>
          <w:i/>
          <w:color w:val="000000"/>
          <w:spacing w:val="-6"/>
        </w:rPr>
        <w:t xml:space="preserve">identity </w:t>
      </w:r>
      <w:r w:rsidR="007D5BEA">
        <w:rPr>
          <w:bCs/>
          <w:color w:val="000000"/>
          <w:spacing w:val="-6"/>
        </w:rPr>
        <w:t>of those with which the bidder has entered into financial relationships.</w:t>
      </w:r>
      <w:r w:rsidR="007D5BEA">
        <w:rPr>
          <w:rStyle w:val="FootnoteReference"/>
          <w:bCs/>
          <w:spacing w:val="-6"/>
        </w:rPr>
        <w:footnoteReference w:id="77"/>
      </w:r>
      <w:r w:rsidR="007D5BEA">
        <w:rPr>
          <w:bCs/>
          <w:color w:val="000000"/>
          <w:spacing w:val="-6"/>
        </w:rPr>
        <w:t xml:space="preserve">  </w:t>
      </w:r>
      <w:r w:rsidR="008B7A09">
        <w:rPr>
          <w:szCs w:val="22"/>
        </w:rPr>
        <w:t>As the Division correctly explained, “</w:t>
      </w:r>
      <w:r w:rsidR="008B7A09" w:rsidRPr="00D32E54">
        <w:rPr>
          <w:szCs w:val="22"/>
        </w:rPr>
        <w:t>to the extent Mr. Sofio is concerned that third parties, acting in good faith, may file pleadings against it based on the disclosure at issue, our confidentiality rules may not be used as a shield against claims that may arise through the discovery of non-confidential information.</w:t>
      </w:r>
      <w:r w:rsidR="008B7A09">
        <w:rPr>
          <w:szCs w:val="22"/>
        </w:rPr>
        <w:t>”</w:t>
      </w:r>
      <w:r w:rsidR="008B7A09">
        <w:rPr>
          <w:rStyle w:val="FootnoteReference"/>
          <w:szCs w:val="22"/>
        </w:rPr>
        <w:footnoteReference w:id="78"/>
      </w:r>
      <w:r w:rsidR="008B7A09">
        <w:rPr>
          <w:szCs w:val="22"/>
        </w:rPr>
        <w:t xml:space="preserve">  We </w:t>
      </w:r>
      <w:r w:rsidR="000E1F7A">
        <w:rPr>
          <w:szCs w:val="22"/>
        </w:rPr>
        <w:t xml:space="preserve">therefore </w:t>
      </w:r>
      <w:r w:rsidR="008B7A09">
        <w:rPr>
          <w:szCs w:val="22"/>
        </w:rPr>
        <w:t>reject Mr. Sofio’s claim of disparate treatment</w:t>
      </w:r>
      <w:r w:rsidR="000E1F7A">
        <w:rPr>
          <w:szCs w:val="22"/>
        </w:rPr>
        <w:t>.</w:t>
      </w:r>
    </w:p>
    <w:p w14:paraId="19087AA8" w14:textId="77777777" w:rsidR="007A5836" w:rsidRPr="007A5836" w:rsidRDefault="00637B1F" w:rsidP="00346EF6">
      <w:pPr>
        <w:pStyle w:val="Heading2"/>
        <w:widowControl/>
      </w:pPr>
      <w:r>
        <w:t xml:space="preserve">Claim of </w:t>
      </w:r>
      <w:r w:rsidR="007A5836">
        <w:t>Violation of the Paperwork Reduction Act</w:t>
      </w:r>
    </w:p>
    <w:p w14:paraId="7556355A" w14:textId="6146B506" w:rsidR="008B7A09" w:rsidRPr="007313A7" w:rsidRDefault="0068054C" w:rsidP="00346EF6">
      <w:pPr>
        <w:pStyle w:val="ParaNum"/>
        <w:widowControl/>
        <w:rPr>
          <w:szCs w:val="22"/>
        </w:rPr>
      </w:pPr>
      <w:r>
        <w:t xml:space="preserve">Mr. Sofio avers </w:t>
      </w:r>
      <w:r w:rsidR="008B7A09" w:rsidRPr="008B7A09">
        <w:t xml:space="preserve">that </w:t>
      </w:r>
      <w:r>
        <w:t xml:space="preserve">the </w:t>
      </w:r>
      <w:r w:rsidR="00A1255D" w:rsidRPr="007313A7">
        <w:rPr>
          <w:i/>
        </w:rPr>
        <w:t xml:space="preserve">Letter </w:t>
      </w:r>
      <w:r w:rsidRPr="007313A7">
        <w:rPr>
          <w:i/>
        </w:rPr>
        <w:t>Order</w:t>
      </w:r>
      <w:r>
        <w:t xml:space="preserve"> </w:t>
      </w:r>
      <w:r w:rsidR="008B7A09" w:rsidRPr="008B7A09">
        <w:t xml:space="preserve">violates the </w:t>
      </w:r>
      <w:r w:rsidR="008B7A09" w:rsidRPr="002A2620">
        <w:t>Paperwork Reduction Act</w:t>
      </w:r>
      <w:r w:rsidR="00CD7943">
        <w:t xml:space="preserve">, </w:t>
      </w:r>
      <w:r w:rsidR="0096586E">
        <w:t>44 U.S.C. § </w:t>
      </w:r>
      <w:r w:rsidR="00CD7943" w:rsidRPr="00CD7943">
        <w:t>3501 et seq.</w:t>
      </w:r>
      <w:r w:rsidR="00CD7943">
        <w:t>, (PRA)</w:t>
      </w:r>
      <w:r w:rsidRPr="007313A7">
        <w:rPr>
          <w:i/>
        </w:rPr>
        <w:t xml:space="preserve"> </w:t>
      </w:r>
      <w:r w:rsidR="004B437F">
        <w:t xml:space="preserve">“[s]ince the Commission has confirmed that non-equity debt financing is </w:t>
      </w:r>
      <w:r w:rsidR="004B437F" w:rsidRPr="007313A7">
        <w:rPr>
          <w:i/>
        </w:rPr>
        <w:t xml:space="preserve">not </w:t>
      </w:r>
      <w:r w:rsidR="004B437F">
        <w:t xml:space="preserve">to be considered in evaluating DE status, the information now demanded by the Division constitutes a new and significant information collection burden which has not been properly vetted </w:t>
      </w:r>
      <w:r w:rsidR="004B437F" w:rsidRPr="00806938">
        <w:rPr>
          <w:szCs w:val="22"/>
        </w:rPr>
        <w:t>and</w:t>
      </w:r>
      <w:r w:rsidR="004B437F">
        <w:t xml:space="preserve"> approved by OMB.”</w:t>
      </w:r>
      <w:r w:rsidR="004B437F">
        <w:rPr>
          <w:rStyle w:val="FootnoteReference"/>
        </w:rPr>
        <w:footnoteReference w:id="79"/>
      </w:r>
      <w:r w:rsidR="007B4A05">
        <w:t xml:space="preserve">  Mr. Sofio</w:t>
      </w:r>
      <w:r w:rsidR="00CD7943">
        <w:t xml:space="preserve">’s PRA arguments fail </w:t>
      </w:r>
      <w:r w:rsidR="00423833">
        <w:t xml:space="preserve">because 1) </w:t>
      </w:r>
      <w:r w:rsidR="00CD7943">
        <w:t xml:space="preserve">as discussed above, </w:t>
      </w:r>
      <w:r w:rsidR="00DA1CCA">
        <w:t xml:space="preserve">he </w:t>
      </w:r>
      <w:r w:rsidR="007B4A05">
        <w:t>misinterpret</w:t>
      </w:r>
      <w:r w:rsidR="00DA1CCA">
        <w:t>s</w:t>
      </w:r>
      <w:r w:rsidR="007B4A05">
        <w:t xml:space="preserve"> </w:t>
      </w:r>
      <w:r w:rsidR="00CD7943">
        <w:t xml:space="preserve">the </w:t>
      </w:r>
      <w:r w:rsidR="007B4A05" w:rsidRPr="007313A7">
        <w:rPr>
          <w:i/>
        </w:rPr>
        <w:t>2015 Competitive Bidding R</w:t>
      </w:r>
      <w:r w:rsidR="007313A7" w:rsidRPr="007313A7">
        <w:rPr>
          <w:i/>
        </w:rPr>
        <w:t>&amp;O</w:t>
      </w:r>
      <w:r w:rsidR="00987C83">
        <w:t>,</w:t>
      </w:r>
      <w:r w:rsidR="007B4A05">
        <w:rPr>
          <w:rStyle w:val="FootnoteReference"/>
        </w:rPr>
        <w:footnoteReference w:id="80"/>
      </w:r>
      <w:r w:rsidR="00125758">
        <w:t xml:space="preserve"> </w:t>
      </w:r>
      <w:r w:rsidR="00987C83">
        <w:t>2)</w:t>
      </w:r>
      <w:r w:rsidR="00125758">
        <w:t xml:space="preserve"> </w:t>
      </w:r>
      <w:r w:rsidR="00987C83">
        <w:t>t</w:t>
      </w:r>
      <w:r w:rsidR="008B7A09" w:rsidRPr="007313A7">
        <w:rPr>
          <w:szCs w:val="22"/>
        </w:rPr>
        <w:t xml:space="preserve">he clear language of the </w:t>
      </w:r>
      <w:r w:rsidR="00CD7943">
        <w:rPr>
          <w:szCs w:val="22"/>
        </w:rPr>
        <w:t xml:space="preserve">disputed </w:t>
      </w:r>
      <w:r w:rsidR="008B7A09" w:rsidRPr="007313A7">
        <w:rPr>
          <w:szCs w:val="22"/>
        </w:rPr>
        <w:t>form</w:t>
      </w:r>
      <w:r w:rsidR="00CD7943">
        <w:rPr>
          <w:szCs w:val="22"/>
        </w:rPr>
        <w:t>, Form 601, Schedule B, Item 15,</w:t>
      </w:r>
      <w:r w:rsidR="00987C83">
        <w:rPr>
          <w:szCs w:val="22"/>
        </w:rPr>
        <w:t xml:space="preserve"> requires Mr. </w:t>
      </w:r>
      <w:r w:rsidR="008B7A09" w:rsidRPr="007313A7">
        <w:rPr>
          <w:szCs w:val="22"/>
        </w:rPr>
        <w:t>Sofio to enter the name of the agreement, the type of the agreement, and the parties to the agreement</w:t>
      </w:r>
      <w:r w:rsidR="00987C83">
        <w:rPr>
          <w:szCs w:val="22"/>
        </w:rPr>
        <w:t>,</w:t>
      </w:r>
      <w:r w:rsidR="00CD7943">
        <w:rPr>
          <w:rStyle w:val="FootnoteReference"/>
          <w:szCs w:val="22"/>
        </w:rPr>
        <w:footnoteReference w:id="81"/>
      </w:r>
      <w:r w:rsidR="00987C83">
        <w:rPr>
          <w:szCs w:val="22"/>
        </w:rPr>
        <w:t xml:space="preserve"> and 3)</w:t>
      </w:r>
      <w:r w:rsidR="008B7A09" w:rsidRPr="007313A7">
        <w:rPr>
          <w:szCs w:val="22"/>
        </w:rPr>
        <w:t xml:space="preserve"> </w:t>
      </w:r>
      <w:r w:rsidR="00987C83">
        <w:rPr>
          <w:szCs w:val="22"/>
        </w:rPr>
        <w:t>t</w:t>
      </w:r>
      <w:r w:rsidR="00744C5E" w:rsidRPr="007313A7">
        <w:rPr>
          <w:szCs w:val="22"/>
        </w:rPr>
        <w:t>he Office of Management and Budget approved this information collection under OMB Control No. 3060-0798</w:t>
      </w:r>
      <w:r w:rsidR="00936E54" w:rsidRPr="007313A7">
        <w:rPr>
          <w:szCs w:val="22"/>
        </w:rPr>
        <w:t>.</w:t>
      </w:r>
      <w:r w:rsidR="00C87C6A">
        <w:rPr>
          <w:rStyle w:val="FootnoteReference"/>
          <w:szCs w:val="22"/>
        </w:rPr>
        <w:footnoteReference w:id="82"/>
      </w:r>
      <w:r w:rsidR="00936E54" w:rsidRPr="007313A7">
        <w:rPr>
          <w:szCs w:val="22"/>
        </w:rPr>
        <w:t xml:space="preserve">  </w:t>
      </w:r>
      <w:r w:rsidR="00E8150E" w:rsidRPr="007313A7">
        <w:rPr>
          <w:szCs w:val="22"/>
        </w:rPr>
        <w:t xml:space="preserve">Accordingly, Mr. Sofio’s allegation under the </w:t>
      </w:r>
      <w:r w:rsidR="00E8150E" w:rsidRPr="005F5C67">
        <w:rPr>
          <w:szCs w:val="22"/>
        </w:rPr>
        <w:t>Paperwork Reduction Act</w:t>
      </w:r>
      <w:r w:rsidR="00A1255D" w:rsidRPr="007313A7">
        <w:rPr>
          <w:szCs w:val="22"/>
        </w:rPr>
        <w:t xml:space="preserve"> is </w:t>
      </w:r>
      <w:r w:rsidR="00936E54" w:rsidRPr="007313A7">
        <w:rPr>
          <w:szCs w:val="22"/>
        </w:rPr>
        <w:t>unavailing</w:t>
      </w:r>
      <w:r w:rsidR="00E8150E" w:rsidRPr="007313A7">
        <w:rPr>
          <w:szCs w:val="22"/>
        </w:rPr>
        <w:t xml:space="preserve">.  </w:t>
      </w:r>
    </w:p>
    <w:p w14:paraId="0749B1FD" w14:textId="77777777" w:rsidR="007A5836" w:rsidRDefault="007A5836" w:rsidP="00346EF6">
      <w:pPr>
        <w:pStyle w:val="Heading1"/>
        <w:widowControl/>
      </w:pPr>
      <w:r>
        <w:t>Conclusion</w:t>
      </w:r>
    </w:p>
    <w:p w14:paraId="313DE6CA" w14:textId="77777777" w:rsidR="005A6A12" w:rsidRPr="004A6A19" w:rsidRDefault="005A6A12" w:rsidP="00346EF6">
      <w:pPr>
        <w:pStyle w:val="ParaNum"/>
        <w:widowControl/>
      </w:pPr>
      <w:r>
        <w:t>Accordingly, Joseph A. Sofio’s</w:t>
      </w:r>
      <w:r w:rsidRPr="00C73002">
        <w:t xml:space="preserve"> </w:t>
      </w:r>
      <w:r w:rsidR="00AA1ABE">
        <w:t>Application for Review is denied.</w:t>
      </w:r>
      <w:r>
        <w:t xml:space="preserve">  </w:t>
      </w:r>
    </w:p>
    <w:p w14:paraId="2ECBAFD8" w14:textId="02B66973" w:rsidR="00B172B6" w:rsidRPr="004A6A19" w:rsidRDefault="005A6A12" w:rsidP="00346EF6">
      <w:pPr>
        <w:pStyle w:val="ParaNum"/>
        <w:widowControl/>
        <w:rPr>
          <w:caps/>
        </w:rPr>
      </w:pPr>
      <w:r w:rsidRPr="004A6A19">
        <w:rPr>
          <w:szCs w:val="22"/>
        </w:rPr>
        <w:t>Because of our denial</w:t>
      </w:r>
      <w:r w:rsidR="00B159EB">
        <w:rPr>
          <w:szCs w:val="22"/>
        </w:rPr>
        <w:t xml:space="preserve"> </w:t>
      </w:r>
      <w:r w:rsidRPr="004A6A19">
        <w:rPr>
          <w:szCs w:val="22"/>
        </w:rPr>
        <w:t xml:space="preserve">of the AFR, Mr. Sofio must amend the above-referenced application to make it acceptable for filing by (1) adding the names of parties that have entered into agreements with the Applicant on Form 601, Schedule B, </w:t>
      </w:r>
      <w:r w:rsidR="00F41877">
        <w:rPr>
          <w:szCs w:val="22"/>
        </w:rPr>
        <w:t xml:space="preserve">Item </w:t>
      </w:r>
      <w:r w:rsidRPr="004A6A19">
        <w:rPr>
          <w:szCs w:val="22"/>
        </w:rPr>
        <w:t xml:space="preserve">15 (and completing </w:t>
      </w:r>
      <w:r w:rsidRPr="00435120">
        <w:t>any</w:t>
      </w:r>
      <w:r w:rsidRPr="004A6A19">
        <w:rPr>
          <w:szCs w:val="22"/>
        </w:rPr>
        <w:t xml:space="preserve"> other information required in FCC 601, Schedule B, </w:t>
      </w:r>
      <w:r w:rsidR="00F41877">
        <w:rPr>
          <w:szCs w:val="22"/>
        </w:rPr>
        <w:t xml:space="preserve">Item </w:t>
      </w:r>
      <w:r w:rsidRPr="004A6A19">
        <w:rPr>
          <w:szCs w:val="22"/>
        </w:rPr>
        <w:t>15); (2) summarizing those agreements, including providing the names of the parties thereto, in FCC Form 601, Exhibit D; (3) providing, as public attachments to FCC Form 601, Exhibit D, copies of those agreements without the names of the parties thereto redacted</w:t>
      </w:r>
      <w:r w:rsidR="00AF07CF">
        <w:rPr>
          <w:szCs w:val="22"/>
        </w:rPr>
        <w:t>;</w:t>
      </w:r>
      <w:r w:rsidR="00DD1451">
        <w:rPr>
          <w:szCs w:val="22"/>
        </w:rPr>
        <w:t xml:space="preserve"> and (4) providing a public version of </w:t>
      </w:r>
      <w:r w:rsidR="00DD1451" w:rsidRPr="0046076C">
        <w:t xml:space="preserve">“Financing </w:t>
      </w:r>
      <w:r w:rsidR="00DD1451">
        <w:t>Arrangements</w:t>
      </w:r>
      <w:r w:rsidR="00DD1451" w:rsidRPr="0046076C">
        <w:t xml:space="preserve">,” </w:t>
      </w:r>
      <w:r w:rsidR="00DD1451" w:rsidRPr="004A6A19">
        <w:t>attached</w:t>
      </w:r>
      <w:r w:rsidR="00DD1451">
        <w:t xml:space="preserve"> as the first two pages to the FCC Form 601, Exhibit D, without the names therein redacted.</w:t>
      </w:r>
      <w:r w:rsidR="00800472" w:rsidRPr="004A6A19">
        <w:rPr>
          <w:rStyle w:val="FootnoteReference"/>
          <w:szCs w:val="22"/>
        </w:rPr>
        <w:footnoteReference w:id="83"/>
      </w:r>
      <w:r w:rsidR="00193178" w:rsidRPr="004A6A19">
        <w:rPr>
          <w:szCs w:val="22"/>
        </w:rPr>
        <w:t xml:space="preserve">  </w:t>
      </w:r>
    </w:p>
    <w:p w14:paraId="5725D0DA" w14:textId="77777777" w:rsidR="00E674E3" w:rsidRPr="004A6A19" w:rsidRDefault="005A6A12" w:rsidP="00346EF6">
      <w:pPr>
        <w:pStyle w:val="ParaNum"/>
        <w:widowControl/>
        <w:rPr>
          <w:caps/>
        </w:rPr>
      </w:pPr>
      <w:r w:rsidRPr="004A6A19">
        <w:rPr>
          <w:szCs w:val="22"/>
        </w:rPr>
        <w:t xml:space="preserve">Pursuant to Section 0.459(g) of the Commission’s rules, Mr. Sofio may seek a judicial stay of our </w:t>
      </w:r>
      <w:r w:rsidRPr="00DD1451">
        <w:rPr>
          <w:szCs w:val="22"/>
        </w:rPr>
        <w:t>denial</w:t>
      </w:r>
      <w:r w:rsidRPr="004A6A19">
        <w:rPr>
          <w:i/>
          <w:szCs w:val="22"/>
        </w:rPr>
        <w:t xml:space="preserve"> </w:t>
      </w:r>
      <w:r w:rsidRPr="004A6A19">
        <w:rPr>
          <w:szCs w:val="22"/>
        </w:rPr>
        <w:t xml:space="preserve">of the confidential treatment within ten business days </w:t>
      </w:r>
      <w:r w:rsidR="00A83B76">
        <w:rPr>
          <w:szCs w:val="22"/>
        </w:rPr>
        <w:t xml:space="preserve">of notification </w:t>
      </w:r>
      <w:r w:rsidRPr="004A6A19">
        <w:rPr>
          <w:szCs w:val="22"/>
        </w:rPr>
        <w:t xml:space="preserve">of </w:t>
      </w:r>
      <w:r w:rsidR="00A83B76" w:rsidRPr="00435120">
        <w:t>the</w:t>
      </w:r>
      <w:r w:rsidR="00A83B76">
        <w:rPr>
          <w:szCs w:val="22"/>
        </w:rPr>
        <w:t xml:space="preserve"> adoption of </w:t>
      </w:r>
      <w:r w:rsidRPr="004A6A19">
        <w:rPr>
          <w:szCs w:val="22"/>
        </w:rPr>
        <w:t xml:space="preserve">this </w:t>
      </w:r>
      <w:r w:rsidR="00B159EB">
        <w:rPr>
          <w:i/>
          <w:szCs w:val="22"/>
        </w:rPr>
        <w:t>Memorandum Opinion and Order</w:t>
      </w:r>
      <w:r w:rsidRPr="004A6A19">
        <w:rPr>
          <w:szCs w:val="22"/>
        </w:rPr>
        <w:t>.</w:t>
      </w:r>
      <w:r w:rsidRPr="004A6A19">
        <w:rPr>
          <w:rStyle w:val="FootnoteReference"/>
          <w:szCs w:val="22"/>
        </w:rPr>
        <w:footnoteReference w:id="84"/>
      </w:r>
      <w:r w:rsidRPr="004A6A19">
        <w:rPr>
          <w:szCs w:val="22"/>
        </w:rPr>
        <w:t xml:space="preserve">  If this period expires without action by Mr. Sofio, the materials will be placed in a public file with the names of the parties to agreements with the Applicant no longer redacted</w:t>
      </w:r>
      <w:r w:rsidR="00C97F02" w:rsidRPr="004A6A19">
        <w:rPr>
          <w:szCs w:val="22"/>
        </w:rPr>
        <w:t xml:space="preserve"> in Exhibit D of the FCC Form 601</w:t>
      </w:r>
      <w:r w:rsidRPr="004A6A19">
        <w:rPr>
          <w:szCs w:val="22"/>
        </w:rPr>
        <w:t>.</w:t>
      </w:r>
      <w:r w:rsidRPr="004A6A19">
        <w:rPr>
          <w:rStyle w:val="FootnoteReference"/>
          <w:szCs w:val="22"/>
        </w:rPr>
        <w:footnoteReference w:id="85"/>
      </w:r>
      <w:r w:rsidRPr="004A6A19">
        <w:rPr>
          <w:szCs w:val="22"/>
        </w:rPr>
        <w:t xml:space="preserve">  The materials will be accorded confidential treatment, as provided in Sections 0.459(g) and 0.461,</w:t>
      </w:r>
      <w:r w:rsidRPr="004A6A19">
        <w:rPr>
          <w:rStyle w:val="FootnoteReference"/>
          <w:szCs w:val="22"/>
        </w:rPr>
        <w:footnoteReference w:id="86"/>
      </w:r>
      <w:r w:rsidRPr="004A6A19">
        <w:rPr>
          <w:szCs w:val="22"/>
        </w:rPr>
        <w:t xml:space="preserve"> until a court acts on any timely motion for stay of the Commission’s </w:t>
      </w:r>
      <w:r w:rsidRPr="00DD1451">
        <w:rPr>
          <w:szCs w:val="22"/>
        </w:rPr>
        <w:t>denial</w:t>
      </w:r>
      <w:r w:rsidRPr="004A6A19">
        <w:rPr>
          <w:szCs w:val="22"/>
        </w:rPr>
        <w:t xml:space="preserve"> of confidential treatment.</w:t>
      </w:r>
      <w:r w:rsidR="0034158D" w:rsidRPr="004A6A19">
        <w:rPr>
          <w:szCs w:val="22"/>
        </w:rPr>
        <w:t xml:space="preserve">  </w:t>
      </w:r>
    </w:p>
    <w:p w14:paraId="60CA1DCD" w14:textId="77777777" w:rsidR="007A5836" w:rsidRDefault="007A5836" w:rsidP="00CA3D1F">
      <w:pPr>
        <w:pStyle w:val="Heading1"/>
        <w:keepLines/>
        <w:widowControl/>
      </w:pPr>
      <w:r>
        <w:t>ordering clause</w:t>
      </w:r>
    </w:p>
    <w:p w14:paraId="44E61CCF" w14:textId="77777777" w:rsidR="00035EE0" w:rsidRPr="000262DE" w:rsidRDefault="000235DF" w:rsidP="00CA3D1F">
      <w:pPr>
        <w:pStyle w:val="ParaNum"/>
        <w:keepNext/>
        <w:keepLines/>
        <w:widowControl/>
      </w:pPr>
      <w:r w:rsidRPr="000262DE">
        <w:t>ACCORDINGLY, IT IS ORDERED t</w:t>
      </w:r>
      <w:r w:rsidR="006A56E5" w:rsidRPr="000262DE">
        <w:t xml:space="preserve">hat, pursuant to section 5(c)(5) of the Communications Act of 1934, as amended, 47 U.S.C. </w:t>
      </w:r>
      <w:r w:rsidR="00243C6D">
        <w:t>§ 155(c)(5), and section 1.115(b</w:t>
      </w:r>
      <w:r w:rsidR="006A56E5" w:rsidRPr="000262DE">
        <w:t>) of the Commission’s rules, 47 C.F.R. § 1.115(</w:t>
      </w:r>
      <w:r w:rsidR="00243C6D">
        <w:t>b</w:t>
      </w:r>
      <w:r w:rsidR="006A56E5" w:rsidRPr="000262DE">
        <w:t xml:space="preserve">), the Application for Review </w:t>
      </w:r>
      <w:r w:rsidR="00F93720" w:rsidRPr="000262DE">
        <w:t xml:space="preserve">of </w:t>
      </w:r>
      <w:r w:rsidR="00B627E8">
        <w:t xml:space="preserve">Joseph A. Sofio, </w:t>
      </w:r>
      <w:r w:rsidR="00B627E8" w:rsidRPr="00B627E8">
        <w:t>File No. 0006670108</w:t>
      </w:r>
      <w:r w:rsidR="00B627E8">
        <w:t>, IS DENIED</w:t>
      </w:r>
      <w:r w:rsidR="00E65799">
        <w:t>.</w:t>
      </w:r>
      <w:r w:rsidR="00B627E8">
        <w:t xml:space="preserve">  </w:t>
      </w:r>
      <w:r w:rsidR="006A56E5" w:rsidRPr="000262DE">
        <w:t xml:space="preserve">  </w:t>
      </w:r>
    </w:p>
    <w:p w14:paraId="4AEC1B26" w14:textId="77777777" w:rsidR="006A56E5" w:rsidRPr="000262DE" w:rsidRDefault="004A6A19" w:rsidP="00CA3D1F">
      <w:pPr>
        <w:keepNext/>
        <w:keepLines/>
        <w:widowControl/>
        <w:rPr>
          <w:spacing w:val="-3"/>
          <w:szCs w:val="22"/>
        </w:rPr>
      </w:pPr>
      <w:r>
        <w:rPr>
          <w:spacing w:val="-3"/>
          <w:szCs w:val="22"/>
        </w:rPr>
        <w:tab/>
      </w:r>
    </w:p>
    <w:p w14:paraId="5EDA547F" w14:textId="77777777" w:rsidR="00790C7D" w:rsidRDefault="00790C7D" w:rsidP="00CA3D1F">
      <w:pPr>
        <w:keepNext/>
        <w:keepLines/>
        <w:widowControl/>
      </w:pPr>
      <w:r>
        <w:tab/>
      </w:r>
      <w:r>
        <w:tab/>
      </w:r>
      <w:r>
        <w:tab/>
      </w:r>
      <w:r>
        <w:tab/>
      </w:r>
      <w:r>
        <w:tab/>
      </w:r>
      <w:r>
        <w:tab/>
        <w:t>FEDERAL COMMUNICATIONS COMMISSION</w:t>
      </w:r>
    </w:p>
    <w:p w14:paraId="78E88837" w14:textId="77777777" w:rsidR="00790C7D" w:rsidRDefault="00790C7D" w:rsidP="00346EF6">
      <w:pPr>
        <w:widowControl/>
      </w:pPr>
    </w:p>
    <w:p w14:paraId="0BBE9E65" w14:textId="77777777" w:rsidR="00790C7D" w:rsidRDefault="00790C7D" w:rsidP="00346EF6">
      <w:pPr>
        <w:widowControl/>
      </w:pPr>
    </w:p>
    <w:p w14:paraId="2ACF3846" w14:textId="77777777" w:rsidR="00790C7D" w:rsidRDefault="00790C7D" w:rsidP="00346EF6">
      <w:pPr>
        <w:keepLines/>
        <w:widowControl/>
      </w:pPr>
    </w:p>
    <w:p w14:paraId="6AAE9604" w14:textId="77777777" w:rsidR="009B76D0" w:rsidRDefault="009B76D0" w:rsidP="00346EF6">
      <w:pPr>
        <w:keepLines/>
        <w:widowControl/>
      </w:pPr>
    </w:p>
    <w:p w14:paraId="46BE0752" w14:textId="77777777" w:rsidR="004A6A19" w:rsidRDefault="00790C7D" w:rsidP="00346EF6">
      <w:pPr>
        <w:widowControl/>
      </w:pPr>
      <w:r>
        <w:tab/>
      </w:r>
      <w:r>
        <w:tab/>
      </w:r>
      <w:r>
        <w:tab/>
      </w:r>
      <w:r>
        <w:tab/>
      </w:r>
      <w:r>
        <w:tab/>
      </w:r>
      <w:r>
        <w:tab/>
        <w:t>Marlene H. Dortch</w:t>
      </w:r>
    </w:p>
    <w:p w14:paraId="032BB5E6" w14:textId="77777777" w:rsidR="00436A64" w:rsidRDefault="00790C7D" w:rsidP="00346EF6">
      <w:pPr>
        <w:widowControl/>
      </w:pPr>
      <w:r>
        <w:tab/>
      </w:r>
      <w:r>
        <w:tab/>
      </w:r>
      <w:r>
        <w:tab/>
      </w:r>
      <w:r>
        <w:tab/>
      </w:r>
      <w:r>
        <w:tab/>
      </w:r>
      <w:r>
        <w:tab/>
        <w:t>Secretary</w:t>
      </w:r>
    </w:p>
    <w:sectPr w:rsidR="00436A64" w:rsidSect="007D7D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BB1B4" w14:textId="77777777" w:rsidR="00FB7894" w:rsidRDefault="00FB7894">
      <w:r>
        <w:separator/>
      </w:r>
    </w:p>
  </w:endnote>
  <w:endnote w:type="continuationSeparator" w:id="0">
    <w:p w14:paraId="31120F3E" w14:textId="77777777" w:rsidR="00FB7894" w:rsidRDefault="00FB7894">
      <w:r>
        <w:continuationSeparator/>
      </w:r>
    </w:p>
  </w:endnote>
  <w:endnote w:type="continuationNotice" w:id="1">
    <w:p w14:paraId="4900B97B" w14:textId="77777777" w:rsidR="00FB7894" w:rsidRDefault="00FB78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BDDF9" w14:textId="77777777" w:rsidR="00617149" w:rsidRDefault="006171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823E1B" w14:textId="77777777" w:rsidR="008135FB" w:rsidRDefault="008135FB" w:rsidP="004F6305">
    <w:pPr>
      <w:pStyle w:val="Footer"/>
      <w:jc w:val="center"/>
    </w:pPr>
    <w:r>
      <w:fldChar w:fldCharType="begin"/>
    </w:r>
    <w:r>
      <w:instrText xml:space="preserve"> PAGE   \* MERGEFORMAT </w:instrText>
    </w:r>
    <w:r>
      <w:fldChar w:fldCharType="separate"/>
    </w:r>
    <w:r w:rsidR="0045684F">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F8F97" w14:textId="77777777" w:rsidR="00617149" w:rsidRDefault="006171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46E946" w14:textId="77777777" w:rsidR="00FB7894" w:rsidRDefault="00FB7894">
      <w:r>
        <w:separator/>
      </w:r>
    </w:p>
  </w:footnote>
  <w:footnote w:type="continuationSeparator" w:id="0">
    <w:p w14:paraId="6D735FAC" w14:textId="77777777" w:rsidR="00FB7894" w:rsidRDefault="00FB7894">
      <w:r>
        <w:continuationSeparator/>
      </w:r>
    </w:p>
  </w:footnote>
  <w:footnote w:type="continuationNotice" w:id="1">
    <w:p w14:paraId="355A0DB5" w14:textId="77777777" w:rsidR="00FB7894" w:rsidRDefault="00FB7894"/>
  </w:footnote>
  <w:footnote w:id="2">
    <w:p w14:paraId="3B484ABD" w14:textId="77777777" w:rsidR="008135FB" w:rsidRDefault="008135FB" w:rsidP="0053156D">
      <w:pPr>
        <w:pStyle w:val="FootnoteText"/>
      </w:pPr>
      <w:r>
        <w:rPr>
          <w:rStyle w:val="FootnoteReference"/>
        </w:rPr>
        <w:footnoteRef/>
      </w:r>
      <w:r>
        <w:t xml:space="preserve"> 47 C.F.R. § 0.459.</w:t>
      </w:r>
    </w:p>
  </w:footnote>
  <w:footnote w:id="3">
    <w:p w14:paraId="5F67FAA4" w14:textId="2AF80977" w:rsidR="008135FB" w:rsidRDefault="008135FB" w:rsidP="00195622">
      <w:pPr>
        <w:pStyle w:val="FootnoteText"/>
      </w:pPr>
      <w:r>
        <w:rPr>
          <w:rStyle w:val="FootnoteReference"/>
        </w:rPr>
        <w:footnoteRef/>
      </w:r>
      <w:r>
        <w:t xml:space="preserve"> </w:t>
      </w:r>
      <w:r w:rsidRPr="00213B22">
        <w:t xml:space="preserve">Application for Review </w:t>
      </w:r>
      <w:r>
        <w:t>of Joseph A. Sofio (</w:t>
      </w:r>
      <w:r w:rsidRPr="00213B22">
        <w:t xml:space="preserve">filed </w:t>
      </w:r>
      <w:r>
        <w:t>Dec. 16, 2015).</w:t>
      </w:r>
    </w:p>
  </w:footnote>
  <w:footnote w:id="4">
    <w:p w14:paraId="33075872" w14:textId="77777777" w:rsidR="008135FB" w:rsidRDefault="008135FB" w:rsidP="00EA477B">
      <w:pPr>
        <w:pStyle w:val="FootnoteText"/>
      </w:pPr>
      <w:r>
        <w:rPr>
          <w:rStyle w:val="FootnoteReference"/>
        </w:rPr>
        <w:footnoteRef/>
      </w:r>
      <w:r>
        <w:t xml:space="preserve"> File No. </w:t>
      </w:r>
      <w:r w:rsidRPr="008B3FD1">
        <w:t>0006670108</w:t>
      </w:r>
      <w:r>
        <w:t xml:space="preserve">, Exhibit E: Request for Confidential Treatment (filed April 2, 2015) (“Confidentiality Request”); Exhibit E: Supplemental Request for Confidential Treatment (filed April 21, 2015) (“Supplemental Confidentiality Request”) (collectively, the Request).  </w:t>
      </w:r>
    </w:p>
  </w:footnote>
  <w:footnote w:id="5">
    <w:p w14:paraId="080A7E5F" w14:textId="77777777" w:rsidR="008135FB" w:rsidRDefault="008135FB" w:rsidP="00EA477B">
      <w:pPr>
        <w:pStyle w:val="FootnoteText"/>
      </w:pPr>
      <w:r>
        <w:rPr>
          <w:rStyle w:val="FootnoteReference"/>
        </w:rPr>
        <w:footnoteRef/>
      </w:r>
      <w:r>
        <w:t xml:space="preserve"> </w:t>
      </w:r>
      <w:r>
        <w:rPr>
          <w:i/>
        </w:rPr>
        <w:t xml:space="preserve">See </w:t>
      </w:r>
      <w:r w:rsidRPr="0047162B">
        <w:rPr>
          <w:i/>
        </w:rPr>
        <w:t>Request for Confidentiality, Application of Joseph A. Sofio for AWS-3 Licenses in the 1695-1710, 1755-1780 MHz and 2155-2180 MHz Bands</w:t>
      </w:r>
      <w:r w:rsidRPr="005B35C8">
        <w:t>, File No. 0006670108</w:t>
      </w:r>
      <w:r>
        <w:t xml:space="preserve">, </w:t>
      </w:r>
      <w:r w:rsidRPr="0047162B">
        <w:t>Letter Order</w:t>
      </w:r>
      <w:r>
        <w:t xml:space="preserve">, </w:t>
      </w:r>
      <w:r w:rsidRPr="00FB1C52">
        <w:t>30 FCC Rcd 13651</w:t>
      </w:r>
      <w:r>
        <w:t xml:space="preserve"> (WTB BD 2015) (</w:t>
      </w:r>
      <w:r w:rsidRPr="00BE3B53">
        <w:rPr>
          <w:i/>
        </w:rPr>
        <w:t>Letter Order</w:t>
      </w:r>
      <w:r>
        <w:t xml:space="preserve">).  On the same date, the staff notified counsel of the partial denial by telephone.  </w:t>
      </w:r>
      <w:r>
        <w:rPr>
          <w:i/>
        </w:rPr>
        <w:t xml:space="preserve">See </w:t>
      </w:r>
      <w:r>
        <w:t>47 C.F.R. § 0.459(g).</w:t>
      </w:r>
    </w:p>
  </w:footnote>
  <w:footnote w:id="6">
    <w:p w14:paraId="28C989D1" w14:textId="77777777" w:rsidR="008135FB" w:rsidRDefault="008135FB" w:rsidP="00195622">
      <w:pPr>
        <w:pStyle w:val="FootnoteText"/>
      </w:pPr>
      <w:r>
        <w:rPr>
          <w:rStyle w:val="FootnoteReference"/>
        </w:rPr>
        <w:footnoteRef/>
      </w:r>
      <w:r>
        <w:t xml:space="preserve"> </w:t>
      </w:r>
      <w:r>
        <w:rPr>
          <w:i/>
        </w:rPr>
        <w:t xml:space="preserve">See </w:t>
      </w:r>
      <w:r w:rsidRPr="006C0C1A">
        <w:rPr>
          <w:i/>
        </w:rPr>
        <w:t>Auction of Advanced Wireless Services (AWS-3) Licenses Closes, Winning Bidders Announced for Auction 97</w:t>
      </w:r>
      <w:r>
        <w:t>,</w:t>
      </w:r>
      <w:r>
        <w:rPr>
          <w:i/>
        </w:rPr>
        <w:t xml:space="preserve"> </w:t>
      </w:r>
      <w:r w:rsidRPr="006C0C1A">
        <w:t>Public Notice</w:t>
      </w:r>
      <w:r>
        <w:rPr>
          <w:i/>
        </w:rPr>
        <w:t xml:space="preserve">, </w:t>
      </w:r>
      <w:r>
        <w:t>30 FCC Rcd 630 (WTB 2015) (</w:t>
      </w:r>
      <w:r w:rsidRPr="00FA1C1A">
        <w:rPr>
          <w:i/>
        </w:rPr>
        <w:t>Winning Bidders PN</w:t>
      </w:r>
      <w:r>
        <w:t xml:space="preserve">).  </w:t>
      </w:r>
      <w:r w:rsidRPr="00EA477B">
        <w:t>The above-captioned application is Mr. Sofio’s long-form application for the 28 licenses.</w:t>
      </w:r>
    </w:p>
  </w:footnote>
  <w:footnote w:id="7">
    <w:p w14:paraId="56B8DD48" w14:textId="77777777" w:rsidR="008135FB" w:rsidRDefault="008135FB" w:rsidP="00195622">
      <w:pPr>
        <w:pStyle w:val="FootnoteText"/>
      </w:pPr>
      <w:r>
        <w:rPr>
          <w:rStyle w:val="FootnoteReference"/>
        </w:rPr>
        <w:footnoteRef/>
      </w:r>
      <w:r>
        <w:t xml:space="preserve"> </w:t>
      </w:r>
      <w:r>
        <w:rPr>
          <w:i/>
        </w:rPr>
        <w:t xml:space="preserve">See </w:t>
      </w:r>
      <w:r>
        <w:t xml:space="preserve">47 C.F.R. §§ 27.1102(a)(2), 1.2110(b).  </w:t>
      </w:r>
    </w:p>
  </w:footnote>
  <w:footnote w:id="8">
    <w:p w14:paraId="0D0E0281" w14:textId="77777777" w:rsidR="008135FB" w:rsidRDefault="008135FB" w:rsidP="00195622">
      <w:pPr>
        <w:pStyle w:val="FootnoteText"/>
      </w:pPr>
      <w:r>
        <w:rPr>
          <w:rStyle w:val="FootnoteReference"/>
        </w:rPr>
        <w:footnoteRef/>
      </w:r>
      <w:r>
        <w:t xml:space="preserve"> </w:t>
      </w:r>
      <w:r>
        <w:rPr>
          <w:i/>
        </w:rPr>
        <w:t xml:space="preserve">See </w:t>
      </w:r>
      <w:r>
        <w:t xml:space="preserve">File No. </w:t>
      </w:r>
      <w:r w:rsidRPr="008B3FD1">
        <w:t>0006670108</w:t>
      </w:r>
      <w:r>
        <w:t xml:space="preserve"> (filed Mar. 10, 2015) (adding Vault Ventures, LLC as an affiliate with reportable gross revenues of </w:t>
      </w:r>
      <w:r w:rsidRPr="00E11365">
        <w:t>$231,903.00</w:t>
      </w:r>
      <w:r>
        <w:t xml:space="preserve"> for 2013 and average gross revenues of </w:t>
      </w:r>
      <w:r w:rsidRPr="00E11365">
        <w:t>$115,951.50</w:t>
      </w:r>
      <w:r>
        <w:t xml:space="preserve"> for 2011-2013).  </w:t>
      </w:r>
    </w:p>
  </w:footnote>
  <w:footnote w:id="9">
    <w:p w14:paraId="6D82BF31" w14:textId="77777777" w:rsidR="008135FB" w:rsidRDefault="008135FB" w:rsidP="00195622">
      <w:pPr>
        <w:pStyle w:val="FootnoteText"/>
      </w:pPr>
      <w:r>
        <w:rPr>
          <w:rStyle w:val="FootnoteReference"/>
        </w:rPr>
        <w:footnoteRef/>
      </w:r>
      <w:r>
        <w:t xml:space="preserve"> File No. </w:t>
      </w:r>
      <w:r w:rsidRPr="008B3FD1">
        <w:t>0006670108</w:t>
      </w:r>
      <w:r>
        <w:t xml:space="preserve"> (filed Mar. 10, 2015), Exhibits A and C.</w:t>
      </w:r>
    </w:p>
  </w:footnote>
  <w:footnote w:id="10">
    <w:p w14:paraId="4BED9AB5" w14:textId="77777777" w:rsidR="008135FB" w:rsidRDefault="008135FB" w:rsidP="00195622">
      <w:pPr>
        <w:pStyle w:val="FootnoteText"/>
      </w:pPr>
      <w:r>
        <w:rPr>
          <w:rStyle w:val="FootnoteReference"/>
        </w:rPr>
        <w:footnoteRef/>
      </w:r>
      <w:r>
        <w:t xml:space="preserve"> File No. </w:t>
      </w:r>
      <w:r w:rsidRPr="008B3FD1">
        <w:t>0006670108</w:t>
      </w:r>
      <w:r>
        <w:t xml:space="preserve"> (filed April 2, 2015), Exhibit D.   </w:t>
      </w:r>
    </w:p>
  </w:footnote>
  <w:footnote w:id="11">
    <w:p w14:paraId="7554FEC6" w14:textId="77777777" w:rsidR="008135FB" w:rsidRDefault="008135FB" w:rsidP="00195622">
      <w:pPr>
        <w:pStyle w:val="FootnoteText"/>
      </w:pPr>
      <w:r>
        <w:rPr>
          <w:rStyle w:val="FootnoteReference"/>
        </w:rPr>
        <w:footnoteRef/>
      </w:r>
      <w:r>
        <w:t xml:space="preserve"> Confidentiality Request at 2.  </w:t>
      </w:r>
      <w:r w:rsidRPr="00D63EAF">
        <w:t xml:space="preserve">  </w:t>
      </w:r>
    </w:p>
  </w:footnote>
  <w:footnote w:id="12">
    <w:p w14:paraId="58BED6C8" w14:textId="77777777" w:rsidR="008135FB" w:rsidRPr="002B71AD" w:rsidRDefault="008135FB" w:rsidP="00195622">
      <w:pPr>
        <w:pStyle w:val="FootnoteText"/>
      </w:pPr>
      <w:r>
        <w:rPr>
          <w:rStyle w:val="FootnoteReference"/>
        </w:rPr>
        <w:footnoteRef/>
      </w:r>
      <w:r>
        <w:t xml:space="preserve"> </w:t>
      </w:r>
      <w:r w:rsidRPr="00D63EAF">
        <w:t xml:space="preserve">Confidentiality Request at 2.  </w:t>
      </w:r>
      <w:r>
        <w:rPr>
          <w:i/>
        </w:rPr>
        <w:t xml:space="preserve">See also </w:t>
      </w:r>
      <w:r w:rsidRPr="00746372">
        <w:t>47 C.F.R. § 1.2110(c)(5)(iii)</w:t>
      </w:r>
      <w:r>
        <w:t xml:space="preserve">.  </w:t>
      </w:r>
    </w:p>
  </w:footnote>
  <w:footnote w:id="13">
    <w:p w14:paraId="2C42A361" w14:textId="77777777" w:rsidR="008135FB" w:rsidRDefault="008135FB" w:rsidP="00195622">
      <w:pPr>
        <w:pStyle w:val="FootnoteText"/>
      </w:pPr>
      <w:r>
        <w:rPr>
          <w:rStyle w:val="FootnoteReference"/>
        </w:rPr>
        <w:footnoteRef/>
      </w:r>
      <w:r>
        <w:t xml:space="preserve"> </w:t>
      </w:r>
      <w:r w:rsidRPr="00A64159">
        <w:rPr>
          <w:color w:val="000000"/>
        </w:rPr>
        <w:t>47 C.F.R. § 1.2110(j)</w:t>
      </w:r>
      <w:r>
        <w:rPr>
          <w:color w:val="000000"/>
        </w:rPr>
        <w:t xml:space="preserve">; </w:t>
      </w:r>
      <w:r w:rsidRPr="00FA1C1A">
        <w:rPr>
          <w:i/>
          <w:color w:val="000000"/>
        </w:rPr>
        <w:t>Winning Bidders PN</w:t>
      </w:r>
      <w:r>
        <w:rPr>
          <w:i/>
          <w:color w:val="000000"/>
        </w:rPr>
        <w:t xml:space="preserve">, </w:t>
      </w:r>
      <w:r>
        <w:t>30 FCC Rcd 630,</w:t>
      </w:r>
      <w:r>
        <w:rPr>
          <w:i/>
          <w:color w:val="000000"/>
        </w:rPr>
        <w:t xml:space="preserve"> </w:t>
      </w:r>
      <w:r>
        <w:rPr>
          <w:color w:val="000000"/>
        </w:rPr>
        <w:t>Attachment D at 12-13.</w:t>
      </w:r>
      <w:r>
        <w:t xml:space="preserve"> </w:t>
      </w:r>
    </w:p>
  </w:footnote>
  <w:footnote w:id="14">
    <w:p w14:paraId="13828939" w14:textId="77777777" w:rsidR="008135FB" w:rsidRDefault="008135FB" w:rsidP="00195622">
      <w:pPr>
        <w:pStyle w:val="FootnoteText"/>
      </w:pPr>
      <w:r>
        <w:rPr>
          <w:rStyle w:val="FootnoteReference"/>
        </w:rPr>
        <w:footnoteRef/>
      </w:r>
      <w:r>
        <w:t xml:space="preserve"> File No. </w:t>
      </w:r>
      <w:r w:rsidRPr="008B3FD1">
        <w:t>0006670108</w:t>
      </w:r>
      <w:r>
        <w:t xml:space="preserve"> (filed April 21, 2015), Exhibit D.   </w:t>
      </w:r>
    </w:p>
  </w:footnote>
  <w:footnote w:id="15">
    <w:p w14:paraId="11D7000A" w14:textId="77777777" w:rsidR="008135FB" w:rsidRDefault="008135FB" w:rsidP="00195622">
      <w:pPr>
        <w:pStyle w:val="FootnoteText"/>
      </w:pPr>
      <w:r>
        <w:rPr>
          <w:rStyle w:val="FootnoteReference"/>
        </w:rPr>
        <w:footnoteRef/>
      </w:r>
      <w:r>
        <w:t xml:space="preserve"> File No. </w:t>
      </w:r>
      <w:r w:rsidRPr="008B3FD1">
        <w:t>0006670108</w:t>
      </w:r>
      <w:r>
        <w:t xml:space="preserve"> (filed April 21, 2015), Exhibit D (discussion under “Financing Arrangements,” including</w:t>
      </w:r>
      <w:r w:rsidRPr="00780930">
        <w:t xml:space="preserve"> summary of conversations or understandings reached with a party to the agreements prior to and during the auction</w:t>
      </w:r>
      <w:r>
        <w:t xml:space="preserve">).  </w:t>
      </w:r>
    </w:p>
  </w:footnote>
  <w:footnote w:id="16">
    <w:p w14:paraId="0029392F" w14:textId="77777777" w:rsidR="008135FB" w:rsidRDefault="008135FB" w:rsidP="00195622">
      <w:pPr>
        <w:pStyle w:val="FootnoteText"/>
      </w:pPr>
      <w:r>
        <w:rPr>
          <w:rStyle w:val="FootnoteReference"/>
        </w:rPr>
        <w:footnoteRef/>
      </w:r>
      <w:r>
        <w:t xml:space="preserve"> Supplemental Confidentiality Request at 1.  </w:t>
      </w:r>
    </w:p>
  </w:footnote>
  <w:footnote w:id="17">
    <w:p w14:paraId="4883605E" w14:textId="77777777" w:rsidR="008135FB" w:rsidRDefault="008135FB" w:rsidP="00195622">
      <w:pPr>
        <w:pStyle w:val="FootnoteText"/>
      </w:pPr>
      <w:r>
        <w:rPr>
          <w:rStyle w:val="FootnoteReference"/>
        </w:rPr>
        <w:footnoteRef/>
      </w:r>
      <w:r>
        <w:t xml:space="preserve"> Supplemental Confidentiality Request at 1-2.  </w:t>
      </w:r>
    </w:p>
  </w:footnote>
  <w:footnote w:id="18">
    <w:p w14:paraId="7314DB00" w14:textId="77777777" w:rsidR="008135FB" w:rsidRDefault="008135FB" w:rsidP="00195622">
      <w:pPr>
        <w:pStyle w:val="FootnoteText"/>
      </w:pPr>
      <w:r>
        <w:rPr>
          <w:rStyle w:val="FootnoteReference"/>
        </w:rPr>
        <w:footnoteRef/>
      </w:r>
      <w:r>
        <w:t xml:space="preserve"> The Division deferred action on any other information covered by the Request and the Commission will continue to keep that information non-public in accordance with Section 0.459(d)(3).  </w:t>
      </w:r>
      <w:r w:rsidRPr="007947E7">
        <w:rPr>
          <w:i/>
        </w:rPr>
        <w:t>Letter Order</w:t>
      </w:r>
      <w:r>
        <w:t xml:space="preserve"> at 6-7.   </w:t>
      </w:r>
    </w:p>
  </w:footnote>
  <w:footnote w:id="19">
    <w:p w14:paraId="022289F6" w14:textId="77777777" w:rsidR="008135FB" w:rsidRPr="00FC79A9" w:rsidRDefault="008135FB" w:rsidP="00195622">
      <w:pPr>
        <w:pStyle w:val="FootnoteText"/>
      </w:pPr>
      <w:r>
        <w:rPr>
          <w:rStyle w:val="FootnoteReference"/>
        </w:rPr>
        <w:footnoteRef/>
      </w:r>
      <w:r>
        <w:t xml:space="preserve"> </w:t>
      </w:r>
      <w:r>
        <w:rPr>
          <w:i/>
        </w:rPr>
        <w:t xml:space="preserve">Letter Order </w:t>
      </w:r>
      <w:r>
        <w:t xml:space="preserve">at 4.  The FOIA is codified at 5 U.S.C. §§ 552 </w:t>
      </w:r>
      <w:r w:rsidRPr="00744EBC">
        <w:rPr>
          <w:i/>
        </w:rPr>
        <w:t>et al</w:t>
      </w:r>
      <w:r>
        <w:t xml:space="preserve">.  </w:t>
      </w:r>
    </w:p>
  </w:footnote>
  <w:footnote w:id="20">
    <w:p w14:paraId="021358B2" w14:textId="77777777" w:rsidR="008135FB" w:rsidRDefault="008135FB" w:rsidP="00195622">
      <w:pPr>
        <w:pStyle w:val="FootnoteText"/>
      </w:pPr>
      <w:r>
        <w:rPr>
          <w:rStyle w:val="FootnoteReference"/>
        </w:rPr>
        <w:footnoteRef/>
      </w:r>
      <w:r>
        <w:t xml:space="preserve"> </w:t>
      </w:r>
      <w:r>
        <w:rPr>
          <w:i/>
        </w:rPr>
        <w:t xml:space="preserve">Letter Order </w:t>
      </w:r>
      <w:r>
        <w:t>at 5 (</w:t>
      </w:r>
      <w:r>
        <w:rPr>
          <w:i/>
        </w:rPr>
        <w:t xml:space="preserve">citing </w:t>
      </w:r>
      <w:r>
        <w:t xml:space="preserve">Supplemental Confidentiality Request at 1).    </w:t>
      </w:r>
    </w:p>
  </w:footnote>
  <w:footnote w:id="21">
    <w:p w14:paraId="3B3E4C3B" w14:textId="77777777" w:rsidR="008135FB" w:rsidRDefault="008135FB" w:rsidP="00195622">
      <w:pPr>
        <w:pStyle w:val="FootnoteText"/>
      </w:pPr>
      <w:r>
        <w:rPr>
          <w:rStyle w:val="FootnoteReference"/>
        </w:rPr>
        <w:footnoteRef/>
      </w:r>
      <w:r>
        <w:t xml:space="preserve"> </w:t>
      </w:r>
      <w:r>
        <w:rPr>
          <w:i/>
        </w:rPr>
        <w:t xml:space="preserve">Letter Order </w:t>
      </w:r>
      <w:r>
        <w:t xml:space="preserve">at 6.  The Division </w:t>
      </w:r>
      <w:r w:rsidRPr="00436A64">
        <w:rPr>
          <w:szCs w:val="22"/>
        </w:rPr>
        <w:t xml:space="preserve">noted that </w:t>
      </w:r>
      <w:r>
        <w:rPr>
          <w:szCs w:val="22"/>
        </w:rPr>
        <w:t xml:space="preserve">the Request </w:t>
      </w:r>
      <w:r w:rsidRPr="00436A64">
        <w:rPr>
          <w:szCs w:val="22"/>
        </w:rPr>
        <w:t>made no effort to demonst</w:t>
      </w:r>
      <w:r>
        <w:rPr>
          <w:szCs w:val="22"/>
        </w:rPr>
        <w:t>rate the applicability of FOIA E</w:t>
      </w:r>
      <w:r w:rsidRPr="00436A64">
        <w:rPr>
          <w:szCs w:val="22"/>
        </w:rPr>
        <w:t>xemption 6, which addresses a “clearly unwarranted invasion of personal privacy.”</w:t>
      </w:r>
      <w:r>
        <w:rPr>
          <w:szCs w:val="22"/>
        </w:rPr>
        <w:t xml:space="preserve">  </w:t>
      </w:r>
      <w:r>
        <w:rPr>
          <w:i/>
        </w:rPr>
        <w:t>Letter Order</w:t>
      </w:r>
      <w:r>
        <w:t xml:space="preserve"> at 6 (</w:t>
      </w:r>
      <w:r>
        <w:rPr>
          <w:i/>
        </w:rPr>
        <w:t xml:space="preserve">citing </w:t>
      </w:r>
      <w:r>
        <w:t>5 U.S.C. § 552(b)(6)).</w:t>
      </w:r>
    </w:p>
  </w:footnote>
  <w:footnote w:id="22">
    <w:p w14:paraId="5FFF3A4F" w14:textId="475633C1" w:rsidR="008135FB" w:rsidRDefault="008135FB" w:rsidP="00195622">
      <w:pPr>
        <w:pStyle w:val="FootnoteText"/>
      </w:pPr>
      <w:r>
        <w:rPr>
          <w:rStyle w:val="FootnoteReference"/>
        </w:rPr>
        <w:footnoteRef/>
      </w:r>
      <w:r>
        <w:t xml:space="preserve"> AFR at 5 (</w:t>
      </w:r>
      <w:r w:rsidRPr="00996503">
        <w:rPr>
          <w:i/>
        </w:rPr>
        <w:t xml:space="preserve">citing </w:t>
      </w:r>
      <w:r>
        <w:rPr>
          <w:i/>
        </w:rPr>
        <w:t>Letter Order</w:t>
      </w:r>
      <w:r>
        <w:t xml:space="preserve"> at </w:t>
      </w:r>
      <w:r w:rsidR="0093232A">
        <w:t xml:space="preserve">6 </w:t>
      </w:r>
      <w:r>
        <w:t xml:space="preserve">n.34).  </w:t>
      </w:r>
    </w:p>
  </w:footnote>
  <w:footnote w:id="23">
    <w:p w14:paraId="5D6CDAD0" w14:textId="77777777" w:rsidR="008135FB" w:rsidRDefault="008135FB" w:rsidP="00195622">
      <w:pPr>
        <w:pStyle w:val="FootnoteText"/>
      </w:pPr>
      <w:r>
        <w:rPr>
          <w:rStyle w:val="FootnoteReference"/>
        </w:rPr>
        <w:footnoteRef/>
      </w:r>
      <w:r>
        <w:t xml:space="preserve"> AFR at 5.  </w:t>
      </w:r>
    </w:p>
  </w:footnote>
  <w:footnote w:id="24">
    <w:p w14:paraId="34134FE7" w14:textId="77777777" w:rsidR="008135FB" w:rsidRDefault="008135FB" w:rsidP="00195622">
      <w:pPr>
        <w:pStyle w:val="FootnoteText"/>
      </w:pPr>
      <w:r>
        <w:rPr>
          <w:rStyle w:val="FootnoteReference"/>
        </w:rPr>
        <w:footnoteRef/>
      </w:r>
      <w:r>
        <w:t xml:space="preserve"> AFR at 5-6 (</w:t>
      </w:r>
      <w:r w:rsidRPr="00D76A84">
        <w:rPr>
          <w:i/>
        </w:rPr>
        <w:t>citing</w:t>
      </w:r>
      <w:r>
        <w:t xml:space="preserve"> </w:t>
      </w:r>
      <w:r w:rsidRPr="00726352">
        <w:rPr>
          <w:i/>
        </w:rPr>
        <w:t>Updating Part I Competitive Bidding Rules</w:t>
      </w:r>
      <w:r w:rsidRPr="00C729E0">
        <w:rPr>
          <w:i/>
        </w:rPr>
        <w:t xml:space="preserve">, </w:t>
      </w:r>
      <w:r w:rsidRPr="00726352">
        <w:t>Report and Order; Order on Reconsideration of the First Report and Order; Third Order on Reconsideration of the Second Report and Order; Third Report and Order</w:t>
      </w:r>
      <w:r w:rsidRPr="00C729E0">
        <w:rPr>
          <w:i/>
        </w:rPr>
        <w:t>,</w:t>
      </w:r>
      <w:r>
        <w:rPr>
          <w:i/>
        </w:rPr>
        <w:t xml:space="preserve"> </w:t>
      </w:r>
      <w:r w:rsidRPr="00B75B0B">
        <w:t>30 FCC Rcd</w:t>
      </w:r>
      <w:r w:rsidRPr="00B75B0B">
        <w:rPr>
          <w:i/>
        </w:rPr>
        <w:t xml:space="preserve"> </w:t>
      </w:r>
      <w:r w:rsidRPr="00B75B0B">
        <w:t>7493</w:t>
      </w:r>
      <w:r>
        <w:t xml:space="preserve"> (</w:t>
      </w:r>
      <w:r w:rsidRPr="00C729E0">
        <w:t>2015</w:t>
      </w:r>
      <w:r>
        <w:t>) (</w:t>
      </w:r>
      <w:r w:rsidRPr="00FA1C1A">
        <w:rPr>
          <w:i/>
        </w:rPr>
        <w:t>2015 Competitive Bidding R&amp;O</w:t>
      </w:r>
      <w:r>
        <w:t xml:space="preserve">)). </w:t>
      </w:r>
    </w:p>
  </w:footnote>
  <w:footnote w:id="25">
    <w:p w14:paraId="334EC989" w14:textId="77777777" w:rsidR="00C95EAE" w:rsidRPr="006E5A98" w:rsidRDefault="00C95EAE" w:rsidP="00C95EAE">
      <w:pPr>
        <w:pStyle w:val="FootnoteText"/>
      </w:pPr>
      <w:r>
        <w:rPr>
          <w:rStyle w:val="FootnoteReference"/>
        </w:rPr>
        <w:footnoteRef/>
      </w:r>
      <w:r>
        <w:t xml:space="preserve"> </w:t>
      </w:r>
      <w:r>
        <w:rPr>
          <w:i/>
        </w:rPr>
        <w:t xml:space="preserve">See </w:t>
      </w:r>
      <w:r>
        <w:t xml:space="preserve">AFR at 3.  </w:t>
      </w:r>
    </w:p>
  </w:footnote>
  <w:footnote w:id="26">
    <w:p w14:paraId="09ADFE14" w14:textId="4B4C62AD" w:rsidR="00EC2648" w:rsidRDefault="00EC2648">
      <w:pPr>
        <w:pStyle w:val="FootnoteText"/>
      </w:pPr>
      <w:r>
        <w:rPr>
          <w:rStyle w:val="FootnoteReference"/>
        </w:rPr>
        <w:footnoteRef/>
      </w:r>
      <w:r>
        <w:t xml:space="preserve"> AFR at 5, n.1</w:t>
      </w:r>
      <w:r w:rsidR="00DF26CA">
        <w:t>.</w:t>
      </w:r>
    </w:p>
  </w:footnote>
  <w:footnote w:id="27">
    <w:p w14:paraId="12353AEB" w14:textId="3F6183E7" w:rsidR="008135FB" w:rsidRPr="009A3D9A" w:rsidRDefault="008135FB" w:rsidP="00195622">
      <w:pPr>
        <w:pStyle w:val="FootnoteText"/>
      </w:pPr>
      <w:r>
        <w:rPr>
          <w:rStyle w:val="FootnoteReference"/>
        </w:rPr>
        <w:footnoteRef/>
      </w:r>
      <w:r>
        <w:t xml:space="preserve"> In the Request, Mr. Sofio refers to the agreements as “promissory notes” and redacted parties thereto as “lenders” and we use these terms herein for convenience only.  </w:t>
      </w:r>
      <w:r>
        <w:rPr>
          <w:i/>
        </w:rPr>
        <w:t xml:space="preserve">See, e.g., </w:t>
      </w:r>
      <w:r>
        <w:t xml:space="preserve">File No. </w:t>
      </w:r>
      <w:r w:rsidRPr="008B3FD1">
        <w:t>0006670108</w:t>
      </w:r>
      <w:r>
        <w:t>, Exhibit D: Agreement (</w:t>
      </w:r>
      <w:r w:rsidRPr="009A3D9A">
        <w:t xml:space="preserve">dated April 2, 2015) at 1.    </w:t>
      </w:r>
    </w:p>
  </w:footnote>
  <w:footnote w:id="28">
    <w:p w14:paraId="1F221474" w14:textId="77777777" w:rsidR="008135FB" w:rsidRPr="002B66B1" w:rsidRDefault="008135FB" w:rsidP="00195622">
      <w:pPr>
        <w:pStyle w:val="FootnoteText"/>
      </w:pPr>
      <w:r w:rsidRPr="009A3D9A">
        <w:rPr>
          <w:rStyle w:val="FootnoteReference"/>
        </w:rPr>
        <w:footnoteRef/>
      </w:r>
      <w:r w:rsidRPr="009A3D9A">
        <w:t xml:space="preserve"> 47 C.F.R. § 1.2110(j); 47 C.F.R. § 1.2112(b)(1)(iii).  </w:t>
      </w:r>
      <w:r>
        <w:rPr>
          <w:i/>
        </w:rPr>
        <w:t xml:space="preserve">See also </w:t>
      </w:r>
      <w:r w:rsidRPr="00E3744D">
        <w:rPr>
          <w:i/>
        </w:rPr>
        <w:t>Northeast Communications of Wisconsin, Inc.</w:t>
      </w:r>
      <w:r w:rsidRPr="00872478">
        <w:t xml:space="preserve">, </w:t>
      </w:r>
      <w:r w:rsidRPr="00E3744D">
        <w:t>Memorandum Opinion and Order</w:t>
      </w:r>
      <w:r w:rsidRPr="00872478">
        <w:t xml:space="preserve">, 15 FCC Rcd 3289, 3290 </w:t>
      </w:r>
      <w:r>
        <w:t>para.</w:t>
      </w:r>
      <w:r w:rsidRPr="00872478">
        <w:t xml:space="preserve"> 3 (2000)</w:t>
      </w:r>
      <w:r>
        <w:t xml:space="preserve"> </w:t>
      </w:r>
      <w:r w:rsidRPr="00872478">
        <w:t>(</w:t>
      </w:r>
      <w:r w:rsidRPr="00872478">
        <w:rPr>
          <w:i/>
        </w:rPr>
        <w:t>Northeast Communications</w:t>
      </w:r>
      <w:r>
        <w:t xml:space="preserve">); </w:t>
      </w:r>
      <w:r w:rsidRPr="00B92CF6">
        <w:rPr>
          <w:i/>
        </w:rPr>
        <w:t>AMTS Consortium, LLC</w:t>
      </w:r>
      <w:r>
        <w:t xml:space="preserve">, </w:t>
      </w:r>
      <w:r w:rsidRPr="00B92CF6">
        <w:t>Memorandum Opinion and Order</w:t>
      </w:r>
      <w:r>
        <w:t>,</w:t>
      </w:r>
      <w:r w:rsidRPr="00872478">
        <w:t xml:space="preserve"> 25 FCC Rcd 526</w:t>
      </w:r>
      <w:r>
        <w:t>, 530 para. 15 (2010) (</w:t>
      </w:r>
      <w:r>
        <w:rPr>
          <w:i/>
        </w:rPr>
        <w:t>AMTS Consortium</w:t>
      </w:r>
      <w:r>
        <w:t xml:space="preserve">) (noting that in </w:t>
      </w:r>
      <w:r>
        <w:rPr>
          <w:i/>
        </w:rPr>
        <w:t xml:space="preserve">Northeast Communications, </w:t>
      </w:r>
      <w:r>
        <w:t>“t</w:t>
      </w:r>
      <w:r w:rsidRPr="00D73E0F">
        <w:t>he Commission denied confidential treatment because the submitter had, by requesting a bidding credit, placed in issue the very information which it sought to shield from public scrutiny</w:t>
      </w:r>
      <w:r>
        <w:t xml:space="preserve">”) (internal quotations omitted).  </w:t>
      </w:r>
      <w:r>
        <w:rPr>
          <w:szCs w:val="22"/>
        </w:rPr>
        <w:t xml:space="preserve">As noted above, </w:t>
      </w:r>
      <w:r w:rsidRPr="00746372">
        <w:rPr>
          <w:szCs w:val="22"/>
        </w:rPr>
        <w:t xml:space="preserve">Mr. Sofio </w:t>
      </w:r>
      <w:r>
        <w:rPr>
          <w:szCs w:val="22"/>
        </w:rPr>
        <w:t xml:space="preserve">stated </w:t>
      </w:r>
      <w:r w:rsidRPr="00746372">
        <w:rPr>
          <w:szCs w:val="22"/>
        </w:rPr>
        <w:t xml:space="preserve">that </w:t>
      </w:r>
      <w:r>
        <w:rPr>
          <w:szCs w:val="22"/>
        </w:rPr>
        <w:t xml:space="preserve">public disclosure of two individual parties to agreements with him </w:t>
      </w:r>
      <w:r w:rsidRPr="00746372">
        <w:rPr>
          <w:szCs w:val="22"/>
        </w:rPr>
        <w:t xml:space="preserve">is appropriate under the </w:t>
      </w:r>
      <w:r>
        <w:t xml:space="preserve">kinship affiliation </w:t>
      </w:r>
      <w:r w:rsidRPr="002B71AD">
        <w:t>rule.</w:t>
      </w:r>
      <w:r>
        <w:t xml:space="preserve">  </w:t>
      </w:r>
      <w:r w:rsidRPr="0093438B">
        <w:rPr>
          <w:i/>
        </w:rPr>
        <w:t xml:space="preserve">See </w:t>
      </w:r>
      <w:r>
        <w:t xml:space="preserve">text accompanying note </w:t>
      </w:r>
      <w:r>
        <w:fldChar w:fldCharType="begin"/>
      </w:r>
      <w:r>
        <w:instrText xml:space="preserve"> NOTEREF _Ref444785560 \h </w:instrText>
      </w:r>
      <w:r>
        <w:fldChar w:fldCharType="separate"/>
      </w:r>
      <w:r w:rsidR="009A1EF4">
        <w:t>11</w:t>
      </w:r>
      <w:r>
        <w:fldChar w:fldCharType="end"/>
      </w:r>
      <w:r>
        <w:t xml:space="preserve">, </w:t>
      </w:r>
      <w:r w:rsidRPr="006E7A83">
        <w:rPr>
          <w:i/>
        </w:rPr>
        <w:t>supra</w:t>
      </w:r>
      <w:r>
        <w:t xml:space="preserve">.  We note that this statement does not assist the claim in the AFR that the same agreements with other parties did not require disclosure. </w:t>
      </w:r>
      <w:r w:rsidRPr="00BA0111">
        <w:t xml:space="preserve"> </w:t>
      </w:r>
    </w:p>
  </w:footnote>
  <w:footnote w:id="29">
    <w:p w14:paraId="212263B6" w14:textId="77777777" w:rsidR="008135FB" w:rsidRPr="0087713F" w:rsidRDefault="008135FB" w:rsidP="00195622">
      <w:pPr>
        <w:pStyle w:val="FootnoteText"/>
      </w:pPr>
      <w:r>
        <w:rPr>
          <w:rStyle w:val="FootnoteReference"/>
        </w:rPr>
        <w:footnoteRef/>
      </w:r>
      <w:r>
        <w:t xml:space="preserve"> </w:t>
      </w:r>
      <w:r w:rsidRPr="001478ED">
        <w:rPr>
          <w:i/>
        </w:rPr>
        <w:t>Implementation of the Commercial Spectrum Enhancement Act and Modernization of the Commission’s Competitive Bidding Rules and Procedures</w:t>
      </w:r>
      <w:r w:rsidRPr="00C0170A">
        <w:t>,</w:t>
      </w:r>
      <w:r>
        <w:rPr>
          <w:i/>
        </w:rPr>
        <w:t xml:space="preserve"> </w:t>
      </w:r>
      <w:r w:rsidRPr="005713EE">
        <w:t>Second Report and Order and Second Further Notice of Proposed Rule Making</w:t>
      </w:r>
      <w:r>
        <w:t>,</w:t>
      </w:r>
      <w:r>
        <w:rPr>
          <w:i/>
        </w:rPr>
        <w:t xml:space="preserve"> </w:t>
      </w:r>
      <w:r w:rsidRPr="0087713F">
        <w:t>21 FCC Rcd</w:t>
      </w:r>
      <w:r>
        <w:t xml:space="preserve"> 4753, 4768 para. 42 (2006) (</w:t>
      </w:r>
      <w:r w:rsidRPr="00C0170A">
        <w:rPr>
          <w:i/>
        </w:rPr>
        <w:t xml:space="preserve">Second Competitive Bidding </w:t>
      </w:r>
      <w:r>
        <w:rPr>
          <w:i/>
        </w:rPr>
        <w:t>R&amp;O</w:t>
      </w:r>
      <w:r>
        <w:t>).</w:t>
      </w:r>
    </w:p>
  </w:footnote>
  <w:footnote w:id="30">
    <w:p w14:paraId="2FD7994D" w14:textId="77777777" w:rsidR="008135FB" w:rsidRDefault="008135FB" w:rsidP="00195622">
      <w:pPr>
        <w:pStyle w:val="FootnoteText"/>
      </w:pPr>
      <w:r>
        <w:rPr>
          <w:rStyle w:val="FootnoteReference"/>
        </w:rPr>
        <w:footnoteRef/>
      </w:r>
      <w:r>
        <w:t xml:space="preserve"> </w:t>
      </w:r>
      <w:r w:rsidRPr="00B75B0B">
        <w:rPr>
          <w:i/>
        </w:rPr>
        <w:t>See</w:t>
      </w:r>
      <w:r>
        <w:rPr>
          <w:i/>
        </w:rPr>
        <w:t xml:space="preserve"> </w:t>
      </w:r>
      <w:r w:rsidRPr="001478ED">
        <w:rPr>
          <w:i/>
        </w:rPr>
        <w:t>id.</w:t>
      </w:r>
      <w:r w:rsidRPr="009905DA">
        <w:t xml:space="preserve"> </w:t>
      </w:r>
      <w:r>
        <w:t>at</w:t>
      </w:r>
      <w:r>
        <w:rPr>
          <w:i/>
        </w:rPr>
        <w:t xml:space="preserve"> </w:t>
      </w:r>
      <w:r>
        <w:t>4769 para. 44</w:t>
      </w:r>
      <w:r>
        <w:rPr>
          <w:i/>
        </w:rPr>
        <w:t xml:space="preserve"> </w:t>
      </w:r>
      <w:r>
        <w:t>(noting that t</w:t>
      </w:r>
      <w:r w:rsidRPr="00C252F4">
        <w:t xml:space="preserve">his review remains essential to our assessment of designated entity eligibility under the controlling interest standard and will be even more critical in ensuring that the rules and policies adopted </w:t>
      </w:r>
      <w:r>
        <w:t xml:space="preserve">. . . </w:t>
      </w:r>
      <w:r w:rsidRPr="00C252F4">
        <w:t>are fully effectuated</w:t>
      </w:r>
      <w:r>
        <w:t>”)</w:t>
      </w:r>
      <w:r w:rsidRPr="00C252F4">
        <w:t xml:space="preserve">.  </w:t>
      </w:r>
      <w:r>
        <w:t xml:space="preserve">The rules </w:t>
      </w:r>
      <w:r w:rsidRPr="00906C9A">
        <w:rPr>
          <w:szCs w:val="22"/>
        </w:rPr>
        <w:t>provide for the close examination of financing agreements on a case by case basis.</w:t>
      </w:r>
      <w:r>
        <w:rPr>
          <w:szCs w:val="22"/>
        </w:rPr>
        <w:t xml:space="preserve">  </w:t>
      </w:r>
      <w:r>
        <w:rPr>
          <w:i/>
        </w:rPr>
        <w:t xml:space="preserve">Id. </w:t>
      </w:r>
      <w:r>
        <w:t xml:space="preserve">at 4780 para. 70; </w:t>
      </w:r>
      <w:r>
        <w:rPr>
          <w:i/>
        </w:rPr>
        <w:t xml:space="preserve">see also </w:t>
      </w:r>
      <w:r>
        <w:t>Implementation of Section 309(j) of the Communications Act</w:t>
      </w:r>
      <w:r w:rsidRPr="008E301B">
        <w:t>—</w:t>
      </w:r>
      <w:r>
        <w:t xml:space="preserve">Competitive Bidding, </w:t>
      </w:r>
      <w:r>
        <w:rPr>
          <w:i/>
        </w:rPr>
        <w:t>Second Report and Order</w:t>
      </w:r>
      <w:r>
        <w:t xml:space="preserve">, </w:t>
      </w:r>
      <w:r w:rsidRPr="008E301B">
        <w:t>9 FCC Rcd 2348</w:t>
      </w:r>
      <w:r>
        <w:t>, 2396 para. 272 (1994) (“</w:t>
      </w:r>
      <w:r w:rsidRPr="008E301B">
        <w:t>we intend to scrutinize relationships between parties very carefully to determine if they rise to the level of affiliation.</w:t>
      </w:r>
      <w:r>
        <w:t xml:space="preserve"> . . . [F]</w:t>
      </w:r>
      <w:r w:rsidRPr="008E301B">
        <w:t>inancing agreements may result in a finding of affiliation the enterprise—for example, if the size of the debt is particularly large, the terms of the loan are not commercially reasonable, and the definition of default is unconventional.</w:t>
      </w:r>
      <w:r>
        <w:t>”).</w:t>
      </w:r>
      <w:r w:rsidRPr="00AB5566">
        <w:rPr>
          <w:i/>
        </w:rPr>
        <w:t xml:space="preserve"> </w:t>
      </w:r>
      <w:r>
        <w:rPr>
          <w:i/>
        </w:rPr>
        <w:t xml:space="preserve"> </w:t>
      </w:r>
      <w:r>
        <w:t xml:space="preserve">The Commission further noted that Commission staff </w:t>
      </w:r>
      <w:r w:rsidRPr="007C53E1">
        <w:t>has carefully reviewed agreements between applicants claiming designated entity status and other existing wireless carriers.</w:t>
      </w:r>
    </w:p>
  </w:footnote>
  <w:footnote w:id="31">
    <w:p w14:paraId="48309398" w14:textId="0F7E8193" w:rsidR="00041972" w:rsidRDefault="00041972">
      <w:pPr>
        <w:pStyle w:val="FootnoteText"/>
      </w:pPr>
      <w:r>
        <w:rPr>
          <w:rStyle w:val="FootnoteReference"/>
        </w:rPr>
        <w:footnoteRef/>
      </w:r>
      <w:r>
        <w:t xml:space="preserve"> </w:t>
      </w:r>
      <w:r w:rsidR="00590831">
        <w:rPr>
          <w:i/>
        </w:rPr>
        <w:t xml:space="preserve">See, e.g., Winning Bidders PN, </w:t>
      </w:r>
      <w:r w:rsidR="00590831">
        <w:t>Exhibit D at 13 (“…such agreements and instruments include, but not are limited to….)</w:t>
      </w:r>
      <w:r w:rsidR="00D77AB4">
        <w:t>.</w:t>
      </w:r>
      <w:r w:rsidR="00590831">
        <w:t xml:space="preserve"> </w:t>
      </w:r>
    </w:p>
  </w:footnote>
  <w:footnote w:id="32">
    <w:p w14:paraId="71D6F92F" w14:textId="4C725320" w:rsidR="008135FB" w:rsidRDefault="008135FB">
      <w:pPr>
        <w:pStyle w:val="FootnoteText"/>
      </w:pPr>
      <w:r>
        <w:rPr>
          <w:rStyle w:val="FootnoteReference"/>
        </w:rPr>
        <w:footnoteRef/>
      </w:r>
      <w:r>
        <w:t xml:space="preserve"> </w:t>
      </w:r>
      <w:r w:rsidRPr="000C0778">
        <w:t>47 C.F.R. § 1.2110(j) (“. . . and all other agreements including oral agreements, establishing as applicable, de facto or de jure control of the entity or the presence or absence of attributable material relationships.”); 47 C.F.R. §</w:t>
      </w:r>
      <w:r w:rsidR="005E79E3">
        <w:t> </w:t>
      </w:r>
      <w:r w:rsidRPr="000C0778">
        <w:t xml:space="preserve">1.2112(b)(1)(iii) (“Such agreements and instruments include . . . and any other relevant agreements (including letters of intent), oral or written.”); </w:t>
      </w:r>
      <w:r w:rsidRPr="0038720D">
        <w:rPr>
          <w:i/>
        </w:rPr>
        <w:t>see also</w:t>
      </w:r>
      <w:r w:rsidRPr="000C0778">
        <w:t xml:space="preserve"> </w:t>
      </w:r>
      <w:r w:rsidRPr="0093232A">
        <w:rPr>
          <w:i/>
        </w:rPr>
        <w:t>Winning Bidders PN</w:t>
      </w:r>
      <w:r w:rsidRPr="000C0778">
        <w:t xml:space="preserve">, 30 FCC Rcd 630, Attachment D at 4 (explaining that an applicant must list agreement name, agreement type, and parties to the agreement in the FCC Form 601, Schedule B and must summarize its agreements in Exhibit D and provide copies of each agreement as part of Exhibit D); FCC Form 601, Schedule B, Instructions at 2 (requiring an applicant to provide the name of the agreement, the parties to the agreement, and to identify the type of agreement).  </w:t>
      </w:r>
    </w:p>
  </w:footnote>
  <w:footnote w:id="33">
    <w:p w14:paraId="5F227A95" w14:textId="62AA2A82" w:rsidR="008135FB" w:rsidRDefault="008135FB">
      <w:pPr>
        <w:pStyle w:val="FootnoteText"/>
      </w:pPr>
      <w:r>
        <w:rPr>
          <w:rStyle w:val="FootnoteReference"/>
        </w:rPr>
        <w:footnoteRef/>
      </w:r>
      <w:r>
        <w:t xml:space="preserve"> </w:t>
      </w:r>
      <w:r w:rsidR="002C0A8D" w:rsidRPr="007947E7">
        <w:rPr>
          <w:i/>
        </w:rPr>
        <w:t>Letter Order</w:t>
      </w:r>
      <w:r w:rsidR="002C0A8D">
        <w:t xml:space="preserve"> at 5-6.</w:t>
      </w:r>
    </w:p>
  </w:footnote>
  <w:footnote w:id="34">
    <w:p w14:paraId="0759ABB9" w14:textId="7039C092" w:rsidR="000106A2" w:rsidRPr="00576BD2" w:rsidRDefault="000106A2" w:rsidP="00576BD2">
      <w:pPr>
        <w:pStyle w:val="FootnoteText"/>
      </w:pPr>
      <w:r>
        <w:rPr>
          <w:rStyle w:val="FootnoteReference"/>
        </w:rPr>
        <w:footnoteRef/>
      </w:r>
      <w:r>
        <w:t xml:space="preserve"> </w:t>
      </w:r>
      <w:r w:rsidR="00576BD2">
        <w:rPr>
          <w:i/>
        </w:rPr>
        <w:t xml:space="preserve">See, e.g., </w:t>
      </w:r>
      <w:r w:rsidR="00576BD2" w:rsidRPr="00576BD2">
        <w:rPr>
          <w:i/>
        </w:rPr>
        <w:t>Implementation of Section 309(j)</w:t>
      </w:r>
      <w:r w:rsidR="00C42194">
        <w:rPr>
          <w:i/>
        </w:rPr>
        <w:t xml:space="preserve"> </w:t>
      </w:r>
      <w:r w:rsidR="00576BD2" w:rsidRPr="00576BD2">
        <w:rPr>
          <w:i/>
        </w:rPr>
        <w:t>of the Communications Act</w:t>
      </w:r>
      <w:r w:rsidR="00576BD2">
        <w:rPr>
          <w:i/>
        </w:rPr>
        <w:t>-</w:t>
      </w:r>
      <w:r w:rsidR="00576BD2" w:rsidRPr="00576BD2">
        <w:rPr>
          <w:i/>
        </w:rPr>
        <w:t>Competitive Bidding</w:t>
      </w:r>
      <w:r w:rsidR="00576BD2">
        <w:t>, PP Docket No. 93-253, Fifth</w:t>
      </w:r>
      <w:r w:rsidR="00C46199">
        <w:t xml:space="preserve"> Memorandum Opinion and Order, 10</w:t>
      </w:r>
      <w:r w:rsidR="00576BD2">
        <w:t xml:space="preserve"> FCC Rcd </w:t>
      </w:r>
      <w:r w:rsidR="00C46199">
        <w:t>403, 455-56</w:t>
      </w:r>
      <w:r w:rsidR="00576BD2">
        <w:t xml:space="preserve"> paras. 95-96.</w:t>
      </w:r>
      <w:r w:rsidR="0099578B">
        <w:t xml:space="preserve"> </w:t>
      </w:r>
    </w:p>
  </w:footnote>
  <w:footnote w:id="35">
    <w:p w14:paraId="48C57F5E" w14:textId="35E7A76E" w:rsidR="008135FB" w:rsidRPr="00872DEA" w:rsidRDefault="008135FB">
      <w:pPr>
        <w:pStyle w:val="FootnoteText"/>
      </w:pPr>
      <w:r>
        <w:rPr>
          <w:rStyle w:val="FootnoteReference"/>
        </w:rPr>
        <w:footnoteRef/>
      </w:r>
      <w:r>
        <w:t xml:space="preserve"> </w:t>
      </w:r>
      <w:r>
        <w:rPr>
          <w:i/>
        </w:rPr>
        <w:t>See</w:t>
      </w:r>
      <w:r>
        <w:t xml:space="preserve"> </w:t>
      </w:r>
      <w:r w:rsidR="003E6AB0">
        <w:t>47</w:t>
      </w:r>
      <w:r>
        <w:t xml:space="preserve"> C</w:t>
      </w:r>
      <w:r w:rsidR="003E6AB0">
        <w:t>.</w:t>
      </w:r>
      <w:r>
        <w:t>F</w:t>
      </w:r>
      <w:r w:rsidR="003E6AB0">
        <w:t>.</w:t>
      </w:r>
      <w:r>
        <w:t>R</w:t>
      </w:r>
      <w:r w:rsidR="003E6AB0">
        <w:t>.</w:t>
      </w:r>
      <w:r>
        <w:t xml:space="preserve"> § 1.2110(j).</w:t>
      </w:r>
    </w:p>
  </w:footnote>
  <w:footnote w:id="36">
    <w:p w14:paraId="5BB41FCD" w14:textId="3BEAFDEB" w:rsidR="008135FB" w:rsidRDefault="008135FB" w:rsidP="000630CC">
      <w:pPr>
        <w:pStyle w:val="FootnoteText"/>
      </w:pPr>
      <w:r>
        <w:rPr>
          <w:rStyle w:val="FootnoteReference"/>
        </w:rPr>
        <w:footnoteRef/>
      </w:r>
      <w:r>
        <w:t xml:space="preserve"> </w:t>
      </w:r>
      <w:r w:rsidRPr="007D5968">
        <w:rPr>
          <w:i/>
        </w:rPr>
        <w:t>Auction 97 Auction Procedures P</w:t>
      </w:r>
      <w:r>
        <w:rPr>
          <w:i/>
        </w:rPr>
        <w:t xml:space="preserve">ublic </w:t>
      </w:r>
      <w:r w:rsidRPr="007D5968">
        <w:rPr>
          <w:i/>
        </w:rPr>
        <w:t>N</w:t>
      </w:r>
      <w:r>
        <w:rPr>
          <w:i/>
        </w:rPr>
        <w:t>otice</w:t>
      </w:r>
      <w:r>
        <w:t xml:space="preserve">, 29 FCC Rcd at 8413 n.151, </w:t>
      </w:r>
      <w:r>
        <w:rPr>
          <w:i/>
        </w:rPr>
        <w:t xml:space="preserve">citing </w:t>
      </w:r>
      <w:r w:rsidRPr="005414F9">
        <w:rPr>
          <w:i/>
        </w:rPr>
        <w:t xml:space="preserve">Intermountain Microwave, </w:t>
      </w:r>
      <w:r w:rsidRPr="005414F9">
        <w:t>Public Notice</w:t>
      </w:r>
      <w:r w:rsidRPr="005414F9">
        <w:rPr>
          <w:i/>
        </w:rPr>
        <w:t xml:space="preserve">, </w:t>
      </w:r>
      <w:r w:rsidRPr="005414F9">
        <w:t>12 FCC 2d 559, 560, Report No. 1142 (1963)</w:t>
      </w:r>
      <w:r>
        <w:t xml:space="preserve">. </w:t>
      </w:r>
    </w:p>
  </w:footnote>
  <w:footnote w:id="37">
    <w:p w14:paraId="2834CF78" w14:textId="77777777" w:rsidR="008135FB" w:rsidRDefault="008135FB" w:rsidP="00195622">
      <w:pPr>
        <w:pStyle w:val="FootnoteText"/>
      </w:pPr>
      <w:r w:rsidRPr="00CD500E">
        <w:rPr>
          <w:rStyle w:val="FootnoteReference"/>
        </w:rPr>
        <w:footnoteRef/>
      </w:r>
      <w:r>
        <w:t xml:space="preserve"> </w:t>
      </w:r>
      <w:r w:rsidRPr="00CD500E">
        <w:rPr>
          <w:i/>
        </w:rPr>
        <w:t xml:space="preserve">See </w:t>
      </w:r>
      <w:r w:rsidRPr="007C2A18">
        <w:rPr>
          <w:i/>
        </w:rPr>
        <w:t>AFR</w:t>
      </w:r>
      <w:r>
        <w:t xml:space="preserve"> at 5-6 (</w:t>
      </w:r>
      <w:r w:rsidRPr="007C2A18">
        <w:t xml:space="preserve">citing </w:t>
      </w:r>
      <w:r w:rsidRPr="00CD500E">
        <w:rPr>
          <w:i/>
        </w:rPr>
        <w:t>2015 Competitive Bidding R&amp;O</w:t>
      </w:r>
      <w:r w:rsidRPr="007C2A18">
        <w:t xml:space="preserve">, </w:t>
      </w:r>
      <w:r w:rsidRPr="00B75B0B">
        <w:t>30 FCC Rcd</w:t>
      </w:r>
      <w:r w:rsidRPr="007C2A18">
        <w:t xml:space="preserve"> </w:t>
      </w:r>
      <w:r>
        <w:t>at 7514-15 para. 49)</w:t>
      </w:r>
      <w:r w:rsidRPr="007C2A18">
        <w:t>.</w:t>
      </w:r>
      <w:r>
        <w:t xml:space="preserve">  </w:t>
      </w:r>
    </w:p>
  </w:footnote>
  <w:footnote w:id="38">
    <w:p w14:paraId="0D07F9D3" w14:textId="77777777" w:rsidR="008135FB" w:rsidRDefault="008135FB" w:rsidP="00195622">
      <w:pPr>
        <w:pStyle w:val="FootnoteText"/>
      </w:pPr>
      <w:r>
        <w:rPr>
          <w:rStyle w:val="FootnoteReference"/>
        </w:rPr>
        <w:footnoteRef/>
      </w:r>
      <w:r>
        <w:t xml:space="preserve"> </w:t>
      </w:r>
      <w:r>
        <w:rPr>
          <w:i/>
        </w:rPr>
        <w:t xml:space="preserve">See </w:t>
      </w:r>
      <w:r w:rsidRPr="00FA1C1A">
        <w:rPr>
          <w:i/>
        </w:rPr>
        <w:t>2015 Competitive Bidding R&amp;O</w:t>
      </w:r>
      <w:r>
        <w:rPr>
          <w:i/>
        </w:rPr>
        <w:t xml:space="preserve">, </w:t>
      </w:r>
      <w:r w:rsidRPr="00B75B0B">
        <w:t>30 FCC Rcd</w:t>
      </w:r>
      <w:r w:rsidRPr="00B75B0B">
        <w:rPr>
          <w:i/>
        </w:rPr>
        <w:t xml:space="preserve"> </w:t>
      </w:r>
      <w:r>
        <w:t>at 7514-15 para. 49.</w:t>
      </w:r>
    </w:p>
  </w:footnote>
  <w:footnote w:id="39">
    <w:p w14:paraId="55FE570A" w14:textId="642DB65F" w:rsidR="004A1D16" w:rsidRDefault="004A1D16">
      <w:pPr>
        <w:pStyle w:val="FootnoteText"/>
      </w:pPr>
      <w:r>
        <w:rPr>
          <w:rStyle w:val="FootnoteReference"/>
        </w:rPr>
        <w:footnoteRef/>
      </w:r>
      <w:r>
        <w:t xml:space="preserve"> </w:t>
      </w:r>
      <w:r w:rsidRPr="007C2A18">
        <w:rPr>
          <w:i/>
        </w:rPr>
        <w:t>See</w:t>
      </w:r>
      <w:r>
        <w:t xml:space="preserve"> note </w:t>
      </w:r>
      <w:r>
        <w:rPr>
          <w:szCs w:val="22"/>
        </w:rPr>
        <w:fldChar w:fldCharType="begin"/>
      </w:r>
      <w:r>
        <w:rPr>
          <w:szCs w:val="22"/>
        </w:rPr>
        <w:instrText xml:space="preserve"> NOTEREF _Ref473286777 </w:instrText>
      </w:r>
      <w:r>
        <w:rPr>
          <w:szCs w:val="22"/>
        </w:rPr>
        <w:fldChar w:fldCharType="separate"/>
      </w:r>
      <w:r w:rsidR="009A1EF4">
        <w:rPr>
          <w:szCs w:val="22"/>
        </w:rPr>
        <w:t>23</w:t>
      </w:r>
      <w:r>
        <w:rPr>
          <w:szCs w:val="22"/>
        </w:rPr>
        <w:fldChar w:fldCharType="end"/>
      </w:r>
      <w:r>
        <w:rPr>
          <w:szCs w:val="22"/>
        </w:rPr>
        <w:t xml:space="preserve">, </w:t>
      </w:r>
      <w:r w:rsidRPr="007C2A18">
        <w:rPr>
          <w:i/>
          <w:szCs w:val="22"/>
        </w:rPr>
        <w:t>supra</w:t>
      </w:r>
      <w:r>
        <w:rPr>
          <w:szCs w:val="22"/>
        </w:rPr>
        <w:t>.</w:t>
      </w:r>
    </w:p>
  </w:footnote>
  <w:footnote w:id="40">
    <w:p w14:paraId="0607D538" w14:textId="77777777" w:rsidR="008135FB" w:rsidRDefault="008135FB" w:rsidP="00195622">
      <w:pPr>
        <w:pStyle w:val="FootnoteText"/>
      </w:pPr>
      <w:r>
        <w:rPr>
          <w:rStyle w:val="FootnoteReference"/>
        </w:rPr>
        <w:footnoteRef/>
      </w:r>
      <w:r>
        <w:t xml:space="preserve"> </w:t>
      </w:r>
      <w:r w:rsidRPr="00FA1C1A">
        <w:rPr>
          <w:i/>
        </w:rPr>
        <w:t>2015 Competitive Bidding R&amp;O</w:t>
      </w:r>
      <w:r>
        <w:t xml:space="preserve">, </w:t>
      </w:r>
      <w:r w:rsidRPr="00A65E49">
        <w:t>30</w:t>
      </w:r>
      <w:r w:rsidRPr="00B75B0B">
        <w:t xml:space="preserve"> FCC Rcd</w:t>
      </w:r>
      <w:r w:rsidRPr="00B75B0B">
        <w:rPr>
          <w:i/>
        </w:rPr>
        <w:t xml:space="preserve"> </w:t>
      </w:r>
      <w:r>
        <w:t>a</w:t>
      </w:r>
      <w:r w:rsidRPr="00E7304C">
        <w:t xml:space="preserve">t 7497 at </w:t>
      </w:r>
      <w:r>
        <w:t xml:space="preserve">para. </w:t>
      </w:r>
      <w:r w:rsidRPr="00E7304C">
        <w:t xml:space="preserve">7; </w:t>
      </w:r>
      <w:r w:rsidRPr="00E7304C">
        <w:rPr>
          <w:i/>
        </w:rPr>
        <w:t>see also id.</w:t>
      </w:r>
      <w:r w:rsidRPr="00E7304C">
        <w:t xml:space="preserve"> at 750</w:t>
      </w:r>
      <w:r>
        <w:t>9</w:t>
      </w:r>
      <w:r w:rsidRPr="00E7304C">
        <w:t xml:space="preserve"> </w:t>
      </w:r>
      <w:r>
        <w:t xml:space="preserve">para. </w:t>
      </w:r>
      <w:r w:rsidRPr="00E7304C">
        <w:t>3</w:t>
      </w:r>
      <w:r>
        <w:t>2</w:t>
      </w:r>
      <w:r w:rsidRPr="00E7304C">
        <w:t xml:space="preserve"> </w:t>
      </w:r>
      <w:r>
        <w:t xml:space="preserve">(“As in the past, we will carefully review an applicant’s claim of eligibility for bidding credits on a case-by-case basis.  In so doing, we will examine the facts in the context of both the specific eligibility standards set forth in our rules, and the totality of the circumstances and facts presented by the applicant.  While no two cases are the same and each case must be judged on its own facts, we emphasize that some management, loan, and organizational documents, such as limited liability company agreements, and other types of operational agreements could raise concerns that warrant particular scrutiny as part of our application review.”).  </w:t>
      </w:r>
    </w:p>
  </w:footnote>
  <w:footnote w:id="41">
    <w:p w14:paraId="6419BAC7" w14:textId="77777777" w:rsidR="00ED79A0" w:rsidRDefault="00ED79A0" w:rsidP="00ED79A0">
      <w:pPr>
        <w:pStyle w:val="FootnoteText"/>
      </w:pPr>
      <w:r>
        <w:rPr>
          <w:rStyle w:val="FootnoteReference"/>
        </w:rPr>
        <w:footnoteRef/>
      </w:r>
      <w:r>
        <w:t xml:space="preserve"> </w:t>
      </w:r>
      <w:r w:rsidRPr="0038720D">
        <w:rPr>
          <w:i/>
        </w:rPr>
        <w:t>See</w:t>
      </w:r>
      <w:r>
        <w:t xml:space="preserve"> text accompanying note </w:t>
      </w:r>
      <w:fldSimple w:instr=" NOTEREF _Ref473276280 ">
        <w:r w:rsidR="009A1EF4">
          <w:t>25</w:t>
        </w:r>
      </w:fldSimple>
      <w:r>
        <w:t xml:space="preserve">, </w:t>
      </w:r>
      <w:r w:rsidRPr="0038720D">
        <w:rPr>
          <w:i/>
        </w:rPr>
        <w:t>supra</w:t>
      </w:r>
      <w:r>
        <w:t xml:space="preserve">.  We note that Mr. Sofio’s unsupported statement that the Commission abandoned Form 611, </w:t>
      </w:r>
      <w:r w:rsidRPr="00A3687C">
        <w:rPr>
          <w:i/>
        </w:rPr>
        <w:t>id</w:t>
      </w:r>
      <w:r>
        <w:t xml:space="preserve">., is incorrect.  In 2014 the Commission did propose to repeal the annual DE report—because the information required “is duplicative of information that DEs provide in their auction and license applications.”  </w:t>
      </w:r>
      <w:r w:rsidRPr="00FA1C1A">
        <w:rPr>
          <w:i/>
        </w:rPr>
        <w:t>2015 Competitive Bidding R&amp;O</w:t>
      </w:r>
      <w:r>
        <w:t>, 30 FCC Rcd at 7562 para. 161 (</w:t>
      </w:r>
      <w:r w:rsidRPr="00B210D1">
        <w:rPr>
          <w:i/>
        </w:rPr>
        <w:t>citing</w:t>
      </w:r>
      <w:r>
        <w:t xml:space="preserve"> </w:t>
      </w:r>
      <w:r w:rsidRPr="00CF794E">
        <w:rPr>
          <w:i/>
        </w:rPr>
        <w:t>Part 1 NPRM</w:t>
      </w:r>
      <w:r>
        <w:t xml:space="preserve">, 29 FCC Rcd at 12453-54 para. 78).  In 2015 the Commission decided not to repeal the annual requirement in light of increased flexibility granted to DEs and because </w:t>
      </w:r>
      <w:r w:rsidRPr="00FC43F0">
        <w:t>“our ability to oversee the award of DE benefits, and our responsibility to prevent unjust enrichment, will be better served by retaining the annual reporting requirement. . . .”</w:t>
      </w:r>
      <w:r>
        <w:t xml:space="preserve">  </w:t>
      </w:r>
      <w:r>
        <w:rPr>
          <w:i/>
        </w:rPr>
        <w:t xml:space="preserve">Id. </w:t>
      </w:r>
      <w:r w:rsidRPr="00907060">
        <w:t>at</w:t>
      </w:r>
      <w:r>
        <w:t xml:space="preserve"> 7562 para.</w:t>
      </w:r>
      <w:r w:rsidRPr="00FC43F0">
        <w:t xml:space="preserve"> </w:t>
      </w:r>
      <w:r>
        <w:t>162.</w:t>
      </w:r>
    </w:p>
  </w:footnote>
  <w:footnote w:id="42">
    <w:p w14:paraId="4A1F5EA7" w14:textId="40D11D8D" w:rsidR="00ED79A0" w:rsidRPr="00CF0769" w:rsidRDefault="00ED79A0" w:rsidP="00ED79A0">
      <w:pPr>
        <w:pStyle w:val="FootnoteText"/>
      </w:pPr>
      <w:r>
        <w:rPr>
          <w:rStyle w:val="FootnoteReference"/>
        </w:rPr>
        <w:footnoteRef/>
      </w:r>
      <w:r>
        <w:t xml:space="preserve"> </w:t>
      </w:r>
      <w:r w:rsidRPr="00CF0769">
        <w:rPr>
          <w:i/>
        </w:rPr>
        <w:t>See Letter Order</w:t>
      </w:r>
      <w:r w:rsidRPr="00CF0769">
        <w:t xml:space="preserve"> at </w:t>
      </w:r>
      <w:r>
        <w:t xml:space="preserve">6 </w:t>
      </w:r>
      <w:r w:rsidRPr="00CF0769">
        <w:t>n.34</w:t>
      </w:r>
      <w:r w:rsidR="0077355E">
        <w:t xml:space="preserve">, </w:t>
      </w:r>
      <w:r w:rsidR="00E6754F">
        <w:t>citing</w:t>
      </w:r>
      <w:r w:rsidR="002D25E7">
        <w:t xml:space="preserve"> controlling authority</w:t>
      </w:r>
      <w:r w:rsidR="00133C82">
        <w:t xml:space="preserve"> </w:t>
      </w:r>
      <w:r w:rsidR="00735AA8">
        <w:t>as</w:t>
      </w:r>
      <w:r w:rsidR="00F7088F">
        <w:t xml:space="preserve"> </w:t>
      </w:r>
      <w:r w:rsidRPr="00CF0769">
        <w:t>47</w:t>
      </w:r>
      <w:r w:rsidR="00133C82">
        <w:t xml:space="preserve"> C.F.R. § </w:t>
      </w:r>
      <w:r w:rsidRPr="00CF0769">
        <w:t>1.21l</w:t>
      </w:r>
      <w:r w:rsidR="002D25E7">
        <w:t>0</w:t>
      </w:r>
      <w:r w:rsidRPr="00CF0769">
        <w:t>(j);</w:t>
      </w:r>
      <w:r w:rsidR="002D25E7">
        <w:t xml:space="preserve"> </w:t>
      </w:r>
      <w:r w:rsidRPr="00CF0769">
        <w:t>47 C.F.R</w:t>
      </w:r>
      <w:r w:rsidR="002267DA">
        <w:t xml:space="preserve">. § </w:t>
      </w:r>
      <w:r w:rsidRPr="00CF0769">
        <w:t xml:space="preserve">l.2112(b)(l)(iii); </w:t>
      </w:r>
      <w:r w:rsidRPr="00CF0769">
        <w:rPr>
          <w:i/>
        </w:rPr>
        <w:t xml:space="preserve">Winning Bidders </w:t>
      </w:r>
      <w:r>
        <w:rPr>
          <w:i/>
        </w:rPr>
        <w:t>PN</w:t>
      </w:r>
      <w:r w:rsidRPr="00CF0769">
        <w:t>, Attachment D at 4</w:t>
      </w:r>
      <w:r w:rsidR="002267DA">
        <w:t xml:space="preserve">; </w:t>
      </w:r>
      <w:r w:rsidRPr="00CF0769">
        <w:t>FCC Form 601, Schedule B, Instructions at 2</w:t>
      </w:r>
      <w:r w:rsidR="0077355E">
        <w:t>,</w:t>
      </w:r>
      <w:r w:rsidR="00F7088F">
        <w:t xml:space="preserve"> </w:t>
      </w:r>
      <w:r w:rsidR="001E0546">
        <w:t>followed by references to the annual report as follows:  “</w:t>
      </w:r>
      <w:r w:rsidRPr="00CF0769">
        <w:t>47 C.F.R. § 1.21l0(n) (imposing a continuing requirement on a designated entity to file agreement(s) as part of an annual report); FCC Form 611-T, Instructions at 2 (providing instructions for the continuing obligation for a designated entity to file agreements</w:t>
      </w:r>
      <w:r>
        <w:t>)</w:t>
      </w:r>
      <w:r w:rsidR="00DF26CA">
        <w:t>;”</w:t>
      </w:r>
      <w:r>
        <w:t xml:space="preserve">  </w:t>
      </w:r>
    </w:p>
  </w:footnote>
  <w:footnote w:id="43">
    <w:p w14:paraId="0248063C" w14:textId="77777777" w:rsidR="008135FB" w:rsidRPr="007A7F88" w:rsidRDefault="008135FB" w:rsidP="00D203F8">
      <w:pPr>
        <w:pStyle w:val="FootnoteText"/>
      </w:pPr>
      <w:r>
        <w:rPr>
          <w:rStyle w:val="FootnoteReference"/>
        </w:rPr>
        <w:footnoteRef/>
      </w:r>
      <w:r>
        <w:t xml:space="preserve"> </w:t>
      </w:r>
      <w:r>
        <w:rPr>
          <w:i/>
        </w:rPr>
        <w:t xml:space="preserve">See, e.g., </w:t>
      </w:r>
      <w:r>
        <w:t xml:space="preserve">47 C.F.R. § 1.2110(h) (1994); </w:t>
      </w:r>
      <w:r w:rsidRPr="007A7F88">
        <w:t xml:space="preserve">47 C.F.R. </w:t>
      </w:r>
      <w:r>
        <w:t xml:space="preserve">§ </w:t>
      </w:r>
      <w:r w:rsidRPr="007A7F88">
        <w:t>1.2110(j</w:t>
      </w:r>
      <w:r>
        <w:t xml:space="preserve">) (2015); </w:t>
      </w:r>
      <w:r w:rsidRPr="007A7F88">
        <w:t xml:space="preserve">47 C.F.R. </w:t>
      </w:r>
      <w:r>
        <w:t xml:space="preserve">§ </w:t>
      </w:r>
      <w:r w:rsidRPr="007A7F88">
        <w:t>1.2112(b)(1)(iii)</w:t>
      </w:r>
      <w:r>
        <w:t xml:space="preserve"> (2015).  </w:t>
      </w:r>
    </w:p>
  </w:footnote>
  <w:footnote w:id="44">
    <w:p w14:paraId="2023CD71" w14:textId="77777777" w:rsidR="008135FB" w:rsidRDefault="008135FB" w:rsidP="00D203F8">
      <w:pPr>
        <w:pStyle w:val="FootnoteText"/>
      </w:pPr>
      <w:r>
        <w:rPr>
          <w:rStyle w:val="FootnoteReference"/>
        </w:rPr>
        <w:footnoteRef/>
      </w:r>
      <w:r>
        <w:t xml:space="preserve"> AFR at 11.  </w:t>
      </w:r>
    </w:p>
  </w:footnote>
  <w:footnote w:id="45">
    <w:p w14:paraId="7B992DDB" w14:textId="77777777" w:rsidR="008135FB" w:rsidRDefault="008135FB" w:rsidP="00195622">
      <w:pPr>
        <w:pStyle w:val="FootnoteText"/>
      </w:pPr>
      <w:r>
        <w:rPr>
          <w:rStyle w:val="FootnoteReference"/>
        </w:rPr>
        <w:footnoteRef/>
      </w:r>
      <w:r>
        <w:t xml:space="preserve"> AFR at 11.  </w:t>
      </w:r>
    </w:p>
  </w:footnote>
  <w:footnote w:id="46">
    <w:p w14:paraId="3E813002" w14:textId="77777777" w:rsidR="008135FB" w:rsidRDefault="008135FB" w:rsidP="00195622">
      <w:pPr>
        <w:pStyle w:val="FootnoteText"/>
      </w:pPr>
      <w:r>
        <w:rPr>
          <w:rStyle w:val="FootnoteReference"/>
        </w:rPr>
        <w:footnoteRef/>
      </w:r>
      <w:r>
        <w:t xml:space="preserve"> </w:t>
      </w:r>
      <w:r>
        <w:rPr>
          <w:i/>
        </w:rPr>
        <w:t xml:space="preserve">See, e.g., </w:t>
      </w:r>
      <w:r w:rsidRPr="007A7F88">
        <w:t xml:space="preserve">47 C.F.R. </w:t>
      </w:r>
      <w:r>
        <w:t xml:space="preserve">§ </w:t>
      </w:r>
      <w:r w:rsidRPr="007A7F88">
        <w:t>1.2110(j</w:t>
      </w:r>
      <w:r>
        <w:t xml:space="preserve">); </w:t>
      </w:r>
      <w:r w:rsidRPr="007A7F88">
        <w:t xml:space="preserve">47 C.F.R. </w:t>
      </w:r>
      <w:r>
        <w:t xml:space="preserve">§ </w:t>
      </w:r>
      <w:r w:rsidRPr="007A7F88">
        <w:t>1.2112(b)(1)(iii)</w:t>
      </w:r>
      <w:r>
        <w:t>.</w:t>
      </w:r>
    </w:p>
  </w:footnote>
  <w:footnote w:id="47">
    <w:p w14:paraId="7D1B8388" w14:textId="77777777" w:rsidR="008135FB" w:rsidRDefault="008135FB" w:rsidP="00195622">
      <w:pPr>
        <w:pStyle w:val="FootnoteText"/>
      </w:pPr>
      <w:r>
        <w:rPr>
          <w:rStyle w:val="FootnoteReference"/>
        </w:rPr>
        <w:footnoteRef/>
      </w:r>
      <w:r>
        <w:t xml:space="preserve"> </w:t>
      </w:r>
      <w:r>
        <w:rPr>
          <w:i/>
        </w:rPr>
        <w:t xml:space="preserve">See </w:t>
      </w:r>
      <w:r>
        <w:t xml:space="preserve">File No. </w:t>
      </w:r>
      <w:r w:rsidRPr="008B3FD1">
        <w:t>0006670108</w:t>
      </w:r>
      <w:r>
        <w:t xml:space="preserve">, as amended Apr. 21, 2015, Exhibit D (n) (“Financing Arrangements”; “No Strategy Discussions”).  </w:t>
      </w:r>
    </w:p>
  </w:footnote>
  <w:footnote w:id="48">
    <w:p w14:paraId="2391EB33" w14:textId="77777777" w:rsidR="008135FB" w:rsidRDefault="008135FB" w:rsidP="00195622">
      <w:pPr>
        <w:pStyle w:val="FootnoteText"/>
      </w:pPr>
      <w:r w:rsidRPr="000E1F7A">
        <w:rPr>
          <w:rStyle w:val="FootnoteReference"/>
        </w:rPr>
        <w:footnoteRef/>
      </w:r>
      <w:r w:rsidRPr="000E1F7A">
        <w:t xml:space="preserve"> We note that auction applicants must familiarize themselves thoroughly with the Commission’s general competitive bidding rules, including Commission decisions in proceedings regarding competitive bidding procedures, application requirements, and obligations of Commission licensees.  </w:t>
      </w:r>
      <w:r>
        <w:rPr>
          <w:i/>
        </w:rPr>
        <w:t xml:space="preserve">Auction 97 Procedures Public Notice, </w:t>
      </w:r>
      <w:r w:rsidRPr="000E1F7A">
        <w:t xml:space="preserve">29 FCC Rcd </w:t>
      </w:r>
      <w:r>
        <w:t xml:space="preserve">at </w:t>
      </w:r>
      <w:r w:rsidRPr="000E1F7A">
        <w:t xml:space="preserve">8391 </w:t>
      </w:r>
      <w:r>
        <w:t>para.</w:t>
      </w:r>
      <w:r w:rsidRPr="000E1F7A">
        <w:t xml:space="preserve"> 9</w:t>
      </w:r>
      <w:r>
        <w:t xml:space="preserve">. </w:t>
      </w:r>
      <w:r w:rsidRPr="000E1F7A">
        <w:t xml:space="preserve">The </w:t>
      </w:r>
      <w:r w:rsidRPr="000E1F7A">
        <w:rPr>
          <w:i/>
        </w:rPr>
        <w:t xml:space="preserve">Auction 97 Procedures Public Notice </w:t>
      </w:r>
      <w:r w:rsidRPr="000E1F7A">
        <w:t xml:space="preserve">also put applicants on notice that “[a]ll bidders must also be thoroughly familiar with the procedures, terms and conditions contained in this Public Notice and any future public notices that may be issued in this proceeding.”  </w:t>
      </w:r>
      <w:r w:rsidRPr="000E1F7A">
        <w:rPr>
          <w:i/>
        </w:rPr>
        <w:t>Id.</w:t>
      </w:r>
      <w:r>
        <w:t xml:space="preserve"> </w:t>
      </w:r>
    </w:p>
  </w:footnote>
  <w:footnote w:id="49">
    <w:p w14:paraId="2FF8C17F" w14:textId="77777777" w:rsidR="008135FB" w:rsidRDefault="008135FB" w:rsidP="008B5F45">
      <w:pPr>
        <w:pStyle w:val="FootnoteText"/>
      </w:pPr>
      <w:r>
        <w:rPr>
          <w:rStyle w:val="FootnoteReference"/>
        </w:rPr>
        <w:footnoteRef/>
      </w:r>
      <w:r>
        <w:t xml:space="preserve"> 47 C.F.R. § 0.459.</w:t>
      </w:r>
    </w:p>
  </w:footnote>
  <w:footnote w:id="50">
    <w:p w14:paraId="7523E0ED" w14:textId="77777777" w:rsidR="008135FB" w:rsidRDefault="008135FB" w:rsidP="008B5F45">
      <w:pPr>
        <w:pStyle w:val="FootnoteText"/>
      </w:pPr>
      <w:r>
        <w:rPr>
          <w:rStyle w:val="FootnoteReference"/>
        </w:rPr>
        <w:footnoteRef/>
      </w:r>
      <w:r>
        <w:t xml:space="preserve"> 47 C.F.R. § 0.459(b)(5).</w:t>
      </w:r>
    </w:p>
  </w:footnote>
  <w:footnote w:id="51">
    <w:p w14:paraId="7C78E259" w14:textId="77777777" w:rsidR="008135FB" w:rsidRDefault="008135FB" w:rsidP="00195622">
      <w:pPr>
        <w:pStyle w:val="FootnoteText"/>
      </w:pPr>
      <w:r>
        <w:rPr>
          <w:rStyle w:val="FootnoteReference"/>
        </w:rPr>
        <w:footnoteRef/>
      </w:r>
      <w:r>
        <w:t xml:space="preserve"> 47 C.F.R. </w:t>
      </w:r>
      <w:r w:rsidRPr="00BE5846">
        <w:t xml:space="preserve">§ </w:t>
      </w:r>
      <w:r>
        <w:t xml:space="preserve">0.459(d)(2).    </w:t>
      </w:r>
    </w:p>
  </w:footnote>
  <w:footnote w:id="52">
    <w:p w14:paraId="44907315" w14:textId="77777777" w:rsidR="008135FB" w:rsidRPr="00475105" w:rsidRDefault="008135FB" w:rsidP="008B5F45">
      <w:pPr>
        <w:pStyle w:val="FootnoteText"/>
      </w:pPr>
      <w:r>
        <w:rPr>
          <w:rStyle w:val="FootnoteReference"/>
        </w:rPr>
        <w:footnoteRef/>
      </w:r>
      <w:r>
        <w:t xml:space="preserve"> </w:t>
      </w:r>
      <w:r>
        <w:rPr>
          <w:i/>
        </w:rPr>
        <w:t xml:space="preserve">See </w:t>
      </w:r>
      <w:r>
        <w:t>47 C.F.R. § 0.457(d)(2).</w:t>
      </w:r>
    </w:p>
  </w:footnote>
  <w:footnote w:id="53">
    <w:p w14:paraId="749BC51E" w14:textId="77777777" w:rsidR="008135FB" w:rsidRDefault="008135FB" w:rsidP="00195622">
      <w:pPr>
        <w:pStyle w:val="FootnoteText"/>
      </w:pPr>
      <w:r>
        <w:rPr>
          <w:rStyle w:val="FootnoteReference"/>
        </w:rPr>
        <w:footnoteRef/>
      </w:r>
      <w:r>
        <w:t xml:space="preserve"> </w:t>
      </w:r>
      <w:r w:rsidRPr="008518E0">
        <w:rPr>
          <w:i/>
        </w:rPr>
        <w:t xml:space="preserve">See </w:t>
      </w:r>
      <w:r>
        <w:rPr>
          <w:i/>
        </w:rPr>
        <w:t xml:space="preserve">Jurewicz v. United States Dep’t of </w:t>
      </w:r>
      <w:r w:rsidRPr="00CC0139">
        <w:rPr>
          <w:i/>
        </w:rPr>
        <w:t>Agriculture</w:t>
      </w:r>
      <w:r>
        <w:t xml:space="preserve">, 741 F.3d 1326, 1331 (D.C. Cir. 2014); </w:t>
      </w:r>
      <w:r w:rsidRPr="00AA1ABE">
        <w:rPr>
          <w:i/>
        </w:rPr>
        <w:t>Public</w:t>
      </w:r>
      <w:r w:rsidRPr="00880FB8">
        <w:rPr>
          <w:i/>
        </w:rPr>
        <w:t xml:space="preserve"> Citizen</w:t>
      </w:r>
      <w:r>
        <w:rPr>
          <w:i/>
        </w:rPr>
        <w:t xml:space="preserve"> Health Research Group v. FDA</w:t>
      </w:r>
      <w:r w:rsidRPr="00880FB8">
        <w:rPr>
          <w:i/>
        </w:rPr>
        <w:t>,</w:t>
      </w:r>
      <w:r w:rsidRPr="00880FB8">
        <w:t xml:space="preserve"> 704 F.2d</w:t>
      </w:r>
      <w:r>
        <w:t xml:space="preserve"> 1280,</w:t>
      </w:r>
      <w:r w:rsidRPr="00880FB8">
        <w:t xml:space="preserve"> 1291</w:t>
      </w:r>
      <w:r>
        <w:t xml:space="preserve"> (D.C. Cir. 1983) </w:t>
      </w:r>
      <w:r w:rsidRPr="008518E0">
        <w:t>(“Conclusory and generalized allegations of substantial competitive harm, of course, are unacceptable and cannot support an agency's decision to withhold requested documents.”).</w:t>
      </w:r>
    </w:p>
  </w:footnote>
  <w:footnote w:id="54">
    <w:p w14:paraId="16E5FD99" w14:textId="77777777" w:rsidR="008135FB" w:rsidRDefault="008135FB" w:rsidP="00195622">
      <w:pPr>
        <w:pStyle w:val="FootnoteText"/>
      </w:pPr>
      <w:r>
        <w:rPr>
          <w:rStyle w:val="FootnoteReference"/>
        </w:rPr>
        <w:footnoteRef/>
      </w:r>
      <w:r w:rsidRPr="008518E0">
        <w:t xml:space="preserve"> </w:t>
      </w:r>
      <w:r>
        <w:rPr>
          <w:i/>
        </w:rPr>
        <w:t>Jurewicz v. U.S.D.A.,</w:t>
      </w:r>
      <w:r>
        <w:t xml:space="preserve"> 741 F.3d at 1331; </w:t>
      </w:r>
      <w:r w:rsidRPr="008518E0">
        <w:rPr>
          <w:i/>
        </w:rPr>
        <w:t>Public Citizen</w:t>
      </w:r>
      <w:r>
        <w:rPr>
          <w:i/>
        </w:rPr>
        <w:t xml:space="preserve"> Health Research Group v. FDA</w:t>
      </w:r>
      <w:r w:rsidRPr="008518E0">
        <w:t>, 704 F.2d at 1291 n. 30.</w:t>
      </w:r>
      <w:r>
        <w:t xml:space="preserve"> </w:t>
      </w:r>
    </w:p>
  </w:footnote>
  <w:footnote w:id="55">
    <w:p w14:paraId="103E8710" w14:textId="77777777" w:rsidR="008135FB" w:rsidRDefault="008135FB" w:rsidP="00195622">
      <w:pPr>
        <w:pStyle w:val="FootnoteText"/>
      </w:pPr>
      <w:r>
        <w:rPr>
          <w:rStyle w:val="FootnoteReference"/>
        </w:rPr>
        <w:footnoteRef/>
      </w:r>
      <w:r>
        <w:t xml:space="preserve"> </w:t>
      </w:r>
      <w:r w:rsidRPr="008518E0">
        <w:rPr>
          <w:i/>
        </w:rPr>
        <w:t xml:space="preserve">See </w:t>
      </w:r>
      <w:r>
        <w:rPr>
          <w:i/>
        </w:rPr>
        <w:t>Jurewicz v. U.S.D.A.,</w:t>
      </w:r>
      <w:r>
        <w:t xml:space="preserve"> 741 F.3d at 1331; </w:t>
      </w:r>
      <w:r w:rsidRPr="008518E0">
        <w:rPr>
          <w:i/>
        </w:rPr>
        <w:t>Public Citizen</w:t>
      </w:r>
      <w:r>
        <w:rPr>
          <w:i/>
        </w:rPr>
        <w:t xml:space="preserve"> Health Research Group v. FDA</w:t>
      </w:r>
      <w:r w:rsidRPr="008518E0">
        <w:t xml:space="preserve">, 704 F.2d </w:t>
      </w:r>
      <w:r>
        <w:t xml:space="preserve">at </w:t>
      </w:r>
      <w:r w:rsidRPr="008518E0">
        <w:t>1291</w:t>
      </w:r>
      <w:r>
        <w:t xml:space="preserve">; </w:t>
      </w:r>
      <w:r w:rsidRPr="008518E0">
        <w:rPr>
          <w:i/>
        </w:rPr>
        <w:t>Iglesias v. C.I.A.</w:t>
      </w:r>
      <w:r w:rsidRPr="008518E0">
        <w:t>, 525 F.Supp. 547, 559 (D.D.C.1981)</w:t>
      </w:r>
      <w:r>
        <w:t>.</w:t>
      </w:r>
    </w:p>
  </w:footnote>
  <w:footnote w:id="56">
    <w:p w14:paraId="540C7A06" w14:textId="77777777" w:rsidR="008135FB" w:rsidRDefault="008135FB" w:rsidP="0014360D">
      <w:pPr>
        <w:pStyle w:val="FootnoteText"/>
      </w:pPr>
      <w:r>
        <w:rPr>
          <w:rStyle w:val="FootnoteReference"/>
        </w:rPr>
        <w:footnoteRef/>
      </w:r>
      <w:r>
        <w:t xml:space="preserve"> AFR at 8 (“Since the general terms of the promissory notes have been provided, disclosure of the lenders' identities would also give outside parties full knowledge of the terms on which they have been willing to make loans, putting them at a serious disadvantage in any future negotiations.”).</w:t>
      </w:r>
    </w:p>
  </w:footnote>
  <w:footnote w:id="57">
    <w:p w14:paraId="7DB21DC7" w14:textId="48C39BA0" w:rsidR="008135FB" w:rsidRDefault="008135FB" w:rsidP="00195622">
      <w:pPr>
        <w:pStyle w:val="FootnoteText"/>
      </w:pPr>
      <w:r>
        <w:rPr>
          <w:rStyle w:val="FootnoteReference"/>
        </w:rPr>
        <w:footnoteRef/>
      </w:r>
      <w:r>
        <w:t xml:space="preserve"> </w:t>
      </w:r>
      <w:r>
        <w:rPr>
          <w:i/>
        </w:rPr>
        <w:t xml:space="preserve">Letter Order </w:t>
      </w:r>
      <w:r>
        <w:t xml:space="preserve">at 5.  </w:t>
      </w:r>
    </w:p>
  </w:footnote>
  <w:footnote w:id="58">
    <w:p w14:paraId="352D672F" w14:textId="77777777" w:rsidR="008135FB" w:rsidRDefault="008135FB">
      <w:pPr>
        <w:pStyle w:val="FootnoteText"/>
      </w:pPr>
      <w:r>
        <w:rPr>
          <w:rStyle w:val="FootnoteReference"/>
        </w:rPr>
        <w:footnoteRef/>
      </w:r>
      <w:r>
        <w:t xml:space="preserve"> </w:t>
      </w:r>
      <w:r w:rsidRPr="00044CA9">
        <w:rPr>
          <w:i/>
        </w:rPr>
        <w:t>See, e.g., AMTS Consortium</w:t>
      </w:r>
      <w:r w:rsidRPr="0014360D">
        <w:t>, 25 FCC Rcd 529 para. 10.</w:t>
      </w:r>
    </w:p>
  </w:footnote>
  <w:footnote w:id="59">
    <w:p w14:paraId="29DC54B6" w14:textId="77777777" w:rsidR="008135FB" w:rsidRDefault="008135FB" w:rsidP="00195622">
      <w:pPr>
        <w:pStyle w:val="FootnoteText"/>
      </w:pPr>
      <w:r w:rsidRPr="00052582">
        <w:rPr>
          <w:rStyle w:val="FootnoteReference"/>
        </w:rPr>
        <w:footnoteRef/>
      </w:r>
      <w:r w:rsidRPr="00052582">
        <w:t xml:space="preserve"> The </w:t>
      </w:r>
      <w:r>
        <w:t xml:space="preserve">amount of the provisionally winning bid for each license is public information.  </w:t>
      </w:r>
    </w:p>
  </w:footnote>
  <w:footnote w:id="60">
    <w:p w14:paraId="1DFF869B" w14:textId="5843996C" w:rsidR="008135FB" w:rsidRDefault="008135FB" w:rsidP="00195622">
      <w:pPr>
        <w:pStyle w:val="FootnoteText"/>
      </w:pPr>
      <w:r>
        <w:rPr>
          <w:rStyle w:val="FootnoteReference"/>
        </w:rPr>
        <w:footnoteRef/>
      </w:r>
      <w:r>
        <w:t xml:space="preserve"> Request for Confidential Treatment at 2.  </w:t>
      </w:r>
    </w:p>
  </w:footnote>
  <w:footnote w:id="61">
    <w:p w14:paraId="6EDBA825" w14:textId="77777777" w:rsidR="003044E0" w:rsidRDefault="003044E0">
      <w:pPr>
        <w:pStyle w:val="FootnoteText"/>
      </w:pPr>
      <w:r>
        <w:rPr>
          <w:rStyle w:val="FootnoteReference"/>
        </w:rPr>
        <w:footnoteRef/>
      </w:r>
      <w:r>
        <w:t xml:space="preserve"> </w:t>
      </w:r>
      <w:r w:rsidRPr="00044CA9">
        <w:rPr>
          <w:i/>
        </w:rPr>
        <w:t>Public Citizen</w:t>
      </w:r>
      <w:r w:rsidRPr="003044E0">
        <w:t xml:space="preserve">, 704 F.2d at 1291.  </w:t>
      </w:r>
    </w:p>
  </w:footnote>
  <w:footnote w:id="62">
    <w:p w14:paraId="7BCE8A59" w14:textId="77777777" w:rsidR="003044E0" w:rsidRDefault="003044E0" w:rsidP="003044E0">
      <w:pPr>
        <w:pStyle w:val="FootnoteText"/>
      </w:pPr>
      <w:r>
        <w:rPr>
          <w:rStyle w:val="FootnoteReference"/>
        </w:rPr>
        <w:footnoteRef/>
      </w:r>
      <w:r>
        <w:t xml:space="preserve"> Revealing identities of parties does not reveal </w:t>
      </w:r>
      <w:r w:rsidRPr="00052582">
        <w:t>their funding capabilities,</w:t>
      </w:r>
      <w:r>
        <w:t xml:space="preserve"> </w:t>
      </w:r>
      <w:r w:rsidRPr="00705DA5">
        <w:rPr>
          <w:i/>
        </w:rPr>
        <w:t>see</w:t>
      </w:r>
      <w:r w:rsidRPr="00052582">
        <w:rPr>
          <w:i/>
        </w:rPr>
        <w:t xml:space="preserve"> </w:t>
      </w:r>
      <w:r w:rsidRPr="00052582">
        <w:t>Supplemental</w:t>
      </w:r>
      <w:r w:rsidRPr="00052582">
        <w:rPr>
          <w:i/>
        </w:rPr>
        <w:t xml:space="preserve"> </w:t>
      </w:r>
      <w:r>
        <w:t xml:space="preserve">Confidentiality Request at 2, or the terms on which they have been willing to make loans.  </w:t>
      </w:r>
    </w:p>
  </w:footnote>
  <w:footnote w:id="63">
    <w:p w14:paraId="0509DFEF" w14:textId="77777777" w:rsidR="008135FB" w:rsidRDefault="008135FB" w:rsidP="00195622">
      <w:pPr>
        <w:pStyle w:val="FootnoteText"/>
      </w:pPr>
      <w:r>
        <w:rPr>
          <w:rStyle w:val="FootnoteReference"/>
        </w:rPr>
        <w:footnoteRef/>
      </w:r>
      <w:r>
        <w:t xml:space="preserve"> The </w:t>
      </w:r>
      <w:r w:rsidRPr="0053729A">
        <w:rPr>
          <w:i/>
        </w:rPr>
        <w:t>Letter Order</w:t>
      </w:r>
      <w:r>
        <w:t xml:space="preserve"> noted that none of the agreements contain non-disclosure provisions.  Mr. Sofio acknowledges this point but states that “to the extent that [the parties to the agreements] have protectable rights, he has indicated his willingness to take the steps necessary to preserve those rights.”  AFR at 11 n.5.  We give no credit to this statement because a</w:t>
      </w:r>
      <w:r w:rsidRPr="009C1AD9">
        <w:t>ll agreements and understandings must be reduced to writing and disclosed including any oral understandings that amend previously filed</w:t>
      </w:r>
      <w:r>
        <w:t xml:space="preserve"> agreements and the record before us reflects no such agreements or understandings.  Nonetheless, we note that the absence of non-disclosure provisions is not dispositive of how disclosure of sensitive data could result in harm.  </w:t>
      </w:r>
    </w:p>
  </w:footnote>
  <w:footnote w:id="64">
    <w:p w14:paraId="66E07670" w14:textId="1427DEC3" w:rsidR="003044E0" w:rsidRPr="00125327" w:rsidRDefault="003044E0" w:rsidP="003044E0">
      <w:pPr>
        <w:pStyle w:val="FootnoteText"/>
      </w:pPr>
      <w:r w:rsidRPr="00A66E0F">
        <w:rPr>
          <w:rStyle w:val="FootnoteReference"/>
        </w:rPr>
        <w:footnoteRef/>
      </w:r>
      <w:r>
        <w:t xml:space="preserve"> The AFR also argues that the names of the lenders cannot be disclosed because the Division has not shown that public disclosure is “necessary” to the review process.  AFR at 9, citing </w:t>
      </w:r>
      <w:r w:rsidRPr="00694506">
        <w:rPr>
          <w:bCs/>
          <w:i/>
          <w:color w:val="000000"/>
          <w:spacing w:val="-5"/>
        </w:rPr>
        <w:t>CBS, Inc. v. FCC</w:t>
      </w:r>
      <w:r w:rsidRPr="00A66E0F">
        <w:rPr>
          <w:bCs/>
          <w:color w:val="000000"/>
          <w:spacing w:val="-5"/>
        </w:rPr>
        <w:t>, 785 F.3d 699 (D.C. Cir. 2015) (</w:t>
      </w:r>
      <w:r w:rsidRPr="00A66E0F">
        <w:rPr>
          <w:bCs/>
          <w:i/>
          <w:color w:val="000000"/>
          <w:spacing w:val="-5"/>
        </w:rPr>
        <w:t>CBS</w:t>
      </w:r>
      <w:r w:rsidRPr="00A66E0F">
        <w:rPr>
          <w:bCs/>
          <w:color w:val="000000"/>
          <w:spacing w:val="-5"/>
        </w:rPr>
        <w:t>)</w:t>
      </w:r>
      <w:r>
        <w:t xml:space="preserve">.  First, because we hold that the information is not competitively sensitive or otherwise confidential, the standard for publicly releasing confidential information does not apply.  Second, even were we to treat this information as otherwise entitled to confidential treatment, the AFR is incorrect about the standard that applies.  In response to the </w:t>
      </w:r>
      <w:r>
        <w:rPr>
          <w:i/>
        </w:rPr>
        <w:t xml:space="preserve">CBS </w:t>
      </w:r>
      <w:r>
        <w:t xml:space="preserve">decision, the Commission has held that that otherwise confidential information does not need to be “vital” or “absolutely necessary” to resolving an issue before the Commission before it may be released publicly,  </w:t>
      </w:r>
      <w:r>
        <w:rPr>
          <w:i/>
        </w:rPr>
        <w:t>Charter</w:t>
      </w:r>
      <w:r>
        <w:t xml:space="preserve">, 30 FCC Rcd 10360, 10378 para. 36.  Rather, as the Commission has long held, we may publicly release confidential business information where the party has put that information at issue in a Commission proceeding or where the Commission has identified a compelling public interest in disclosing the information.  </w:t>
      </w:r>
      <w:r>
        <w:rPr>
          <w:i/>
        </w:rPr>
        <w:t xml:space="preserve">See Examination of Current Policy Concerning Treatment of Confidential Information Submitted to the Commission, </w:t>
      </w:r>
      <w:r>
        <w:t xml:space="preserve">Report and Order, 13 FCC Rcd 24816, 24822, para. 7 (1998).  And specifically with regard to information submitted in support of receiving bidding credits in auction proceedings, the Commission has held that both of these criteria are met: that in seeking bidding credits based on certain criteria (here, the aggregate gross revenues attributable to the applicant), the applicant has </w:t>
      </w:r>
      <w:r w:rsidRPr="00F21458">
        <w:t>placed in issue the very information which it seeks to shield from public scrutiny</w:t>
      </w:r>
      <w:r>
        <w:t>, and that fairness to other participants requires that this information be available to the public; and that there is a compelling interest in having the basis for the bidding credit request be available to the public</w:t>
      </w:r>
      <w:r w:rsidRPr="00F21458">
        <w:t>.</w:t>
      </w:r>
      <w:r>
        <w:t xml:space="preserve">  </w:t>
      </w:r>
      <w:r>
        <w:rPr>
          <w:i/>
        </w:rPr>
        <w:t>Northeast Communications,</w:t>
      </w:r>
      <w:r w:rsidRPr="00EA02F3">
        <w:t xml:space="preserve"> </w:t>
      </w:r>
      <w:r>
        <w:t xml:space="preserve">15 FCC Rcd </w:t>
      </w:r>
      <w:r w:rsidRPr="00EA02F3">
        <w:t>at 3291</w:t>
      </w:r>
      <w:r>
        <w:t>, para. 6</w:t>
      </w:r>
      <w:r w:rsidRPr="00EA02F3">
        <w:t xml:space="preserve">; </w:t>
      </w:r>
      <w:r w:rsidRPr="00EA02F3">
        <w:rPr>
          <w:i/>
        </w:rPr>
        <w:t>AMTS Consortium, LLC</w:t>
      </w:r>
      <w:r w:rsidRPr="00EA02F3">
        <w:t>, Memorandum Opinion and Or</w:t>
      </w:r>
      <w:r>
        <w:t xml:space="preserve">der, 25 FCC Rcd 526, 530 (2010) (noting that in </w:t>
      </w:r>
      <w:r>
        <w:rPr>
          <w:i/>
        </w:rPr>
        <w:t xml:space="preserve">Northeast Communications, </w:t>
      </w:r>
      <w:r>
        <w:t>“t</w:t>
      </w:r>
      <w:r w:rsidRPr="00D73E0F">
        <w:t>he Commission denied confidential treatment because the submitter had, by requesting a bidding credit, placed in issue the very information which it sought to shield from public scrutiny</w:t>
      </w:r>
      <w:r>
        <w:t xml:space="preserve">”) (internal quotations omitted).  Here, Mr. Sofio has claimed that he is eligible as a DE to receive bidding credits.  He has therefore put his financial status at issue, and consistent with the Commission’s rules and prior decisions, we find that the public and the other bidders in the auction are entitled to know at least the names of the parties to agreements with him related to the application.  </w:t>
      </w:r>
      <w:r w:rsidRPr="0070223C">
        <w:rPr>
          <w:i/>
          <w:iCs/>
        </w:rPr>
        <w:t xml:space="preserve">See </w:t>
      </w:r>
      <w:r w:rsidRPr="005E4F10">
        <w:rPr>
          <w:iCs/>
        </w:rPr>
        <w:t>47 C.F.R. §§ 0.459(d)(2), 0.461(f)(4);</w:t>
      </w:r>
      <w:r w:rsidRPr="0084599C">
        <w:rPr>
          <w:i/>
          <w:iCs/>
        </w:rPr>
        <w:t xml:space="preserve"> </w:t>
      </w:r>
      <w:r w:rsidRPr="0070223C">
        <w:rPr>
          <w:i/>
          <w:iCs/>
        </w:rPr>
        <w:t>Lifeline and Link Up Reform and Modernization, etc.,</w:t>
      </w:r>
      <w:r w:rsidRPr="0070223C">
        <w:rPr>
          <w:iCs/>
        </w:rPr>
        <w:t xml:space="preserve"> Second Further Notice of Proposed Rulemaking, Order on Reconsideration, Second Report and Order, and Memorandum Opinion and Order, </w:t>
      </w:r>
      <w:r>
        <w:rPr>
          <w:iCs/>
        </w:rPr>
        <w:t>30 FCC Rcd 7818, 7914 para. </w:t>
      </w:r>
      <w:r w:rsidRPr="00493859">
        <w:rPr>
          <w:iCs/>
        </w:rPr>
        <w:t>284 (2015)</w:t>
      </w:r>
      <w:r>
        <w:rPr>
          <w:iCs/>
        </w:rPr>
        <w:t>.</w:t>
      </w:r>
      <w:r>
        <w:rPr>
          <w:i/>
          <w:sz w:val="22"/>
          <w:szCs w:val="22"/>
        </w:rPr>
        <w:t xml:space="preserve">  </w:t>
      </w:r>
    </w:p>
  </w:footnote>
  <w:footnote w:id="65">
    <w:p w14:paraId="7CA88A7A" w14:textId="77777777" w:rsidR="008135FB" w:rsidRDefault="008135FB" w:rsidP="00195622">
      <w:pPr>
        <w:pStyle w:val="FootnoteText"/>
      </w:pPr>
      <w:r>
        <w:rPr>
          <w:rStyle w:val="FootnoteReference"/>
        </w:rPr>
        <w:footnoteRef/>
      </w:r>
      <w:r>
        <w:t xml:space="preserve"> AFR at 8 (</w:t>
      </w:r>
      <w:r>
        <w:rPr>
          <w:i/>
        </w:rPr>
        <w:t xml:space="preserve">citing </w:t>
      </w:r>
      <w:r>
        <w:rPr>
          <w:i/>
          <w:color w:val="000000"/>
        </w:rPr>
        <w:t>Percy Squire</w:t>
      </w:r>
      <w:r>
        <w:rPr>
          <w:color w:val="000000"/>
        </w:rPr>
        <w:t>, 26 FCC Rcd at 14937 para. 16).</w:t>
      </w:r>
    </w:p>
  </w:footnote>
  <w:footnote w:id="66">
    <w:p w14:paraId="68D57589" w14:textId="77777777" w:rsidR="008135FB" w:rsidRDefault="008135FB" w:rsidP="00195622">
      <w:pPr>
        <w:pStyle w:val="FootnoteText"/>
      </w:pPr>
      <w:r>
        <w:rPr>
          <w:rStyle w:val="FootnoteReference"/>
        </w:rPr>
        <w:footnoteRef/>
      </w:r>
      <w:r>
        <w:t xml:space="preserve"> AFR at 8.  </w:t>
      </w:r>
    </w:p>
  </w:footnote>
  <w:footnote w:id="67">
    <w:p w14:paraId="600AF57D" w14:textId="77777777" w:rsidR="003044E0" w:rsidRDefault="003044E0">
      <w:pPr>
        <w:pStyle w:val="FootnoteText"/>
      </w:pPr>
      <w:r>
        <w:rPr>
          <w:rStyle w:val="FootnoteReference"/>
        </w:rPr>
        <w:footnoteRef/>
      </w:r>
      <w:r>
        <w:t xml:space="preserve"> </w:t>
      </w:r>
      <w:r w:rsidRPr="003044E0">
        <w:t xml:space="preserve">See </w:t>
      </w:r>
      <w:r w:rsidRPr="00044CA9">
        <w:rPr>
          <w:i/>
        </w:rPr>
        <w:t>Letter Order</w:t>
      </w:r>
      <w:r w:rsidRPr="003044E0">
        <w:t xml:space="preserve"> at 6-7 (discussion of </w:t>
      </w:r>
      <w:r w:rsidRPr="004340F8">
        <w:rPr>
          <w:i/>
        </w:rPr>
        <w:t>Percy Squire</w:t>
      </w:r>
      <w:r w:rsidRPr="003044E0">
        <w:t xml:space="preserve">).  </w:t>
      </w:r>
    </w:p>
  </w:footnote>
  <w:footnote w:id="68">
    <w:p w14:paraId="1F78ABC2" w14:textId="77777777" w:rsidR="008135FB" w:rsidRDefault="008135FB" w:rsidP="00195622">
      <w:pPr>
        <w:pStyle w:val="FootnoteText"/>
      </w:pPr>
      <w:r>
        <w:rPr>
          <w:rStyle w:val="FootnoteReference"/>
        </w:rPr>
        <w:footnoteRef/>
      </w:r>
      <w:r>
        <w:t xml:space="preserve"> </w:t>
      </w:r>
      <w:r w:rsidRPr="00B46EC9">
        <w:rPr>
          <w:i/>
        </w:rPr>
        <w:t>Letter Order</w:t>
      </w:r>
      <w:r>
        <w:t xml:space="preserve"> at 4.  </w:t>
      </w:r>
    </w:p>
  </w:footnote>
  <w:footnote w:id="69">
    <w:p w14:paraId="7361E1CD" w14:textId="77777777" w:rsidR="008135FB" w:rsidRDefault="008135FB" w:rsidP="00195622">
      <w:pPr>
        <w:pStyle w:val="FootnoteText"/>
      </w:pPr>
      <w:r>
        <w:rPr>
          <w:rStyle w:val="FootnoteReference"/>
        </w:rPr>
        <w:footnoteRef/>
      </w:r>
      <w:r>
        <w:t xml:space="preserve"> </w:t>
      </w:r>
      <w:r w:rsidRPr="0047162B">
        <w:rPr>
          <w:i/>
        </w:rPr>
        <w:t>Letter Order</w:t>
      </w:r>
      <w:r>
        <w:t xml:space="preserve"> at 7 (</w:t>
      </w:r>
      <w:r w:rsidRPr="00CB4718">
        <w:rPr>
          <w:i/>
        </w:rPr>
        <w:t>citing</w:t>
      </w:r>
      <w:r>
        <w:t xml:space="preserve"> 47 C.F.R. § 0.459(d)(3).</w:t>
      </w:r>
    </w:p>
  </w:footnote>
  <w:footnote w:id="70">
    <w:p w14:paraId="0D207BBF" w14:textId="77777777" w:rsidR="008135FB" w:rsidRDefault="008135FB" w:rsidP="008B5F45">
      <w:pPr>
        <w:pStyle w:val="FootnoteText"/>
      </w:pPr>
      <w:r>
        <w:rPr>
          <w:rStyle w:val="FootnoteReference"/>
        </w:rPr>
        <w:footnoteRef/>
      </w:r>
      <w:r>
        <w:t xml:space="preserve"> AFR Section IV, at 7-9.</w:t>
      </w:r>
    </w:p>
  </w:footnote>
  <w:footnote w:id="71">
    <w:p w14:paraId="3238150C" w14:textId="77777777" w:rsidR="008135FB" w:rsidRDefault="008135FB" w:rsidP="00CF6286">
      <w:pPr>
        <w:pStyle w:val="FootnoteText"/>
      </w:pPr>
      <w:r>
        <w:rPr>
          <w:rStyle w:val="FootnoteReference"/>
        </w:rPr>
        <w:footnoteRef/>
      </w:r>
      <w:r>
        <w:t xml:space="preserve"> </w:t>
      </w:r>
      <w:r>
        <w:rPr>
          <w:bCs/>
          <w:color w:val="000000"/>
          <w:spacing w:val="-6"/>
        </w:rPr>
        <w:t xml:space="preserve">AFR at 6.  </w:t>
      </w:r>
    </w:p>
  </w:footnote>
  <w:footnote w:id="72">
    <w:p w14:paraId="6684C338" w14:textId="4EB47723" w:rsidR="007D5BEA" w:rsidRDefault="007D5BEA">
      <w:pPr>
        <w:pStyle w:val="FootnoteText"/>
      </w:pPr>
      <w:r>
        <w:rPr>
          <w:rStyle w:val="FootnoteReference"/>
        </w:rPr>
        <w:footnoteRef/>
      </w:r>
      <w:r>
        <w:t xml:space="preserve"> </w:t>
      </w:r>
      <w:r w:rsidRPr="007E1CFD">
        <w:rPr>
          <w:bCs/>
          <w:i/>
          <w:color w:val="000000"/>
          <w:spacing w:val="-6"/>
        </w:rPr>
        <w:t>See, supra</w:t>
      </w:r>
      <w:r w:rsidRPr="007D5BEA">
        <w:rPr>
          <w:bCs/>
          <w:color w:val="000000"/>
          <w:spacing w:val="-6"/>
        </w:rPr>
        <w:t xml:space="preserve">, paragraphs </w:t>
      </w:r>
      <w:r w:rsidR="007E1CFD">
        <w:rPr>
          <w:bCs/>
          <w:color w:val="000000"/>
          <w:spacing w:val="-6"/>
        </w:rPr>
        <w:fldChar w:fldCharType="begin"/>
      </w:r>
      <w:r w:rsidR="007E1CFD">
        <w:rPr>
          <w:bCs/>
          <w:color w:val="000000"/>
          <w:spacing w:val="-6"/>
        </w:rPr>
        <w:instrText xml:space="preserve"> REF _Ref455063741 \r \h </w:instrText>
      </w:r>
      <w:r w:rsidR="007E1CFD">
        <w:rPr>
          <w:bCs/>
          <w:color w:val="000000"/>
          <w:spacing w:val="-6"/>
        </w:rPr>
      </w:r>
      <w:r w:rsidR="007E1CFD">
        <w:rPr>
          <w:bCs/>
          <w:color w:val="000000"/>
          <w:spacing w:val="-6"/>
        </w:rPr>
        <w:fldChar w:fldCharType="separate"/>
      </w:r>
      <w:r w:rsidR="009A1EF4">
        <w:rPr>
          <w:bCs/>
          <w:color w:val="000000"/>
          <w:spacing w:val="-6"/>
        </w:rPr>
        <w:t>9</w:t>
      </w:r>
      <w:r w:rsidR="007E1CFD">
        <w:rPr>
          <w:bCs/>
          <w:color w:val="000000"/>
          <w:spacing w:val="-6"/>
        </w:rPr>
        <w:fldChar w:fldCharType="end"/>
      </w:r>
      <w:r>
        <w:rPr>
          <w:bCs/>
          <w:color w:val="000000"/>
          <w:spacing w:val="-6"/>
        </w:rPr>
        <w:t>-</w:t>
      </w:r>
      <w:r w:rsidR="007E1CFD">
        <w:rPr>
          <w:bCs/>
          <w:color w:val="000000"/>
          <w:spacing w:val="-6"/>
        </w:rPr>
        <w:fldChar w:fldCharType="begin"/>
      </w:r>
      <w:r w:rsidR="007E1CFD">
        <w:rPr>
          <w:bCs/>
          <w:color w:val="000000"/>
          <w:spacing w:val="-6"/>
        </w:rPr>
        <w:instrText xml:space="preserve"> REF _Ref455063752 \r \h </w:instrText>
      </w:r>
      <w:r w:rsidR="007E1CFD">
        <w:rPr>
          <w:bCs/>
          <w:color w:val="000000"/>
          <w:spacing w:val="-6"/>
        </w:rPr>
      </w:r>
      <w:r w:rsidR="007E1CFD">
        <w:rPr>
          <w:bCs/>
          <w:color w:val="000000"/>
          <w:spacing w:val="-6"/>
        </w:rPr>
        <w:fldChar w:fldCharType="separate"/>
      </w:r>
      <w:r w:rsidR="009A1EF4">
        <w:rPr>
          <w:bCs/>
          <w:color w:val="000000"/>
          <w:spacing w:val="-6"/>
        </w:rPr>
        <w:t>13</w:t>
      </w:r>
      <w:r w:rsidR="007E1CFD">
        <w:rPr>
          <w:bCs/>
          <w:color w:val="000000"/>
          <w:spacing w:val="-6"/>
        </w:rPr>
        <w:fldChar w:fldCharType="end"/>
      </w:r>
      <w:r>
        <w:t xml:space="preserve">.  </w:t>
      </w:r>
    </w:p>
  </w:footnote>
  <w:footnote w:id="73">
    <w:p w14:paraId="187B1068" w14:textId="77777777" w:rsidR="008135FB" w:rsidRDefault="008135FB" w:rsidP="00195622">
      <w:pPr>
        <w:pStyle w:val="FootnoteText"/>
      </w:pPr>
      <w:r>
        <w:rPr>
          <w:rStyle w:val="FootnoteReference"/>
        </w:rPr>
        <w:footnoteRef/>
      </w:r>
      <w:r>
        <w:t xml:space="preserve"> AFR at 6.  Mr. Sofio does not cite any application.  </w:t>
      </w:r>
    </w:p>
  </w:footnote>
  <w:footnote w:id="74">
    <w:p w14:paraId="443120D3" w14:textId="77777777" w:rsidR="008135FB" w:rsidRDefault="008135FB" w:rsidP="00195622">
      <w:pPr>
        <w:pStyle w:val="FootnoteText"/>
      </w:pPr>
      <w:r>
        <w:rPr>
          <w:rStyle w:val="FootnoteReference"/>
        </w:rPr>
        <w:footnoteRef/>
      </w:r>
      <w:r>
        <w:t xml:space="preserve"> AFR at 7.  </w:t>
      </w:r>
    </w:p>
  </w:footnote>
  <w:footnote w:id="75">
    <w:p w14:paraId="0A41480B" w14:textId="6CC1B800" w:rsidR="00043B4E" w:rsidRPr="008760E2" w:rsidRDefault="00043B4E">
      <w:pPr>
        <w:pStyle w:val="FootnoteText"/>
      </w:pPr>
      <w:r>
        <w:rPr>
          <w:rStyle w:val="FootnoteReference"/>
        </w:rPr>
        <w:footnoteRef/>
      </w:r>
      <w:r>
        <w:t xml:space="preserve"> </w:t>
      </w:r>
      <w:r w:rsidR="008760E2">
        <w:rPr>
          <w:i/>
        </w:rPr>
        <w:t xml:space="preserve">See, e.g., </w:t>
      </w:r>
      <w:r w:rsidR="008760E2">
        <w:t xml:space="preserve"> 47 C.F.R. § 1.2110(c)(2)</w:t>
      </w:r>
      <w:r w:rsidR="003B5F8A">
        <w:t xml:space="preserve"> (</w:t>
      </w:r>
      <w:r w:rsidR="003B5F8A" w:rsidRPr="003B5F8A">
        <w:t xml:space="preserve">controlling interest includes individuals or entities with either </w:t>
      </w:r>
      <w:r w:rsidR="003B5F8A" w:rsidRPr="0038720D">
        <w:rPr>
          <w:i/>
        </w:rPr>
        <w:t>de jure</w:t>
      </w:r>
      <w:r w:rsidR="003B5F8A" w:rsidRPr="003B5F8A">
        <w:t xml:space="preserve"> or </w:t>
      </w:r>
      <w:r w:rsidR="003B5F8A" w:rsidRPr="0038720D">
        <w:rPr>
          <w:i/>
        </w:rPr>
        <w:t>de facto</w:t>
      </w:r>
      <w:r w:rsidR="003B5F8A" w:rsidRPr="003B5F8A">
        <w:t xml:space="preserve"> control of the applicant</w:t>
      </w:r>
      <w:r w:rsidR="003B5F8A">
        <w:t xml:space="preserve"> and </w:t>
      </w:r>
      <w:r w:rsidR="003B5F8A">
        <w:rPr>
          <w:i/>
        </w:rPr>
        <w:t>d</w:t>
      </w:r>
      <w:r w:rsidR="003B5F8A" w:rsidRPr="0038720D">
        <w:rPr>
          <w:i/>
        </w:rPr>
        <w:t>e facto</w:t>
      </w:r>
      <w:r w:rsidR="003B5F8A" w:rsidRPr="003B5F8A">
        <w:t xml:space="preserve"> control is determined on a case-by-case basis</w:t>
      </w:r>
      <w:r w:rsidR="003B5F8A">
        <w:t>)</w:t>
      </w:r>
      <w:r w:rsidR="003B5F8A" w:rsidRPr="003B5F8A">
        <w:t xml:space="preserve">. </w:t>
      </w:r>
      <w:r w:rsidR="008760E2">
        <w:t xml:space="preserve"> </w:t>
      </w:r>
    </w:p>
  </w:footnote>
  <w:footnote w:id="76">
    <w:p w14:paraId="2BC51D97" w14:textId="77777777" w:rsidR="008135FB" w:rsidRDefault="008135FB" w:rsidP="00195622">
      <w:pPr>
        <w:pStyle w:val="FootnoteText"/>
      </w:pPr>
      <w:r>
        <w:rPr>
          <w:rStyle w:val="FootnoteReference"/>
        </w:rPr>
        <w:footnoteRef/>
      </w:r>
      <w:r>
        <w:t xml:space="preserve"> AFR at 6.  </w:t>
      </w:r>
    </w:p>
  </w:footnote>
  <w:footnote w:id="77">
    <w:p w14:paraId="55BFA0D6" w14:textId="77777777" w:rsidR="007D5BEA" w:rsidRDefault="007D5BEA" w:rsidP="007D5BEA">
      <w:pPr>
        <w:pStyle w:val="FootnoteText"/>
      </w:pPr>
      <w:r>
        <w:rPr>
          <w:rStyle w:val="FootnoteReference"/>
        </w:rPr>
        <w:footnoteRef/>
      </w:r>
      <w:r>
        <w:t xml:space="preserve"> Mr. Sofio’s purported distinction between financial information of the applicant and that of a lender is illusory:  a loan to the applicant is obviously “financial information of the very applicant . . . claiming DE status.”  AFR at 7.</w:t>
      </w:r>
    </w:p>
  </w:footnote>
  <w:footnote w:id="78">
    <w:p w14:paraId="440CE2A7" w14:textId="77777777" w:rsidR="008135FB" w:rsidRDefault="008135FB" w:rsidP="00195622">
      <w:pPr>
        <w:pStyle w:val="FootnoteText"/>
      </w:pPr>
      <w:r>
        <w:rPr>
          <w:rStyle w:val="FootnoteReference"/>
        </w:rPr>
        <w:footnoteRef/>
      </w:r>
      <w:r>
        <w:t xml:space="preserve"> </w:t>
      </w:r>
      <w:r>
        <w:rPr>
          <w:i/>
        </w:rPr>
        <w:t>Letter Order</w:t>
      </w:r>
      <w:r>
        <w:t xml:space="preserve"> at 7.   </w:t>
      </w:r>
    </w:p>
  </w:footnote>
  <w:footnote w:id="79">
    <w:p w14:paraId="244873DA" w14:textId="77777777" w:rsidR="008135FB" w:rsidRDefault="008135FB" w:rsidP="00195622">
      <w:pPr>
        <w:pStyle w:val="FootnoteText"/>
      </w:pPr>
      <w:r>
        <w:rPr>
          <w:rStyle w:val="FootnoteReference"/>
        </w:rPr>
        <w:footnoteRef/>
      </w:r>
      <w:r>
        <w:t xml:space="preserve"> AFR at 10.  </w:t>
      </w:r>
    </w:p>
  </w:footnote>
  <w:footnote w:id="80">
    <w:p w14:paraId="0A9134A9" w14:textId="0D0F0725" w:rsidR="008135FB" w:rsidRPr="007B4A05" w:rsidRDefault="008135FB" w:rsidP="00195622">
      <w:pPr>
        <w:pStyle w:val="FootnoteText"/>
        <w:rPr>
          <w:i/>
        </w:rPr>
      </w:pPr>
      <w:r>
        <w:rPr>
          <w:rStyle w:val="FootnoteReference"/>
        </w:rPr>
        <w:footnoteRef/>
      </w:r>
      <w:r>
        <w:t xml:space="preserve"> </w:t>
      </w:r>
      <w:r w:rsidR="00CD7943">
        <w:rPr>
          <w:i/>
        </w:rPr>
        <w:t xml:space="preserve">See </w:t>
      </w:r>
      <w:r w:rsidR="00636A82">
        <w:rPr>
          <w:i/>
        </w:rPr>
        <w:t>supra</w:t>
      </w:r>
      <w:r w:rsidR="00CD7943">
        <w:rPr>
          <w:i/>
        </w:rPr>
        <w:t xml:space="preserve">, </w:t>
      </w:r>
      <w:r w:rsidR="00636A82">
        <w:t>para.</w:t>
      </w:r>
      <w:r w:rsidR="00CD7943">
        <w:t xml:space="preserve"> </w:t>
      </w:r>
      <w:r w:rsidR="00636A82">
        <w:fldChar w:fldCharType="begin"/>
      </w:r>
      <w:r w:rsidR="00636A82">
        <w:instrText xml:space="preserve"> REF _Ref453863980 \r \h </w:instrText>
      </w:r>
      <w:r w:rsidR="00636A82">
        <w:fldChar w:fldCharType="separate"/>
      </w:r>
      <w:r w:rsidR="009A1EF4">
        <w:t>11</w:t>
      </w:r>
      <w:r w:rsidR="00636A82">
        <w:fldChar w:fldCharType="end"/>
      </w:r>
      <w:r w:rsidR="00CD7943">
        <w:t>.</w:t>
      </w:r>
      <w:r w:rsidR="00DF7454">
        <w:t xml:space="preserve">  </w:t>
      </w:r>
      <w:r w:rsidR="00DF7454" w:rsidRPr="00DF7454">
        <w:t xml:space="preserve">Moreover, the AFR does not explain how the </w:t>
      </w:r>
      <w:r w:rsidR="00DF7454" w:rsidRPr="00DF7454">
        <w:rPr>
          <w:i/>
        </w:rPr>
        <w:t>2015 Competitive Bidding R&amp;O</w:t>
      </w:r>
      <w:r w:rsidR="00DF7454" w:rsidRPr="00DF7454">
        <w:t xml:space="preserve"> could retroactively change the filing requirements for winning bidders in Auction 97.</w:t>
      </w:r>
      <w:r w:rsidR="00DF7454">
        <w:rPr>
          <w:i/>
        </w:rPr>
        <w:t xml:space="preserve">  </w:t>
      </w:r>
    </w:p>
  </w:footnote>
  <w:footnote w:id="81">
    <w:p w14:paraId="20D40097" w14:textId="589988B9" w:rsidR="00CD7943" w:rsidRDefault="00CD7943">
      <w:pPr>
        <w:pStyle w:val="FootnoteText"/>
      </w:pPr>
      <w:r>
        <w:rPr>
          <w:rStyle w:val="FootnoteReference"/>
        </w:rPr>
        <w:footnoteRef/>
      </w:r>
      <w:r>
        <w:t xml:space="preserve"> </w:t>
      </w:r>
      <w:r w:rsidRPr="00CD7943">
        <w:t xml:space="preserve">The instructions to FCC Form 601, Schedule B, Item 15 explain that this “item must be completed. . . .  Check the appropriate block to. . . Add. . . Agreements or Party(ies) to Agreements.  Enter the unique identifying name of the agreement and check the appropriate block of the party(ies) to agreement for either Entity Name or Individual Name.”  Schedule B “is used to apply for the required license authorization when the Applicant has been determined to be the winning bidder at the close of an FCC auction.  The FCC 601 Main Form must be filed in conjunction with this schedule.”  </w:t>
      </w:r>
    </w:p>
  </w:footnote>
  <w:footnote w:id="82">
    <w:p w14:paraId="002765CB" w14:textId="648D1D8F" w:rsidR="008135FB" w:rsidRDefault="008135FB" w:rsidP="00195622">
      <w:pPr>
        <w:pStyle w:val="FootnoteText"/>
      </w:pPr>
      <w:r>
        <w:rPr>
          <w:rStyle w:val="FootnoteReference"/>
        </w:rPr>
        <w:footnoteRef/>
      </w:r>
      <w:r>
        <w:t xml:space="preserve"> </w:t>
      </w:r>
      <w:hyperlink r:id="rId1" w:history="1">
        <w:r w:rsidR="00FB6D12">
          <w:rPr>
            <w:rStyle w:val="Hyperlink"/>
          </w:rPr>
          <w:t>http://www.reginfo.gov/public/do/PRAOMBHistory?ombControlNumber=3060-0798</w:t>
        </w:r>
      </w:hyperlink>
      <w:r>
        <w:rPr>
          <w:color w:val="1F497D"/>
        </w:rPr>
        <w:t xml:space="preserve">.  </w:t>
      </w:r>
      <w:r>
        <w:rPr>
          <w:i/>
          <w:color w:val="1F497D"/>
        </w:rPr>
        <w:t xml:space="preserve">See </w:t>
      </w:r>
      <w:r w:rsidRPr="00C87C6A">
        <w:rPr>
          <w:i/>
        </w:rPr>
        <w:t xml:space="preserve">Winning Bidders </w:t>
      </w:r>
      <w:r w:rsidRPr="005B2135">
        <w:rPr>
          <w:i/>
        </w:rPr>
        <w:t>PN</w:t>
      </w:r>
      <w:r w:rsidRPr="00C87C6A">
        <w:t xml:space="preserve">, 30 FCC Rcd </w:t>
      </w:r>
      <w:r>
        <w:t xml:space="preserve">630, Attachment D </w:t>
      </w:r>
      <w:r w:rsidRPr="00C87C6A">
        <w:t xml:space="preserve">at </w:t>
      </w:r>
      <w:r>
        <w:t>21</w:t>
      </w:r>
      <w:r w:rsidRPr="00C87C6A">
        <w:t>.</w:t>
      </w:r>
      <w:r w:rsidR="0003458E">
        <w:t xml:space="preserve">  </w:t>
      </w:r>
    </w:p>
  </w:footnote>
  <w:footnote w:id="83">
    <w:p w14:paraId="0278D46C" w14:textId="77777777" w:rsidR="008135FB" w:rsidRDefault="008135FB" w:rsidP="00195622">
      <w:pPr>
        <w:pStyle w:val="FootnoteText"/>
      </w:pPr>
      <w:r>
        <w:rPr>
          <w:rStyle w:val="FootnoteReference"/>
        </w:rPr>
        <w:footnoteRef/>
      </w:r>
      <w:r>
        <w:t xml:space="preserve"> As discussed above, the materials are </w:t>
      </w:r>
      <w:r w:rsidRPr="00451402">
        <w:rPr>
          <w:i/>
        </w:rPr>
        <w:t xml:space="preserve">required </w:t>
      </w:r>
      <w:r>
        <w:t xml:space="preserve">pursuant to our designated rules and procedures.  Therefore, the materials will not returned to the Applicant.  </w:t>
      </w:r>
      <w:r>
        <w:rPr>
          <w:i/>
        </w:rPr>
        <w:t xml:space="preserve">See </w:t>
      </w:r>
      <w:r w:rsidRPr="00800472">
        <w:t>47 C.F.R. § 0.459(</w:t>
      </w:r>
      <w:r>
        <w:t>e</w:t>
      </w:r>
      <w:r w:rsidRPr="00800472">
        <w:t>)</w:t>
      </w:r>
      <w:r>
        <w:t xml:space="preserve">.   </w:t>
      </w:r>
    </w:p>
  </w:footnote>
  <w:footnote w:id="84">
    <w:p w14:paraId="7079E523" w14:textId="77777777" w:rsidR="008135FB" w:rsidRPr="00DC534F" w:rsidRDefault="008135FB" w:rsidP="00195622">
      <w:pPr>
        <w:pStyle w:val="FootnoteText"/>
      </w:pPr>
      <w:r>
        <w:rPr>
          <w:rStyle w:val="FootnoteReference"/>
        </w:rPr>
        <w:footnoteRef/>
      </w:r>
      <w:r>
        <w:t xml:space="preserve"> 47 C.F.R. § 0.459</w:t>
      </w:r>
      <w:r w:rsidRPr="00011398">
        <w:t>(g</w:t>
      </w:r>
      <w:r w:rsidRPr="00DC534F">
        <w:t xml:space="preserve">) (Notice of denial and of the time for seeking review or a judicial stay will be </w:t>
      </w:r>
      <w:r w:rsidRPr="00DC534F">
        <w:rPr>
          <w:iCs/>
        </w:rPr>
        <w:t>given by telephone, with follow-up notice in writing</w:t>
      </w:r>
      <w:r w:rsidRPr="00DC534F">
        <w:rPr>
          <w:i/>
          <w:iCs/>
        </w:rPr>
        <w:t>.</w:t>
      </w:r>
      <w:r w:rsidRPr="00DC534F">
        <w:t xml:space="preserve"> The first day to be counted in computing the time periods established in this paragraph is the day after </w:t>
      </w:r>
      <w:r w:rsidRPr="00DC534F">
        <w:rPr>
          <w:iCs/>
        </w:rPr>
        <w:t>the date of oral notice.</w:t>
      </w:r>
      <w:r w:rsidRPr="00DC534F">
        <w:t xml:space="preserve">”). </w:t>
      </w:r>
    </w:p>
  </w:footnote>
  <w:footnote w:id="85">
    <w:p w14:paraId="0F5856E2" w14:textId="77777777" w:rsidR="008135FB" w:rsidRDefault="008135FB" w:rsidP="00195622">
      <w:pPr>
        <w:pStyle w:val="FootnoteText"/>
      </w:pPr>
      <w:r w:rsidRPr="0046076C">
        <w:rPr>
          <w:rStyle w:val="FootnoteReference"/>
        </w:rPr>
        <w:footnoteRef/>
      </w:r>
      <w:r w:rsidRPr="0046076C">
        <w:t xml:space="preserve"> 47 C.F.R. § 0.459(g).  </w:t>
      </w:r>
      <w:r>
        <w:t xml:space="preserve">As explained above, Mr. Sofio must also amend the application to </w:t>
      </w:r>
      <w:r>
        <w:rPr>
          <w:szCs w:val="22"/>
        </w:rPr>
        <w:t xml:space="preserve">add the names of parties that have entered into agreements with the Applicant on Form 601, Schedule B, Question 15 (and completing any other information required in FCC 601, Schedule B, Question 15) and to summarize those agreements, including providing the names of the parties thereto, in FCC Form 601, Exhibit D.  If Mr. Sofio fails to do so within ten business days from the date of this </w:t>
      </w:r>
      <w:r>
        <w:rPr>
          <w:i/>
          <w:szCs w:val="22"/>
        </w:rPr>
        <w:t xml:space="preserve">Memorandum Opinion and Order </w:t>
      </w:r>
      <w:r>
        <w:rPr>
          <w:szCs w:val="22"/>
        </w:rPr>
        <w:t xml:space="preserve">(if no judicial stay of our </w:t>
      </w:r>
      <w:r w:rsidRPr="00DD1451">
        <w:rPr>
          <w:szCs w:val="22"/>
        </w:rPr>
        <w:t>denial</w:t>
      </w:r>
      <w:r>
        <w:rPr>
          <w:szCs w:val="22"/>
        </w:rPr>
        <w:t xml:space="preserve"> of the confidential treatment is filed) or from the date of a judicial ruling on our </w:t>
      </w:r>
      <w:r w:rsidRPr="00DD1451">
        <w:rPr>
          <w:szCs w:val="22"/>
        </w:rPr>
        <w:t>denial</w:t>
      </w:r>
      <w:r>
        <w:rPr>
          <w:i/>
          <w:szCs w:val="22"/>
        </w:rPr>
        <w:t xml:space="preserve"> </w:t>
      </w:r>
      <w:r>
        <w:rPr>
          <w:szCs w:val="22"/>
        </w:rPr>
        <w:t xml:space="preserve">of the confidential treatment (unless a court orders otherwise), the application will be subject to dismissal for failure to </w:t>
      </w:r>
      <w:r w:rsidRPr="00091A67">
        <w:rPr>
          <w:szCs w:val="22"/>
        </w:rPr>
        <w:t>prosecute.</w:t>
      </w:r>
      <w:r>
        <w:rPr>
          <w:szCs w:val="22"/>
        </w:rPr>
        <w:t xml:space="preserve">  </w:t>
      </w:r>
      <w:r>
        <w:rPr>
          <w:i/>
          <w:szCs w:val="22"/>
        </w:rPr>
        <w:t xml:space="preserve">See </w:t>
      </w:r>
      <w:r>
        <w:t>47 C.F.R. § 1.934(c).</w:t>
      </w:r>
      <w:r>
        <w:rPr>
          <w:szCs w:val="22"/>
        </w:rPr>
        <w:t xml:space="preserve">  </w:t>
      </w:r>
    </w:p>
  </w:footnote>
  <w:footnote w:id="86">
    <w:p w14:paraId="4B09D45F" w14:textId="77777777" w:rsidR="008135FB" w:rsidRPr="0045136D" w:rsidRDefault="008135FB" w:rsidP="00195622">
      <w:pPr>
        <w:spacing w:after="120"/>
        <w:rPr>
          <w:sz w:val="20"/>
        </w:rPr>
      </w:pPr>
      <w:r w:rsidRPr="005A6A12">
        <w:rPr>
          <w:rStyle w:val="FootnoteReference"/>
        </w:rPr>
        <w:footnoteRef/>
      </w:r>
      <w:r>
        <w:rPr>
          <w:sz w:val="20"/>
        </w:rPr>
        <w:t xml:space="preserve"> </w:t>
      </w:r>
      <w:r w:rsidRPr="005A6A12">
        <w:rPr>
          <w:sz w:val="20"/>
        </w:rPr>
        <w:t>47 C.F.R. §§ 0.459(g), 0.461.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43B649" w14:textId="77777777" w:rsidR="00617149" w:rsidRDefault="006171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32943" w14:textId="2FB58E20" w:rsidR="008135FB" w:rsidRDefault="008135FB">
    <w:pPr>
      <w:tabs>
        <w:tab w:val="center" w:pos="4680"/>
        <w:tab w:val="right" w:pos="9360"/>
      </w:tabs>
      <w:suppressAutoHyphens/>
      <w:jc w:val="both"/>
      <w:rPr>
        <w:spacing w:val="-3"/>
        <w:szCs w:val="22"/>
      </w:rPr>
    </w:pPr>
    <w:r>
      <w:rPr>
        <w:b/>
        <w:spacing w:val="-3"/>
        <w:szCs w:val="22"/>
      </w:rPr>
      <w:tab/>
      <w:t>Federal Communications Commission</w:t>
    </w:r>
    <w:r>
      <w:rPr>
        <w:b/>
        <w:spacing w:val="-3"/>
        <w:szCs w:val="22"/>
      </w:rPr>
      <w:tab/>
      <w:t>FCC 1</w:t>
    </w:r>
    <w:r w:rsidR="006C7A00">
      <w:rPr>
        <w:b/>
        <w:spacing w:val="-3"/>
        <w:szCs w:val="22"/>
      </w:rPr>
      <w:t>7</w:t>
    </w:r>
    <w:r>
      <w:rPr>
        <w:b/>
        <w:spacing w:val="-3"/>
        <w:szCs w:val="22"/>
      </w:rPr>
      <w:t>-</w:t>
    </w:r>
    <w:r w:rsidR="0083583F">
      <w:rPr>
        <w:b/>
        <w:spacing w:val="-3"/>
        <w:szCs w:val="22"/>
      </w:rPr>
      <w:t>18</w:t>
    </w:r>
  </w:p>
  <w:p w14:paraId="6C62A18A" w14:textId="77777777" w:rsidR="008135FB" w:rsidRDefault="008135FB">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6704" behindDoc="1" locked="0" layoutInCell="0" allowOverlap="1" wp14:anchorId="461BF4A4" wp14:editId="398506EE">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53CF4514" w14:textId="77777777" w:rsidR="008135FB" w:rsidRDefault="00813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0;width:468pt;height:.9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" o:allowincell="f" fillcolor="black" stroked="f" strokeweight=".05pt">
              <v:textbox>
                <w:txbxContent>
                  <w:p w14:paraId="53CF4514" w14:textId="77777777" w:rsidR="008135FB" w:rsidRDefault="008135FB"/>
                </w:txbxContent>
              </v:textbox>
              <w10:wrap anchorx="margin"/>
            </v:rect>
          </w:pict>
        </mc:Fallback>
      </mc:AlternateContent>
    </w:r>
  </w:p>
  <w:p w14:paraId="1EDC1FCC" w14:textId="77777777" w:rsidR="008135FB" w:rsidRDefault="008135FB">
    <w:pPr>
      <w:spacing w:after="428"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CE0B4A" w14:textId="43C7600E" w:rsidR="008135FB" w:rsidRDefault="008135FB">
    <w:pPr>
      <w:tabs>
        <w:tab w:val="center" w:pos="4680"/>
        <w:tab w:val="right" w:pos="9360"/>
      </w:tabs>
      <w:suppressAutoHyphens/>
      <w:jc w:val="both"/>
      <w:rPr>
        <w:spacing w:val="-3"/>
        <w:szCs w:val="22"/>
      </w:rPr>
    </w:pPr>
    <w:r>
      <w:rPr>
        <w:b/>
        <w:spacing w:val="-3"/>
      </w:rPr>
      <w:tab/>
    </w:r>
    <w:r>
      <w:rPr>
        <w:b/>
        <w:spacing w:val="-3"/>
        <w:szCs w:val="22"/>
      </w:rPr>
      <w:t>Federal Communications Commission</w:t>
    </w:r>
    <w:r>
      <w:rPr>
        <w:b/>
        <w:spacing w:val="-3"/>
        <w:szCs w:val="22"/>
      </w:rPr>
      <w:tab/>
      <w:t>FCC 1</w:t>
    </w:r>
    <w:r w:rsidR="006C7A00">
      <w:rPr>
        <w:b/>
        <w:spacing w:val="-3"/>
        <w:szCs w:val="22"/>
      </w:rPr>
      <w:t>7</w:t>
    </w:r>
    <w:r>
      <w:rPr>
        <w:b/>
        <w:spacing w:val="-3"/>
        <w:szCs w:val="22"/>
      </w:rPr>
      <w:t>-</w:t>
    </w:r>
    <w:r w:rsidR="0083583F">
      <w:rPr>
        <w:b/>
        <w:spacing w:val="-3"/>
        <w:szCs w:val="22"/>
      </w:rPr>
      <w:t>18</w:t>
    </w:r>
  </w:p>
  <w:p w14:paraId="6293D366" w14:textId="77777777" w:rsidR="008135FB" w:rsidRPr="007D7D91" w:rsidRDefault="008135FB" w:rsidP="007D7D91">
    <w:pPr>
      <w:tabs>
        <w:tab w:val="left" w:pos="-720"/>
      </w:tabs>
      <w:suppressAutoHyphens/>
      <w:spacing w:line="19" w:lineRule="exact"/>
      <w:jc w:val="both"/>
      <w:rPr>
        <w:spacing w:val="-3"/>
      </w:rPr>
    </w:pPr>
    <w:r>
      <w:rPr>
        <w:noProof/>
      </w:rPr>
      <mc:AlternateContent>
        <mc:Choice Requires="wps">
          <w:drawing>
            <wp:anchor distT="0" distB="0" distL="114300" distR="114300" simplePos="0" relativeHeight="251657728" behindDoc="1" locked="0" layoutInCell="0" allowOverlap="1" wp14:anchorId="3F67B0A7" wp14:editId="07F0C87E">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txbx>
                      <w:txbxContent>
                        <w:p w14:paraId="1A912A25" w14:textId="77777777" w:rsidR="008135FB" w:rsidRDefault="008135F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0;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" o:allowincell="f" fillcolor="black" stroked="f" strokeweight=".05pt">
              <v:textbox>
                <w:txbxContent>
                  <w:p w14:paraId="1A912A25" w14:textId="77777777" w:rsidR="008135FB" w:rsidRDefault="008135FB"/>
                </w:txbxContent>
              </v:textbox>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820F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577C8B4C"/>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4E531333"/>
    <w:multiLevelType w:val="hybridMultilevel"/>
    <w:tmpl w:val="7DF8F9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F5C13C2"/>
    <w:multiLevelType w:val="hybridMultilevel"/>
    <w:tmpl w:val="015C98D4"/>
    <w:lvl w:ilvl="0" w:tplc="1D3E210A">
      <w:start w:val="1"/>
      <w:numFmt w:val="decimal"/>
      <w:lvlText w:val="%1."/>
      <w:lvlJc w:val="left"/>
      <w:pPr>
        <w:ind w:left="1440" w:hanging="72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5"/>
  </w:num>
  <w:num w:numId="2">
    <w:abstractNumId w:val="7"/>
  </w:num>
  <w:num w:numId="3">
    <w:abstractNumId w:val="8"/>
  </w:num>
  <w:num w:numId="4">
    <w:abstractNumId w:val="0"/>
  </w:num>
  <w:num w:numId="5">
    <w:abstractNumId w:val="2"/>
  </w:num>
  <w:num w:numId="6">
    <w:abstractNumId w:val="9"/>
  </w:num>
  <w:num w:numId="7">
    <w:abstractNumId w:val="4"/>
  </w:num>
  <w:num w:numId="8">
    <w:abstractNumId w:val="6"/>
  </w:num>
  <w:num w:numId="9">
    <w:abstractNumId w:val="3"/>
  </w:num>
  <w:num w:numId="10">
    <w:abstractNumId w:val="1"/>
  </w:num>
  <w:num w:numId="11">
    <w:abstractNumId w:val="9"/>
  </w:num>
  <w:num w:numId="12">
    <w:abstractNumId w:val="9"/>
  </w:num>
  <w:num w:numId="13">
    <w:abstractNumId w:val="9"/>
    <w:lvlOverride w:ilvl="0">
      <w:startOverride w:val="1"/>
    </w:lvlOverride>
  </w:num>
  <w:num w:numId="14">
    <w:abstractNumId w:val="9"/>
    <w:lvlOverride w:ilvl="0">
      <w:startOverride w:val="1"/>
    </w:lvlOverride>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E5"/>
    <w:rsid w:val="00001451"/>
    <w:rsid w:val="000016FA"/>
    <w:rsid w:val="000017A2"/>
    <w:rsid w:val="0000247C"/>
    <w:rsid w:val="00002BBC"/>
    <w:rsid w:val="00004D8D"/>
    <w:rsid w:val="00004F1B"/>
    <w:rsid w:val="000062C5"/>
    <w:rsid w:val="000072D2"/>
    <w:rsid w:val="000106A2"/>
    <w:rsid w:val="000132F0"/>
    <w:rsid w:val="00021473"/>
    <w:rsid w:val="00023146"/>
    <w:rsid w:val="000235DF"/>
    <w:rsid w:val="00023F0F"/>
    <w:rsid w:val="00025290"/>
    <w:rsid w:val="000262DE"/>
    <w:rsid w:val="00026DC9"/>
    <w:rsid w:val="00027272"/>
    <w:rsid w:val="00030495"/>
    <w:rsid w:val="000318D8"/>
    <w:rsid w:val="000320E5"/>
    <w:rsid w:val="00032618"/>
    <w:rsid w:val="0003458E"/>
    <w:rsid w:val="00035EE0"/>
    <w:rsid w:val="00035F6D"/>
    <w:rsid w:val="00040287"/>
    <w:rsid w:val="000408EB"/>
    <w:rsid w:val="00041972"/>
    <w:rsid w:val="00043B4E"/>
    <w:rsid w:val="000441F5"/>
    <w:rsid w:val="00044CA9"/>
    <w:rsid w:val="00047722"/>
    <w:rsid w:val="0005015C"/>
    <w:rsid w:val="00050268"/>
    <w:rsid w:val="00050CED"/>
    <w:rsid w:val="000517B4"/>
    <w:rsid w:val="00051A94"/>
    <w:rsid w:val="000522AC"/>
    <w:rsid w:val="0005370D"/>
    <w:rsid w:val="00053812"/>
    <w:rsid w:val="00055A78"/>
    <w:rsid w:val="00057EBA"/>
    <w:rsid w:val="00060F96"/>
    <w:rsid w:val="000630CC"/>
    <w:rsid w:val="000635D3"/>
    <w:rsid w:val="00064AE0"/>
    <w:rsid w:val="0006656C"/>
    <w:rsid w:val="00072536"/>
    <w:rsid w:val="00074D97"/>
    <w:rsid w:val="0007565A"/>
    <w:rsid w:val="000762B1"/>
    <w:rsid w:val="00076C86"/>
    <w:rsid w:val="000777B7"/>
    <w:rsid w:val="00080C9B"/>
    <w:rsid w:val="00080F0A"/>
    <w:rsid w:val="00084B0F"/>
    <w:rsid w:val="00086C5A"/>
    <w:rsid w:val="00091A67"/>
    <w:rsid w:val="00092C26"/>
    <w:rsid w:val="00093706"/>
    <w:rsid w:val="00094E0D"/>
    <w:rsid w:val="0009566D"/>
    <w:rsid w:val="0009772A"/>
    <w:rsid w:val="000A0F00"/>
    <w:rsid w:val="000A1768"/>
    <w:rsid w:val="000A21F5"/>
    <w:rsid w:val="000A2E42"/>
    <w:rsid w:val="000A5532"/>
    <w:rsid w:val="000A5F8E"/>
    <w:rsid w:val="000A68E1"/>
    <w:rsid w:val="000B267D"/>
    <w:rsid w:val="000B2B3D"/>
    <w:rsid w:val="000B2DA1"/>
    <w:rsid w:val="000B32C2"/>
    <w:rsid w:val="000B3497"/>
    <w:rsid w:val="000B3CDC"/>
    <w:rsid w:val="000B45DA"/>
    <w:rsid w:val="000B5106"/>
    <w:rsid w:val="000B53E1"/>
    <w:rsid w:val="000B5432"/>
    <w:rsid w:val="000B7A69"/>
    <w:rsid w:val="000C0778"/>
    <w:rsid w:val="000C25DB"/>
    <w:rsid w:val="000C3F5E"/>
    <w:rsid w:val="000C770E"/>
    <w:rsid w:val="000D27B6"/>
    <w:rsid w:val="000D441D"/>
    <w:rsid w:val="000E0A71"/>
    <w:rsid w:val="000E0DD8"/>
    <w:rsid w:val="000E1F7A"/>
    <w:rsid w:val="000E273B"/>
    <w:rsid w:val="000E4582"/>
    <w:rsid w:val="000E5256"/>
    <w:rsid w:val="000E7176"/>
    <w:rsid w:val="000E7465"/>
    <w:rsid w:val="000F02A9"/>
    <w:rsid w:val="000F03B8"/>
    <w:rsid w:val="000F1680"/>
    <w:rsid w:val="000F2733"/>
    <w:rsid w:val="000F4D18"/>
    <w:rsid w:val="000F6A2F"/>
    <w:rsid w:val="000F7D26"/>
    <w:rsid w:val="00104E3E"/>
    <w:rsid w:val="00106759"/>
    <w:rsid w:val="00111FEC"/>
    <w:rsid w:val="0011285C"/>
    <w:rsid w:val="00120496"/>
    <w:rsid w:val="0012129B"/>
    <w:rsid w:val="001219AF"/>
    <w:rsid w:val="00123EF7"/>
    <w:rsid w:val="00125327"/>
    <w:rsid w:val="00125758"/>
    <w:rsid w:val="0012605A"/>
    <w:rsid w:val="00126682"/>
    <w:rsid w:val="00130906"/>
    <w:rsid w:val="001336BB"/>
    <w:rsid w:val="0013397D"/>
    <w:rsid w:val="00133C82"/>
    <w:rsid w:val="001347E3"/>
    <w:rsid w:val="00134CE6"/>
    <w:rsid w:val="00136FA4"/>
    <w:rsid w:val="00137AE6"/>
    <w:rsid w:val="00141BF8"/>
    <w:rsid w:val="0014360D"/>
    <w:rsid w:val="00144A0E"/>
    <w:rsid w:val="00144ABD"/>
    <w:rsid w:val="0014515A"/>
    <w:rsid w:val="001478ED"/>
    <w:rsid w:val="0015139B"/>
    <w:rsid w:val="0015160A"/>
    <w:rsid w:val="00152AE7"/>
    <w:rsid w:val="001530F6"/>
    <w:rsid w:val="00154619"/>
    <w:rsid w:val="00154FA4"/>
    <w:rsid w:val="00162699"/>
    <w:rsid w:val="0016362D"/>
    <w:rsid w:val="00167DAF"/>
    <w:rsid w:val="00172268"/>
    <w:rsid w:val="00173650"/>
    <w:rsid w:val="00173C97"/>
    <w:rsid w:val="00174444"/>
    <w:rsid w:val="00174726"/>
    <w:rsid w:val="001749B5"/>
    <w:rsid w:val="0017623B"/>
    <w:rsid w:val="00181CBA"/>
    <w:rsid w:val="00185D20"/>
    <w:rsid w:val="001907FC"/>
    <w:rsid w:val="001916BF"/>
    <w:rsid w:val="00191955"/>
    <w:rsid w:val="00191B74"/>
    <w:rsid w:val="00191DD1"/>
    <w:rsid w:val="00192E52"/>
    <w:rsid w:val="00193178"/>
    <w:rsid w:val="0019351D"/>
    <w:rsid w:val="00194251"/>
    <w:rsid w:val="00195622"/>
    <w:rsid w:val="00196968"/>
    <w:rsid w:val="001A02F0"/>
    <w:rsid w:val="001A0553"/>
    <w:rsid w:val="001A28F8"/>
    <w:rsid w:val="001A2D4B"/>
    <w:rsid w:val="001A668F"/>
    <w:rsid w:val="001B022E"/>
    <w:rsid w:val="001B21DB"/>
    <w:rsid w:val="001B5EED"/>
    <w:rsid w:val="001B5F75"/>
    <w:rsid w:val="001B7397"/>
    <w:rsid w:val="001B7D22"/>
    <w:rsid w:val="001C25D9"/>
    <w:rsid w:val="001C2CBB"/>
    <w:rsid w:val="001C3D19"/>
    <w:rsid w:val="001C4458"/>
    <w:rsid w:val="001C450C"/>
    <w:rsid w:val="001C61E2"/>
    <w:rsid w:val="001C76FB"/>
    <w:rsid w:val="001D0F20"/>
    <w:rsid w:val="001D35FC"/>
    <w:rsid w:val="001D3E7A"/>
    <w:rsid w:val="001D423E"/>
    <w:rsid w:val="001D567D"/>
    <w:rsid w:val="001D7C7F"/>
    <w:rsid w:val="001D7EE8"/>
    <w:rsid w:val="001E0546"/>
    <w:rsid w:val="001E1EF0"/>
    <w:rsid w:val="001E6ACF"/>
    <w:rsid w:val="001E7BFA"/>
    <w:rsid w:val="001E7C2B"/>
    <w:rsid w:val="001F1774"/>
    <w:rsid w:val="001F2B0D"/>
    <w:rsid w:val="001F585C"/>
    <w:rsid w:val="001F5901"/>
    <w:rsid w:val="001F759D"/>
    <w:rsid w:val="00200D6B"/>
    <w:rsid w:val="00201247"/>
    <w:rsid w:val="00201E3D"/>
    <w:rsid w:val="00203CAA"/>
    <w:rsid w:val="00204BFC"/>
    <w:rsid w:val="0020655C"/>
    <w:rsid w:val="00206FCC"/>
    <w:rsid w:val="00213B22"/>
    <w:rsid w:val="00216627"/>
    <w:rsid w:val="00216D2B"/>
    <w:rsid w:val="00217490"/>
    <w:rsid w:val="00217F81"/>
    <w:rsid w:val="0022001C"/>
    <w:rsid w:val="002206D5"/>
    <w:rsid w:val="002229F9"/>
    <w:rsid w:val="00224FFC"/>
    <w:rsid w:val="00225AC3"/>
    <w:rsid w:val="002267DA"/>
    <w:rsid w:val="002322CC"/>
    <w:rsid w:val="00232C81"/>
    <w:rsid w:val="00236FF5"/>
    <w:rsid w:val="00242224"/>
    <w:rsid w:val="00242688"/>
    <w:rsid w:val="00243683"/>
    <w:rsid w:val="00243C6D"/>
    <w:rsid w:val="002539D5"/>
    <w:rsid w:val="00255FC3"/>
    <w:rsid w:val="00257790"/>
    <w:rsid w:val="002611BD"/>
    <w:rsid w:val="00261583"/>
    <w:rsid w:val="00261BC0"/>
    <w:rsid w:val="00262CC6"/>
    <w:rsid w:val="00264945"/>
    <w:rsid w:val="002652D1"/>
    <w:rsid w:val="00265B75"/>
    <w:rsid w:val="00267692"/>
    <w:rsid w:val="002676FF"/>
    <w:rsid w:val="002702B6"/>
    <w:rsid w:val="00270891"/>
    <w:rsid w:val="00273801"/>
    <w:rsid w:val="00273C2D"/>
    <w:rsid w:val="00280B26"/>
    <w:rsid w:val="00281F91"/>
    <w:rsid w:val="0028324C"/>
    <w:rsid w:val="002832A6"/>
    <w:rsid w:val="00283ECE"/>
    <w:rsid w:val="00291EEC"/>
    <w:rsid w:val="002920E4"/>
    <w:rsid w:val="0029387E"/>
    <w:rsid w:val="00294757"/>
    <w:rsid w:val="00297799"/>
    <w:rsid w:val="002A1241"/>
    <w:rsid w:val="002A1267"/>
    <w:rsid w:val="002A2620"/>
    <w:rsid w:val="002A2DEB"/>
    <w:rsid w:val="002A52A9"/>
    <w:rsid w:val="002A69FD"/>
    <w:rsid w:val="002A7D11"/>
    <w:rsid w:val="002B1C73"/>
    <w:rsid w:val="002B3D1D"/>
    <w:rsid w:val="002B44B8"/>
    <w:rsid w:val="002B5925"/>
    <w:rsid w:val="002B6664"/>
    <w:rsid w:val="002B66B1"/>
    <w:rsid w:val="002B6803"/>
    <w:rsid w:val="002B6FA2"/>
    <w:rsid w:val="002B71AD"/>
    <w:rsid w:val="002B75A9"/>
    <w:rsid w:val="002C0104"/>
    <w:rsid w:val="002C0A8D"/>
    <w:rsid w:val="002C0EE0"/>
    <w:rsid w:val="002C5469"/>
    <w:rsid w:val="002C54EF"/>
    <w:rsid w:val="002D1491"/>
    <w:rsid w:val="002D25E7"/>
    <w:rsid w:val="002D3C72"/>
    <w:rsid w:val="002D5C2A"/>
    <w:rsid w:val="002D633C"/>
    <w:rsid w:val="002D6474"/>
    <w:rsid w:val="002D697B"/>
    <w:rsid w:val="002D7BBF"/>
    <w:rsid w:val="002E02E6"/>
    <w:rsid w:val="002E29F9"/>
    <w:rsid w:val="002E3174"/>
    <w:rsid w:val="002E3E74"/>
    <w:rsid w:val="002E464E"/>
    <w:rsid w:val="002E4967"/>
    <w:rsid w:val="002E5295"/>
    <w:rsid w:val="002E5874"/>
    <w:rsid w:val="002E5AB2"/>
    <w:rsid w:val="002E5CA5"/>
    <w:rsid w:val="002E64F5"/>
    <w:rsid w:val="002E68F6"/>
    <w:rsid w:val="002F0536"/>
    <w:rsid w:val="002F4519"/>
    <w:rsid w:val="002F4F4A"/>
    <w:rsid w:val="002F5330"/>
    <w:rsid w:val="002F569E"/>
    <w:rsid w:val="002F5930"/>
    <w:rsid w:val="0030006C"/>
    <w:rsid w:val="00302F3B"/>
    <w:rsid w:val="003044E0"/>
    <w:rsid w:val="0030563A"/>
    <w:rsid w:val="00306C01"/>
    <w:rsid w:val="003077A6"/>
    <w:rsid w:val="00310274"/>
    <w:rsid w:val="00310578"/>
    <w:rsid w:val="00313D61"/>
    <w:rsid w:val="00315C78"/>
    <w:rsid w:val="003173E5"/>
    <w:rsid w:val="003212F9"/>
    <w:rsid w:val="003227A8"/>
    <w:rsid w:val="00323868"/>
    <w:rsid w:val="00323C1B"/>
    <w:rsid w:val="003241B6"/>
    <w:rsid w:val="00330945"/>
    <w:rsid w:val="00331DE3"/>
    <w:rsid w:val="00332488"/>
    <w:rsid w:val="00332DA0"/>
    <w:rsid w:val="003338BF"/>
    <w:rsid w:val="00333B5D"/>
    <w:rsid w:val="00333BB5"/>
    <w:rsid w:val="003365FE"/>
    <w:rsid w:val="003414FF"/>
    <w:rsid w:val="0034158D"/>
    <w:rsid w:val="00341C27"/>
    <w:rsid w:val="00342562"/>
    <w:rsid w:val="00343DBC"/>
    <w:rsid w:val="003445AB"/>
    <w:rsid w:val="00344CC4"/>
    <w:rsid w:val="00346EF6"/>
    <w:rsid w:val="003511A4"/>
    <w:rsid w:val="00353D77"/>
    <w:rsid w:val="00356F51"/>
    <w:rsid w:val="00360461"/>
    <w:rsid w:val="003604B8"/>
    <w:rsid w:val="00361FDD"/>
    <w:rsid w:val="0036475F"/>
    <w:rsid w:val="00372B56"/>
    <w:rsid w:val="00372F21"/>
    <w:rsid w:val="003736BF"/>
    <w:rsid w:val="00373DB7"/>
    <w:rsid w:val="00380E33"/>
    <w:rsid w:val="00381369"/>
    <w:rsid w:val="003843C6"/>
    <w:rsid w:val="00385E9B"/>
    <w:rsid w:val="0038697F"/>
    <w:rsid w:val="0038720D"/>
    <w:rsid w:val="0039092B"/>
    <w:rsid w:val="00391851"/>
    <w:rsid w:val="00391ABD"/>
    <w:rsid w:val="00392526"/>
    <w:rsid w:val="00393B66"/>
    <w:rsid w:val="00393EB4"/>
    <w:rsid w:val="00393F45"/>
    <w:rsid w:val="00396707"/>
    <w:rsid w:val="003A0EAC"/>
    <w:rsid w:val="003A1E34"/>
    <w:rsid w:val="003A261D"/>
    <w:rsid w:val="003A27FF"/>
    <w:rsid w:val="003A2BA6"/>
    <w:rsid w:val="003A3BD8"/>
    <w:rsid w:val="003A4B10"/>
    <w:rsid w:val="003A50CE"/>
    <w:rsid w:val="003A5B08"/>
    <w:rsid w:val="003A6B5D"/>
    <w:rsid w:val="003A701A"/>
    <w:rsid w:val="003B4A2A"/>
    <w:rsid w:val="003B5B49"/>
    <w:rsid w:val="003B5F8A"/>
    <w:rsid w:val="003C0CD1"/>
    <w:rsid w:val="003C1EDF"/>
    <w:rsid w:val="003C4CE4"/>
    <w:rsid w:val="003C67AA"/>
    <w:rsid w:val="003C6A6E"/>
    <w:rsid w:val="003D0E00"/>
    <w:rsid w:val="003D3CD9"/>
    <w:rsid w:val="003D4D42"/>
    <w:rsid w:val="003D5154"/>
    <w:rsid w:val="003D5807"/>
    <w:rsid w:val="003D5A65"/>
    <w:rsid w:val="003D6802"/>
    <w:rsid w:val="003D6916"/>
    <w:rsid w:val="003E09A9"/>
    <w:rsid w:val="003E0E21"/>
    <w:rsid w:val="003E1F1E"/>
    <w:rsid w:val="003E25BE"/>
    <w:rsid w:val="003E4288"/>
    <w:rsid w:val="003E4EE2"/>
    <w:rsid w:val="003E678B"/>
    <w:rsid w:val="003E6AB0"/>
    <w:rsid w:val="003E7645"/>
    <w:rsid w:val="003E7E9C"/>
    <w:rsid w:val="003F504A"/>
    <w:rsid w:val="003F5852"/>
    <w:rsid w:val="004011D4"/>
    <w:rsid w:val="0040185E"/>
    <w:rsid w:val="00403F2C"/>
    <w:rsid w:val="004042D0"/>
    <w:rsid w:val="0040704B"/>
    <w:rsid w:val="00410926"/>
    <w:rsid w:val="00412184"/>
    <w:rsid w:val="00412E00"/>
    <w:rsid w:val="00414263"/>
    <w:rsid w:val="00415E69"/>
    <w:rsid w:val="00416A37"/>
    <w:rsid w:val="00417EBF"/>
    <w:rsid w:val="004207FE"/>
    <w:rsid w:val="004211F3"/>
    <w:rsid w:val="00421D35"/>
    <w:rsid w:val="00422446"/>
    <w:rsid w:val="00423833"/>
    <w:rsid w:val="00423BEA"/>
    <w:rsid w:val="004250BC"/>
    <w:rsid w:val="00425D42"/>
    <w:rsid w:val="004266FB"/>
    <w:rsid w:val="00427D78"/>
    <w:rsid w:val="004310B1"/>
    <w:rsid w:val="0043288A"/>
    <w:rsid w:val="00432BE7"/>
    <w:rsid w:val="004340F8"/>
    <w:rsid w:val="00434125"/>
    <w:rsid w:val="00434715"/>
    <w:rsid w:val="00435120"/>
    <w:rsid w:val="00436A64"/>
    <w:rsid w:val="00437A85"/>
    <w:rsid w:val="00440AFD"/>
    <w:rsid w:val="00440B54"/>
    <w:rsid w:val="0044542F"/>
    <w:rsid w:val="00445800"/>
    <w:rsid w:val="004467A2"/>
    <w:rsid w:val="0045136D"/>
    <w:rsid w:val="00451402"/>
    <w:rsid w:val="00452394"/>
    <w:rsid w:val="00452D43"/>
    <w:rsid w:val="00456676"/>
    <w:rsid w:val="0045684F"/>
    <w:rsid w:val="004575DF"/>
    <w:rsid w:val="00457C3B"/>
    <w:rsid w:val="004639CD"/>
    <w:rsid w:val="00467A33"/>
    <w:rsid w:val="0047162B"/>
    <w:rsid w:val="00471E8D"/>
    <w:rsid w:val="00474860"/>
    <w:rsid w:val="00475A7C"/>
    <w:rsid w:val="00477355"/>
    <w:rsid w:val="0047761F"/>
    <w:rsid w:val="00480791"/>
    <w:rsid w:val="00480CCF"/>
    <w:rsid w:val="004811CB"/>
    <w:rsid w:val="00481326"/>
    <w:rsid w:val="00481E81"/>
    <w:rsid w:val="00482222"/>
    <w:rsid w:val="00483B0C"/>
    <w:rsid w:val="00485148"/>
    <w:rsid w:val="0048531C"/>
    <w:rsid w:val="00486A15"/>
    <w:rsid w:val="004901ED"/>
    <w:rsid w:val="0049100C"/>
    <w:rsid w:val="004915D0"/>
    <w:rsid w:val="00493DC8"/>
    <w:rsid w:val="0049515A"/>
    <w:rsid w:val="00496DDD"/>
    <w:rsid w:val="004A0C1C"/>
    <w:rsid w:val="004A1D16"/>
    <w:rsid w:val="004A6A19"/>
    <w:rsid w:val="004B2584"/>
    <w:rsid w:val="004B437F"/>
    <w:rsid w:val="004B4760"/>
    <w:rsid w:val="004B7BAD"/>
    <w:rsid w:val="004C2267"/>
    <w:rsid w:val="004C29FF"/>
    <w:rsid w:val="004C2C0E"/>
    <w:rsid w:val="004C4BD1"/>
    <w:rsid w:val="004C4CD0"/>
    <w:rsid w:val="004C70BB"/>
    <w:rsid w:val="004C75FD"/>
    <w:rsid w:val="004D149E"/>
    <w:rsid w:val="004D24FD"/>
    <w:rsid w:val="004D25D4"/>
    <w:rsid w:val="004D2F37"/>
    <w:rsid w:val="004D46D8"/>
    <w:rsid w:val="004D78A1"/>
    <w:rsid w:val="004E00C8"/>
    <w:rsid w:val="004E30F8"/>
    <w:rsid w:val="004E45C0"/>
    <w:rsid w:val="004E5572"/>
    <w:rsid w:val="004E6B50"/>
    <w:rsid w:val="004E7D13"/>
    <w:rsid w:val="004F307A"/>
    <w:rsid w:val="004F397E"/>
    <w:rsid w:val="004F5416"/>
    <w:rsid w:val="004F6305"/>
    <w:rsid w:val="004F649D"/>
    <w:rsid w:val="00503F5E"/>
    <w:rsid w:val="00506570"/>
    <w:rsid w:val="00506604"/>
    <w:rsid w:val="005076CB"/>
    <w:rsid w:val="00507A1E"/>
    <w:rsid w:val="005102E0"/>
    <w:rsid w:val="00510E62"/>
    <w:rsid w:val="00512091"/>
    <w:rsid w:val="00513101"/>
    <w:rsid w:val="005143D0"/>
    <w:rsid w:val="00515D43"/>
    <w:rsid w:val="00520C49"/>
    <w:rsid w:val="0052156A"/>
    <w:rsid w:val="00525216"/>
    <w:rsid w:val="00525A1C"/>
    <w:rsid w:val="00525ECE"/>
    <w:rsid w:val="00527326"/>
    <w:rsid w:val="00527555"/>
    <w:rsid w:val="005301FB"/>
    <w:rsid w:val="0053156D"/>
    <w:rsid w:val="005333A1"/>
    <w:rsid w:val="00533EBA"/>
    <w:rsid w:val="00534572"/>
    <w:rsid w:val="005348AF"/>
    <w:rsid w:val="00535F28"/>
    <w:rsid w:val="005364B1"/>
    <w:rsid w:val="0053729A"/>
    <w:rsid w:val="005414F9"/>
    <w:rsid w:val="005420FD"/>
    <w:rsid w:val="0054238A"/>
    <w:rsid w:val="00542894"/>
    <w:rsid w:val="005428F4"/>
    <w:rsid w:val="0054478A"/>
    <w:rsid w:val="00546111"/>
    <w:rsid w:val="0054624A"/>
    <w:rsid w:val="00552179"/>
    <w:rsid w:val="0055389C"/>
    <w:rsid w:val="00553E2C"/>
    <w:rsid w:val="005548A9"/>
    <w:rsid w:val="0055652C"/>
    <w:rsid w:val="00556A74"/>
    <w:rsid w:val="00557F80"/>
    <w:rsid w:val="00560414"/>
    <w:rsid w:val="005605E9"/>
    <w:rsid w:val="00560797"/>
    <w:rsid w:val="00560D0F"/>
    <w:rsid w:val="00560EC7"/>
    <w:rsid w:val="0056292F"/>
    <w:rsid w:val="00563239"/>
    <w:rsid w:val="00564161"/>
    <w:rsid w:val="00564793"/>
    <w:rsid w:val="00564C5D"/>
    <w:rsid w:val="00567589"/>
    <w:rsid w:val="005675CB"/>
    <w:rsid w:val="00567E13"/>
    <w:rsid w:val="005700CD"/>
    <w:rsid w:val="00571288"/>
    <w:rsid w:val="005713EE"/>
    <w:rsid w:val="0057380F"/>
    <w:rsid w:val="00575265"/>
    <w:rsid w:val="00576BD2"/>
    <w:rsid w:val="00580043"/>
    <w:rsid w:val="0058085E"/>
    <w:rsid w:val="00580885"/>
    <w:rsid w:val="00580C5D"/>
    <w:rsid w:val="005814B5"/>
    <w:rsid w:val="00582FC5"/>
    <w:rsid w:val="00583206"/>
    <w:rsid w:val="00583DA9"/>
    <w:rsid w:val="00586D1E"/>
    <w:rsid w:val="00587637"/>
    <w:rsid w:val="00590831"/>
    <w:rsid w:val="00592412"/>
    <w:rsid w:val="005940A9"/>
    <w:rsid w:val="00594B4F"/>
    <w:rsid w:val="00594F38"/>
    <w:rsid w:val="00596E87"/>
    <w:rsid w:val="005A2A59"/>
    <w:rsid w:val="005A34BD"/>
    <w:rsid w:val="005A5396"/>
    <w:rsid w:val="005A6A12"/>
    <w:rsid w:val="005A7800"/>
    <w:rsid w:val="005B0C39"/>
    <w:rsid w:val="005B10C4"/>
    <w:rsid w:val="005B2922"/>
    <w:rsid w:val="005B35C8"/>
    <w:rsid w:val="005B4869"/>
    <w:rsid w:val="005C247C"/>
    <w:rsid w:val="005C4A8E"/>
    <w:rsid w:val="005C762B"/>
    <w:rsid w:val="005C7ABC"/>
    <w:rsid w:val="005C7F26"/>
    <w:rsid w:val="005D0400"/>
    <w:rsid w:val="005D387D"/>
    <w:rsid w:val="005D4262"/>
    <w:rsid w:val="005D48F6"/>
    <w:rsid w:val="005D6757"/>
    <w:rsid w:val="005D7C87"/>
    <w:rsid w:val="005E0AD1"/>
    <w:rsid w:val="005E111E"/>
    <w:rsid w:val="005E56C8"/>
    <w:rsid w:val="005E5B87"/>
    <w:rsid w:val="005E7395"/>
    <w:rsid w:val="005E79E3"/>
    <w:rsid w:val="005F2651"/>
    <w:rsid w:val="005F27D2"/>
    <w:rsid w:val="005F3701"/>
    <w:rsid w:val="005F44F6"/>
    <w:rsid w:val="005F5038"/>
    <w:rsid w:val="005F5C67"/>
    <w:rsid w:val="005F6C54"/>
    <w:rsid w:val="005F7E11"/>
    <w:rsid w:val="006013E3"/>
    <w:rsid w:val="00603152"/>
    <w:rsid w:val="00603F10"/>
    <w:rsid w:val="0060694A"/>
    <w:rsid w:val="00606D5D"/>
    <w:rsid w:val="0061147E"/>
    <w:rsid w:val="006122F1"/>
    <w:rsid w:val="00613E50"/>
    <w:rsid w:val="00616AA5"/>
    <w:rsid w:val="00617149"/>
    <w:rsid w:val="00617409"/>
    <w:rsid w:val="00617A58"/>
    <w:rsid w:val="0062282E"/>
    <w:rsid w:val="0062298B"/>
    <w:rsid w:val="00623E0F"/>
    <w:rsid w:val="00624999"/>
    <w:rsid w:val="00625CBA"/>
    <w:rsid w:val="006264AA"/>
    <w:rsid w:val="00627255"/>
    <w:rsid w:val="0063225B"/>
    <w:rsid w:val="006329C6"/>
    <w:rsid w:val="00633431"/>
    <w:rsid w:val="00636776"/>
    <w:rsid w:val="00636A82"/>
    <w:rsid w:val="00637A7C"/>
    <w:rsid w:val="00637B1F"/>
    <w:rsid w:val="00641E95"/>
    <w:rsid w:val="00642545"/>
    <w:rsid w:val="00642CF7"/>
    <w:rsid w:val="00644F94"/>
    <w:rsid w:val="006466AC"/>
    <w:rsid w:val="0064699B"/>
    <w:rsid w:val="00647CFD"/>
    <w:rsid w:val="006520B7"/>
    <w:rsid w:val="00654E66"/>
    <w:rsid w:val="0066021D"/>
    <w:rsid w:val="00661F88"/>
    <w:rsid w:val="006636BC"/>
    <w:rsid w:val="006637F3"/>
    <w:rsid w:val="00665802"/>
    <w:rsid w:val="00666B49"/>
    <w:rsid w:val="00666B8E"/>
    <w:rsid w:val="0066701A"/>
    <w:rsid w:val="00667C7A"/>
    <w:rsid w:val="00672ECF"/>
    <w:rsid w:val="006758A9"/>
    <w:rsid w:val="00675ED9"/>
    <w:rsid w:val="0067611B"/>
    <w:rsid w:val="00676656"/>
    <w:rsid w:val="00677ACD"/>
    <w:rsid w:val="0068054C"/>
    <w:rsid w:val="0068081B"/>
    <w:rsid w:val="00680B7A"/>
    <w:rsid w:val="00683346"/>
    <w:rsid w:val="00684326"/>
    <w:rsid w:val="00686150"/>
    <w:rsid w:val="006908D8"/>
    <w:rsid w:val="00693174"/>
    <w:rsid w:val="00694506"/>
    <w:rsid w:val="00694862"/>
    <w:rsid w:val="006A041F"/>
    <w:rsid w:val="006A15DD"/>
    <w:rsid w:val="006A1BFD"/>
    <w:rsid w:val="006A2A35"/>
    <w:rsid w:val="006A2E0C"/>
    <w:rsid w:val="006A30CD"/>
    <w:rsid w:val="006A4E4D"/>
    <w:rsid w:val="006A56E5"/>
    <w:rsid w:val="006A575C"/>
    <w:rsid w:val="006A6478"/>
    <w:rsid w:val="006A6DB5"/>
    <w:rsid w:val="006A74D9"/>
    <w:rsid w:val="006B195B"/>
    <w:rsid w:val="006B1E43"/>
    <w:rsid w:val="006B38B1"/>
    <w:rsid w:val="006B38E5"/>
    <w:rsid w:val="006B417A"/>
    <w:rsid w:val="006B46B5"/>
    <w:rsid w:val="006B5713"/>
    <w:rsid w:val="006B5936"/>
    <w:rsid w:val="006B635C"/>
    <w:rsid w:val="006B780C"/>
    <w:rsid w:val="006C0C1A"/>
    <w:rsid w:val="006C19DB"/>
    <w:rsid w:val="006C2B04"/>
    <w:rsid w:val="006C35A1"/>
    <w:rsid w:val="006C39D3"/>
    <w:rsid w:val="006C570F"/>
    <w:rsid w:val="006C7826"/>
    <w:rsid w:val="006C7A00"/>
    <w:rsid w:val="006D1694"/>
    <w:rsid w:val="006D2CE4"/>
    <w:rsid w:val="006D4F30"/>
    <w:rsid w:val="006D67EB"/>
    <w:rsid w:val="006D701C"/>
    <w:rsid w:val="006D75F8"/>
    <w:rsid w:val="006E6B1D"/>
    <w:rsid w:val="006E7A83"/>
    <w:rsid w:val="006F55A9"/>
    <w:rsid w:val="006F7522"/>
    <w:rsid w:val="00705DA5"/>
    <w:rsid w:val="007129EA"/>
    <w:rsid w:val="00713488"/>
    <w:rsid w:val="00713971"/>
    <w:rsid w:val="0071649D"/>
    <w:rsid w:val="00717869"/>
    <w:rsid w:val="0072478E"/>
    <w:rsid w:val="00726352"/>
    <w:rsid w:val="00726992"/>
    <w:rsid w:val="0072737D"/>
    <w:rsid w:val="00727AA7"/>
    <w:rsid w:val="00727E66"/>
    <w:rsid w:val="007313A7"/>
    <w:rsid w:val="007317ED"/>
    <w:rsid w:val="00733900"/>
    <w:rsid w:val="00735AA8"/>
    <w:rsid w:val="00737754"/>
    <w:rsid w:val="00740BB6"/>
    <w:rsid w:val="007414F5"/>
    <w:rsid w:val="00741E9A"/>
    <w:rsid w:val="00742BCC"/>
    <w:rsid w:val="00744A69"/>
    <w:rsid w:val="00744C5E"/>
    <w:rsid w:val="00744EBC"/>
    <w:rsid w:val="00744F54"/>
    <w:rsid w:val="00746372"/>
    <w:rsid w:val="00746942"/>
    <w:rsid w:val="00751740"/>
    <w:rsid w:val="007517CE"/>
    <w:rsid w:val="00752521"/>
    <w:rsid w:val="00754D7E"/>
    <w:rsid w:val="00755FAF"/>
    <w:rsid w:val="00757956"/>
    <w:rsid w:val="00757BE0"/>
    <w:rsid w:val="00757C2C"/>
    <w:rsid w:val="00760969"/>
    <w:rsid w:val="00761659"/>
    <w:rsid w:val="00764932"/>
    <w:rsid w:val="0076640D"/>
    <w:rsid w:val="00770D6B"/>
    <w:rsid w:val="0077355E"/>
    <w:rsid w:val="00774059"/>
    <w:rsid w:val="00774D61"/>
    <w:rsid w:val="00777F2E"/>
    <w:rsid w:val="00780930"/>
    <w:rsid w:val="00784CAC"/>
    <w:rsid w:val="0078529A"/>
    <w:rsid w:val="007854DE"/>
    <w:rsid w:val="00787B95"/>
    <w:rsid w:val="00790C7D"/>
    <w:rsid w:val="00793469"/>
    <w:rsid w:val="007947E7"/>
    <w:rsid w:val="00794A43"/>
    <w:rsid w:val="00794F45"/>
    <w:rsid w:val="007969F5"/>
    <w:rsid w:val="007A45A3"/>
    <w:rsid w:val="007A5836"/>
    <w:rsid w:val="007A75A3"/>
    <w:rsid w:val="007A7DBC"/>
    <w:rsid w:val="007A7F88"/>
    <w:rsid w:val="007B4A05"/>
    <w:rsid w:val="007B6170"/>
    <w:rsid w:val="007B78DF"/>
    <w:rsid w:val="007C0637"/>
    <w:rsid w:val="007C2A18"/>
    <w:rsid w:val="007C2CA7"/>
    <w:rsid w:val="007C3920"/>
    <w:rsid w:val="007D04A9"/>
    <w:rsid w:val="007D34E8"/>
    <w:rsid w:val="007D4728"/>
    <w:rsid w:val="007D4DFF"/>
    <w:rsid w:val="007D5968"/>
    <w:rsid w:val="007D5BEA"/>
    <w:rsid w:val="007D72F6"/>
    <w:rsid w:val="007D7D91"/>
    <w:rsid w:val="007E0879"/>
    <w:rsid w:val="007E1CFD"/>
    <w:rsid w:val="007E6B39"/>
    <w:rsid w:val="007E7323"/>
    <w:rsid w:val="007E78B5"/>
    <w:rsid w:val="007E7BB3"/>
    <w:rsid w:val="007F0279"/>
    <w:rsid w:val="007F2B88"/>
    <w:rsid w:val="007F33F6"/>
    <w:rsid w:val="007F3D5B"/>
    <w:rsid w:val="007F4D6D"/>
    <w:rsid w:val="007F622B"/>
    <w:rsid w:val="007F682A"/>
    <w:rsid w:val="007F723D"/>
    <w:rsid w:val="00800472"/>
    <w:rsid w:val="008008BF"/>
    <w:rsid w:val="00804532"/>
    <w:rsid w:val="0080514D"/>
    <w:rsid w:val="008056D5"/>
    <w:rsid w:val="00806938"/>
    <w:rsid w:val="00807218"/>
    <w:rsid w:val="00807751"/>
    <w:rsid w:val="00807BA3"/>
    <w:rsid w:val="00810264"/>
    <w:rsid w:val="008124BF"/>
    <w:rsid w:val="008135FB"/>
    <w:rsid w:val="00813770"/>
    <w:rsid w:val="008157D8"/>
    <w:rsid w:val="00815883"/>
    <w:rsid w:val="00820EFC"/>
    <w:rsid w:val="0082110A"/>
    <w:rsid w:val="00823070"/>
    <w:rsid w:val="008230FD"/>
    <w:rsid w:val="00831326"/>
    <w:rsid w:val="0083583F"/>
    <w:rsid w:val="0083608B"/>
    <w:rsid w:val="00837AF3"/>
    <w:rsid w:val="00837CA1"/>
    <w:rsid w:val="00837CFA"/>
    <w:rsid w:val="00840ADA"/>
    <w:rsid w:val="00841665"/>
    <w:rsid w:val="00843A9A"/>
    <w:rsid w:val="00845DD4"/>
    <w:rsid w:val="0084679B"/>
    <w:rsid w:val="008505DC"/>
    <w:rsid w:val="0085164F"/>
    <w:rsid w:val="008523D1"/>
    <w:rsid w:val="00852FB4"/>
    <w:rsid w:val="0085381C"/>
    <w:rsid w:val="00857155"/>
    <w:rsid w:val="0086594B"/>
    <w:rsid w:val="00866EC0"/>
    <w:rsid w:val="008715F2"/>
    <w:rsid w:val="00872DEA"/>
    <w:rsid w:val="008760E2"/>
    <w:rsid w:val="008800D2"/>
    <w:rsid w:val="00880FB8"/>
    <w:rsid w:val="00881400"/>
    <w:rsid w:val="0088287B"/>
    <w:rsid w:val="00884A8A"/>
    <w:rsid w:val="00885604"/>
    <w:rsid w:val="008872C8"/>
    <w:rsid w:val="008872EB"/>
    <w:rsid w:val="00891382"/>
    <w:rsid w:val="008917F9"/>
    <w:rsid w:val="00892AA0"/>
    <w:rsid w:val="008930E6"/>
    <w:rsid w:val="0089468B"/>
    <w:rsid w:val="008948BC"/>
    <w:rsid w:val="008963AC"/>
    <w:rsid w:val="00896883"/>
    <w:rsid w:val="0089699B"/>
    <w:rsid w:val="008976D5"/>
    <w:rsid w:val="008A2FB0"/>
    <w:rsid w:val="008A39FF"/>
    <w:rsid w:val="008A4F98"/>
    <w:rsid w:val="008A5F6D"/>
    <w:rsid w:val="008A7C19"/>
    <w:rsid w:val="008B0BA1"/>
    <w:rsid w:val="008B0E73"/>
    <w:rsid w:val="008B0F72"/>
    <w:rsid w:val="008B106E"/>
    <w:rsid w:val="008B19D1"/>
    <w:rsid w:val="008B1D2F"/>
    <w:rsid w:val="008B2BE1"/>
    <w:rsid w:val="008B5F45"/>
    <w:rsid w:val="008B7A09"/>
    <w:rsid w:val="008C746F"/>
    <w:rsid w:val="008C7A42"/>
    <w:rsid w:val="008D1529"/>
    <w:rsid w:val="008D35E8"/>
    <w:rsid w:val="008D4218"/>
    <w:rsid w:val="008D517C"/>
    <w:rsid w:val="008D5899"/>
    <w:rsid w:val="008D5A95"/>
    <w:rsid w:val="008E02FD"/>
    <w:rsid w:val="008E0BF3"/>
    <w:rsid w:val="008E3D67"/>
    <w:rsid w:val="008E5B9E"/>
    <w:rsid w:val="008E751B"/>
    <w:rsid w:val="008E7A3E"/>
    <w:rsid w:val="008E7EC9"/>
    <w:rsid w:val="008F0C1E"/>
    <w:rsid w:val="008F41C2"/>
    <w:rsid w:val="008F5AA2"/>
    <w:rsid w:val="008F5E4E"/>
    <w:rsid w:val="009015B0"/>
    <w:rsid w:val="00902ADF"/>
    <w:rsid w:val="00903BEF"/>
    <w:rsid w:val="00904170"/>
    <w:rsid w:val="00905881"/>
    <w:rsid w:val="00905F73"/>
    <w:rsid w:val="0090685C"/>
    <w:rsid w:val="00906970"/>
    <w:rsid w:val="00906C9A"/>
    <w:rsid w:val="00906F47"/>
    <w:rsid w:val="00907060"/>
    <w:rsid w:val="00912006"/>
    <w:rsid w:val="00914E1F"/>
    <w:rsid w:val="00917843"/>
    <w:rsid w:val="00920195"/>
    <w:rsid w:val="009201BA"/>
    <w:rsid w:val="009203FA"/>
    <w:rsid w:val="009212CF"/>
    <w:rsid w:val="00921EC2"/>
    <w:rsid w:val="00923A77"/>
    <w:rsid w:val="00924766"/>
    <w:rsid w:val="009259D2"/>
    <w:rsid w:val="009265F0"/>
    <w:rsid w:val="00926A33"/>
    <w:rsid w:val="009303CB"/>
    <w:rsid w:val="009306A4"/>
    <w:rsid w:val="0093232A"/>
    <w:rsid w:val="00932AB5"/>
    <w:rsid w:val="0093438B"/>
    <w:rsid w:val="0093558D"/>
    <w:rsid w:val="00936E54"/>
    <w:rsid w:val="00940718"/>
    <w:rsid w:val="00946DC9"/>
    <w:rsid w:val="00947008"/>
    <w:rsid w:val="0095084F"/>
    <w:rsid w:val="00950EC3"/>
    <w:rsid w:val="009517C9"/>
    <w:rsid w:val="0095264A"/>
    <w:rsid w:val="009528BD"/>
    <w:rsid w:val="00952A98"/>
    <w:rsid w:val="009534B2"/>
    <w:rsid w:val="0095395A"/>
    <w:rsid w:val="009550A0"/>
    <w:rsid w:val="00955D5C"/>
    <w:rsid w:val="009570A0"/>
    <w:rsid w:val="009575E5"/>
    <w:rsid w:val="00960067"/>
    <w:rsid w:val="00960A35"/>
    <w:rsid w:val="0096272E"/>
    <w:rsid w:val="0096586E"/>
    <w:rsid w:val="00966EDC"/>
    <w:rsid w:val="00967641"/>
    <w:rsid w:val="009678A7"/>
    <w:rsid w:val="00971F02"/>
    <w:rsid w:val="00973BFD"/>
    <w:rsid w:val="00974780"/>
    <w:rsid w:val="00975C68"/>
    <w:rsid w:val="00975EAB"/>
    <w:rsid w:val="00976AD3"/>
    <w:rsid w:val="00976BEB"/>
    <w:rsid w:val="0098168A"/>
    <w:rsid w:val="00983BD2"/>
    <w:rsid w:val="00986AE3"/>
    <w:rsid w:val="00986C14"/>
    <w:rsid w:val="00987C83"/>
    <w:rsid w:val="00987E91"/>
    <w:rsid w:val="009905DA"/>
    <w:rsid w:val="009915EE"/>
    <w:rsid w:val="00991AB6"/>
    <w:rsid w:val="00994A50"/>
    <w:rsid w:val="00994E72"/>
    <w:rsid w:val="0099578B"/>
    <w:rsid w:val="00996503"/>
    <w:rsid w:val="009A1D3B"/>
    <w:rsid w:val="009A1DEB"/>
    <w:rsid w:val="009A1EF4"/>
    <w:rsid w:val="009A207E"/>
    <w:rsid w:val="009A2CC8"/>
    <w:rsid w:val="009A349A"/>
    <w:rsid w:val="009A3D9A"/>
    <w:rsid w:val="009A40EE"/>
    <w:rsid w:val="009B0EA2"/>
    <w:rsid w:val="009B2AFC"/>
    <w:rsid w:val="009B380A"/>
    <w:rsid w:val="009B459F"/>
    <w:rsid w:val="009B6959"/>
    <w:rsid w:val="009B76D0"/>
    <w:rsid w:val="009C1AD9"/>
    <w:rsid w:val="009C1CEE"/>
    <w:rsid w:val="009C235C"/>
    <w:rsid w:val="009C7533"/>
    <w:rsid w:val="009C7742"/>
    <w:rsid w:val="009D11E6"/>
    <w:rsid w:val="009D1EC7"/>
    <w:rsid w:val="009D5561"/>
    <w:rsid w:val="009D6698"/>
    <w:rsid w:val="009E1F06"/>
    <w:rsid w:val="009E2642"/>
    <w:rsid w:val="009E3063"/>
    <w:rsid w:val="009E745F"/>
    <w:rsid w:val="009E746F"/>
    <w:rsid w:val="009F166A"/>
    <w:rsid w:val="009F2D21"/>
    <w:rsid w:val="009F4337"/>
    <w:rsid w:val="009F45D9"/>
    <w:rsid w:val="009F5D99"/>
    <w:rsid w:val="009F5F06"/>
    <w:rsid w:val="009F729C"/>
    <w:rsid w:val="00A0300D"/>
    <w:rsid w:val="00A033CF"/>
    <w:rsid w:val="00A03B90"/>
    <w:rsid w:val="00A04C18"/>
    <w:rsid w:val="00A06C27"/>
    <w:rsid w:val="00A07A42"/>
    <w:rsid w:val="00A11788"/>
    <w:rsid w:val="00A11D44"/>
    <w:rsid w:val="00A1255D"/>
    <w:rsid w:val="00A14E43"/>
    <w:rsid w:val="00A15903"/>
    <w:rsid w:val="00A15B25"/>
    <w:rsid w:val="00A213D1"/>
    <w:rsid w:val="00A21759"/>
    <w:rsid w:val="00A237CC"/>
    <w:rsid w:val="00A23B5C"/>
    <w:rsid w:val="00A31257"/>
    <w:rsid w:val="00A31DE7"/>
    <w:rsid w:val="00A3409B"/>
    <w:rsid w:val="00A3459B"/>
    <w:rsid w:val="00A35885"/>
    <w:rsid w:val="00A37144"/>
    <w:rsid w:val="00A420E2"/>
    <w:rsid w:val="00A42CF9"/>
    <w:rsid w:val="00A4487E"/>
    <w:rsid w:val="00A45FD9"/>
    <w:rsid w:val="00A51D21"/>
    <w:rsid w:val="00A526FC"/>
    <w:rsid w:val="00A52B58"/>
    <w:rsid w:val="00A54A59"/>
    <w:rsid w:val="00A5661B"/>
    <w:rsid w:val="00A56755"/>
    <w:rsid w:val="00A600EE"/>
    <w:rsid w:val="00A60627"/>
    <w:rsid w:val="00A6121E"/>
    <w:rsid w:val="00A634B8"/>
    <w:rsid w:val="00A647B1"/>
    <w:rsid w:val="00A64D97"/>
    <w:rsid w:val="00A66911"/>
    <w:rsid w:val="00A714E6"/>
    <w:rsid w:val="00A723D7"/>
    <w:rsid w:val="00A7402A"/>
    <w:rsid w:val="00A7463D"/>
    <w:rsid w:val="00A74FD3"/>
    <w:rsid w:val="00A768F1"/>
    <w:rsid w:val="00A77163"/>
    <w:rsid w:val="00A83B76"/>
    <w:rsid w:val="00A8630B"/>
    <w:rsid w:val="00A865DE"/>
    <w:rsid w:val="00A879C3"/>
    <w:rsid w:val="00A90AD2"/>
    <w:rsid w:val="00A92156"/>
    <w:rsid w:val="00A92C26"/>
    <w:rsid w:val="00A94476"/>
    <w:rsid w:val="00A9646F"/>
    <w:rsid w:val="00AA06A2"/>
    <w:rsid w:val="00AA1ABE"/>
    <w:rsid w:val="00AA3D0B"/>
    <w:rsid w:val="00AA4257"/>
    <w:rsid w:val="00AA4C21"/>
    <w:rsid w:val="00AA514A"/>
    <w:rsid w:val="00AA5E01"/>
    <w:rsid w:val="00AA7FB4"/>
    <w:rsid w:val="00AB052C"/>
    <w:rsid w:val="00AB5566"/>
    <w:rsid w:val="00AC0648"/>
    <w:rsid w:val="00AC0FE5"/>
    <w:rsid w:val="00AC3018"/>
    <w:rsid w:val="00AC4B3F"/>
    <w:rsid w:val="00AD0786"/>
    <w:rsid w:val="00AD0CCF"/>
    <w:rsid w:val="00AD5BC4"/>
    <w:rsid w:val="00AD665B"/>
    <w:rsid w:val="00AE1521"/>
    <w:rsid w:val="00AE2D98"/>
    <w:rsid w:val="00AE3713"/>
    <w:rsid w:val="00AE42B3"/>
    <w:rsid w:val="00AE4B6C"/>
    <w:rsid w:val="00AE5B55"/>
    <w:rsid w:val="00AE70DC"/>
    <w:rsid w:val="00AF028A"/>
    <w:rsid w:val="00AF07CF"/>
    <w:rsid w:val="00AF0938"/>
    <w:rsid w:val="00AF097F"/>
    <w:rsid w:val="00AF25AC"/>
    <w:rsid w:val="00AF39FC"/>
    <w:rsid w:val="00AF5482"/>
    <w:rsid w:val="00AF57A7"/>
    <w:rsid w:val="00B01B77"/>
    <w:rsid w:val="00B02575"/>
    <w:rsid w:val="00B02668"/>
    <w:rsid w:val="00B05132"/>
    <w:rsid w:val="00B064CE"/>
    <w:rsid w:val="00B10E30"/>
    <w:rsid w:val="00B1134C"/>
    <w:rsid w:val="00B11F8E"/>
    <w:rsid w:val="00B133A8"/>
    <w:rsid w:val="00B13DB8"/>
    <w:rsid w:val="00B15720"/>
    <w:rsid w:val="00B159EB"/>
    <w:rsid w:val="00B15A60"/>
    <w:rsid w:val="00B172B6"/>
    <w:rsid w:val="00B17B15"/>
    <w:rsid w:val="00B205F2"/>
    <w:rsid w:val="00B210D1"/>
    <w:rsid w:val="00B22AF5"/>
    <w:rsid w:val="00B27B9A"/>
    <w:rsid w:val="00B31EAC"/>
    <w:rsid w:val="00B3409F"/>
    <w:rsid w:val="00B345ED"/>
    <w:rsid w:val="00B34833"/>
    <w:rsid w:val="00B36F1E"/>
    <w:rsid w:val="00B4295E"/>
    <w:rsid w:val="00B42EAB"/>
    <w:rsid w:val="00B4574A"/>
    <w:rsid w:val="00B465C1"/>
    <w:rsid w:val="00B46CAC"/>
    <w:rsid w:val="00B46EC9"/>
    <w:rsid w:val="00B47034"/>
    <w:rsid w:val="00B4749C"/>
    <w:rsid w:val="00B50928"/>
    <w:rsid w:val="00B512F3"/>
    <w:rsid w:val="00B5170F"/>
    <w:rsid w:val="00B54911"/>
    <w:rsid w:val="00B54CA3"/>
    <w:rsid w:val="00B553DC"/>
    <w:rsid w:val="00B57D22"/>
    <w:rsid w:val="00B60568"/>
    <w:rsid w:val="00B61FC6"/>
    <w:rsid w:val="00B62417"/>
    <w:rsid w:val="00B627E8"/>
    <w:rsid w:val="00B62CB7"/>
    <w:rsid w:val="00B6475C"/>
    <w:rsid w:val="00B65B67"/>
    <w:rsid w:val="00B674CD"/>
    <w:rsid w:val="00B6752D"/>
    <w:rsid w:val="00B72443"/>
    <w:rsid w:val="00B7407F"/>
    <w:rsid w:val="00B75B01"/>
    <w:rsid w:val="00B77F39"/>
    <w:rsid w:val="00B813B5"/>
    <w:rsid w:val="00B81BDD"/>
    <w:rsid w:val="00B84171"/>
    <w:rsid w:val="00B851B8"/>
    <w:rsid w:val="00B90C32"/>
    <w:rsid w:val="00B92168"/>
    <w:rsid w:val="00B92CF6"/>
    <w:rsid w:val="00B92D7E"/>
    <w:rsid w:val="00B939D3"/>
    <w:rsid w:val="00B93C05"/>
    <w:rsid w:val="00B94C3B"/>
    <w:rsid w:val="00B96CD6"/>
    <w:rsid w:val="00BA0111"/>
    <w:rsid w:val="00BA6766"/>
    <w:rsid w:val="00BA6A11"/>
    <w:rsid w:val="00BA762C"/>
    <w:rsid w:val="00BA76AF"/>
    <w:rsid w:val="00BB2910"/>
    <w:rsid w:val="00BB3500"/>
    <w:rsid w:val="00BB6C39"/>
    <w:rsid w:val="00BB79BE"/>
    <w:rsid w:val="00BC0D5B"/>
    <w:rsid w:val="00BC1F67"/>
    <w:rsid w:val="00BC2147"/>
    <w:rsid w:val="00BC2CD5"/>
    <w:rsid w:val="00BC2D50"/>
    <w:rsid w:val="00BC3A61"/>
    <w:rsid w:val="00BD08E9"/>
    <w:rsid w:val="00BD6FB7"/>
    <w:rsid w:val="00BD70F5"/>
    <w:rsid w:val="00BE0373"/>
    <w:rsid w:val="00BE2468"/>
    <w:rsid w:val="00BE27B5"/>
    <w:rsid w:val="00BE3B53"/>
    <w:rsid w:val="00BE501F"/>
    <w:rsid w:val="00BE54E0"/>
    <w:rsid w:val="00BE7E25"/>
    <w:rsid w:val="00BF1461"/>
    <w:rsid w:val="00BF3DEF"/>
    <w:rsid w:val="00BF43D2"/>
    <w:rsid w:val="00BF48DE"/>
    <w:rsid w:val="00BF5E6A"/>
    <w:rsid w:val="00C011E3"/>
    <w:rsid w:val="00C0170A"/>
    <w:rsid w:val="00C034C1"/>
    <w:rsid w:val="00C03C3B"/>
    <w:rsid w:val="00C05150"/>
    <w:rsid w:val="00C107DA"/>
    <w:rsid w:val="00C131AD"/>
    <w:rsid w:val="00C160AB"/>
    <w:rsid w:val="00C167EE"/>
    <w:rsid w:val="00C1682B"/>
    <w:rsid w:val="00C17E4C"/>
    <w:rsid w:val="00C20AFD"/>
    <w:rsid w:val="00C226F7"/>
    <w:rsid w:val="00C24C4E"/>
    <w:rsid w:val="00C27A3F"/>
    <w:rsid w:val="00C30AF2"/>
    <w:rsid w:val="00C37D88"/>
    <w:rsid w:val="00C42194"/>
    <w:rsid w:val="00C43623"/>
    <w:rsid w:val="00C44580"/>
    <w:rsid w:val="00C4572C"/>
    <w:rsid w:val="00C45CE0"/>
    <w:rsid w:val="00C46199"/>
    <w:rsid w:val="00C53178"/>
    <w:rsid w:val="00C553B5"/>
    <w:rsid w:val="00C5628E"/>
    <w:rsid w:val="00C564B0"/>
    <w:rsid w:val="00C576AD"/>
    <w:rsid w:val="00C61967"/>
    <w:rsid w:val="00C6489E"/>
    <w:rsid w:val="00C673F2"/>
    <w:rsid w:val="00C6766B"/>
    <w:rsid w:val="00C722C2"/>
    <w:rsid w:val="00C731CB"/>
    <w:rsid w:val="00C737E9"/>
    <w:rsid w:val="00C744C3"/>
    <w:rsid w:val="00C747C7"/>
    <w:rsid w:val="00C7568C"/>
    <w:rsid w:val="00C815F5"/>
    <w:rsid w:val="00C82969"/>
    <w:rsid w:val="00C83AA0"/>
    <w:rsid w:val="00C83CDE"/>
    <w:rsid w:val="00C8583B"/>
    <w:rsid w:val="00C85DD0"/>
    <w:rsid w:val="00C86105"/>
    <w:rsid w:val="00C869A1"/>
    <w:rsid w:val="00C87C6A"/>
    <w:rsid w:val="00C87FE2"/>
    <w:rsid w:val="00C905BE"/>
    <w:rsid w:val="00C9182C"/>
    <w:rsid w:val="00C91D86"/>
    <w:rsid w:val="00C924AA"/>
    <w:rsid w:val="00C95B9A"/>
    <w:rsid w:val="00C95EAE"/>
    <w:rsid w:val="00C97F02"/>
    <w:rsid w:val="00CA0932"/>
    <w:rsid w:val="00CA3D1F"/>
    <w:rsid w:val="00CA6BEB"/>
    <w:rsid w:val="00CB0DA8"/>
    <w:rsid w:val="00CB10D2"/>
    <w:rsid w:val="00CB141C"/>
    <w:rsid w:val="00CB43F7"/>
    <w:rsid w:val="00CB4718"/>
    <w:rsid w:val="00CB52B5"/>
    <w:rsid w:val="00CB668C"/>
    <w:rsid w:val="00CC0139"/>
    <w:rsid w:val="00CC0663"/>
    <w:rsid w:val="00CC11C4"/>
    <w:rsid w:val="00CC1E59"/>
    <w:rsid w:val="00CC3B6D"/>
    <w:rsid w:val="00CC4F2A"/>
    <w:rsid w:val="00CC5F41"/>
    <w:rsid w:val="00CC6627"/>
    <w:rsid w:val="00CC67B9"/>
    <w:rsid w:val="00CC6F30"/>
    <w:rsid w:val="00CC769A"/>
    <w:rsid w:val="00CD2098"/>
    <w:rsid w:val="00CD4AF8"/>
    <w:rsid w:val="00CD500E"/>
    <w:rsid w:val="00CD7943"/>
    <w:rsid w:val="00CE154A"/>
    <w:rsid w:val="00CE1B8B"/>
    <w:rsid w:val="00CE23C7"/>
    <w:rsid w:val="00CE5507"/>
    <w:rsid w:val="00CE67EC"/>
    <w:rsid w:val="00CF1C0A"/>
    <w:rsid w:val="00CF1CC6"/>
    <w:rsid w:val="00CF418A"/>
    <w:rsid w:val="00CF5932"/>
    <w:rsid w:val="00CF6286"/>
    <w:rsid w:val="00CF794E"/>
    <w:rsid w:val="00CF7D01"/>
    <w:rsid w:val="00D00598"/>
    <w:rsid w:val="00D0060F"/>
    <w:rsid w:val="00D02FB2"/>
    <w:rsid w:val="00D062F2"/>
    <w:rsid w:val="00D06D41"/>
    <w:rsid w:val="00D07332"/>
    <w:rsid w:val="00D10513"/>
    <w:rsid w:val="00D10B04"/>
    <w:rsid w:val="00D11836"/>
    <w:rsid w:val="00D13591"/>
    <w:rsid w:val="00D13ECA"/>
    <w:rsid w:val="00D1410F"/>
    <w:rsid w:val="00D158B2"/>
    <w:rsid w:val="00D1593B"/>
    <w:rsid w:val="00D17321"/>
    <w:rsid w:val="00D17576"/>
    <w:rsid w:val="00D1784A"/>
    <w:rsid w:val="00D179BF"/>
    <w:rsid w:val="00D203F8"/>
    <w:rsid w:val="00D23554"/>
    <w:rsid w:val="00D31CBD"/>
    <w:rsid w:val="00D32B6C"/>
    <w:rsid w:val="00D35341"/>
    <w:rsid w:val="00D360ED"/>
    <w:rsid w:val="00D36CAC"/>
    <w:rsid w:val="00D37D8F"/>
    <w:rsid w:val="00D37E64"/>
    <w:rsid w:val="00D43E22"/>
    <w:rsid w:val="00D447B6"/>
    <w:rsid w:val="00D447E4"/>
    <w:rsid w:val="00D47A07"/>
    <w:rsid w:val="00D502C9"/>
    <w:rsid w:val="00D50A1E"/>
    <w:rsid w:val="00D52862"/>
    <w:rsid w:val="00D554C4"/>
    <w:rsid w:val="00D561F7"/>
    <w:rsid w:val="00D565B6"/>
    <w:rsid w:val="00D610BB"/>
    <w:rsid w:val="00D628E5"/>
    <w:rsid w:val="00D62E2F"/>
    <w:rsid w:val="00D63EAF"/>
    <w:rsid w:val="00D66545"/>
    <w:rsid w:val="00D667AB"/>
    <w:rsid w:val="00D6769C"/>
    <w:rsid w:val="00D6785E"/>
    <w:rsid w:val="00D72070"/>
    <w:rsid w:val="00D724FE"/>
    <w:rsid w:val="00D728F2"/>
    <w:rsid w:val="00D73F2A"/>
    <w:rsid w:val="00D7402B"/>
    <w:rsid w:val="00D76A84"/>
    <w:rsid w:val="00D77AB4"/>
    <w:rsid w:val="00D77C23"/>
    <w:rsid w:val="00D77D46"/>
    <w:rsid w:val="00D826D2"/>
    <w:rsid w:val="00D82DCB"/>
    <w:rsid w:val="00D83E1A"/>
    <w:rsid w:val="00D83E97"/>
    <w:rsid w:val="00D87168"/>
    <w:rsid w:val="00D87F44"/>
    <w:rsid w:val="00D918BC"/>
    <w:rsid w:val="00D91E08"/>
    <w:rsid w:val="00D9348D"/>
    <w:rsid w:val="00DA0B5F"/>
    <w:rsid w:val="00DA0E03"/>
    <w:rsid w:val="00DA1787"/>
    <w:rsid w:val="00DA1CCA"/>
    <w:rsid w:val="00DA2969"/>
    <w:rsid w:val="00DA3BC7"/>
    <w:rsid w:val="00DA414D"/>
    <w:rsid w:val="00DA48E4"/>
    <w:rsid w:val="00DB02A6"/>
    <w:rsid w:val="00DB0779"/>
    <w:rsid w:val="00DB0BB6"/>
    <w:rsid w:val="00DB0D2B"/>
    <w:rsid w:val="00DB0FD6"/>
    <w:rsid w:val="00DB20AB"/>
    <w:rsid w:val="00DB2C92"/>
    <w:rsid w:val="00DB3FDE"/>
    <w:rsid w:val="00DB6BF7"/>
    <w:rsid w:val="00DB6EB3"/>
    <w:rsid w:val="00DB7C0E"/>
    <w:rsid w:val="00DC0649"/>
    <w:rsid w:val="00DC0977"/>
    <w:rsid w:val="00DC0BC7"/>
    <w:rsid w:val="00DC0E07"/>
    <w:rsid w:val="00DC1773"/>
    <w:rsid w:val="00DC2A07"/>
    <w:rsid w:val="00DC43A4"/>
    <w:rsid w:val="00DC447C"/>
    <w:rsid w:val="00DC534F"/>
    <w:rsid w:val="00DC63D4"/>
    <w:rsid w:val="00DD0A6C"/>
    <w:rsid w:val="00DD1451"/>
    <w:rsid w:val="00DD3104"/>
    <w:rsid w:val="00DD5263"/>
    <w:rsid w:val="00DD6763"/>
    <w:rsid w:val="00DD7062"/>
    <w:rsid w:val="00DD71E9"/>
    <w:rsid w:val="00DE063A"/>
    <w:rsid w:val="00DE0E4F"/>
    <w:rsid w:val="00DE1C36"/>
    <w:rsid w:val="00DE34DF"/>
    <w:rsid w:val="00DE445B"/>
    <w:rsid w:val="00DE50DF"/>
    <w:rsid w:val="00DE6DD5"/>
    <w:rsid w:val="00DE7339"/>
    <w:rsid w:val="00DE7F28"/>
    <w:rsid w:val="00DF0C73"/>
    <w:rsid w:val="00DF196A"/>
    <w:rsid w:val="00DF26CA"/>
    <w:rsid w:val="00DF34CC"/>
    <w:rsid w:val="00DF36AC"/>
    <w:rsid w:val="00DF3A2F"/>
    <w:rsid w:val="00DF50D5"/>
    <w:rsid w:val="00DF535B"/>
    <w:rsid w:val="00DF7454"/>
    <w:rsid w:val="00DF7598"/>
    <w:rsid w:val="00DF7847"/>
    <w:rsid w:val="00DF7BBB"/>
    <w:rsid w:val="00E00762"/>
    <w:rsid w:val="00E01392"/>
    <w:rsid w:val="00E03786"/>
    <w:rsid w:val="00E042C5"/>
    <w:rsid w:val="00E05298"/>
    <w:rsid w:val="00E059DC"/>
    <w:rsid w:val="00E06245"/>
    <w:rsid w:val="00E07030"/>
    <w:rsid w:val="00E10326"/>
    <w:rsid w:val="00E118CA"/>
    <w:rsid w:val="00E14D61"/>
    <w:rsid w:val="00E15671"/>
    <w:rsid w:val="00E15B2F"/>
    <w:rsid w:val="00E16BD3"/>
    <w:rsid w:val="00E22A50"/>
    <w:rsid w:val="00E25C65"/>
    <w:rsid w:val="00E26934"/>
    <w:rsid w:val="00E26BE6"/>
    <w:rsid w:val="00E26D11"/>
    <w:rsid w:val="00E27D7F"/>
    <w:rsid w:val="00E31C12"/>
    <w:rsid w:val="00E35488"/>
    <w:rsid w:val="00E3744D"/>
    <w:rsid w:val="00E40210"/>
    <w:rsid w:val="00E4174B"/>
    <w:rsid w:val="00E42CF0"/>
    <w:rsid w:val="00E455B1"/>
    <w:rsid w:val="00E47F16"/>
    <w:rsid w:val="00E5259C"/>
    <w:rsid w:val="00E53E98"/>
    <w:rsid w:val="00E541FC"/>
    <w:rsid w:val="00E62B3D"/>
    <w:rsid w:val="00E62BAA"/>
    <w:rsid w:val="00E62E37"/>
    <w:rsid w:val="00E65799"/>
    <w:rsid w:val="00E66A82"/>
    <w:rsid w:val="00E674E3"/>
    <w:rsid w:val="00E6754F"/>
    <w:rsid w:val="00E70323"/>
    <w:rsid w:val="00E75164"/>
    <w:rsid w:val="00E753F4"/>
    <w:rsid w:val="00E75EE2"/>
    <w:rsid w:val="00E76025"/>
    <w:rsid w:val="00E76806"/>
    <w:rsid w:val="00E76B03"/>
    <w:rsid w:val="00E77D6A"/>
    <w:rsid w:val="00E81425"/>
    <w:rsid w:val="00E8150E"/>
    <w:rsid w:val="00E81B8A"/>
    <w:rsid w:val="00E851A6"/>
    <w:rsid w:val="00E910EE"/>
    <w:rsid w:val="00E9260E"/>
    <w:rsid w:val="00E9307A"/>
    <w:rsid w:val="00E945A1"/>
    <w:rsid w:val="00EA0B71"/>
    <w:rsid w:val="00EA3CC0"/>
    <w:rsid w:val="00EA477B"/>
    <w:rsid w:val="00EA59BD"/>
    <w:rsid w:val="00EB0206"/>
    <w:rsid w:val="00EB11E0"/>
    <w:rsid w:val="00EB173F"/>
    <w:rsid w:val="00EB31F1"/>
    <w:rsid w:val="00EB421A"/>
    <w:rsid w:val="00EB5125"/>
    <w:rsid w:val="00EB6752"/>
    <w:rsid w:val="00EB6E31"/>
    <w:rsid w:val="00EB7B05"/>
    <w:rsid w:val="00EC1966"/>
    <w:rsid w:val="00EC1C71"/>
    <w:rsid w:val="00EC2255"/>
    <w:rsid w:val="00EC2359"/>
    <w:rsid w:val="00EC2648"/>
    <w:rsid w:val="00EC2952"/>
    <w:rsid w:val="00EC3207"/>
    <w:rsid w:val="00EC36B0"/>
    <w:rsid w:val="00EC40E1"/>
    <w:rsid w:val="00EC5EC7"/>
    <w:rsid w:val="00ED151A"/>
    <w:rsid w:val="00ED296D"/>
    <w:rsid w:val="00ED52D9"/>
    <w:rsid w:val="00ED5F22"/>
    <w:rsid w:val="00ED79A0"/>
    <w:rsid w:val="00EE010B"/>
    <w:rsid w:val="00EE0579"/>
    <w:rsid w:val="00EE26C8"/>
    <w:rsid w:val="00EE34DB"/>
    <w:rsid w:val="00EE67E7"/>
    <w:rsid w:val="00EF244E"/>
    <w:rsid w:val="00F030B4"/>
    <w:rsid w:val="00F037E9"/>
    <w:rsid w:val="00F03D15"/>
    <w:rsid w:val="00F04C69"/>
    <w:rsid w:val="00F07F4B"/>
    <w:rsid w:val="00F111D1"/>
    <w:rsid w:val="00F114BE"/>
    <w:rsid w:val="00F1269C"/>
    <w:rsid w:val="00F12A12"/>
    <w:rsid w:val="00F147C0"/>
    <w:rsid w:val="00F156CE"/>
    <w:rsid w:val="00F16AFD"/>
    <w:rsid w:val="00F16E99"/>
    <w:rsid w:val="00F170D3"/>
    <w:rsid w:val="00F17187"/>
    <w:rsid w:val="00F2060F"/>
    <w:rsid w:val="00F217BA"/>
    <w:rsid w:val="00F2317E"/>
    <w:rsid w:val="00F23651"/>
    <w:rsid w:val="00F24CDA"/>
    <w:rsid w:val="00F32C0F"/>
    <w:rsid w:val="00F33796"/>
    <w:rsid w:val="00F34264"/>
    <w:rsid w:val="00F41877"/>
    <w:rsid w:val="00F424B8"/>
    <w:rsid w:val="00F46613"/>
    <w:rsid w:val="00F46C41"/>
    <w:rsid w:val="00F4737F"/>
    <w:rsid w:val="00F54564"/>
    <w:rsid w:val="00F55EE4"/>
    <w:rsid w:val="00F5675B"/>
    <w:rsid w:val="00F57151"/>
    <w:rsid w:val="00F579A1"/>
    <w:rsid w:val="00F600C6"/>
    <w:rsid w:val="00F621F5"/>
    <w:rsid w:val="00F63019"/>
    <w:rsid w:val="00F63C87"/>
    <w:rsid w:val="00F642D2"/>
    <w:rsid w:val="00F70429"/>
    <w:rsid w:val="00F7088F"/>
    <w:rsid w:val="00F70B3C"/>
    <w:rsid w:val="00F7306E"/>
    <w:rsid w:val="00F73B57"/>
    <w:rsid w:val="00F76067"/>
    <w:rsid w:val="00F76BFF"/>
    <w:rsid w:val="00F8001B"/>
    <w:rsid w:val="00F814D3"/>
    <w:rsid w:val="00F81F04"/>
    <w:rsid w:val="00F8356D"/>
    <w:rsid w:val="00F83910"/>
    <w:rsid w:val="00F8567C"/>
    <w:rsid w:val="00F86A04"/>
    <w:rsid w:val="00F87195"/>
    <w:rsid w:val="00F87AC3"/>
    <w:rsid w:val="00F90291"/>
    <w:rsid w:val="00F92AAC"/>
    <w:rsid w:val="00F934F4"/>
    <w:rsid w:val="00F93720"/>
    <w:rsid w:val="00F94877"/>
    <w:rsid w:val="00F94969"/>
    <w:rsid w:val="00FA000D"/>
    <w:rsid w:val="00FA030A"/>
    <w:rsid w:val="00FA1B6A"/>
    <w:rsid w:val="00FA1C1A"/>
    <w:rsid w:val="00FA1F07"/>
    <w:rsid w:val="00FA24B7"/>
    <w:rsid w:val="00FA5E44"/>
    <w:rsid w:val="00FA696C"/>
    <w:rsid w:val="00FB03B8"/>
    <w:rsid w:val="00FB1648"/>
    <w:rsid w:val="00FB2C59"/>
    <w:rsid w:val="00FB6D12"/>
    <w:rsid w:val="00FB7894"/>
    <w:rsid w:val="00FC187B"/>
    <w:rsid w:val="00FC364E"/>
    <w:rsid w:val="00FC43F0"/>
    <w:rsid w:val="00FC4508"/>
    <w:rsid w:val="00FC5FF3"/>
    <w:rsid w:val="00FD0411"/>
    <w:rsid w:val="00FD0874"/>
    <w:rsid w:val="00FD1D4B"/>
    <w:rsid w:val="00FD28ED"/>
    <w:rsid w:val="00FD4850"/>
    <w:rsid w:val="00FD4E63"/>
    <w:rsid w:val="00FD70A9"/>
    <w:rsid w:val="00FE0E7B"/>
    <w:rsid w:val="00FE3667"/>
    <w:rsid w:val="00FE7731"/>
    <w:rsid w:val="00FE7AAC"/>
    <w:rsid w:val="00FF009E"/>
    <w:rsid w:val="00FF07D0"/>
    <w:rsid w:val="00FF1055"/>
    <w:rsid w:val="00FF19D0"/>
    <w:rsid w:val="00FF1E70"/>
    <w:rsid w:val="00FF2680"/>
    <w:rsid w:val="00FF3537"/>
    <w:rsid w:val="00FF44E8"/>
    <w:rsid w:val="00FF53A4"/>
    <w:rsid w:val="00FF7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408A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4F"/>
    <w:pPr>
      <w:widowControl w:val="0"/>
    </w:pPr>
    <w:rPr>
      <w:snapToGrid w:val="0"/>
      <w:kern w:val="28"/>
      <w:sz w:val="22"/>
    </w:rPr>
  </w:style>
  <w:style w:type="paragraph" w:styleId="Heading1">
    <w:name w:val="heading 1"/>
    <w:basedOn w:val="Normal"/>
    <w:next w:val="ParaNum"/>
    <w:link w:val="Heading1Char"/>
    <w:qFormat/>
    <w:rsid w:val="0045684F"/>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5684F"/>
    <w:pPr>
      <w:keepNext/>
      <w:numPr>
        <w:ilvl w:val="1"/>
        <w:numId w:val="7"/>
      </w:numPr>
      <w:spacing w:after="120"/>
      <w:outlineLvl w:val="1"/>
    </w:pPr>
    <w:rPr>
      <w:b/>
    </w:rPr>
  </w:style>
  <w:style w:type="paragraph" w:styleId="Heading3">
    <w:name w:val="heading 3"/>
    <w:basedOn w:val="Normal"/>
    <w:next w:val="ParaNum"/>
    <w:link w:val="Heading3Char"/>
    <w:qFormat/>
    <w:rsid w:val="0045684F"/>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45684F"/>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45684F"/>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45684F"/>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45684F"/>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45684F"/>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5684F"/>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6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684F"/>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3"/>
    <w:rsid w:val="0045684F"/>
    <w:pPr>
      <w:spacing w:after="120"/>
    </w:pPr>
  </w:style>
  <w:style w:type="character" w:styleId="FootnoteReference">
    <w:name w:val="footnote reference"/>
    <w:rsid w:val="0045684F"/>
    <w:rPr>
      <w:rFonts w:ascii="Times New Roman" w:hAnsi="Times New Roman"/>
      <w:dstrike w:val="0"/>
      <w:color w:val="auto"/>
      <w:sz w:val="20"/>
      <w:vertAlign w:val="superscript"/>
    </w:rPr>
  </w:style>
  <w:style w:type="paragraph" w:styleId="BodyTextIndent2">
    <w:name w:val="Body Text Indent 2"/>
    <w:basedOn w:val="Normal"/>
    <w:pPr>
      <w:ind w:left="720"/>
      <w:jc w:val="both"/>
    </w:pPr>
  </w:style>
  <w:style w:type="paragraph" w:styleId="Header">
    <w:name w:val="header"/>
    <w:basedOn w:val="Normal"/>
    <w:autoRedefine/>
    <w:rsid w:val="0045684F"/>
    <w:pPr>
      <w:tabs>
        <w:tab w:val="center" w:pos="4680"/>
        <w:tab w:val="right" w:pos="9360"/>
      </w:tabs>
    </w:pPr>
    <w:rPr>
      <w:b/>
    </w:rPr>
  </w:style>
  <w:style w:type="paragraph" w:styleId="Footer">
    <w:name w:val="footer"/>
    <w:basedOn w:val="Normal"/>
    <w:link w:val="FooterChar"/>
    <w:rsid w:val="0045684F"/>
    <w:pPr>
      <w:tabs>
        <w:tab w:val="center" w:pos="4320"/>
        <w:tab w:val="right" w:pos="8640"/>
      </w:tabs>
    </w:pPr>
  </w:style>
  <w:style w:type="paragraph" w:customStyle="1" w:styleId="ParaNum">
    <w:name w:val="ParaNum"/>
    <w:basedOn w:val="Normal"/>
    <w:rsid w:val="0045684F"/>
    <w:pPr>
      <w:numPr>
        <w:numId w:val="6"/>
      </w:numPr>
      <w:tabs>
        <w:tab w:val="clear" w:pos="1080"/>
        <w:tab w:val="num" w:pos="1440"/>
      </w:tabs>
      <w:spacing w:after="120"/>
    </w:pPr>
  </w:style>
  <w:style w:type="character" w:styleId="Hyperlink">
    <w:name w:val="Hyperlink"/>
    <w:rsid w:val="0045684F"/>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E753F4"/>
    <w:rPr>
      <w:rFonts w:ascii="Tahoma" w:hAnsi="Tahoma" w:cs="Tahoma"/>
      <w:sz w:val="16"/>
      <w:szCs w:val="16"/>
    </w:rPr>
  </w:style>
  <w:style w:type="paragraph" w:styleId="NormalWeb">
    <w:name w:val="Normal (Web)"/>
    <w:basedOn w:val="Normal"/>
    <w:uiPriority w:val="99"/>
    <w:unhideWhenUsed/>
    <w:rsid w:val="006B195B"/>
    <w:pPr>
      <w:spacing w:before="100" w:beforeAutospacing="1" w:after="100" w:afterAutospacing="1"/>
      <w:ind w:firstLine="480"/>
    </w:pPr>
    <w:rPr>
      <w:szCs w:val="24"/>
    </w:rPr>
  </w:style>
  <w:style w:type="character" w:styleId="CommentReference">
    <w:name w:val="annotation reference"/>
    <w:uiPriority w:val="99"/>
    <w:rsid w:val="00C722C2"/>
    <w:rPr>
      <w:sz w:val="16"/>
      <w:szCs w:val="16"/>
    </w:rPr>
  </w:style>
  <w:style w:type="paragraph" w:styleId="CommentText">
    <w:name w:val="annotation text"/>
    <w:basedOn w:val="Normal"/>
    <w:link w:val="CommentTextChar"/>
    <w:rsid w:val="00C722C2"/>
    <w:rPr>
      <w:sz w:val="20"/>
    </w:rPr>
  </w:style>
  <w:style w:type="character" w:customStyle="1" w:styleId="CommentTextChar">
    <w:name w:val="Comment Text Char"/>
    <w:basedOn w:val="DefaultParagraphFont"/>
    <w:link w:val="CommentText"/>
    <w:rsid w:val="00C722C2"/>
  </w:style>
  <w:style w:type="paragraph" w:styleId="CommentSubject">
    <w:name w:val="annotation subject"/>
    <w:basedOn w:val="CommentText"/>
    <w:next w:val="CommentText"/>
    <w:link w:val="CommentSubjectChar"/>
    <w:rsid w:val="00C722C2"/>
    <w:rPr>
      <w:b/>
      <w:bCs/>
    </w:rPr>
  </w:style>
  <w:style w:type="character" w:customStyle="1" w:styleId="CommentSubjectChar">
    <w:name w:val="Comment Subject Char"/>
    <w:link w:val="CommentSubject"/>
    <w:rsid w:val="00C722C2"/>
    <w:rPr>
      <w:b/>
      <w:bCs/>
    </w:rPr>
  </w:style>
  <w:style w:type="paragraph" w:customStyle="1" w:styleId="ColorfulList-Accent11">
    <w:name w:val="Colorful List - Accent 11"/>
    <w:basedOn w:val="Normal"/>
    <w:uiPriority w:val="34"/>
    <w:qFormat/>
    <w:rsid w:val="004C4BD1"/>
    <w:pPr>
      <w:ind w:left="720"/>
    </w:pPr>
  </w:style>
  <w:style w:type="character" w:styleId="Emphasis">
    <w:name w:val="Emphasis"/>
    <w:uiPriority w:val="20"/>
    <w:qFormat/>
    <w:rsid w:val="00E14D61"/>
    <w:rPr>
      <w:i/>
      <w:iCs/>
    </w:rPr>
  </w:style>
  <w:style w:type="character" w:customStyle="1" w:styleId="cosearchterm7">
    <w:name w:val="co_searchterm7"/>
    <w:rsid w:val="00E14D61"/>
    <w:rPr>
      <w:b/>
      <w:bCs/>
      <w:color w:val="252525"/>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locked/>
    <w:rsid w:val="00173650"/>
  </w:style>
  <w:style w:type="character" w:customStyle="1" w:styleId="FootnoteTextChar">
    <w:name w:val="Footnote Text Char"/>
    <w:semiHidden/>
    <w:rsid w:val="00173650"/>
  </w:style>
  <w:style w:type="paragraph" w:styleId="TOAHeading">
    <w:name w:val="toa heading"/>
    <w:basedOn w:val="Normal"/>
    <w:next w:val="Normal"/>
    <w:rsid w:val="0045684F"/>
    <w:pPr>
      <w:tabs>
        <w:tab w:val="right" w:pos="9360"/>
      </w:tabs>
      <w:suppressAutoHyphens/>
    </w:pPr>
  </w:style>
  <w:style w:type="paragraph" w:customStyle="1" w:styleId="StyleBoldCentered">
    <w:name w:val="Style Bold Centered"/>
    <w:basedOn w:val="Normal"/>
    <w:rsid w:val="0045684F"/>
    <w:pPr>
      <w:jc w:val="center"/>
    </w:pPr>
    <w:rPr>
      <w:rFonts w:ascii="Times New Roman Bold" w:hAnsi="Times New Roman Bold"/>
      <w:b/>
      <w:bCs/>
      <w:caps/>
      <w:szCs w:val="22"/>
    </w:rPr>
  </w:style>
  <w:style w:type="character" w:customStyle="1" w:styleId="cohighlightpoints2">
    <w:name w:val="co_highlightpoints2"/>
    <w:rsid w:val="00DF7598"/>
    <w:rPr>
      <w:b/>
      <w:bCs/>
      <w:color w:val="252525"/>
    </w:rPr>
  </w:style>
  <w:style w:type="character" w:customStyle="1" w:styleId="Heading1Char">
    <w:name w:val="Heading 1 Char"/>
    <w:link w:val="Heading1"/>
    <w:rsid w:val="00FE7AAC"/>
    <w:rPr>
      <w:rFonts w:ascii="Times New Roman Bold" w:hAnsi="Times New Roman Bold"/>
      <w:b/>
      <w:caps/>
      <w:snapToGrid w:val="0"/>
      <w:kern w:val="28"/>
      <w:sz w:val="22"/>
    </w:rPr>
  </w:style>
  <w:style w:type="character" w:customStyle="1" w:styleId="Heading2Char">
    <w:name w:val="Heading 2 Char"/>
    <w:link w:val="Heading2"/>
    <w:rsid w:val="00FE7AAC"/>
    <w:rPr>
      <w:b/>
      <w:snapToGrid w:val="0"/>
      <w:kern w:val="28"/>
      <w:sz w:val="22"/>
    </w:rPr>
  </w:style>
  <w:style w:type="character" w:customStyle="1" w:styleId="Heading3Char">
    <w:name w:val="Heading 3 Char"/>
    <w:link w:val="Heading3"/>
    <w:rsid w:val="00FE7AAC"/>
    <w:rPr>
      <w:b/>
      <w:snapToGrid w:val="0"/>
      <w:kern w:val="28"/>
      <w:sz w:val="22"/>
    </w:rPr>
  </w:style>
  <w:style w:type="character" w:customStyle="1" w:styleId="Heading4Char">
    <w:name w:val="Heading 4 Char"/>
    <w:link w:val="Heading4"/>
    <w:rsid w:val="00FE7AAC"/>
    <w:rPr>
      <w:b/>
      <w:snapToGrid w:val="0"/>
      <w:kern w:val="28"/>
      <w:sz w:val="22"/>
    </w:rPr>
  </w:style>
  <w:style w:type="character" w:customStyle="1" w:styleId="Heading5Char">
    <w:name w:val="Heading 5 Char"/>
    <w:link w:val="Heading5"/>
    <w:rsid w:val="00FE7AAC"/>
    <w:rPr>
      <w:b/>
      <w:snapToGrid w:val="0"/>
      <w:kern w:val="28"/>
      <w:sz w:val="22"/>
    </w:rPr>
  </w:style>
  <w:style w:type="character" w:customStyle="1" w:styleId="Heading6Char">
    <w:name w:val="Heading 6 Char"/>
    <w:link w:val="Heading6"/>
    <w:rsid w:val="00FE7AAC"/>
    <w:rPr>
      <w:b/>
      <w:snapToGrid w:val="0"/>
      <w:kern w:val="28"/>
      <w:sz w:val="22"/>
    </w:rPr>
  </w:style>
  <w:style w:type="character" w:customStyle="1" w:styleId="Heading7Char">
    <w:name w:val="Heading 7 Char"/>
    <w:link w:val="Heading7"/>
    <w:rsid w:val="00FE7AAC"/>
    <w:rPr>
      <w:b/>
      <w:snapToGrid w:val="0"/>
      <w:kern w:val="28"/>
      <w:sz w:val="22"/>
    </w:rPr>
  </w:style>
  <w:style w:type="character" w:customStyle="1" w:styleId="Heading8Char">
    <w:name w:val="Heading 8 Char"/>
    <w:link w:val="Heading8"/>
    <w:rsid w:val="00FE7AAC"/>
    <w:rPr>
      <w:b/>
      <w:snapToGrid w:val="0"/>
      <w:kern w:val="28"/>
      <w:sz w:val="22"/>
    </w:rPr>
  </w:style>
  <w:style w:type="character" w:customStyle="1" w:styleId="Heading9Char">
    <w:name w:val="Heading 9 Char"/>
    <w:link w:val="Heading9"/>
    <w:rsid w:val="00FE7AAC"/>
    <w:rPr>
      <w:b/>
      <w:snapToGrid w:val="0"/>
      <w:kern w:val="28"/>
      <w:sz w:val="22"/>
    </w:rPr>
  </w:style>
  <w:style w:type="paragraph" w:styleId="EndnoteText">
    <w:name w:val="endnote text"/>
    <w:basedOn w:val="Normal"/>
    <w:link w:val="EndnoteTextChar"/>
    <w:rsid w:val="0045684F"/>
    <w:rPr>
      <w:sz w:val="20"/>
    </w:rPr>
  </w:style>
  <w:style w:type="character" w:customStyle="1" w:styleId="EndnoteTextChar">
    <w:name w:val="Endnote Text Char"/>
    <w:link w:val="EndnoteText"/>
    <w:rsid w:val="00FE7AAC"/>
    <w:rPr>
      <w:snapToGrid w:val="0"/>
      <w:kern w:val="28"/>
    </w:rPr>
  </w:style>
  <w:style w:type="character" w:styleId="EndnoteReference">
    <w:name w:val="endnote reference"/>
    <w:rsid w:val="0045684F"/>
    <w:rPr>
      <w:vertAlign w:val="superscript"/>
    </w:rPr>
  </w:style>
  <w:style w:type="paragraph" w:styleId="TOC1">
    <w:name w:val="toc 1"/>
    <w:basedOn w:val="Normal"/>
    <w:next w:val="Normal"/>
    <w:rsid w:val="0045684F"/>
    <w:pPr>
      <w:tabs>
        <w:tab w:val="left" w:pos="360"/>
        <w:tab w:val="right" w:leader="dot" w:pos="9360"/>
      </w:tabs>
      <w:suppressAutoHyphens/>
      <w:ind w:left="360" w:right="720" w:hanging="360"/>
    </w:pPr>
    <w:rPr>
      <w:caps/>
      <w:noProof/>
    </w:rPr>
  </w:style>
  <w:style w:type="paragraph" w:styleId="TOC2">
    <w:name w:val="toc 2"/>
    <w:basedOn w:val="Normal"/>
    <w:next w:val="Normal"/>
    <w:rsid w:val="0045684F"/>
    <w:pPr>
      <w:tabs>
        <w:tab w:val="left" w:pos="720"/>
        <w:tab w:val="right" w:leader="dot" w:pos="9360"/>
      </w:tabs>
      <w:suppressAutoHyphens/>
      <w:ind w:left="720" w:right="720" w:hanging="360"/>
    </w:pPr>
    <w:rPr>
      <w:noProof/>
    </w:rPr>
  </w:style>
  <w:style w:type="paragraph" w:styleId="TOC3">
    <w:name w:val="toc 3"/>
    <w:basedOn w:val="Normal"/>
    <w:next w:val="Normal"/>
    <w:rsid w:val="0045684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5684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5684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5684F"/>
    <w:pPr>
      <w:tabs>
        <w:tab w:val="left" w:pos="2160"/>
        <w:tab w:val="right" w:leader="dot" w:pos="9360"/>
      </w:tabs>
      <w:suppressAutoHyphens/>
      <w:ind w:left="2160" w:hanging="360"/>
    </w:pPr>
    <w:rPr>
      <w:noProof/>
    </w:rPr>
  </w:style>
  <w:style w:type="paragraph" w:styleId="TOC7">
    <w:name w:val="toc 7"/>
    <w:basedOn w:val="Normal"/>
    <w:next w:val="Normal"/>
    <w:autoRedefine/>
    <w:rsid w:val="0045684F"/>
    <w:pPr>
      <w:tabs>
        <w:tab w:val="left" w:pos="2520"/>
        <w:tab w:val="right" w:leader="dot" w:pos="9360"/>
      </w:tabs>
      <w:suppressAutoHyphens/>
      <w:ind w:left="2520" w:hanging="360"/>
    </w:pPr>
    <w:rPr>
      <w:noProof/>
    </w:rPr>
  </w:style>
  <w:style w:type="paragraph" w:styleId="TOC8">
    <w:name w:val="toc 8"/>
    <w:basedOn w:val="Normal"/>
    <w:next w:val="Normal"/>
    <w:autoRedefine/>
    <w:rsid w:val="0045684F"/>
    <w:pPr>
      <w:tabs>
        <w:tab w:val="left" w:pos="2880"/>
        <w:tab w:val="right" w:leader="dot" w:pos="9360"/>
      </w:tabs>
      <w:suppressAutoHyphens/>
      <w:ind w:left="2880" w:hanging="360"/>
    </w:pPr>
    <w:rPr>
      <w:noProof/>
    </w:rPr>
  </w:style>
  <w:style w:type="paragraph" w:styleId="TOC9">
    <w:name w:val="toc 9"/>
    <w:basedOn w:val="Normal"/>
    <w:next w:val="Normal"/>
    <w:autoRedefine/>
    <w:rsid w:val="0045684F"/>
    <w:pPr>
      <w:tabs>
        <w:tab w:val="left" w:pos="3240"/>
        <w:tab w:val="right" w:leader="dot" w:pos="9360"/>
      </w:tabs>
      <w:suppressAutoHyphens/>
      <w:ind w:left="3240" w:hanging="360"/>
    </w:pPr>
    <w:rPr>
      <w:noProof/>
    </w:rPr>
  </w:style>
  <w:style w:type="character" w:customStyle="1" w:styleId="EquationCaption">
    <w:name w:val="_Equation Caption"/>
    <w:rsid w:val="0045684F"/>
  </w:style>
  <w:style w:type="character" w:styleId="PageNumber">
    <w:name w:val="page number"/>
    <w:basedOn w:val="DefaultParagraphFont"/>
    <w:rsid w:val="0045684F"/>
  </w:style>
  <w:style w:type="paragraph" w:styleId="BlockText">
    <w:name w:val="Block Text"/>
    <w:basedOn w:val="Normal"/>
    <w:rsid w:val="0045684F"/>
    <w:pPr>
      <w:spacing w:after="240"/>
      <w:ind w:left="1440" w:right="1440"/>
    </w:pPr>
  </w:style>
  <w:style w:type="paragraph" w:customStyle="1" w:styleId="Paratitle">
    <w:name w:val="Para title"/>
    <w:basedOn w:val="Normal"/>
    <w:rsid w:val="0045684F"/>
    <w:pPr>
      <w:tabs>
        <w:tab w:val="center" w:pos="9270"/>
      </w:tabs>
      <w:spacing w:after="240"/>
    </w:pPr>
    <w:rPr>
      <w:spacing w:val="-2"/>
    </w:rPr>
  </w:style>
  <w:style w:type="paragraph" w:customStyle="1" w:styleId="Bullet">
    <w:name w:val="Bullet"/>
    <w:basedOn w:val="Normal"/>
    <w:rsid w:val="0045684F"/>
    <w:pPr>
      <w:tabs>
        <w:tab w:val="left" w:pos="2160"/>
      </w:tabs>
      <w:spacing w:after="220"/>
      <w:ind w:left="2160" w:hanging="720"/>
    </w:pPr>
  </w:style>
  <w:style w:type="paragraph" w:customStyle="1" w:styleId="TableFormat">
    <w:name w:val="TableFormat"/>
    <w:basedOn w:val="Bullet"/>
    <w:rsid w:val="0045684F"/>
    <w:pPr>
      <w:tabs>
        <w:tab w:val="clear" w:pos="2160"/>
        <w:tab w:val="left" w:pos="5040"/>
      </w:tabs>
      <w:ind w:left="5040" w:hanging="3600"/>
    </w:pPr>
  </w:style>
  <w:style w:type="paragraph" w:customStyle="1" w:styleId="TOCTitle">
    <w:name w:val="TOC Title"/>
    <w:basedOn w:val="Normal"/>
    <w:rsid w:val="0045684F"/>
    <w:pPr>
      <w:spacing w:before="240" w:after="240"/>
      <w:jc w:val="center"/>
    </w:pPr>
    <w:rPr>
      <w:rFonts w:ascii="Times New Roman Bold" w:hAnsi="Times New Roman Bold"/>
      <w:b/>
      <w:caps/>
      <w:spacing w:val="-2"/>
    </w:rPr>
  </w:style>
  <w:style w:type="character" w:customStyle="1" w:styleId="FooterChar">
    <w:name w:val="Footer Char"/>
    <w:link w:val="Footer"/>
    <w:rsid w:val="00790C7D"/>
    <w:rPr>
      <w:snapToGrid w:val="0"/>
      <w:kern w:val="28"/>
      <w:sz w:val="22"/>
    </w:rPr>
  </w:style>
  <w:style w:type="paragraph" w:styleId="Revision">
    <w:name w:val="Revision"/>
    <w:hidden/>
    <w:uiPriority w:val="99"/>
    <w:semiHidden/>
    <w:rsid w:val="008A39FF"/>
    <w:rPr>
      <w:snapToGrid w:val="0"/>
      <w:kern w:val="28"/>
      <w:sz w:val="22"/>
    </w:rPr>
  </w:style>
  <w:style w:type="character" w:styleId="FollowedHyperlink">
    <w:name w:val="FollowedHyperlink"/>
    <w:basedOn w:val="DefaultParagraphFont"/>
    <w:semiHidden/>
    <w:unhideWhenUsed/>
    <w:rsid w:val="003C4CE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84F"/>
    <w:pPr>
      <w:widowControl w:val="0"/>
    </w:pPr>
    <w:rPr>
      <w:snapToGrid w:val="0"/>
      <w:kern w:val="28"/>
      <w:sz w:val="22"/>
    </w:rPr>
  </w:style>
  <w:style w:type="paragraph" w:styleId="Heading1">
    <w:name w:val="heading 1"/>
    <w:basedOn w:val="Normal"/>
    <w:next w:val="ParaNum"/>
    <w:link w:val="Heading1Char"/>
    <w:qFormat/>
    <w:rsid w:val="0045684F"/>
    <w:pPr>
      <w:keepNext/>
      <w:numPr>
        <w:numId w:val="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5684F"/>
    <w:pPr>
      <w:keepNext/>
      <w:numPr>
        <w:ilvl w:val="1"/>
        <w:numId w:val="7"/>
      </w:numPr>
      <w:spacing w:after="120"/>
      <w:outlineLvl w:val="1"/>
    </w:pPr>
    <w:rPr>
      <w:b/>
    </w:rPr>
  </w:style>
  <w:style w:type="paragraph" w:styleId="Heading3">
    <w:name w:val="heading 3"/>
    <w:basedOn w:val="Normal"/>
    <w:next w:val="ParaNum"/>
    <w:link w:val="Heading3Char"/>
    <w:qFormat/>
    <w:rsid w:val="0045684F"/>
    <w:pPr>
      <w:keepNext/>
      <w:numPr>
        <w:ilvl w:val="2"/>
        <w:numId w:val="7"/>
      </w:numPr>
      <w:tabs>
        <w:tab w:val="left" w:pos="2160"/>
      </w:tabs>
      <w:spacing w:after="120"/>
      <w:outlineLvl w:val="2"/>
    </w:pPr>
    <w:rPr>
      <w:b/>
    </w:rPr>
  </w:style>
  <w:style w:type="paragraph" w:styleId="Heading4">
    <w:name w:val="heading 4"/>
    <w:basedOn w:val="Normal"/>
    <w:next w:val="ParaNum"/>
    <w:link w:val="Heading4Char"/>
    <w:qFormat/>
    <w:rsid w:val="0045684F"/>
    <w:pPr>
      <w:keepNext/>
      <w:numPr>
        <w:ilvl w:val="3"/>
        <w:numId w:val="7"/>
      </w:numPr>
      <w:tabs>
        <w:tab w:val="left" w:pos="2880"/>
      </w:tabs>
      <w:spacing w:after="120"/>
      <w:outlineLvl w:val="3"/>
    </w:pPr>
    <w:rPr>
      <w:b/>
    </w:rPr>
  </w:style>
  <w:style w:type="paragraph" w:styleId="Heading5">
    <w:name w:val="heading 5"/>
    <w:basedOn w:val="Normal"/>
    <w:next w:val="ParaNum"/>
    <w:link w:val="Heading5Char"/>
    <w:qFormat/>
    <w:rsid w:val="0045684F"/>
    <w:pPr>
      <w:keepNext/>
      <w:numPr>
        <w:ilvl w:val="4"/>
        <w:numId w:val="7"/>
      </w:numPr>
      <w:tabs>
        <w:tab w:val="left" w:pos="3600"/>
      </w:tabs>
      <w:suppressAutoHyphens/>
      <w:spacing w:after="120"/>
      <w:outlineLvl w:val="4"/>
    </w:pPr>
    <w:rPr>
      <w:b/>
    </w:rPr>
  </w:style>
  <w:style w:type="paragraph" w:styleId="Heading6">
    <w:name w:val="heading 6"/>
    <w:basedOn w:val="Normal"/>
    <w:next w:val="ParaNum"/>
    <w:link w:val="Heading6Char"/>
    <w:qFormat/>
    <w:rsid w:val="0045684F"/>
    <w:pPr>
      <w:numPr>
        <w:ilvl w:val="5"/>
        <w:numId w:val="7"/>
      </w:numPr>
      <w:tabs>
        <w:tab w:val="left" w:pos="4320"/>
      </w:tabs>
      <w:spacing w:after="120"/>
      <w:outlineLvl w:val="5"/>
    </w:pPr>
    <w:rPr>
      <w:b/>
    </w:rPr>
  </w:style>
  <w:style w:type="paragraph" w:styleId="Heading7">
    <w:name w:val="heading 7"/>
    <w:basedOn w:val="Normal"/>
    <w:next w:val="ParaNum"/>
    <w:link w:val="Heading7Char"/>
    <w:qFormat/>
    <w:rsid w:val="0045684F"/>
    <w:pPr>
      <w:numPr>
        <w:ilvl w:val="6"/>
        <w:numId w:val="7"/>
      </w:numPr>
      <w:tabs>
        <w:tab w:val="left" w:pos="5040"/>
      </w:tabs>
      <w:spacing w:after="120"/>
      <w:ind w:left="5040" w:hanging="720"/>
      <w:outlineLvl w:val="6"/>
    </w:pPr>
    <w:rPr>
      <w:b/>
    </w:rPr>
  </w:style>
  <w:style w:type="paragraph" w:styleId="Heading8">
    <w:name w:val="heading 8"/>
    <w:basedOn w:val="Normal"/>
    <w:next w:val="ParaNum"/>
    <w:link w:val="Heading8Char"/>
    <w:qFormat/>
    <w:rsid w:val="0045684F"/>
    <w:pPr>
      <w:numPr>
        <w:ilvl w:val="7"/>
        <w:numId w:val="7"/>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45684F"/>
    <w:pPr>
      <w:numPr>
        <w:ilvl w:val="8"/>
        <w:numId w:val="7"/>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5684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684F"/>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2,fn"/>
    <w:link w:val="FootnoteTextChar3"/>
    <w:rsid w:val="0045684F"/>
    <w:pPr>
      <w:spacing w:after="120"/>
    </w:pPr>
  </w:style>
  <w:style w:type="character" w:styleId="FootnoteReference">
    <w:name w:val="footnote reference"/>
    <w:rsid w:val="0045684F"/>
    <w:rPr>
      <w:rFonts w:ascii="Times New Roman" w:hAnsi="Times New Roman"/>
      <w:dstrike w:val="0"/>
      <w:color w:val="auto"/>
      <w:sz w:val="20"/>
      <w:vertAlign w:val="superscript"/>
    </w:rPr>
  </w:style>
  <w:style w:type="paragraph" w:styleId="BodyTextIndent2">
    <w:name w:val="Body Text Indent 2"/>
    <w:basedOn w:val="Normal"/>
    <w:pPr>
      <w:ind w:left="720"/>
      <w:jc w:val="both"/>
    </w:pPr>
  </w:style>
  <w:style w:type="paragraph" w:styleId="Header">
    <w:name w:val="header"/>
    <w:basedOn w:val="Normal"/>
    <w:autoRedefine/>
    <w:rsid w:val="0045684F"/>
    <w:pPr>
      <w:tabs>
        <w:tab w:val="center" w:pos="4680"/>
        <w:tab w:val="right" w:pos="9360"/>
      </w:tabs>
    </w:pPr>
    <w:rPr>
      <w:b/>
    </w:rPr>
  </w:style>
  <w:style w:type="paragraph" w:styleId="Footer">
    <w:name w:val="footer"/>
    <w:basedOn w:val="Normal"/>
    <w:link w:val="FooterChar"/>
    <w:rsid w:val="0045684F"/>
    <w:pPr>
      <w:tabs>
        <w:tab w:val="center" w:pos="4320"/>
        <w:tab w:val="right" w:pos="8640"/>
      </w:tabs>
    </w:pPr>
  </w:style>
  <w:style w:type="paragraph" w:customStyle="1" w:styleId="ParaNum">
    <w:name w:val="ParaNum"/>
    <w:basedOn w:val="Normal"/>
    <w:rsid w:val="0045684F"/>
    <w:pPr>
      <w:numPr>
        <w:numId w:val="6"/>
      </w:numPr>
      <w:tabs>
        <w:tab w:val="clear" w:pos="1080"/>
        <w:tab w:val="num" w:pos="1440"/>
      </w:tabs>
      <w:spacing w:after="120"/>
    </w:pPr>
  </w:style>
  <w:style w:type="character" w:styleId="Hyperlink">
    <w:name w:val="Hyperlink"/>
    <w:rsid w:val="0045684F"/>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sid w:val="00E753F4"/>
    <w:rPr>
      <w:rFonts w:ascii="Tahoma" w:hAnsi="Tahoma" w:cs="Tahoma"/>
      <w:sz w:val="16"/>
      <w:szCs w:val="16"/>
    </w:rPr>
  </w:style>
  <w:style w:type="paragraph" w:styleId="NormalWeb">
    <w:name w:val="Normal (Web)"/>
    <w:basedOn w:val="Normal"/>
    <w:uiPriority w:val="99"/>
    <w:unhideWhenUsed/>
    <w:rsid w:val="006B195B"/>
    <w:pPr>
      <w:spacing w:before="100" w:beforeAutospacing="1" w:after="100" w:afterAutospacing="1"/>
      <w:ind w:firstLine="480"/>
    </w:pPr>
    <w:rPr>
      <w:szCs w:val="24"/>
    </w:rPr>
  </w:style>
  <w:style w:type="character" w:styleId="CommentReference">
    <w:name w:val="annotation reference"/>
    <w:uiPriority w:val="99"/>
    <w:rsid w:val="00C722C2"/>
    <w:rPr>
      <w:sz w:val="16"/>
      <w:szCs w:val="16"/>
    </w:rPr>
  </w:style>
  <w:style w:type="paragraph" w:styleId="CommentText">
    <w:name w:val="annotation text"/>
    <w:basedOn w:val="Normal"/>
    <w:link w:val="CommentTextChar"/>
    <w:rsid w:val="00C722C2"/>
    <w:rPr>
      <w:sz w:val="20"/>
    </w:rPr>
  </w:style>
  <w:style w:type="character" w:customStyle="1" w:styleId="CommentTextChar">
    <w:name w:val="Comment Text Char"/>
    <w:basedOn w:val="DefaultParagraphFont"/>
    <w:link w:val="CommentText"/>
    <w:rsid w:val="00C722C2"/>
  </w:style>
  <w:style w:type="paragraph" w:styleId="CommentSubject">
    <w:name w:val="annotation subject"/>
    <w:basedOn w:val="CommentText"/>
    <w:next w:val="CommentText"/>
    <w:link w:val="CommentSubjectChar"/>
    <w:rsid w:val="00C722C2"/>
    <w:rPr>
      <w:b/>
      <w:bCs/>
    </w:rPr>
  </w:style>
  <w:style w:type="character" w:customStyle="1" w:styleId="CommentSubjectChar">
    <w:name w:val="Comment Subject Char"/>
    <w:link w:val="CommentSubject"/>
    <w:rsid w:val="00C722C2"/>
    <w:rPr>
      <w:b/>
      <w:bCs/>
    </w:rPr>
  </w:style>
  <w:style w:type="paragraph" w:customStyle="1" w:styleId="ColorfulList-Accent11">
    <w:name w:val="Colorful List - Accent 11"/>
    <w:basedOn w:val="Normal"/>
    <w:uiPriority w:val="34"/>
    <w:qFormat/>
    <w:rsid w:val="004C4BD1"/>
    <w:pPr>
      <w:ind w:left="720"/>
    </w:pPr>
  </w:style>
  <w:style w:type="character" w:styleId="Emphasis">
    <w:name w:val="Emphasis"/>
    <w:uiPriority w:val="20"/>
    <w:qFormat/>
    <w:rsid w:val="00E14D61"/>
    <w:rPr>
      <w:i/>
      <w:iCs/>
    </w:rPr>
  </w:style>
  <w:style w:type="character" w:customStyle="1" w:styleId="cosearchterm7">
    <w:name w:val="co_searchterm7"/>
    <w:rsid w:val="00E14D61"/>
    <w:rPr>
      <w:b/>
      <w:bCs/>
      <w:color w:val="252525"/>
    </w:rPr>
  </w:style>
  <w:style w:type="character" w:customStyle="1" w:styleId="FootnoteTextChar3">
    <w:name w:val="Footnote Text Char3"/>
    <w:aliases w:val="Footnote Text Char1 Char,Footnote Text Char7 Char Char,Footnote Text Char4 Char1 Char Char,Footnote Text Char Char Char4 Char Char,Footnote Text Char7 Char Char Char Char Char,Footnote Text Char4 Char1 Char Char Char Char Char"/>
    <w:link w:val="FootnoteText"/>
    <w:locked/>
    <w:rsid w:val="00173650"/>
  </w:style>
  <w:style w:type="character" w:customStyle="1" w:styleId="FootnoteTextChar">
    <w:name w:val="Footnote Text Char"/>
    <w:semiHidden/>
    <w:rsid w:val="00173650"/>
  </w:style>
  <w:style w:type="paragraph" w:styleId="TOAHeading">
    <w:name w:val="toa heading"/>
    <w:basedOn w:val="Normal"/>
    <w:next w:val="Normal"/>
    <w:rsid w:val="0045684F"/>
    <w:pPr>
      <w:tabs>
        <w:tab w:val="right" w:pos="9360"/>
      </w:tabs>
      <w:suppressAutoHyphens/>
    </w:pPr>
  </w:style>
  <w:style w:type="paragraph" w:customStyle="1" w:styleId="StyleBoldCentered">
    <w:name w:val="Style Bold Centered"/>
    <w:basedOn w:val="Normal"/>
    <w:rsid w:val="0045684F"/>
    <w:pPr>
      <w:jc w:val="center"/>
    </w:pPr>
    <w:rPr>
      <w:rFonts w:ascii="Times New Roman Bold" w:hAnsi="Times New Roman Bold"/>
      <w:b/>
      <w:bCs/>
      <w:caps/>
      <w:szCs w:val="22"/>
    </w:rPr>
  </w:style>
  <w:style w:type="character" w:customStyle="1" w:styleId="cohighlightpoints2">
    <w:name w:val="co_highlightpoints2"/>
    <w:rsid w:val="00DF7598"/>
    <w:rPr>
      <w:b/>
      <w:bCs/>
      <w:color w:val="252525"/>
    </w:rPr>
  </w:style>
  <w:style w:type="character" w:customStyle="1" w:styleId="Heading1Char">
    <w:name w:val="Heading 1 Char"/>
    <w:link w:val="Heading1"/>
    <w:rsid w:val="00FE7AAC"/>
    <w:rPr>
      <w:rFonts w:ascii="Times New Roman Bold" w:hAnsi="Times New Roman Bold"/>
      <w:b/>
      <w:caps/>
      <w:snapToGrid w:val="0"/>
      <w:kern w:val="28"/>
      <w:sz w:val="22"/>
    </w:rPr>
  </w:style>
  <w:style w:type="character" w:customStyle="1" w:styleId="Heading2Char">
    <w:name w:val="Heading 2 Char"/>
    <w:link w:val="Heading2"/>
    <w:rsid w:val="00FE7AAC"/>
    <w:rPr>
      <w:b/>
      <w:snapToGrid w:val="0"/>
      <w:kern w:val="28"/>
      <w:sz w:val="22"/>
    </w:rPr>
  </w:style>
  <w:style w:type="character" w:customStyle="1" w:styleId="Heading3Char">
    <w:name w:val="Heading 3 Char"/>
    <w:link w:val="Heading3"/>
    <w:rsid w:val="00FE7AAC"/>
    <w:rPr>
      <w:b/>
      <w:snapToGrid w:val="0"/>
      <w:kern w:val="28"/>
      <w:sz w:val="22"/>
    </w:rPr>
  </w:style>
  <w:style w:type="character" w:customStyle="1" w:styleId="Heading4Char">
    <w:name w:val="Heading 4 Char"/>
    <w:link w:val="Heading4"/>
    <w:rsid w:val="00FE7AAC"/>
    <w:rPr>
      <w:b/>
      <w:snapToGrid w:val="0"/>
      <w:kern w:val="28"/>
      <w:sz w:val="22"/>
    </w:rPr>
  </w:style>
  <w:style w:type="character" w:customStyle="1" w:styleId="Heading5Char">
    <w:name w:val="Heading 5 Char"/>
    <w:link w:val="Heading5"/>
    <w:rsid w:val="00FE7AAC"/>
    <w:rPr>
      <w:b/>
      <w:snapToGrid w:val="0"/>
      <w:kern w:val="28"/>
      <w:sz w:val="22"/>
    </w:rPr>
  </w:style>
  <w:style w:type="character" w:customStyle="1" w:styleId="Heading6Char">
    <w:name w:val="Heading 6 Char"/>
    <w:link w:val="Heading6"/>
    <w:rsid w:val="00FE7AAC"/>
    <w:rPr>
      <w:b/>
      <w:snapToGrid w:val="0"/>
      <w:kern w:val="28"/>
      <w:sz w:val="22"/>
    </w:rPr>
  </w:style>
  <w:style w:type="character" w:customStyle="1" w:styleId="Heading7Char">
    <w:name w:val="Heading 7 Char"/>
    <w:link w:val="Heading7"/>
    <w:rsid w:val="00FE7AAC"/>
    <w:rPr>
      <w:b/>
      <w:snapToGrid w:val="0"/>
      <w:kern w:val="28"/>
      <w:sz w:val="22"/>
    </w:rPr>
  </w:style>
  <w:style w:type="character" w:customStyle="1" w:styleId="Heading8Char">
    <w:name w:val="Heading 8 Char"/>
    <w:link w:val="Heading8"/>
    <w:rsid w:val="00FE7AAC"/>
    <w:rPr>
      <w:b/>
      <w:snapToGrid w:val="0"/>
      <w:kern w:val="28"/>
      <w:sz w:val="22"/>
    </w:rPr>
  </w:style>
  <w:style w:type="character" w:customStyle="1" w:styleId="Heading9Char">
    <w:name w:val="Heading 9 Char"/>
    <w:link w:val="Heading9"/>
    <w:rsid w:val="00FE7AAC"/>
    <w:rPr>
      <w:b/>
      <w:snapToGrid w:val="0"/>
      <w:kern w:val="28"/>
      <w:sz w:val="22"/>
    </w:rPr>
  </w:style>
  <w:style w:type="paragraph" w:styleId="EndnoteText">
    <w:name w:val="endnote text"/>
    <w:basedOn w:val="Normal"/>
    <w:link w:val="EndnoteTextChar"/>
    <w:rsid w:val="0045684F"/>
    <w:rPr>
      <w:sz w:val="20"/>
    </w:rPr>
  </w:style>
  <w:style w:type="character" w:customStyle="1" w:styleId="EndnoteTextChar">
    <w:name w:val="Endnote Text Char"/>
    <w:link w:val="EndnoteText"/>
    <w:rsid w:val="00FE7AAC"/>
    <w:rPr>
      <w:snapToGrid w:val="0"/>
      <w:kern w:val="28"/>
    </w:rPr>
  </w:style>
  <w:style w:type="character" w:styleId="EndnoteReference">
    <w:name w:val="endnote reference"/>
    <w:rsid w:val="0045684F"/>
    <w:rPr>
      <w:vertAlign w:val="superscript"/>
    </w:rPr>
  </w:style>
  <w:style w:type="paragraph" w:styleId="TOC1">
    <w:name w:val="toc 1"/>
    <w:basedOn w:val="Normal"/>
    <w:next w:val="Normal"/>
    <w:rsid w:val="0045684F"/>
    <w:pPr>
      <w:tabs>
        <w:tab w:val="left" w:pos="360"/>
        <w:tab w:val="right" w:leader="dot" w:pos="9360"/>
      </w:tabs>
      <w:suppressAutoHyphens/>
      <w:ind w:left="360" w:right="720" w:hanging="360"/>
    </w:pPr>
    <w:rPr>
      <w:caps/>
      <w:noProof/>
    </w:rPr>
  </w:style>
  <w:style w:type="paragraph" w:styleId="TOC2">
    <w:name w:val="toc 2"/>
    <w:basedOn w:val="Normal"/>
    <w:next w:val="Normal"/>
    <w:rsid w:val="0045684F"/>
    <w:pPr>
      <w:tabs>
        <w:tab w:val="left" w:pos="720"/>
        <w:tab w:val="right" w:leader="dot" w:pos="9360"/>
      </w:tabs>
      <w:suppressAutoHyphens/>
      <w:ind w:left="720" w:right="720" w:hanging="360"/>
    </w:pPr>
    <w:rPr>
      <w:noProof/>
    </w:rPr>
  </w:style>
  <w:style w:type="paragraph" w:styleId="TOC3">
    <w:name w:val="toc 3"/>
    <w:basedOn w:val="Normal"/>
    <w:next w:val="Normal"/>
    <w:rsid w:val="0045684F"/>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5684F"/>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5684F"/>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5684F"/>
    <w:pPr>
      <w:tabs>
        <w:tab w:val="left" w:pos="2160"/>
        <w:tab w:val="right" w:leader="dot" w:pos="9360"/>
      </w:tabs>
      <w:suppressAutoHyphens/>
      <w:ind w:left="2160" w:hanging="360"/>
    </w:pPr>
    <w:rPr>
      <w:noProof/>
    </w:rPr>
  </w:style>
  <w:style w:type="paragraph" w:styleId="TOC7">
    <w:name w:val="toc 7"/>
    <w:basedOn w:val="Normal"/>
    <w:next w:val="Normal"/>
    <w:autoRedefine/>
    <w:rsid w:val="0045684F"/>
    <w:pPr>
      <w:tabs>
        <w:tab w:val="left" w:pos="2520"/>
        <w:tab w:val="right" w:leader="dot" w:pos="9360"/>
      </w:tabs>
      <w:suppressAutoHyphens/>
      <w:ind w:left="2520" w:hanging="360"/>
    </w:pPr>
    <w:rPr>
      <w:noProof/>
    </w:rPr>
  </w:style>
  <w:style w:type="paragraph" w:styleId="TOC8">
    <w:name w:val="toc 8"/>
    <w:basedOn w:val="Normal"/>
    <w:next w:val="Normal"/>
    <w:autoRedefine/>
    <w:rsid w:val="0045684F"/>
    <w:pPr>
      <w:tabs>
        <w:tab w:val="left" w:pos="2880"/>
        <w:tab w:val="right" w:leader="dot" w:pos="9360"/>
      </w:tabs>
      <w:suppressAutoHyphens/>
      <w:ind w:left="2880" w:hanging="360"/>
    </w:pPr>
    <w:rPr>
      <w:noProof/>
    </w:rPr>
  </w:style>
  <w:style w:type="paragraph" w:styleId="TOC9">
    <w:name w:val="toc 9"/>
    <w:basedOn w:val="Normal"/>
    <w:next w:val="Normal"/>
    <w:autoRedefine/>
    <w:rsid w:val="0045684F"/>
    <w:pPr>
      <w:tabs>
        <w:tab w:val="left" w:pos="3240"/>
        <w:tab w:val="right" w:leader="dot" w:pos="9360"/>
      </w:tabs>
      <w:suppressAutoHyphens/>
      <w:ind w:left="3240" w:hanging="360"/>
    </w:pPr>
    <w:rPr>
      <w:noProof/>
    </w:rPr>
  </w:style>
  <w:style w:type="character" w:customStyle="1" w:styleId="EquationCaption">
    <w:name w:val="_Equation Caption"/>
    <w:rsid w:val="0045684F"/>
  </w:style>
  <w:style w:type="character" w:styleId="PageNumber">
    <w:name w:val="page number"/>
    <w:basedOn w:val="DefaultParagraphFont"/>
    <w:rsid w:val="0045684F"/>
  </w:style>
  <w:style w:type="paragraph" w:styleId="BlockText">
    <w:name w:val="Block Text"/>
    <w:basedOn w:val="Normal"/>
    <w:rsid w:val="0045684F"/>
    <w:pPr>
      <w:spacing w:after="240"/>
      <w:ind w:left="1440" w:right="1440"/>
    </w:pPr>
  </w:style>
  <w:style w:type="paragraph" w:customStyle="1" w:styleId="Paratitle">
    <w:name w:val="Para title"/>
    <w:basedOn w:val="Normal"/>
    <w:rsid w:val="0045684F"/>
    <w:pPr>
      <w:tabs>
        <w:tab w:val="center" w:pos="9270"/>
      </w:tabs>
      <w:spacing w:after="240"/>
    </w:pPr>
    <w:rPr>
      <w:spacing w:val="-2"/>
    </w:rPr>
  </w:style>
  <w:style w:type="paragraph" w:customStyle="1" w:styleId="Bullet">
    <w:name w:val="Bullet"/>
    <w:basedOn w:val="Normal"/>
    <w:rsid w:val="0045684F"/>
    <w:pPr>
      <w:tabs>
        <w:tab w:val="left" w:pos="2160"/>
      </w:tabs>
      <w:spacing w:after="220"/>
      <w:ind w:left="2160" w:hanging="720"/>
    </w:pPr>
  </w:style>
  <w:style w:type="paragraph" w:customStyle="1" w:styleId="TableFormat">
    <w:name w:val="TableFormat"/>
    <w:basedOn w:val="Bullet"/>
    <w:rsid w:val="0045684F"/>
    <w:pPr>
      <w:tabs>
        <w:tab w:val="clear" w:pos="2160"/>
        <w:tab w:val="left" w:pos="5040"/>
      </w:tabs>
      <w:ind w:left="5040" w:hanging="3600"/>
    </w:pPr>
  </w:style>
  <w:style w:type="paragraph" w:customStyle="1" w:styleId="TOCTitle">
    <w:name w:val="TOC Title"/>
    <w:basedOn w:val="Normal"/>
    <w:rsid w:val="0045684F"/>
    <w:pPr>
      <w:spacing w:before="240" w:after="240"/>
      <w:jc w:val="center"/>
    </w:pPr>
    <w:rPr>
      <w:rFonts w:ascii="Times New Roman Bold" w:hAnsi="Times New Roman Bold"/>
      <w:b/>
      <w:caps/>
      <w:spacing w:val="-2"/>
    </w:rPr>
  </w:style>
  <w:style w:type="character" w:customStyle="1" w:styleId="FooterChar">
    <w:name w:val="Footer Char"/>
    <w:link w:val="Footer"/>
    <w:rsid w:val="00790C7D"/>
    <w:rPr>
      <w:snapToGrid w:val="0"/>
      <w:kern w:val="28"/>
      <w:sz w:val="22"/>
    </w:rPr>
  </w:style>
  <w:style w:type="paragraph" w:styleId="Revision">
    <w:name w:val="Revision"/>
    <w:hidden/>
    <w:uiPriority w:val="99"/>
    <w:semiHidden/>
    <w:rsid w:val="008A39FF"/>
    <w:rPr>
      <w:snapToGrid w:val="0"/>
      <w:kern w:val="28"/>
      <w:sz w:val="22"/>
    </w:rPr>
  </w:style>
  <w:style w:type="character" w:styleId="FollowedHyperlink">
    <w:name w:val="FollowedHyperlink"/>
    <w:basedOn w:val="DefaultParagraphFont"/>
    <w:semiHidden/>
    <w:unhideWhenUsed/>
    <w:rsid w:val="003C4C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17149">
      <w:bodyDiv w:val="1"/>
      <w:marLeft w:val="0"/>
      <w:marRight w:val="0"/>
      <w:marTop w:val="0"/>
      <w:marBottom w:val="0"/>
      <w:divBdr>
        <w:top w:val="none" w:sz="0" w:space="0" w:color="auto"/>
        <w:left w:val="none" w:sz="0" w:space="0" w:color="auto"/>
        <w:bottom w:val="none" w:sz="0" w:space="0" w:color="auto"/>
        <w:right w:val="none" w:sz="0" w:space="0" w:color="auto"/>
      </w:divBdr>
    </w:div>
    <w:div w:id="530147374">
      <w:bodyDiv w:val="1"/>
      <w:marLeft w:val="0"/>
      <w:marRight w:val="0"/>
      <w:marTop w:val="0"/>
      <w:marBottom w:val="0"/>
      <w:divBdr>
        <w:top w:val="none" w:sz="0" w:space="0" w:color="auto"/>
        <w:left w:val="none" w:sz="0" w:space="0" w:color="auto"/>
        <w:bottom w:val="none" w:sz="0" w:space="0" w:color="auto"/>
        <w:right w:val="none" w:sz="0" w:space="0" w:color="auto"/>
      </w:divBdr>
    </w:div>
    <w:div w:id="690028977">
      <w:bodyDiv w:val="1"/>
      <w:marLeft w:val="0"/>
      <w:marRight w:val="0"/>
      <w:marTop w:val="0"/>
      <w:marBottom w:val="0"/>
      <w:divBdr>
        <w:top w:val="none" w:sz="0" w:space="0" w:color="auto"/>
        <w:left w:val="none" w:sz="0" w:space="0" w:color="auto"/>
        <w:bottom w:val="none" w:sz="0" w:space="0" w:color="auto"/>
        <w:right w:val="none" w:sz="0" w:space="0" w:color="auto"/>
      </w:divBdr>
      <w:divsChild>
        <w:div w:id="544947052">
          <w:marLeft w:val="0"/>
          <w:marRight w:val="0"/>
          <w:marTop w:val="0"/>
          <w:marBottom w:val="0"/>
          <w:divBdr>
            <w:top w:val="none" w:sz="0" w:space="0" w:color="auto"/>
            <w:left w:val="single" w:sz="6" w:space="0" w:color="BBBBBB"/>
            <w:bottom w:val="single" w:sz="6" w:space="0" w:color="BBBBBB"/>
            <w:right w:val="single" w:sz="6" w:space="0" w:color="BBBBBB"/>
          </w:divBdr>
          <w:divsChild>
            <w:div w:id="688139364">
              <w:marLeft w:val="0"/>
              <w:marRight w:val="0"/>
              <w:marTop w:val="0"/>
              <w:marBottom w:val="0"/>
              <w:divBdr>
                <w:top w:val="none" w:sz="0" w:space="0" w:color="auto"/>
                <w:left w:val="none" w:sz="0" w:space="0" w:color="auto"/>
                <w:bottom w:val="none" w:sz="0" w:space="0" w:color="auto"/>
                <w:right w:val="none" w:sz="0" w:space="0" w:color="auto"/>
              </w:divBdr>
              <w:divsChild>
                <w:div w:id="1943606481">
                  <w:marLeft w:val="0"/>
                  <w:marRight w:val="0"/>
                  <w:marTop w:val="0"/>
                  <w:marBottom w:val="0"/>
                  <w:divBdr>
                    <w:top w:val="none" w:sz="0" w:space="0" w:color="auto"/>
                    <w:left w:val="none" w:sz="0" w:space="0" w:color="auto"/>
                    <w:bottom w:val="none" w:sz="0" w:space="0" w:color="auto"/>
                    <w:right w:val="none" w:sz="0" w:space="0" w:color="auto"/>
                  </w:divBdr>
                  <w:divsChild>
                    <w:div w:id="993949914">
                      <w:marLeft w:val="0"/>
                      <w:marRight w:val="0"/>
                      <w:marTop w:val="0"/>
                      <w:marBottom w:val="0"/>
                      <w:divBdr>
                        <w:top w:val="none" w:sz="0" w:space="0" w:color="auto"/>
                        <w:left w:val="none" w:sz="0" w:space="0" w:color="auto"/>
                        <w:bottom w:val="none" w:sz="0" w:space="0" w:color="auto"/>
                        <w:right w:val="none" w:sz="0" w:space="0" w:color="auto"/>
                      </w:divBdr>
                      <w:divsChild>
                        <w:div w:id="1014960064">
                          <w:marLeft w:val="0"/>
                          <w:marRight w:val="0"/>
                          <w:marTop w:val="0"/>
                          <w:marBottom w:val="0"/>
                          <w:divBdr>
                            <w:top w:val="none" w:sz="0" w:space="0" w:color="auto"/>
                            <w:left w:val="none" w:sz="0" w:space="0" w:color="auto"/>
                            <w:bottom w:val="none" w:sz="0" w:space="0" w:color="auto"/>
                            <w:right w:val="none" w:sz="0" w:space="0" w:color="auto"/>
                          </w:divBdr>
                          <w:divsChild>
                            <w:div w:id="579143085">
                              <w:marLeft w:val="0"/>
                              <w:marRight w:val="0"/>
                              <w:marTop w:val="0"/>
                              <w:marBottom w:val="0"/>
                              <w:divBdr>
                                <w:top w:val="none" w:sz="0" w:space="0" w:color="auto"/>
                                <w:left w:val="none" w:sz="0" w:space="0" w:color="auto"/>
                                <w:bottom w:val="none" w:sz="0" w:space="0" w:color="auto"/>
                                <w:right w:val="none" w:sz="0" w:space="0" w:color="auto"/>
                              </w:divBdr>
                              <w:divsChild>
                                <w:div w:id="461920720">
                                  <w:marLeft w:val="0"/>
                                  <w:marRight w:val="0"/>
                                  <w:marTop w:val="0"/>
                                  <w:marBottom w:val="0"/>
                                  <w:divBdr>
                                    <w:top w:val="none" w:sz="0" w:space="0" w:color="auto"/>
                                    <w:left w:val="none" w:sz="0" w:space="0" w:color="auto"/>
                                    <w:bottom w:val="none" w:sz="0" w:space="0" w:color="auto"/>
                                    <w:right w:val="none" w:sz="0" w:space="0" w:color="auto"/>
                                  </w:divBdr>
                                  <w:divsChild>
                                    <w:div w:id="746653737">
                                      <w:marLeft w:val="0"/>
                                      <w:marRight w:val="0"/>
                                      <w:marTop w:val="0"/>
                                      <w:marBottom w:val="0"/>
                                      <w:divBdr>
                                        <w:top w:val="none" w:sz="0" w:space="0" w:color="auto"/>
                                        <w:left w:val="none" w:sz="0" w:space="0" w:color="auto"/>
                                        <w:bottom w:val="none" w:sz="0" w:space="0" w:color="auto"/>
                                        <w:right w:val="none" w:sz="0" w:space="0" w:color="auto"/>
                                      </w:divBdr>
                                      <w:divsChild>
                                        <w:div w:id="246621291">
                                          <w:marLeft w:val="1200"/>
                                          <w:marRight w:val="1200"/>
                                          <w:marTop w:val="0"/>
                                          <w:marBottom w:val="0"/>
                                          <w:divBdr>
                                            <w:top w:val="none" w:sz="0" w:space="0" w:color="auto"/>
                                            <w:left w:val="none" w:sz="0" w:space="0" w:color="auto"/>
                                            <w:bottom w:val="none" w:sz="0" w:space="0" w:color="auto"/>
                                            <w:right w:val="none" w:sz="0" w:space="0" w:color="auto"/>
                                          </w:divBdr>
                                          <w:divsChild>
                                            <w:div w:id="2090810209">
                                              <w:marLeft w:val="0"/>
                                              <w:marRight w:val="0"/>
                                              <w:marTop w:val="0"/>
                                              <w:marBottom w:val="0"/>
                                              <w:divBdr>
                                                <w:top w:val="none" w:sz="0" w:space="0" w:color="auto"/>
                                                <w:left w:val="none" w:sz="0" w:space="0" w:color="auto"/>
                                                <w:bottom w:val="none" w:sz="0" w:space="0" w:color="auto"/>
                                                <w:right w:val="none" w:sz="0" w:space="0" w:color="auto"/>
                                              </w:divBdr>
                                              <w:divsChild>
                                                <w:div w:id="1519615678">
                                                  <w:marLeft w:val="0"/>
                                                  <w:marRight w:val="0"/>
                                                  <w:marTop w:val="240"/>
                                                  <w:marBottom w:val="0"/>
                                                  <w:divBdr>
                                                    <w:top w:val="none" w:sz="0" w:space="0" w:color="auto"/>
                                                    <w:left w:val="none" w:sz="0" w:space="0" w:color="auto"/>
                                                    <w:bottom w:val="none" w:sz="0" w:space="0" w:color="auto"/>
                                                    <w:right w:val="none" w:sz="0" w:space="0" w:color="auto"/>
                                                  </w:divBdr>
                                                  <w:divsChild>
                                                    <w:div w:id="106973458">
                                                      <w:marLeft w:val="0"/>
                                                      <w:marRight w:val="0"/>
                                                      <w:marTop w:val="0"/>
                                                      <w:marBottom w:val="0"/>
                                                      <w:divBdr>
                                                        <w:top w:val="none" w:sz="0" w:space="0" w:color="auto"/>
                                                        <w:left w:val="none" w:sz="0" w:space="0" w:color="auto"/>
                                                        <w:bottom w:val="none" w:sz="0" w:space="0" w:color="auto"/>
                                                        <w:right w:val="none" w:sz="0" w:space="0" w:color="auto"/>
                                                      </w:divBdr>
                                                      <w:divsChild>
                                                        <w:div w:id="699428044">
                                                          <w:marLeft w:val="1275"/>
                                                          <w:marRight w:val="0"/>
                                                          <w:marTop w:val="0"/>
                                                          <w:marBottom w:val="0"/>
                                                          <w:divBdr>
                                                            <w:top w:val="none" w:sz="0" w:space="0" w:color="auto"/>
                                                            <w:left w:val="none" w:sz="0" w:space="0" w:color="auto"/>
                                                            <w:bottom w:val="none" w:sz="0" w:space="0" w:color="auto"/>
                                                            <w:right w:val="none" w:sz="0" w:space="0" w:color="auto"/>
                                                          </w:divBdr>
                                                          <w:divsChild>
                                                            <w:div w:id="1283030373">
                                                              <w:marLeft w:val="0"/>
                                                              <w:marRight w:val="0"/>
                                                              <w:marTop w:val="0"/>
                                                              <w:marBottom w:val="0"/>
                                                              <w:divBdr>
                                                                <w:top w:val="none" w:sz="0" w:space="0" w:color="auto"/>
                                                                <w:left w:val="none" w:sz="0" w:space="0" w:color="auto"/>
                                                                <w:bottom w:val="none" w:sz="0" w:space="0" w:color="auto"/>
                                                                <w:right w:val="none" w:sz="0" w:space="0" w:color="auto"/>
                                                              </w:divBdr>
                                                              <w:divsChild>
                                                                <w:div w:id="2051832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0591285">
      <w:bodyDiv w:val="1"/>
      <w:marLeft w:val="0"/>
      <w:marRight w:val="0"/>
      <w:marTop w:val="30"/>
      <w:marBottom w:val="750"/>
      <w:divBdr>
        <w:top w:val="none" w:sz="0" w:space="0" w:color="auto"/>
        <w:left w:val="none" w:sz="0" w:space="0" w:color="auto"/>
        <w:bottom w:val="none" w:sz="0" w:space="0" w:color="auto"/>
        <w:right w:val="none" w:sz="0" w:space="0" w:color="auto"/>
      </w:divBdr>
      <w:divsChild>
        <w:div w:id="1661889744">
          <w:marLeft w:val="0"/>
          <w:marRight w:val="0"/>
          <w:marTop w:val="0"/>
          <w:marBottom w:val="0"/>
          <w:divBdr>
            <w:top w:val="none" w:sz="0" w:space="0" w:color="auto"/>
            <w:left w:val="none" w:sz="0" w:space="0" w:color="auto"/>
            <w:bottom w:val="none" w:sz="0" w:space="0" w:color="auto"/>
            <w:right w:val="none" w:sz="0" w:space="0" w:color="auto"/>
          </w:divBdr>
        </w:div>
      </w:divsChild>
    </w:div>
    <w:div w:id="1610504812">
      <w:bodyDiv w:val="1"/>
      <w:marLeft w:val="0"/>
      <w:marRight w:val="0"/>
      <w:marTop w:val="0"/>
      <w:marBottom w:val="0"/>
      <w:divBdr>
        <w:top w:val="none" w:sz="0" w:space="0" w:color="auto"/>
        <w:left w:val="none" w:sz="0" w:space="0" w:color="auto"/>
        <w:bottom w:val="none" w:sz="0" w:space="0" w:color="auto"/>
        <w:right w:val="none" w:sz="0" w:space="0" w:color="auto"/>
      </w:divBdr>
    </w:div>
    <w:div w:id="1881017597">
      <w:bodyDiv w:val="1"/>
      <w:marLeft w:val="0"/>
      <w:marRight w:val="0"/>
      <w:marTop w:val="0"/>
      <w:marBottom w:val="0"/>
      <w:divBdr>
        <w:top w:val="none" w:sz="0" w:space="0" w:color="auto"/>
        <w:left w:val="none" w:sz="0" w:space="0" w:color="auto"/>
        <w:bottom w:val="none" w:sz="0" w:space="0" w:color="auto"/>
        <w:right w:val="none" w:sz="0" w:space="0" w:color="auto"/>
      </w:divBdr>
    </w:div>
    <w:div w:id="200169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eginfo.gov/public/do/PRAOMBHistory?ombControlNumber=3060-07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4276</Words>
  <Characters>23261</Characters>
  <Application>Microsoft Office Word</Application>
  <DocSecurity>0</DocSecurity>
  <Lines>320</Lines>
  <Paragraphs>59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27654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2017-02-02T15:13:00Z</cp:lastPrinted>
  <dcterms:created xsi:type="dcterms:W3CDTF">2017-02-28T16:59:00Z</dcterms:created>
  <dcterms:modified xsi:type="dcterms:W3CDTF">2017-02-28T16:59:00Z</dcterms:modified>
  <cp:category> </cp:category>
  <cp:contentStatus> </cp:contentStatus>
</cp:coreProperties>
</file>