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A159" w14:textId="221BD770" w:rsidR="00717B2F" w:rsidRPr="008D5DAB" w:rsidRDefault="00717B2F" w:rsidP="008D5DAB">
      <w:pPr>
        <w:spacing w:after="240"/>
        <w:jc w:val="center"/>
        <w:rPr>
          <w:b/>
          <w:bCs/>
          <w:caps/>
          <w:szCs w:val="22"/>
        </w:rPr>
      </w:pPr>
      <w:bookmarkStart w:id="0" w:name="_Hlk498521150"/>
      <w:bookmarkStart w:id="1" w:name="_GoBack"/>
      <w:bookmarkEnd w:id="1"/>
      <w:r w:rsidRPr="008D5DAB">
        <w:rPr>
          <w:b/>
          <w:bCs/>
          <w:caps/>
          <w:szCs w:val="22"/>
        </w:rPr>
        <w:t>Statement of</w:t>
      </w:r>
      <w:r w:rsidR="008D5DAB" w:rsidRPr="008D5DAB">
        <w:rPr>
          <w:b/>
          <w:bCs/>
          <w:caps/>
          <w:szCs w:val="22"/>
        </w:rPr>
        <w:br/>
      </w:r>
      <w:r w:rsidRPr="008D5DAB">
        <w:rPr>
          <w:b/>
          <w:bCs/>
          <w:caps/>
          <w:szCs w:val="22"/>
        </w:rPr>
        <w:t>Chairman AJIT PAI</w:t>
      </w:r>
    </w:p>
    <w:p w14:paraId="545F8DB3" w14:textId="68B4242F" w:rsidR="00717B2F" w:rsidRPr="008D5DAB" w:rsidRDefault="00717B2F" w:rsidP="001B4D8B">
      <w:pPr>
        <w:spacing w:after="120"/>
        <w:ind w:left="720" w:hanging="720"/>
        <w:rPr>
          <w:szCs w:val="22"/>
        </w:rPr>
      </w:pPr>
      <w:r w:rsidRPr="008D5DAB">
        <w:rPr>
          <w:iCs/>
          <w:szCs w:val="22"/>
        </w:rPr>
        <w:t>Re:</w:t>
      </w:r>
      <w:r w:rsidRPr="008D5DAB">
        <w:rPr>
          <w:szCs w:val="22"/>
        </w:rPr>
        <w:tab/>
      </w:r>
      <w:r w:rsidRPr="008D5DAB">
        <w:rPr>
          <w:i/>
          <w:szCs w:val="22"/>
        </w:rPr>
        <w:t>Accelerating Wireline Broadband Deployment by Removing Barriers to Infrastructure Investment</w:t>
      </w:r>
      <w:r w:rsidRPr="008D5DAB">
        <w:rPr>
          <w:szCs w:val="22"/>
        </w:rPr>
        <w:t>, WC Docket No. 17-84.</w:t>
      </w:r>
    </w:p>
    <w:p w14:paraId="1D666860" w14:textId="43612EB1" w:rsidR="00D32923" w:rsidRPr="008D5DAB" w:rsidRDefault="00790B28" w:rsidP="008D5DAB">
      <w:pPr>
        <w:spacing w:after="120"/>
        <w:ind w:firstLine="720"/>
        <w:rPr>
          <w:szCs w:val="22"/>
        </w:rPr>
      </w:pPr>
      <w:r w:rsidRPr="008D5DAB">
        <w:rPr>
          <w:szCs w:val="22"/>
        </w:rPr>
        <w:t>It seems like ancient history now, but at one time, fax machines were thought to be a necessary accoutrement of the modern office.  That changed rather quickly—so much so that when I joined the Commission in 2012, I was surprised to learn (1) that I had a fax machine and (2) that the agency’s default was to include a fax machine number on business cards</w:t>
      </w:r>
      <w:r w:rsidR="007E230D" w:rsidRPr="008D5DAB">
        <w:rPr>
          <w:szCs w:val="22"/>
        </w:rPr>
        <w:t>.</w:t>
      </w:r>
      <w:r w:rsidRPr="008D5DAB">
        <w:rPr>
          <w:szCs w:val="22"/>
        </w:rPr>
        <w:t xml:space="preserve"> </w:t>
      </w:r>
      <w:r w:rsidR="00520839" w:rsidRPr="008D5DAB">
        <w:rPr>
          <w:szCs w:val="22"/>
        </w:rPr>
        <w:t xml:space="preserve"> </w:t>
      </w:r>
      <w:r w:rsidRPr="008D5DAB">
        <w:rPr>
          <w:szCs w:val="22"/>
        </w:rPr>
        <w:t>(I jettisoned it in favor of my Twitter handle</w:t>
      </w:r>
      <w:r w:rsidR="00520839" w:rsidRPr="008D5DAB">
        <w:rPr>
          <w:szCs w:val="22"/>
        </w:rPr>
        <w:t>.</w:t>
      </w:r>
      <w:r w:rsidRPr="008D5DAB">
        <w:rPr>
          <w:szCs w:val="22"/>
        </w:rPr>
        <w:t xml:space="preserve">)  Technology, and consumers’ expectations about it, had simply outpaced the bulky device that played a critical role in movies like </w:t>
      </w:r>
      <w:r w:rsidRPr="008D5DAB">
        <w:rPr>
          <w:i/>
          <w:szCs w:val="22"/>
        </w:rPr>
        <w:t>The Firm</w:t>
      </w:r>
      <w:r w:rsidR="0059485E" w:rsidRPr="008D5DAB">
        <w:rPr>
          <w:szCs w:val="22"/>
        </w:rPr>
        <w:t xml:space="preserve"> and </w:t>
      </w:r>
      <w:r w:rsidR="0059485E" w:rsidRPr="008D5DAB">
        <w:rPr>
          <w:i/>
          <w:szCs w:val="22"/>
        </w:rPr>
        <w:t>Back to the Future II</w:t>
      </w:r>
      <w:r w:rsidRPr="008D5DAB">
        <w:rPr>
          <w:szCs w:val="22"/>
        </w:rPr>
        <w:t>.</w:t>
      </w:r>
    </w:p>
    <w:p w14:paraId="29EB02F2" w14:textId="3FB178BC" w:rsidR="00235422" w:rsidRPr="008D5DAB" w:rsidRDefault="00235422" w:rsidP="001B4D8B">
      <w:pPr>
        <w:spacing w:after="120"/>
        <w:ind w:firstLine="720"/>
        <w:rPr>
          <w:szCs w:val="22"/>
        </w:rPr>
      </w:pPr>
      <w:r w:rsidRPr="008D5DAB">
        <w:rPr>
          <w:szCs w:val="22"/>
        </w:rPr>
        <w:t>Same too with</w:t>
      </w:r>
      <w:r w:rsidR="00786324" w:rsidRPr="008D5DAB">
        <w:rPr>
          <w:szCs w:val="22"/>
        </w:rPr>
        <w:t xml:space="preserve"> </w:t>
      </w:r>
      <w:r w:rsidRPr="008D5DAB">
        <w:rPr>
          <w:szCs w:val="22"/>
        </w:rPr>
        <w:t xml:space="preserve">legacy </w:t>
      </w:r>
      <w:r w:rsidR="007C3F33" w:rsidRPr="008D5DAB">
        <w:rPr>
          <w:szCs w:val="22"/>
        </w:rPr>
        <w:t>copper</w:t>
      </w:r>
      <w:r w:rsidR="00337AA0" w:rsidRPr="008D5DAB">
        <w:rPr>
          <w:szCs w:val="22"/>
        </w:rPr>
        <w:t xml:space="preserve"> networks </w:t>
      </w:r>
      <w:r w:rsidR="008E3380" w:rsidRPr="008D5DAB">
        <w:rPr>
          <w:szCs w:val="22"/>
        </w:rPr>
        <w:t xml:space="preserve">that we all relied upon in the late </w:t>
      </w:r>
      <w:r w:rsidRPr="008D5DAB">
        <w:rPr>
          <w:szCs w:val="22"/>
        </w:rPr>
        <w:t>19</w:t>
      </w:r>
      <w:r w:rsidR="008E3380" w:rsidRPr="008D5DAB">
        <w:rPr>
          <w:szCs w:val="22"/>
        </w:rPr>
        <w:t>80s</w:t>
      </w:r>
      <w:r w:rsidRPr="008D5DAB">
        <w:rPr>
          <w:szCs w:val="22"/>
        </w:rPr>
        <w:t xml:space="preserve">. </w:t>
      </w:r>
      <w:r w:rsidR="00337AA0" w:rsidRPr="008D5DAB">
        <w:rPr>
          <w:szCs w:val="22"/>
        </w:rPr>
        <w:t xml:space="preserve"> </w:t>
      </w:r>
      <w:r w:rsidRPr="008D5DAB">
        <w:rPr>
          <w:szCs w:val="22"/>
        </w:rPr>
        <w:t xml:space="preserve">They </w:t>
      </w:r>
      <w:r w:rsidR="00337AA0" w:rsidRPr="008D5DAB">
        <w:rPr>
          <w:szCs w:val="22"/>
        </w:rPr>
        <w:t xml:space="preserve">are </w:t>
      </w:r>
      <w:r w:rsidRPr="008D5DAB">
        <w:rPr>
          <w:szCs w:val="22"/>
        </w:rPr>
        <w:t xml:space="preserve">ever more </w:t>
      </w:r>
      <w:r w:rsidR="00337AA0" w:rsidRPr="008D5DAB">
        <w:rPr>
          <w:szCs w:val="22"/>
        </w:rPr>
        <w:t>outdated</w:t>
      </w:r>
      <w:r w:rsidRPr="008D5DAB">
        <w:rPr>
          <w:szCs w:val="22"/>
        </w:rPr>
        <w:t xml:space="preserve"> as consumers lead the migration to fiber and other advanced IP-based technologies</w:t>
      </w:r>
      <w:r w:rsidR="008D5DAB" w:rsidRPr="008D5DAB">
        <w:rPr>
          <w:szCs w:val="22"/>
        </w:rPr>
        <w:t>.</w:t>
      </w:r>
    </w:p>
    <w:p w14:paraId="05672AE8" w14:textId="54F0ECD1" w:rsidR="00235422" w:rsidRPr="008D5DAB" w:rsidRDefault="00C63562" w:rsidP="001B4D8B">
      <w:pPr>
        <w:spacing w:after="120"/>
        <w:ind w:firstLine="720"/>
        <w:rPr>
          <w:szCs w:val="22"/>
        </w:rPr>
      </w:pPr>
      <w:r w:rsidRPr="008D5DAB">
        <w:rPr>
          <w:szCs w:val="22"/>
        </w:rPr>
        <w:t>T</w:t>
      </w:r>
      <w:r w:rsidR="001765EC" w:rsidRPr="008D5DAB">
        <w:rPr>
          <w:szCs w:val="22"/>
        </w:rPr>
        <w:t>hat</w:t>
      </w:r>
      <w:r w:rsidR="00235422" w:rsidRPr="008D5DAB">
        <w:rPr>
          <w:szCs w:val="22"/>
        </w:rPr>
        <w:t xml:space="preserve"> all-IP world is one that is more resilient, more robust, and more competitive.  That’s why a </w:t>
      </w:r>
      <w:r w:rsidR="008E3380" w:rsidRPr="008D5DAB">
        <w:rPr>
          <w:szCs w:val="22"/>
        </w:rPr>
        <w:t xml:space="preserve">key </w:t>
      </w:r>
      <w:r w:rsidR="00235422" w:rsidRPr="008D5DAB">
        <w:rPr>
          <w:szCs w:val="22"/>
        </w:rPr>
        <w:t xml:space="preserve">to </w:t>
      </w:r>
      <w:r w:rsidR="007C3F33" w:rsidRPr="008D5DAB">
        <w:rPr>
          <w:szCs w:val="22"/>
        </w:rPr>
        <w:t xml:space="preserve">closing the digital divide is </w:t>
      </w:r>
      <w:r w:rsidR="008E3380" w:rsidRPr="008D5DAB">
        <w:rPr>
          <w:szCs w:val="22"/>
        </w:rPr>
        <w:t xml:space="preserve">maximizing </w:t>
      </w:r>
      <w:r w:rsidR="007C3F33" w:rsidRPr="008D5DAB">
        <w:rPr>
          <w:szCs w:val="22"/>
        </w:rPr>
        <w:t>providers</w:t>
      </w:r>
      <w:r w:rsidR="008E3380" w:rsidRPr="008D5DAB">
        <w:rPr>
          <w:szCs w:val="22"/>
        </w:rPr>
        <w:t>’ ability to</w:t>
      </w:r>
      <w:r w:rsidR="007C3F33" w:rsidRPr="008D5DAB">
        <w:rPr>
          <w:szCs w:val="22"/>
        </w:rPr>
        <w:t xml:space="preserve"> invest in building the modern networks </w:t>
      </w:r>
      <w:r w:rsidR="00235422" w:rsidRPr="008D5DAB">
        <w:rPr>
          <w:szCs w:val="22"/>
        </w:rPr>
        <w:t xml:space="preserve">that fuel </w:t>
      </w:r>
      <w:r w:rsidR="007C3F33" w:rsidRPr="008D5DAB">
        <w:rPr>
          <w:szCs w:val="22"/>
        </w:rPr>
        <w:t>the Internet economy.</w:t>
      </w:r>
    </w:p>
    <w:p w14:paraId="7EE376CD" w14:textId="56A5C745" w:rsidR="00C02560" w:rsidRPr="008D5DAB" w:rsidRDefault="007C3F33" w:rsidP="001B4D8B">
      <w:pPr>
        <w:spacing w:after="120"/>
        <w:ind w:firstLine="720"/>
        <w:rPr>
          <w:szCs w:val="22"/>
        </w:rPr>
      </w:pPr>
      <w:r w:rsidRPr="008D5DAB">
        <w:rPr>
          <w:szCs w:val="22"/>
        </w:rPr>
        <w:t xml:space="preserve">But </w:t>
      </w:r>
      <w:r w:rsidR="008D5DAB">
        <w:rPr>
          <w:szCs w:val="22"/>
        </w:rPr>
        <w:t xml:space="preserve">unneeded regulations deter </w:t>
      </w:r>
      <w:r w:rsidRPr="008D5DAB">
        <w:rPr>
          <w:szCs w:val="22"/>
        </w:rPr>
        <w:t xml:space="preserve">many </w:t>
      </w:r>
      <w:r w:rsidR="00C63562" w:rsidRPr="008D5DAB">
        <w:rPr>
          <w:szCs w:val="22"/>
        </w:rPr>
        <w:t xml:space="preserve">companies </w:t>
      </w:r>
      <w:r w:rsidR="008E3380" w:rsidRPr="008D5DAB">
        <w:rPr>
          <w:szCs w:val="22"/>
        </w:rPr>
        <w:t xml:space="preserve">from </w:t>
      </w:r>
      <w:r w:rsidRPr="008D5DAB">
        <w:rPr>
          <w:szCs w:val="22"/>
        </w:rPr>
        <w:t>invest</w:t>
      </w:r>
      <w:r w:rsidR="00C63562" w:rsidRPr="008D5DAB">
        <w:rPr>
          <w:szCs w:val="22"/>
        </w:rPr>
        <w:t>ing</w:t>
      </w:r>
      <w:r w:rsidRPr="008D5DAB">
        <w:rPr>
          <w:szCs w:val="22"/>
        </w:rPr>
        <w:t xml:space="preserve"> in </w:t>
      </w:r>
      <w:r w:rsidR="00C63562" w:rsidRPr="008D5DAB">
        <w:rPr>
          <w:szCs w:val="22"/>
        </w:rPr>
        <w:t xml:space="preserve">these </w:t>
      </w:r>
      <w:r w:rsidRPr="008D5DAB">
        <w:rPr>
          <w:szCs w:val="22"/>
        </w:rPr>
        <w:t>new networks.  Having to maintain two networks</w:t>
      </w:r>
      <w:bookmarkStart w:id="2" w:name="_Hlk498517280"/>
      <w:r w:rsidR="00C63562" w:rsidRPr="008D5DAB">
        <w:rPr>
          <w:szCs w:val="22"/>
        </w:rPr>
        <w:t>—</w:t>
      </w:r>
      <w:bookmarkEnd w:id="2"/>
      <w:r w:rsidRPr="008D5DAB">
        <w:rPr>
          <w:szCs w:val="22"/>
        </w:rPr>
        <w:t>one legacy, one modern</w:t>
      </w:r>
      <w:r w:rsidR="00C63562" w:rsidRPr="008D5DAB">
        <w:rPr>
          <w:szCs w:val="22"/>
        </w:rPr>
        <w:t>—</w:t>
      </w:r>
      <w:r w:rsidRPr="008D5DAB">
        <w:rPr>
          <w:szCs w:val="22"/>
        </w:rPr>
        <w:t xml:space="preserve">diverts resources away from new </w:t>
      </w:r>
      <w:r w:rsidR="00C02560" w:rsidRPr="008D5DAB">
        <w:rPr>
          <w:szCs w:val="22"/>
        </w:rPr>
        <w:t>deployments</w:t>
      </w:r>
      <w:r w:rsidRPr="008D5DAB">
        <w:rPr>
          <w:szCs w:val="22"/>
        </w:rPr>
        <w:t>.</w:t>
      </w:r>
      <w:r w:rsidR="009B6C87" w:rsidRPr="008D5DAB">
        <w:rPr>
          <w:szCs w:val="22"/>
        </w:rPr>
        <w:t xml:space="preserve">  </w:t>
      </w:r>
      <w:r w:rsidR="00C63562" w:rsidRPr="008D5DAB">
        <w:rPr>
          <w:szCs w:val="22"/>
        </w:rPr>
        <w:t>By definition, every dollar that is spent maintaining fading copper networks cannot be spent on fiber.  And the dollars are substantial; o</w:t>
      </w:r>
      <w:r w:rsidR="009B6C87" w:rsidRPr="008D5DAB">
        <w:rPr>
          <w:szCs w:val="22"/>
        </w:rPr>
        <w:t xml:space="preserve">ne estimate </w:t>
      </w:r>
      <w:r w:rsidR="00177D82">
        <w:rPr>
          <w:szCs w:val="22"/>
        </w:rPr>
        <w:t>found companies could save $45-</w:t>
      </w:r>
      <w:r w:rsidR="009B6C87" w:rsidRPr="008D5DAB">
        <w:rPr>
          <w:szCs w:val="22"/>
        </w:rPr>
        <w:t xml:space="preserve">50 in </w:t>
      </w:r>
      <w:r w:rsidR="008E3380" w:rsidRPr="008D5DAB">
        <w:rPr>
          <w:szCs w:val="22"/>
        </w:rPr>
        <w:t>operating expenses</w:t>
      </w:r>
      <w:r w:rsidR="009B6C87" w:rsidRPr="008D5DAB">
        <w:rPr>
          <w:szCs w:val="22"/>
        </w:rPr>
        <w:t xml:space="preserve"> per home each year by not having to maintain old copper facilities.</w:t>
      </w:r>
      <w:r w:rsidR="009B6C87" w:rsidRPr="008D5DAB">
        <w:rPr>
          <w:rStyle w:val="FootnoteReference"/>
          <w:szCs w:val="22"/>
        </w:rPr>
        <w:footnoteReference w:id="1"/>
      </w:r>
      <w:r w:rsidR="009B6C87" w:rsidRPr="008D5DAB">
        <w:rPr>
          <w:szCs w:val="22"/>
        </w:rPr>
        <w:t xml:space="preserve">  Nationwide</w:t>
      </w:r>
      <w:r w:rsidR="00C63562" w:rsidRPr="008D5DAB">
        <w:rPr>
          <w:szCs w:val="22"/>
        </w:rPr>
        <w:t>,</w:t>
      </w:r>
      <w:r w:rsidR="009B6C87" w:rsidRPr="008D5DAB">
        <w:rPr>
          <w:szCs w:val="22"/>
        </w:rPr>
        <w:t xml:space="preserve"> that translates into billions </w:t>
      </w:r>
      <w:r w:rsidR="00C63562" w:rsidRPr="008D5DAB">
        <w:rPr>
          <w:szCs w:val="22"/>
        </w:rPr>
        <w:t xml:space="preserve">of dollars </w:t>
      </w:r>
      <w:r w:rsidR="009B6C87" w:rsidRPr="008D5DAB">
        <w:rPr>
          <w:szCs w:val="22"/>
        </w:rPr>
        <w:t>annually</w:t>
      </w:r>
      <w:r w:rsidR="002B36A1" w:rsidRPr="008D5DAB">
        <w:rPr>
          <w:szCs w:val="22"/>
        </w:rPr>
        <w:t xml:space="preserve"> that could be </w:t>
      </w:r>
      <w:r w:rsidR="00C63562" w:rsidRPr="008D5DAB">
        <w:rPr>
          <w:szCs w:val="22"/>
        </w:rPr>
        <w:t xml:space="preserve">devoted to </w:t>
      </w:r>
      <w:r w:rsidR="008E3380" w:rsidRPr="008D5DAB">
        <w:rPr>
          <w:szCs w:val="22"/>
        </w:rPr>
        <w:t>next-generation networks</w:t>
      </w:r>
      <w:r w:rsidR="009B6C87" w:rsidRPr="008D5DAB">
        <w:rPr>
          <w:szCs w:val="22"/>
        </w:rPr>
        <w:t xml:space="preserve">. </w:t>
      </w:r>
      <w:r w:rsidRPr="008D5DAB">
        <w:rPr>
          <w:szCs w:val="22"/>
        </w:rPr>
        <w:t xml:space="preserve"> </w:t>
      </w:r>
      <w:r w:rsidR="009B6C87" w:rsidRPr="008D5DAB">
        <w:rPr>
          <w:szCs w:val="22"/>
        </w:rPr>
        <w:t xml:space="preserve">But </w:t>
      </w:r>
      <w:r w:rsidR="00C63562" w:rsidRPr="008D5DAB">
        <w:rPr>
          <w:szCs w:val="22"/>
        </w:rPr>
        <w:t xml:space="preserve">that digital opportunity is denied </w:t>
      </w:r>
      <w:r w:rsidR="009B6C87" w:rsidRPr="008D5DAB">
        <w:rPr>
          <w:szCs w:val="22"/>
        </w:rPr>
        <w:t>w</w:t>
      </w:r>
      <w:r w:rsidR="00B62798" w:rsidRPr="008D5DAB">
        <w:rPr>
          <w:szCs w:val="22"/>
        </w:rPr>
        <w:t xml:space="preserve">hen the FCC’s </w:t>
      </w:r>
      <w:r w:rsidR="00C63562" w:rsidRPr="008D5DAB">
        <w:rPr>
          <w:szCs w:val="22"/>
        </w:rPr>
        <w:t>rules force carriers to maintain the networks of yesteryear</w:t>
      </w:r>
      <w:r w:rsidR="008D5DAB" w:rsidRPr="008D5DAB">
        <w:rPr>
          <w:szCs w:val="22"/>
        </w:rPr>
        <w:t>.</w:t>
      </w:r>
    </w:p>
    <w:p w14:paraId="10D49399" w14:textId="0F340A7D" w:rsidR="00B15F15" w:rsidRPr="008D5DAB" w:rsidRDefault="003B11EF" w:rsidP="00067BB5">
      <w:pPr>
        <w:spacing w:after="120"/>
        <w:ind w:firstLine="720"/>
        <w:rPr>
          <w:szCs w:val="22"/>
        </w:rPr>
      </w:pPr>
      <w:r w:rsidRPr="008D5DAB">
        <w:rPr>
          <w:szCs w:val="22"/>
        </w:rPr>
        <w:t>So today</w:t>
      </w:r>
      <w:r w:rsidR="008E3380" w:rsidRPr="008D5DAB">
        <w:rPr>
          <w:szCs w:val="22"/>
        </w:rPr>
        <w:t>,</w:t>
      </w:r>
      <w:r w:rsidRPr="008D5DAB">
        <w:rPr>
          <w:szCs w:val="22"/>
        </w:rPr>
        <w:t xml:space="preserve"> we act to remove</w:t>
      </w:r>
      <w:r w:rsidR="00C02560" w:rsidRPr="008D5DAB">
        <w:rPr>
          <w:szCs w:val="22"/>
        </w:rPr>
        <w:t xml:space="preserve"> excessive regulation that is slowing the </w:t>
      </w:r>
      <w:r w:rsidR="00C63562" w:rsidRPr="008D5DAB">
        <w:rPr>
          <w:szCs w:val="22"/>
        </w:rPr>
        <w:t>IP transition</w:t>
      </w:r>
      <w:r w:rsidR="00C02560" w:rsidRPr="008D5DAB">
        <w:rPr>
          <w:szCs w:val="22"/>
        </w:rPr>
        <w:t>.</w:t>
      </w:r>
      <w:r w:rsidRPr="008D5DAB">
        <w:rPr>
          <w:szCs w:val="22"/>
        </w:rPr>
        <w:t xml:space="preserve">  We streamline our copper retirement rules so </w:t>
      </w:r>
      <w:r w:rsidR="00C63562" w:rsidRPr="008D5DAB">
        <w:rPr>
          <w:szCs w:val="22"/>
        </w:rPr>
        <w:t xml:space="preserve">that </w:t>
      </w:r>
      <w:r w:rsidRPr="008D5DAB">
        <w:rPr>
          <w:szCs w:val="22"/>
        </w:rPr>
        <w:t>carriers can efficiently switch to newer technologies</w:t>
      </w:r>
      <w:r w:rsidR="00C63562" w:rsidRPr="008D5DAB">
        <w:rPr>
          <w:szCs w:val="22"/>
        </w:rPr>
        <w:t xml:space="preserve"> that better serve consumers</w:t>
      </w:r>
      <w:r w:rsidRPr="008D5DAB">
        <w:rPr>
          <w:szCs w:val="22"/>
        </w:rPr>
        <w:t xml:space="preserve">.  We allow carriers to notify customers of changes before notifying the FCC so they can better </w:t>
      </w:r>
      <w:r w:rsidR="00861A3B" w:rsidRPr="008D5DAB">
        <w:rPr>
          <w:szCs w:val="22"/>
        </w:rPr>
        <w:t>coordinate</w:t>
      </w:r>
      <w:r w:rsidRPr="008D5DAB">
        <w:rPr>
          <w:szCs w:val="22"/>
        </w:rPr>
        <w:t xml:space="preserve"> transitions.</w:t>
      </w:r>
      <w:r w:rsidR="0081121F" w:rsidRPr="008D5DAB">
        <w:rPr>
          <w:szCs w:val="22"/>
        </w:rPr>
        <w:t xml:space="preserve">  We speed the process for discontinuing </w:t>
      </w:r>
      <w:r w:rsidR="00861A3B" w:rsidRPr="008D5DAB">
        <w:rPr>
          <w:szCs w:val="22"/>
        </w:rPr>
        <w:t>little-</w:t>
      </w:r>
      <w:r w:rsidR="00576C89" w:rsidRPr="008D5DAB">
        <w:rPr>
          <w:szCs w:val="22"/>
        </w:rPr>
        <w:t>used or low-speed legacy data services.</w:t>
      </w:r>
      <w:r w:rsidR="00152F30" w:rsidRPr="008D5DAB">
        <w:rPr>
          <w:szCs w:val="22"/>
        </w:rPr>
        <w:t xml:space="preserve">  And we turn back the misguided “function</w:t>
      </w:r>
      <w:r w:rsidR="00576C89" w:rsidRPr="008D5DAB">
        <w:rPr>
          <w:szCs w:val="22"/>
        </w:rPr>
        <w:t>al test</w:t>
      </w:r>
      <w:r w:rsidR="00C63562" w:rsidRPr="008D5DAB">
        <w:rPr>
          <w:szCs w:val="22"/>
        </w:rPr>
        <w:t>,</w:t>
      </w:r>
      <w:r w:rsidR="00576C89" w:rsidRPr="008D5DAB">
        <w:rPr>
          <w:szCs w:val="22"/>
        </w:rPr>
        <w:t xml:space="preserve">” which </w:t>
      </w:r>
      <w:r w:rsidR="00C63562" w:rsidRPr="008D5DAB">
        <w:rPr>
          <w:szCs w:val="22"/>
        </w:rPr>
        <w:t>effectively established a mother-may-I approach to building networks which disserved both consumers and companies</w:t>
      </w:r>
      <w:r w:rsidR="008D5DAB">
        <w:rPr>
          <w:szCs w:val="22"/>
        </w:rPr>
        <w:t>.</w:t>
      </w:r>
    </w:p>
    <w:p w14:paraId="18A7D2D8" w14:textId="072334F4" w:rsidR="003B11EF" w:rsidRPr="008D5DAB" w:rsidRDefault="00C63562" w:rsidP="00067BB5">
      <w:pPr>
        <w:widowControl/>
        <w:spacing w:after="120"/>
        <w:ind w:firstLine="720"/>
        <w:rPr>
          <w:snapToGrid/>
          <w:kern w:val="0"/>
          <w:szCs w:val="22"/>
        </w:rPr>
      </w:pPr>
      <w:r w:rsidRPr="008D5DAB">
        <w:rPr>
          <w:szCs w:val="22"/>
        </w:rPr>
        <w:t xml:space="preserve">This decision </w:t>
      </w:r>
      <w:r w:rsidR="00AD669D" w:rsidRPr="008D5DAB">
        <w:rPr>
          <w:szCs w:val="22"/>
        </w:rPr>
        <w:t xml:space="preserve">will especially benefit rural America.  </w:t>
      </w:r>
      <w:r w:rsidRPr="008D5DAB">
        <w:rPr>
          <w:szCs w:val="22"/>
        </w:rPr>
        <w:t xml:space="preserve">As it is, </w:t>
      </w:r>
      <w:r w:rsidR="00AD669D" w:rsidRPr="008D5DAB">
        <w:rPr>
          <w:szCs w:val="22"/>
        </w:rPr>
        <w:t>the</w:t>
      </w:r>
      <w:r w:rsidR="00B15F15" w:rsidRPr="008D5DAB">
        <w:rPr>
          <w:szCs w:val="22"/>
        </w:rPr>
        <w:t xml:space="preserve"> business case </w:t>
      </w:r>
      <w:r w:rsidR="00AD669D" w:rsidRPr="008D5DAB">
        <w:rPr>
          <w:szCs w:val="22"/>
        </w:rPr>
        <w:t xml:space="preserve">for </w:t>
      </w:r>
      <w:r w:rsidRPr="008D5DAB">
        <w:rPr>
          <w:szCs w:val="22"/>
        </w:rPr>
        <w:t xml:space="preserve">installing infrastructure in </w:t>
      </w:r>
      <w:r w:rsidR="00B15F15" w:rsidRPr="008D5DAB">
        <w:rPr>
          <w:szCs w:val="22"/>
        </w:rPr>
        <w:t xml:space="preserve">low-density areas can be </w:t>
      </w:r>
      <w:r w:rsidRPr="008D5DAB">
        <w:rPr>
          <w:szCs w:val="22"/>
        </w:rPr>
        <w:t xml:space="preserve">hard.  Forcing companies and their capital through a government-controlled bottleneck makes it even harder.  </w:t>
      </w:r>
      <w:r w:rsidR="001A5B2B" w:rsidRPr="008D5DAB">
        <w:rPr>
          <w:szCs w:val="22"/>
        </w:rPr>
        <w:t xml:space="preserve">Promoting more market-based decisions will </w:t>
      </w:r>
      <w:r w:rsidR="006146E8" w:rsidRPr="008D5DAB">
        <w:rPr>
          <w:szCs w:val="22"/>
        </w:rPr>
        <w:t xml:space="preserve">improve </w:t>
      </w:r>
      <w:r w:rsidR="001A5B2B" w:rsidRPr="008D5DAB">
        <w:rPr>
          <w:szCs w:val="22"/>
        </w:rPr>
        <w:t xml:space="preserve">business cases for rural broadband, </w:t>
      </w:r>
      <w:r w:rsidR="00F2182C">
        <w:rPr>
          <w:szCs w:val="22"/>
        </w:rPr>
        <w:t xml:space="preserve">helping </w:t>
      </w:r>
      <w:r w:rsidR="001A5B2B" w:rsidRPr="008D5DAB">
        <w:rPr>
          <w:szCs w:val="22"/>
        </w:rPr>
        <w:t>rural communities</w:t>
      </w:r>
      <w:r w:rsidR="00B15F15" w:rsidRPr="008D5DAB">
        <w:rPr>
          <w:szCs w:val="22"/>
        </w:rPr>
        <w:t xml:space="preserve">.  </w:t>
      </w:r>
      <w:r w:rsidR="00FE2285" w:rsidRPr="008D5DAB">
        <w:rPr>
          <w:szCs w:val="22"/>
        </w:rPr>
        <w:t>One study found that a package of reforms</w:t>
      </w:r>
      <w:r w:rsidR="001A5B2B" w:rsidRPr="008D5DAB">
        <w:rPr>
          <w:szCs w:val="22"/>
        </w:rPr>
        <w:t>—</w:t>
      </w:r>
      <w:r w:rsidR="00FE2285" w:rsidRPr="008D5DAB">
        <w:rPr>
          <w:szCs w:val="22"/>
        </w:rPr>
        <w:t>including many we adopt today</w:t>
      </w:r>
      <w:r w:rsidR="001A5B2B" w:rsidRPr="008D5DAB">
        <w:rPr>
          <w:szCs w:val="22"/>
        </w:rPr>
        <w:t>—</w:t>
      </w:r>
      <w:r w:rsidR="00FE2285" w:rsidRPr="008D5DAB">
        <w:rPr>
          <w:szCs w:val="22"/>
        </w:rPr>
        <w:t>would make</w:t>
      </w:r>
      <w:r w:rsidR="00DE7CBB" w:rsidRPr="008D5DAB">
        <w:rPr>
          <w:szCs w:val="22"/>
        </w:rPr>
        <w:t xml:space="preserve"> </w:t>
      </w:r>
      <w:r w:rsidR="00AD669D" w:rsidRPr="008D5DAB">
        <w:rPr>
          <w:szCs w:val="22"/>
        </w:rPr>
        <w:t xml:space="preserve">it </w:t>
      </w:r>
      <w:r w:rsidR="00DE7CBB" w:rsidRPr="008D5DAB">
        <w:rPr>
          <w:szCs w:val="22"/>
        </w:rPr>
        <w:t>economically</w:t>
      </w:r>
      <w:r w:rsidR="00FE2285" w:rsidRPr="008D5DAB">
        <w:rPr>
          <w:szCs w:val="22"/>
        </w:rPr>
        <w:t xml:space="preserve"> viable </w:t>
      </w:r>
      <w:r w:rsidR="00AD669D" w:rsidRPr="008D5DAB">
        <w:rPr>
          <w:szCs w:val="22"/>
        </w:rPr>
        <w:t xml:space="preserve">for the private sector to deploy fiber to the premises in </w:t>
      </w:r>
      <w:r w:rsidR="00DE7CBB" w:rsidRPr="008D5DAB">
        <w:rPr>
          <w:szCs w:val="22"/>
        </w:rPr>
        <w:t>millions of</w:t>
      </w:r>
      <w:r w:rsidR="00FE2285" w:rsidRPr="008D5DAB">
        <w:rPr>
          <w:szCs w:val="22"/>
        </w:rPr>
        <w:t xml:space="preserve"> </w:t>
      </w:r>
      <w:r w:rsidR="00AD669D" w:rsidRPr="008D5DAB">
        <w:rPr>
          <w:szCs w:val="22"/>
        </w:rPr>
        <w:t xml:space="preserve">additional </w:t>
      </w:r>
      <w:r w:rsidR="00FE2285" w:rsidRPr="008D5DAB">
        <w:rPr>
          <w:szCs w:val="22"/>
        </w:rPr>
        <w:t xml:space="preserve">rural </w:t>
      </w:r>
      <w:r w:rsidR="00DE7CBB" w:rsidRPr="008D5DAB">
        <w:rPr>
          <w:szCs w:val="22"/>
        </w:rPr>
        <w:t>locations</w:t>
      </w:r>
      <w:r w:rsidR="00FE2285" w:rsidRPr="008D5DAB">
        <w:rPr>
          <w:szCs w:val="22"/>
        </w:rPr>
        <w:t>.</w:t>
      </w:r>
      <w:r w:rsidR="00FE2285" w:rsidRPr="008D5DAB">
        <w:rPr>
          <w:rStyle w:val="FootnoteReference"/>
          <w:szCs w:val="22"/>
        </w:rPr>
        <w:footnoteReference w:id="2"/>
      </w:r>
      <w:r w:rsidR="00AD669D" w:rsidRPr="008D5DAB">
        <w:rPr>
          <w:szCs w:val="22"/>
        </w:rPr>
        <w:t xml:space="preserve">  </w:t>
      </w:r>
      <w:r w:rsidR="00F32D22" w:rsidRPr="008D5DAB">
        <w:rPr>
          <w:szCs w:val="22"/>
        </w:rPr>
        <w:t xml:space="preserve">These are people and places that for too long have been on the wrong side of the digital divide. </w:t>
      </w:r>
    </w:p>
    <w:p w14:paraId="1BFDD7EA" w14:textId="312DD2E2" w:rsidR="00801B8B" w:rsidRPr="008D5DAB" w:rsidRDefault="00AD669D" w:rsidP="00067BB5">
      <w:pPr>
        <w:spacing w:after="120"/>
        <w:ind w:firstLine="720"/>
        <w:rPr>
          <w:szCs w:val="22"/>
        </w:rPr>
      </w:pPr>
      <w:r w:rsidRPr="008D5DAB">
        <w:rPr>
          <w:szCs w:val="22"/>
        </w:rPr>
        <w:t xml:space="preserve">Unfortunately, </w:t>
      </w:r>
      <w:r w:rsidR="00790B28" w:rsidRPr="008D5DAB">
        <w:rPr>
          <w:szCs w:val="22"/>
        </w:rPr>
        <w:t>though unsurprisingly</w:t>
      </w:r>
      <w:r w:rsidR="001A5B2B" w:rsidRPr="008D5DAB">
        <w:rPr>
          <w:szCs w:val="22"/>
        </w:rPr>
        <w:t xml:space="preserve">, </w:t>
      </w:r>
      <w:r w:rsidRPr="008D5DAB">
        <w:rPr>
          <w:szCs w:val="22"/>
        </w:rPr>
        <w:t xml:space="preserve">some </w:t>
      </w:r>
      <w:r w:rsidR="001A5B2B" w:rsidRPr="008D5DAB">
        <w:rPr>
          <w:szCs w:val="22"/>
        </w:rPr>
        <w:t xml:space="preserve">who </w:t>
      </w:r>
      <w:r w:rsidRPr="008D5DAB">
        <w:rPr>
          <w:szCs w:val="22"/>
        </w:rPr>
        <w:t>oppos</w:t>
      </w:r>
      <w:r w:rsidR="001A5B2B" w:rsidRPr="008D5DAB">
        <w:rPr>
          <w:szCs w:val="22"/>
        </w:rPr>
        <w:t>e</w:t>
      </w:r>
      <w:r w:rsidRPr="008D5DAB">
        <w:rPr>
          <w:szCs w:val="22"/>
        </w:rPr>
        <w:t xml:space="preserve"> </w:t>
      </w:r>
      <w:r w:rsidR="001A5B2B" w:rsidRPr="008D5DAB">
        <w:rPr>
          <w:szCs w:val="22"/>
        </w:rPr>
        <w:t xml:space="preserve">this decision </w:t>
      </w:r>
      <w:r w:rsidRPr="008D5DAB">
        <w:rPr>
          <w:szCs w:val="22"/>
        </w:rPr>
        <w:t>have engaged in fearmongering, claiming that consumers will suddenly be left without service or that service will be taken away without notice.  So l</w:t>
      </w:r>
      <w:r w:rsidR="00BD1783" w:rsidRPr="008D5DAB">
        <w:rPr>
          <w:szCs w:val="22"/>
        </w:rPr>
        <w:t xml:space="preserve">et’s set the record straight: </w:t>
      </w:r>
      <w:r w:rsidR="008D5DAB">
        <w:rPr>
          <w:szCs w:val="22"/>
        </w:rPr>
        <w:t xml:space="preserve"> I</w:t>
      </w:r>
      <w:r w:rsidR="00BD1783" w:rsidRPr="008D5DAB">
        <w:rPr>
          <w:szCs w:val="22"/>
        </w:rPr>
        <w:t xml:space="preserve">f a carrier </w:t>
      </w:r>
      <w:r w:rsidR="009554F0">
        <w:rPr>
          <w:szCs w:val="22"/>
        </w:rPr>
        <w:t>wants to stop offering</w:t>
      </w:r>
      <w:r w:rsidR="00BD1783" w:rsidRPr="008D5DAB">
        <w:rPr>
          <w:szCs w:val="22"/>
        </w:rPr>
        <w:t xml:space="preserve"> </w:t>
      </w:r>
      <w:r w:rsidR="008D5DAB">
        <w:rPr>
          <w:szCs w:val="22"/>
        </w:rPr>
        <w:t xml:space="preserve">traditional telephone </w:t>
      </w:r>
      <w:r w:rsidR="00BD1783" w:rsidRPr="008D5DAB">
        <w:rPr>
          <w:szCs w:val="22"/>
        </w:rPr>
        <w:t xml:space="preserve">service, then our rules </w:t>
      </w:r>
      <w:r w:rsidR="00BD1783" w:rsidRPr="008D5DAB">
        <w:rPr>
          <w:i/>
          <w:szCs w:val="22"/>
        </w:rPr>
        <w:t>still</w:t>
      </w:r>
      <w:r w:rsidR="00BD1783" w:rsidRPr="008D5DAB">
        <w:rPr>
          <w:szCs w:val="22"/>
        </w:rPr>
        <w:t xml:space="preserve"> require notifying the affected consumer</w:t>
      </w:r>
      <w:r w:rsidR="008D5DAB">
        <w:rPr>
          <w:szCs w:val="22"/>
        </w:rPr>
        <w:t>s</w:t>
      </w:r>
      <w:r w:rsidR="00BD1783" w:rsidRPr="008D5DAB">
        <w:rPr>
          <w:szCs w:val="22"/>
        </w:rPr>
        <w:t xml:space="preserve"> and seeking permission through the FCC’s section 214 discontinuance process.  That is true </w:t>
      </w:r>
      <w:r w:rsidR="00F32D22" w:rsidRPr="008D5DAB">
        <w:rPr>
          <w:szCs w:val="22"/>
        </w:rPr>
        <w:t xml:space="preserve">today </w:t>
      </w:r>
      <w:r w:rsidR="00BD1783" w:rsidRPr="008D5DAB">
        <w:rPr>
          <w:szCs w:val="22"/>
        </w:rPr>
        <w:t xml:space="preserve">and will be true </w:t>
      </w:r>
      <w:r w:rsidRPr="008D5DAB">
        <w:rPr>
          <w:szCs w:val="22"/>
        </w:rPr>
        <w:t xml:space="preserve">after </w:t>
      </w:r>
      <w:r w:rsidR="00BD1783" w:rsidRPr="008D5DAB">
        <w:rPr>
          <w:szCs w:val="22"/>
        </w:rPr>
        <w:t>this order is adopted.</w:t>
      </w:r>
    </w:p>
    <w:p w14:paraId="6040CB32" w14:textId="3E3311A0" w:rsidR="006B1188" w:rsidRPr="008D5DAB" w:rsidRDefault="00F32D22" w:rsidP="00FD2FD0">
      <w:pPr>
        <w:widowControl/>
        <w:spacing w:after="120"/>
        <w:ind w:firstLine="720"/>
        <w:rPr>
          <w:szCs w:val="22"/>
        </w:rPr>
      </w:pPr>
      <w:r w:rsidRPr="008D5DAB">
        <w:rPr>
          <w:szCs w:val="22"/>
        </w:rPr>
        <w:lastRenderedPageBreak/>
        <w:t xml:space="preserve">Likewise with </w:t>
      </w:r>
      <w:r w:rsidR="00AD669D" w:rsidRPr="008D5DAB">
        <w:rPr>
          <w:szCs w:val="22"/>
        </w:rPr>
        <w:t>the claim</w:t>
      </w:r>
      <w:r w:rsidR="006B1188" w:rsidRPr="008D5DAB">
        <w:rPr>
          <w:szCs w:val="22"/>
        </w:rPr>
        <w:t xml:space="preserve"> </w:t>
      </w:r>
      <w:r w:rsidRPr="008D5DAB">
        <w:rPr>
          <w:szCs w:val="22"/>
        </w:rPr>
        <w:t xml:space="preserve">that </w:t>
      </w:r>
      <w:r w:rsidR="006B1188" w:rsidRPr="008D5DAB">
        <w:rPr>
          <w:szCs w:val="22"/>
        </w:rPr>
        <w:t>this order leaves th</w:t>
      </w:r>
      <w:r w:rsidRPr="008D5DAB">
        <w:rPr>
          <w:szCs w:val="22"/>
        </w:rPr>
        <w:t>os</w:t>
      </w:r>
      <w:r w:rsidR="006B1188" w:rsidRPr="008D5DAB">
        <w:rPr>
          <w:szCs w:val="22"/>
        </w:rPr>
        <w:t xml:space="preserve">e </w:t>
      </w:r>
      <w:r w:rsidRPr="008D5DAB">
        <w:rPr>
          <w:szCs w:val="22"/>
        </w:rPr>
        <w:t xml:space="preserve">with </w:t>
      </w:r>
      <w:r w:rsidR="006B1188" w:rsidRPr="008D5DAB">
        <w:rPr>
          <w:szCs w:val="22"/>
        </w:rPr>
        <w:t>disab</w:t>
      </w:r>
      <w:r w:rsidRPr="008D5DAB">
        <w:rPr>
          <w:szCs w:val="22"/>
        </w:rPr>
        <w:t>ilities</w:t>
      </w:r>
      <w:r w:rsidR="006B1188" w:rsidRPr="008D5DAB">
        <w:rPr>
          <w:szCs w:val="22"/>
        </w:rPr>
        <w:t xml:space="preserve"> in the lurch.  </w:t>
      </w:r>
      <w:r w:rsidRPr="008D5DAB">
        <w:rPr>
          <w:szCs w:val="22"/>
        </w:rPr>
        <w:t>I</w:t>
      </w:r>
      <w:r w:rsidR="006B1188" w:rsidRPr="008D5DAB">
        <w:rPr>
          <w:szCs w:val="22"/>
        </w:rPr>
        <w:t>n fact</w:t>
      </w:r>
      <w:r w:rsidR="00AD669D" w:rsidRPr="008D5DAB">
        <w:rPr>
          <w:szCs w:val="22"/>
        </w:rPr>
        <w:t>,</w:t>
      </w:r>
      <w:r w:rsidR="006B1188" w:rsidRPr="008D5DAB">
        <w:rPr>
          <w:szCs w:val="22"/>
        </w:rPr>
        <w:t xml:space="preserve"> </w:t>
      </w:r>
      <w:r w:rsidR="00D32923" w:rsidRPr="008D5DAB">
        <w:rPr>
          <w:szCs w:val="22"/>
        </w:rPr>
        <w:t>we clearly</w:t>
      </w:r>
      <w:r w:rsidR="006B1188" w:rsidRPr="008D5DAB">
        <w:rPr>
          <w:szCs w:val="22"/>
        </w:rPr>
        <w:t xml:space="preserve"> </w:t>
      </w:r>
      <w:r w:rsidR="00D32923" w:rsidRPr="008D5DAB">
        <w:rPr>
          <w:szCs w:val="22"/>
        </w:rPr>
        <w:t>warn</w:t>
      </w:r>
      <w:r w:rsidR="00AC6672" w:rsidRPr="008D5DAB">
        <w:rPr>
          <w:szCs w:val="22"/>
        </w:rPr>
        <w:t xml:space="preserve"> </w:t>
      </w:r>
      <w:r w:rsidR="006B1188" w:rsidRPr="008D5DAB">
        <w:rPr>
          <w:szCs w:val="22"/>
        </w:rPr>
        <w:t>that “carriers that are seeking to discontinue a legacy service in favor of an advanced service</w:t>
      </w:r>
      <w:r w:rsidR="009554F0">
        <w:rPr>
          <w:szCs w:val="22"/>
        </w:rPr>
        <w:t> . . .</w:t>
      </w:r>
      <w:r w:rsidR="006B1188" w:rsidRPr="008D5DAB">
        <w:rPr>
          <w:szCs w:val="22"/>
        </w:rPr>
        <w:t xml:space="preserve"> must, as a matter of law, ensure that the replacement service is accessible, compatible and usable to persons with disabilities.</w:t>
      </w:r>
      <w:r w:rsidR="00AD669D" w:rsidRPr="008D5DAB">
        <w:rPr>
          <w:szCs w:val="22"/>
        </w:rPr>
        <w:t>”</w:t>
      </w:r>
      <w:r w:rsidR="00722BD5" w:rsidRPr="008D5DAB">
        <w:rPr>
          <w:rStyle w:val="FootnoteReference"/>
          <w:szCs w:val="22"/>
        </w:rPr>
        <w:footnoteReference w:id="3"/>
      </w:r>
    </w:p>
    <w:p w14:paraId="4BB62DA5" w14:textId="5EF5B23D" w:rsidR="00F32D22" w:rsidRPr="008D5DAB" w:rsidRDefault="00F32D22" w:rsidP="00067BB5">
      <w:pPr>
        <w:spacing w:after="120"/>
        <w:ind w:firstLine="720"/>
        <w:rPr>
          <w:szCs w:val="22"/>
        </w:rPr>
      </w:pPr>
      <w:r w:rsidRPr="008D5DAB">
        <w:rPr>
          <w:szCs w:val="22"/>
        </w:rPr>
        <w:t xml:space="preserve">It’s also ironic that many of those fiercely opposed to accelerating the transition to fiber and IP-based technologies are </w:t>
      </w:r>
      <w:r w:rsidR="00F95CE0" w:rsidRPr="008D5DAB">
        <w:rPr>
          <w:szCs w:val="22"/>
        </w:rPr>
        <w:t xml:space="preserve">simultaneously upset about what they claim is the lack of competition in the broadband market.  Well, you can’t have it both ways.  Either you want </w:t>
      </w:r>
      <w:r w:rsidR="00520839" w:rsidRPr="008D5DAB">
        <w:rPr>
          <w:szCs w:val="22"/>
        </w:rPr>
        <w:t xml:space="preserve">to enable </w:t>
      </w:r>
      <w:r w:rsidR="00F2182C">
        <w:rPr>
          <w:szCs w:val="22"/>
        </w:rPr>
        <w:t>a company</w:t>
      </w:r>
      <w:r w:rsidR="00F95CE0" w:rsidRPr="008D5DAB">
        <w:rPr>
          <w:szCs w:val="22"/>
        </w:rPr>
        <w:t xml:space="preserve"> with 20</w:t>
      </w:r>
      <w:r w:rsidR="00F95CE0" w:rsidRPr="008D5DAB">
        <w:rPr>
          <w:szCs w:val="22"/>
          <w:vertAlign w:val="superscript"/>
        </w:rPr>
        <w:t>th</w:t>
      </w:r>
      <w:r w:rsidR="00F95CE0" w:rsidRPr="008D5DAB">
        <w:rPr>
          <w:szCs w:val="22"/>
        </w:rPr>
        <w:t xml:space="preserve"> century copper plant to compete in the 21</w:t>
      </w:r>
      <w:r w:rsidR="00F95CE0" w:rsidRPr="008D5DAB">
        <w:rPr>
          <w:szCs w:val="22"/>
          <w:vertAlign w:val="superscript"/>
        </w:rPr>
        <w:t>st</w:t>
      </w:r>
      <w:r w:rsidR="00F95CE0" w:rsidRPr="008D5DAB">
        <w:rPr>
          <w:szCs w:val="22"/>
        </w:rPr>
        <w:t xml:space="preserve"> century—or you don’t.  If you don’t, then you can’t complain about the lack of competitive choice at t</w:t>
      </w:r>
      <w:r w:rsidR="009554F0">
        <w:rPr>
          <w:szCs w:val="22"/>
        </w:rPr>
        <w:t>he current broadband standard.</w:t>
      </w:r>
    </w:p>
    <w:p w14:paraId="57EE289D" w14:textId="372026E8" w:rsidR="00AD669D" w:rsidRPr="008D5DAB" w:rsidRDefault="00F32D22" w:rsidP="00067BB5">
      <w:pPr>
        <w:spacing w:after="120"/>
        <w:ind w:firstLine="720"/>
        <w:rPr>
          <w:szCs w:val="22"/>
        </w:rPr>
      </w:pPr>
      <w:r w:rsidRPr="008D5DAB">
        <w:rPr>
          <w:szCs w:val="22"/>
        </w:rPr>
        <w:t xml:space="preserve">The bottom line is that the IP transition is here, and that consumers are better off with it.  The FCC can either </w:t>
      </w:r>
      <w:r w:rsidR="00F95CE0" w:rsidRPr="008D5DAB">
        <w:rPr>
          <w:szCs w:val="22"/>
        </w:rPr>
        <w:t>strand investments in the modern equivalent of the fax machine</w:t>
      </w:r>
      <w:r w:rsidRPr="008D5DAB">
        <w:rPr>
          <w:szCs w:val="22"/>
        </w:rPr>
        <w:t xml:space="preserve"> </w:t>
      </w:r>
      <w:r w:rsidR="00F95CE0" w:rsidRPr="008D5DAB">
        <w:rPr>
          <w:szCs w:val="22"/>
        </w:rPr>
        <w:t>or it can deliver value for consumers, today and tomorrow</w:t>
      </w:r>
      <w:r w:rsidR="009B514C" w:rsidRPr="008D5DAB">
        <w:rPr>
          <w:szCs w:val="22"/>
        </w:rPr>
        <w:t>.</w:t>
      </w:r>
      <w:r w:rsidR="00F95CE0" w:rsidRPr="008D5DAB">
        <w:rPr>
          <w:szCs w:val="22"/>
        </w:rPr>
        <w:t xml:space="preserve">  I’m glad this Commission has its eyes on the future.</w:t>
      </w:r>
    </w:p>
    <w:p w14:paraId="17803921" w14:textId="69541E55" w:rsidR="00E0522D" w:rsidRPr="008D5DAB" w:rsidRDefault="00F95CE0" w:rsidP="00067BB5">
      <w:pPr>
        <w:spacing w:after="120"/>
        <w:ind w:firstLine="720"/>
        <w:rPr>
          <w:szCs w:val="22"/>
        </w:rPr>
      </w:pPr>
      <w:r w:rsidRPr="008D5DAB">
        <w:rPr>
          <w:szCs w:val="22"/>
        </w:rPr>
        <w:t>T</w:t>
      </w:r>
      <w:r w:rsidR="00E0522D" w:rsidRPr="008D5DAB">
        <w:rPr>
          <w:szCs w:val="22"/>
        </w:rPr>
        <w:t>hank</w:t>
      </w:r>
      <w:r w:rsidRPr="008D5DAB">
        <w:rPr>
          <w:szCs w:val="22"/>
        </w:rPr>
        <w:t>s to</w:t>
      </w:r>
      <w:r w:rsidR="00E0522D" w:rsidRPr="008D5DAB">
        <w:rPr>
          <w:szCs w:val="22"/>
        </w:rPr>
        <w:t xml:space="preserve"> the staff </w:t>
      </w:r>
      <w:r w:rsidR="00263EF1" w:rsidRPr="008D5DAB">
        <w:rPr>
          <w:szCs w:val="22"/>
        </w:rPr>
        <w:t>who have worked so hard on this item.  From the Wireline Competition Burea</w:t>
      </w:r>
      <w:r w:rsidRPr="008D5DAB">
        <w:rPr>
          <w:szCs w:val="22"/>
        </w:rPr>
        <w:t>u</w:t>
      </w:r>
      <w:r w:rsidR="00263EF1" w:rsidRPr="008D5DAB">
        <w:rPr>
          <w:szCs w:val="22"/>
        </w:rPr>
        <w:t>:  Michele Berlove, Adam Copeland, Lisa Hone, Dan Kahn, Dick Kwiatkowski, Pam Megna, Kris Monteith, Terri Natoli, Eric Ralph, Michael Ray, Zach Ross,</w:t>
      </w:r>
      <w:r w:rsidR="007847B3" w:rsidRPr="008D5DAB">
        <w:rPr>
          <w:szCs w:val="22"/>
        </w:rPr>
        <w:t xml:space="preserve"> and</w:t>
      </w:r>
      <w:r w:rsidR="00263EF1" w:rsidRPr="008D5DAB">
        <w:rPr>
          <w:szCs w:val="22"/>
        </w:rPr>
        <w:t xml:space="preserve"> John Visclosky</w:t>
      </w:r>
      <w:r w:rsidR="00F30978">
        <w:rPr>
          <w:szCs w:val="22"/>
        </w:rPr>
        <w:t xml:space="preserve">; </w:t>
      </w:r>
      <w:r w:rsidR="007847B3" w:rsidRPr="008D5DAB">
        <w:rPr>
          <w:szCs w:val="22"/>
        </w:rPr>
        <w:t>f</w:t>
      </w:r>
      <w:r w:rsidR="00910858" w:rsidRPr="008D5DAB">
        <w:rPr>
          <w:szCs w:val="22"/>
        </w:rPr>
        <w:t xml:space="preserve">rom the </w:t>
      </w:r>
      <w:r w:rsidR="007847B3" w:rsidRPr="008D5DAB">
        <w:rPr>
          <w:szCs w:val="22"/>
        </w:rPr>
        <w:t xml:space="preserve">Office of General Counsel: Billy Layton, Rick Mallen, Linda Oliver, and Bill Richardson; from the Consumer </w:t>
      </w:r>
      <w:r w:rsidR="009554F0">
        <w:rPr>
          <w:szCs w:val="22"/>
        </w:rPr>
        <w:t>and Governmental Affairs Bureau</w:t>
      </w:r>
      <w:r w:rsidR="00F30978">
        <w:rPr>
          <w:szCs w:val="22"/>
        </w:rPr>
        <w:t>:</w:t>
      </w:r>
      <w:r w:rsidR="007847B3" w:rsidRPr="008D5DAB">
        <w:rPr>
          <w:szCs w:val="22"/>
        </w:rPr>
        <w:t xml:space="preserve"> Robert Aldrich, Susan Bahr, Eliot Greenwald, Suzanne Singleton, and Karen Peltz Strauss; from the Office of Strategic Planning: Paul Lafontaine; and from the Enforcement Bureau: </w:t>
      </w:r>
      <w:r w:rsidR="008D5DAB" w:rsidRPr="008D5DAB">
        <w:rPr>
          <w:szCs w:val="22"/>
        </w:rPr>
        <w:t>Rosemary McEnery and Lisa Saks.</w:t>
      </w:r>
      <w:bookmarkEnd w:id="0"/>
    </w:p>
    <w:sectPr w:rsidR="00E0522D" w:rsidRPr="008D5D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2B0E" w14:textId="77777777" w:rsidR="00C2779E" w:rsidRDefault="00C2779E" w:rsidP="005212E4">
      <w:r>
        <w:separator/>
      </w:r>
    </w:p>
  </w:endnote>
  <w:endnote w:type="continuationSeparator" w:id="0">
    <w:p w14:paraId="5C6ED962" w14:textId="77777777" w:rsidR="00C2779E" w:rsidRDefault="00C2779E" w:rsidP="0052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7DE7" w14:textId="77777777" w:rsidR="004107A0" w:rsidRDefault="0041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7E17" w14:textId="77777777" w:rsidR="004107A0" w:rsidRDefault="0041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6A98" w14:textId="77777777" w:rsidR="004107A0" w:rsidRDefault="0041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BE00" w14:textId="77777777" w:rsidR="00C2779E" w:rsidRDefault="00C2779E" w:rsidP="005212E4">
      <w:r>
        <w:separator/>
      </w:r>
    </w:p>
  </w:footnote>
  <w:footnote w:type="continuationSeparator" w:id="0">
    <w:p w14:paraId="347FA620" w14:textId="77777777" w:rsidR="00C2779E" w:rsidRDefault="00C2779E" w:rsidP="005212E4">
      <w:r>
        <w:continuationSeparator/>
      </w:r>
    </w:p>
  </w:footnote>
  <w:footnote w:id="1">
    <w:p w14:paraId="7DC6141F" w14:textId="77777777" w:rsidR="009B6C87" w:rsidRDefault="009B6C87" w:rsidP="000D34E4">
      <w:pPr>
        <w:pStyle w:val="FootnoteText"/>
        <w:spacing w:after="120"/>
      </w:pPr>
      <w:r>
        <w:rPr>
          <w:rStyle w:val="FootnoteReference"/>
        </w:rPr>
        <w:footnoteRef/>
      </w:r>
      <w:r>
        <w:t xml:space="preserve"> </w:t>
      </w:r>
      <w:r w:rsidRPr="005212E4">
        <w:rPr>
          <w:i/>
        </w:rPr>
        <w:t>See</w:t>
      </w:r>
      <w:r w:rsidRPr="005212E4">
        <w:t xml:space="preserve"> Corning Comments, Attach. at 31.</w:t>
      </w:r>
    </w:p>
  </w:footnote>
  <w:footnote w:id="2">
    <w:p w14:paraId="32FEDB87" w14:textId="77777777" w:rsidR="00FE2285" w:rsidRPr="00FE2285" w:rsidRDefault="00FE2285" w:rsidP="000D34E4">
      <w:pPr>
        <w:pStyle w:val="FootnoteText"/>
        <w:spacing w:after="120"/>
      </w:pPr>
      <w:r>
        <w:rPr>
          <w:rStyle w:val="FootnoteReference"/>
        </w:rPr>
        <w:footnoteRef/>
      </w:r>
      <w:r>
        <w:t xml:space="preserve"> </w:t>
      </w:r>
      <w:r>
        <w:rPr>
          <w:i/>
        </w:rPr>
        <w:t xml:space="preserve">See </w:t>
      </w:r>
      <w:r>
        <w:t>Corning Comments, Attach. at 33.</w:t>
      </w:r>
    </w:p>
  </w:footnote>
  <w:footnote w:id="3">
    <w:p w14:paraId="7638A407" w14:textId="77777777" w:rsidR="00722BD5" w:rsidRDefault="00722BD5">
      <w:pPr>
        <w:pStyle w:val="FootnoteText"/>
      </w:pPr>
      <w:r>
        <w:rPr>
          <w:rStyle w:val="FootnoteReference"/>
        </w:rPr>
        <w:footnoteRef/>
      </w:r>
      <w:r>
        <w:t xml:space="preserve"> </w:t>
      </w:r>
      <w:r>
        <w:rPr>
          <w:i/>
        </w:rPr>
        <w:t xml:space="preserve">See </w:t>
      </w:r>
      <w:r>
        <w:t>Para.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4103" w14:textId="77777777" w:rsidR="004107A0" w:rsidRDefault="0041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7F84" w14:textId="77777777" w:rsidR="004107A0" w:rsidRDefault="0041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D48C" w14:textId="77777777" w:rsidR="004107A0" w:rsidRDefault="0041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2F"/>
    <w:rsid w:val="00067BB5"/>
    <w:rsid w:val="0007277C"/>
    <w:rsid w:val="000727A7"/>
    <w:rsid w:val="000D34E4"/>
    <w:rsid w:val="00152F30"/>
    <w:rsid w:val="001765EC"/>
    <w:rsid w:val="00177D82"/>
    <w:rsid w:val="001A5B2B"/>
    <w:rsid w:val="001B4D8B"/>
    <w:rsid w:val="001C5A0D"/>
    <w:rsid w:val="00235422"/>
    <w:rsid w:val="00263EF1"/>
    <w:rsid w:val="00291E16"/>
    <w:rsid w:val="002B36A1"/>
    <w:rsid w:val="002C038A"/>
    <w:rsid w:val="002D1E3F"/>
    <w:rsid w:val="00317BF9"/>
    <w:rsid w:val="00337AA0"/>
    <w:rsid w:val="00352C27"/>
    <w:rsid w:val="00383C62"/>
    <w:rsid w:val="003B11EF"/>
    <w:rsid w:val="003D17C1"/>
    <w:rsid w:val="004107A0"/>
    <w:rsid w:val="00450E19"/>
    <w:rsid w:val="004D157E"/>
    <w:rsid w:val="004D360B"/>
    <w:rsid w:val="004F68A3"/>
    <w:rsid w:val="0051214B"/>
    <w:rsid w:val="00520839"/>
    <w:rsid w:val="005212E4"/>
    <w:rsid w:val="00576C89"/>
    <w:rsid w:val="00590ADF"/>
    <w:rsid w:val="0059485E"/>
    <w:rsid w:val="005B1140"/>
    <w:rsid w:val="005D2904"/>
    <w:rsid w:val="006146E8"/>
    <w:rsid w:val="006447A1"/>
    <w:rsid w:val="00686BA6"/>
    <w:rsid w:val="006A3BB1"/>
    <w:rsid w:val="006B1188"/>
    <w:rsid w:val="006C4B5B"/>
    <w:rsid w:val="006D36AC"/>
    <w:rsid w:val="00717B2F"/>
    <w:rsid w:val="00722BD5"/>
    <w:rsid w:val="0074630E"/>
    <w:rsid w:val="007847B3"/>
    <w:rsid w:val="00786324"/>
    <w:rsid w:val="00790B28"/>
    <w:rsid w:val="007C3F33"/>
    <w:rsid w:val="007E230D"/>
    <w:rsid w:val="007E7435"/>
    <w:rsid w:val="00801B8B"/>
    <w:rsid w:val="0081121F"/>
    <w:rsid w:val="00813865"/>
    <w:rsid w:val="00861A3B"/>
    <w:rsid w:val="008D5DAB"/>
    <w:rsid w:val="008E3380"/>
    <w:rsid w:val="00910858"/>
    <w:rsid w:val="009169A3"/>
    <w:rsid w:val="009554F0"/>
    <w:rsid w:val="009B514C"/>
    <w:rsid w:val="009B6C87"/>
    <w:rsid w:val="00A034E2"/>
    <w:rsid w:val="00A2150F"/>
    <w:rsid w:val="00A32226"/>
    <w:rsid w:val="00A879F2"/>
    <w:rsid w:val="00AC6672"/>
    <w:rsid w:val="00AD669D"/>
    <w:rsid w:val="00AE6EC5"/>
    <w:rsid w:val="00B1089D"/>
    <w:rsid w:val="00B15F15"/>
    <w:rsid w:val="00B61E8E"/>
    <w:rsid w:val="00B62798"/>
    <w:rsid w:val="00B76C32"/>
    <w:rsid w:val="00BB4801"/>
    <w:rsid w:val="00BB7E27"/>
    <w:rsid w:val="00BD1783"/>
    <w:rsid w:val="00BF6452"/>
    <w:rsid w:val="00C02560"/>
    <w:rsid w:val="00C055A9"/>
    <w:rsid w:val="00C2779E"/>
    <w:rsid w:val="00C31C41"/>
    <w:rsid w:val="00C45A42"/>
    <w:rsid w:val="00C531AD"/>
    <w:rsid w:val="00C63562"/>
    <w:rsid w:val="00CC3DBB"/>
    <w:rsid w:val="00CC7B34"/>
    <w:rsid w:val="00CF686D"/>
    <w:rsid w:val="00D12177"/>
    <w:rsid w:val="00D32923"/>
    <w:rsid w:val="00D641D3"/>
    <w:rsid w:val="00DE7CBB"/>
    <w:rsid w:val="00DF2678"/>
    <w:rsid w:val="00E00835"/>
    <w:rsid w:val="00E03F23"/>
    <w:rsid w:val="00E0522D"/>
    <w:rsid w:val="00E275E6"/>
    <w:rsid w:val="00E82587"/>
    <w:rsid w:val="00EA3817"/>
    <w:rsid w:val="00EB0D34"/>
    <w:rsid w:val="00ED4995"/>
    <w:rsid w:val="00EF06BC"/>
    <w:rsid w:val="00F100DC"/>
    <w:rsid w:val="00F2182C"/>
    <w:rsid w:val="00F30978"/>
    <w:rsid w:val="00F32D22"/>
    <w:rsid w:val="00F75E72"/>
    <w:rsid w:val="00F95CE0"/>
    <w:rsid w:val="00FD2FD0"/>
    <w:rsid w:val="00FE2285"/>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unhideWhenUsed/>
    <w:rsid w:val="005212E4"/>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5212E4"/>
    <w:rPr>
      <w:rFonts w:ascii="Times New Roman" w:eastAsia="Times New Roman" w:hAnsi="Times New Roman" w:cs="Times New Roman"/>
      <w:snapToGrid w:val="0"/>
      <w:kern w:val="28"/>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E Funotenzeichen,A"/>
    <w:basedOn w:val="DefaultParagraphFont"/>
    <w:unhideWhenUsed/>
    <w:rsid w:val="005212E4"/>
    <w:rPr>
      <w:vertAlign w:val="superscript"/>
    </w:rPr>
  </w:style>
  <w:style w:type="paragraph" w:styleId="BalloonText">
    <w:name w:val="Balloon Text"/>
    <w:basedOn w:val="Normal"/>
    <w:link w:val="BalloonTextChar"/>
    <w:uiPriority w:val="99"/>
    <w:semiHidden/>
    <w:unhideWhenUsed/>
    <w:rsid w:val="008E3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80"/>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AD669D"/>
    <w:rPr>
      <w:sz w:val="16"/>
      <w:szCs w:val="16"/>
    </w:rPr>
  </w:style>
  <w:style w:type="paragraph" w:styleId="CommentText">
    <w:name w:val="annotation text"/>
    <w:basedOn w:val="Normal"/>
    <w:link w:val="CommentTextChar"/>
    <w:uiPriority w:val="99"/>
    <w:semiHidden/>
    <w:unhideWhenUsed/>
    <w:rsid w:val="00AD669D"/>
    <w:rPr>
      <w:sz w:val="20"/>
    </w:rPr>
  </w:style>
  <w:style w:type="character" w:customStyle="1" w:styleId="CommentTextChar">
    <w:name w:val="Comment Text Char"/>
    <w:basedOn w:val="DefaultParagraphFont"/>
    <w:link w:val="CommentText"/>
    <w:uiPriority w:val="99"/>
    <w:semiHidden/>
    <w:rsid w:val="00AD669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69D"/>
    <w:rPr>
      <w:b/>
      <w:bCs/>
    </w:rPr>
  </w:style>
  <w:style w:type="character" w:customStyle="1" w:styleId="CommentSubjectChar">
    <w:name w:val="Comment Subject Char"/>
    <w:basedOn w:val="CommentTextChar"/>
    <w:link w:val="CommentSubject"/>
    <w:uiPriority w:val="99"/>
    <w:semiHidden/>
    <w:rsid w:val="00AD669D"/>
    <w:rPr>
      <w:rFonts w:ascii="Times New Roman" w:eastAsia="Times New Roman" w:hAnsi="Times New Roman" w:cs="Times New Roman"/>
      <w:b/>
      <w:bCs/>
      <w:snapToGrid w:val="0"/>
      <w:kern w:val="28"/>
      <w:sz w:val="20"/>
      <w:szCs w:val="20"/>
    </w:rPr>
  </w:style>
  <w:style w:type="paragraph" w:styleId="Header">
    <w:name w:val="header"/>
    <w:basedOn w:val="Normal"/>
    <w:link w:val="HeaderChar"/>
    <w:uiPriority w:val="99"/>
    <w:unhideWhenUsed/>
    <w:rsid w:val="004107A0"/>
    <w:pPr>
      <w:tabs>
        <w:tab w:val="center" w:pos="4680"/>
        <w:tab w:val="right" w:pos="9360"/>
      </w:tabs>
    </w:pPr>
  </w:style>
  <w:style w:type="character" w:customStyle="1" w:styleId="HeaderChar">
    <w:name w:val="Header Char"/>
    <w:basedOn w:val="DefaultParagraphFont"/>
    <w:link w:val="Header"/>
    <w:uiPriority w:val="99"/>
    <w:rsid w:val="004107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107A0"/>
    <w:pPr>
      <w:tabs>
        <w:tab w:val="center" w:pos="4680"/>
        <w:tab w:val="right" w:pos="9360"/>
      </w:tabs>
    </w:pPr>
  </w:style>
  <w:style w:type="character" w:customStyle="1" w:styleId="FooterChar">
    <w:name w:val="Footer Char"/>
    <w:basedOn w:val="DefaultParagraphFont"/>
    <w:link w:val="Footer"/>
    <w:uiPriority w:val="99"/>
    <w:rsid w:val="004107A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unhideWhenUsed/>
    <w:rsid w:val="005212E4"/>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5212E4"/>
    <w:rPr>
      <w:rFonts w:ascii="Times New Roman" w:eastAsia="Times New Roman" w:hAnsi="Times New Roman" w:cs="Times New Roman"/>
      <w:snapToGrid w:val="0"/>
      <w:kern w:val="28"/>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E Funotenzeichen,A"/>
    <w:basedOn w:val="DefaultParagraphFont"/>
    <w:unhideWhenUsed/>
    <w:rsid w:val="005212E4"/>
    <w:rPr>
      <w:vertAlign w:val="superscript"/>
    </w:rPr>
  </w:style>
  <w:style w:type="paragraph" w:styleId="BalloonText">
    <w:name w:val="Balloon Text"/>
    <w:basedOn w:val="Normal"/>
    <w:link w:val="BalloonTextChar"/>
    <w:uiPriority w:val="99"/>
    <w:semiHidden/>
    <w:unhideWhenUsed/>
    <w:rsid w:val="008E3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80"/>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AD669D"/>
    <w:rPr>
      <w:sz w:val="16"/>
      <w:szCs w:val="16"/>
    </w:rPr>
  </w:style>
  <w:style w:type="paragraph" w:styleId="CommentText">
    <w:name w:val="annotation text"/>
    <w:basedOn w:val="Normal"/>
    <w:link w:val="CommentTextChar"/>
    <w:uiPriority w:val="99"/>
    <w:semiHidden/>
    <w:unhideWhenUsed/>
    <w:rsid w:val="00AD669D"/>
    <w:rPr>
      <w:sz w:val="20"/>
    </w:rPr>
  </w:style>
  <w:style w:type="character" w:customStyle="1" w:styleId="CommentTextChar">
    <w:name w:val="Comment Text Char"/>
    <w:basedOn w:val="DefaultParagraphFont"/>
    <w:link w:val="CommentText"/>
    <w:uiPriority w:val="99"/>
    <w:semiHidden/>
    <w:rsid w:val="00AD669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69D"/>
    <w:rPr>
      <w:b/>
      <w:bCs/>
    </w:rPr>
  </w:style>
  <w:style w:type="character" w:customStyle="1" w:styleId="CommentSubjectChar">
    <w:name w:val="Comment Subject Char"/>
    <w:basedOn w:val="CommentTextChar"/>
    <w:link w:val="CommentSubject"/>
    <w:uiPriority w:val="99"/>
    <w:semiHidden/>
    <w:rsid w:val="00AD669D"/>
    <w:rPr>
      <w:rFonts w:ascii="Times New Roman" w:eastAsia="Times New Roman" w:hAnsi="Times New Roman" w:cs="Times New Roman"/>
      <w:b/>
      <w:bCs/>
      <w:snapToGrid w:val="0"/>
      <w:kern w:val="28"/>
      <w:sz w:val="20"/>
      <w:szCs w:val="20"/>
    </w:rPr>
  </w:style>
  <w:style w:type="paragraph" w:styleId="Header">
    <w:name w:val="header"/>
    <w:basedOn w:val="Normal"/>
    <w:link w:val="HeaderChar"/>
    <w:uiPriority w:val="99"/>
    <w:unhideWhenUsed/>
    <w:rsid w:val="004107A0"/>
    <w:pPr>
      <w:tabs>
        <w:tab w:val="center" w:pos="4680"/>
        <w:tab w:val="right" w:pos="9360"/>
      </w:tabs>
    </w:pPr>
  </w:style>
  <w:style w:type="character" w:customStyle="1" w:styleId="HeaderChar">
    <w:name w:val="Header Char"/>
    <w:basedOn w:val="DefaultParagraphFont"/>
    <w:link w:val="Header"/>
    <w:uiPriority w:val="99"/>
    <w:rsid w:val="004107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107A0"/>
    <w:pPr>
      <w:tabs>
        <w:tab w:val="center" w:pos="4680"/>
        <w:tab w:val="right" w:pos="9360"/>
      </w:tabs>
    </w:pPr>
  </w:style>
  <w:style w:type="character" w:customStyle="1" w:styleId="FooterChar">
    <w:name w:val="Footer Char"/>
    <w:basedOn w:val="DefaultParagraphFont"/>
    <w:link w:val="Footer"/>
    <w:uiPriority w:val="99"/>
    <w:rsid w:val="004107A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2060">
      <w:bodyDiv w:val="1"/>
      <w:marLeft w:val="0"/>
      <w:marRight w:val="0"/>
      <w:marTop w:val="0"/>
      <w:marBottom w:val="0"/>
      <w:divBdr>
        <w:top w:val="none" w:sz="0" w:space="0" w:color="auto"/>
        <w:left w:val="none" w:sz="0" w:space="0" w:color="auto"/>
        <w:bottom w:val="none" w:sz="0" w:space="0" w:color="auto"/>
        <w:right w:val="none" w:sz="0" w:space="0" w:color="auto"/>
      </w:divBdr>
      <w:divsChild>
        <w:div w:id="2047484782">
          <w:marLeft w:val="0"/>
          <w:marRight w:val="0"/>
          <w:marTop w:val="0"/>
          <w:marBottom w:val="0"/>
          <w:divBdr>
            <w:top w:val="none" w:sz="0" w:space="0" w:color="auto"/>
            <w:left w:val="none" w:sz="0" w:space="0" w:color="auto"/>
            <w:bottom w:val="none" w:sz="0" w:space="0" w:color="auto"/>
            <w:right w:val="none" w:sz="0" w:space="0" w:color="auto"/>
          </w:divBdr>
        </w:div>
        <w:div w:id="1361856310">
          <w:marLeft w:val="0"/>
          <w:marRight w:val="0"/>
          <w:marTop w:val="0"/>
          <w:marBottom w:val="0"/>
          <w:divBdr>
            <w:top w:val="none" w:sz="0" w:space="0" w:color="auto"/>
            <w:left w:val="none" w:sz="0" w:space="0" w:color="auto"/>
            <w:bottom w:val="none" w:sz="0" w:space="0" w:color="auto"/>
            <w:right w:val="none" w:sz="0" w:space="0" w:color="auto"/>
          </w:divBdr>
        </w:div>
        <w:div w:id="212122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4492</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2017-11-16T13:51:00Z</cp:lastPrinted>
  <dcterms:created xsi:type="dcterms:W3CDTF">2017-11-29T19:33:00Z</dcterms:created>
  <dcterms:modified xsi:type="dcterms:W3CDTF">2017-11-29T19:33:00Z</dcterms:modified>
  <cp:category> </cp:category>
  <cp:contentStatus> </cp:contentStatus>
</cp:coreProperties>
</file>