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220" w:rsidRPr="00493AAE" w:rsidRDefault="00444220" w:rsidP="00444220">
      <w:pPr>
        <w:jc w:val="center"/>
        <w:rPr>
          <w:b/>
        </w:rPr>
      </w:pPr>
      <w:bookmarkStart w:id="0" w:name="_GoBack"/>
      <w:bookmarkEnd w:id="0"/>
      <w:r w:rsidRPr="00A044BC">
        <w:rPr>
          <w:b/>
          <w:kern w:val="0"/>
        </w:rPr>
        <w:t>Before</w:t>
      </w:r>
      <w:r w:rsidRPr="00493AAE">
        <w:rPr>
          <w:b/>
        </w:rPr>
        <w:t xml:space="preserve"> the</w:t>
      </w:r>
    </w:p>
    <w:p w:rsidR="00444220" w:rsidRPr="00444220" w:rsidRDefault="00444220" w:rsidP="00444220">
      <w:pPr>
        <w:pStyle w:val="StyleBoldCentered"/>
        <w:rPr>
          <w:caps w:val="0"/>
        </w:rPr>
      </w:pPr>
      <w:r w:rsidRPr="00444220">
        <w:rPr>
          <w:caps w:val="0"/>
        </w:rPr>
        <w:t>Federal Communications Commission</w:t>
      </w:r>
    </w:p>
    <w:p w:rsidR="00444220" w:rsidRPr="00DA674F" w:rsidRDefault="00444220" w:rsidP="00444220">
      <w:pPr>
        <w:pStyle w:val="StyleBoldCentered"/>
        <w:rPr>
          <w:rFonts w:ascii="Times New Roman" w:hAnsi="Times New Roman"/>
        </w:rPr>
      </w:pPr>
      <w:r w:rsidRPr="00444220">
        <w:rPr>
          <w:caps w:val="0"/>
        </w:rPr>
        <w:t>Washington</w:t>
      </w:r>
      <w:r w:rsidRPr="114D192B">
        <w:rPr>
          <w:rFonts w:ascii="Times New Roman" w:hAnsi="Times New Roman"/>
        </w:rPr>
        <w:t>, D.C. 20554</w:t>
      </w:r>
    </w:p>
    <w:p w:rsidR="00444220" w:rsidRPr="00DA674F" w:rsidRDefault="00444220" w:rsidP="00444220">
      <w:pPr>
        <w:rPr>
          <w:szCs w:val="22"/>
        </w:rPr>
      </w:pPr>
    </w:p>
    <w:p w:rsidR="00444220" w:rsidRPr="00DA674F" w:rsidRDefault="00444220" w:rsidP="00444220">
      <w:pPr>
        <w:rPr>
          <w:szCs w:val="22"/>
        </w:rPr>
      </w:pPr>
    </w:p>
    <w:tbl>
      <w:tblPr>
        <w:tblW w:w="0" w:type="auto"/>
        <w:tblLayout w:type="fixed"/>
        <w:tblLook w:val="0000" w:firstRow="0" w:lastRow="0" w:firstColumn="0" w:lastColumn="0" w:noHBand="0" w:noVBand="0"/>
      </w:tblPr>
      <w:tblGrid>
        <w:gridCol w:w="4698"/>
        <w:gridCol w:w="630"/>
        <w:gridCol w:w="4248"/>
      </w:tblGrid>
      <w:tr w:rsidR="00444220" w:rsidRPr="00DA674F" w:rsidTr="0098585D">
        <w:tc>
          <w:tcPr>
            <w:tcW w:w="4698" w:type="dxa"/>
          </w:tcPr>
          <w:p w:rsidR="00444220" w:rsidRPr="00DA674F" w:rsidRDefault="00444220" w:rsidP="0098585D">
            <w:pPr>
              <w:tabs>
                <w:tab w:val="center" w:pos="4680"/>
              </w:tabs>
              <w:suppressAutoHyphens/>
              <w:rPr>
                <w:spacing w:val="-2"/>
                <w:szCs w:val="22"/>
              </w:rPr>
            </w:pPr>
            <w:r w:rsidRPr="114D192B">
              <w:rPr>
                <w:spacing w:val="-2"/>
              </w:rPr>
              <w:t>In the Matter of</w:t>
            </w:r>
          </w:p>
          <w:p w:rsidR="00444220" w:rsidRPr="00DA674F" w:rsidRDefault="00444220" w:rsidP="0098585D">
            <w:pPr>
              <w:tabs>
                <w:tab w:val="center" w:pos="4680"/>
              </w:tabs>
              <w:suppressAutoHyphens/>
              <w:rPr>
                <w:spacing w:val="-2"/>
                <w:szCs w:val="22"/>
              </w:rPr>
            </w:pPr>
          </w:p>
          <w:p w:rsidR="00444220" w:rsidRPr="00DA674F" w:rsidRDefault="00444220" w:rsidP="0098585D">
            <w:pPr>
              <w:tabs>
                <w:tab w:val="center" w:pos="4680"/>
              </w:tabs>
              <w:suppressAutoHyphens/>
              <w:rPr>
                <w:spacing w:val="-2"/>
                <w:szCs w:val="22"/>
              </w:rPr>
            </w:pPr>
            <w:r w:rsidRPr="114D192B">
              <w:rPr>
                <w:spacing w:val="-2"/>
              </w:rPr>
              <w:t>Toll Free Assignment Modernization</w:t>
            </w:r>
          </w:p>
          <w:p w:rsidR="00444220" w:rsidRPr="00DA674F" w:rsidRDefault="00444220" w:rsidP="0098585D">
            <w:pPr>
              <w:tabs>
                <w:tab w:val="center" w:pos="4680"/>
              </w:tabs>
              <w:suppressAutoHyphens/>
              <w:rPr>
                <w:spacing w:val="-2"/>
                <w:szCs w:val="22"/>
              </w:rPr>
            </w:pPr>
          </w:p>
          <w:p w:rsidR="00444220" w:rsidRPr="00DA674F" w:rsidRDefault="00444220" w:rsidP="0098585D">
            <w:pPr>
              <w:tabs>
                <w:tab w:val="center" w:pos="4680"/>
              </w:tabs>
              <w:suppressAutoHyphens/>
              <w:rPr>
                <w:spacing w:val="-2"/>
                <w:szCs w:val="22"/>
              </w:rPr>
            </w:pPr>
            <w:r w:rsidRPr="114D192B">
              <w:rPr>
                <w:spacing w:val="-2"/>
              </w:rPr>
              <w:t>Toll Free Service Access Codes</w:t>
            </w:r>
          </w:p>
        </w:tc>
        <w:tc>
          <w:tcPr>
            <w:tcW w:w="630" w:type="dxa"/>
          </w:tcPr>
          <w:p w:rsidR="00444220" w:rsidRPr="00493AAE" w:rsidRDefault="00444220" w:rsidP="0098585D">
            <w:pPr>
              <w:tabs>
                <w:tab w:val="center" w:pos="4680"/>
              </w:tabs>
              <w:suppressAutoHyphens/>
              <w:rPr>
                <w:b/>
              </w:rPr>
            </w:pPr>
            <w:r w:rsidRPr="00A044BC">
              <w:rPr>
                <w:b/>
                <w:spacing w:val="-2"/>
              </w:rPr>
              <w:t>)</w:t>
            </w:r>
          </w:p>
          <w:p w:rsidR="00444220" w:rsidRPr="00493AAE" w:rsidRDefault="00444220" w:rsidP="0098585D">
            <w:pPr>
              <w:tabs>
                <w:tab w:val="center" w:pos="4680"/>
              </w:tabs>
              <w:suppressAutoHyphens/>
              <w:rPr>
                <w:b/>
              </w:rPr>
            </w:pPr>
            <w:r w:rsidRPr="00493AAE">
              <w:rPr>
                <w:b/>
                <w:spacing w:val="-2"/>
              </w:rPr>
              <w:t>)</w:t>
            </w:r>
          </w:p>
          <w:p w:rsidR="00444220" w:rsidRPr="00493AAE" w:rsidRDefault="00444220" w:rsidP="0098585D">
            <w:pPr>
              <w:tabs>
                <w:tab w:val="center" w:pos="4680"/>
              </w:tabs>
              <w:suppressAutoHyphens/>
              <w:rPr>
                <w:b/>
              </w:rPr>
            </w:pPr>
            <w:r w:rsidRPr="00493AAE">
              <w:rPr>
                <w:b/>
                <w:spacing w:val="-2"/>
              </w:rPr>
              <w:t>)</w:t>
            </w:r>
          </w:p>
          <w:p w:rsidR="00444220" w:rsidRPr="00493AAE" w:rsidRDefault="00444220" w:rsidP="0098585D">
            <w:pPr>
              <w:tabs>
                <w:tab w:val="center" w:pos="4680"/>
              </w:tabs>
              <w:suppressAutoHyphens/>
              <w:rPr>
                <w:b/>
              </w:rPr>
            </w:pPr>
            <w:r w:rsidRPr="00493AAE">
              <w:rPr>
                <w:b/>
                <w:spacing w:val="-2"/>
              </w:rPr>
              <w:t>)</w:t>
            </w:r>
          </w:p>
          <w:p w:rsidR="00444220" w:rsidRPr="00493AAE" w:rsidRDefault="00444220" w:rsidP="0098585D">
            <w:pPr>
              <w:tabs>
                <w:tab w:val="center" w:pos="4680"/>
              </w:tabs>
              <w:suppressAutoHyphens/>
              <w:rPr>
                <w:b/>
              </w:rPr>
            </w:pPr>
            <w:r w:rsidRPr="00493AAE">
              <w:rPr>
                <w:b/>
                <w:spacing w:val="-2"/>
              </w:rPr>
              <w:t>)</w:t>
            </w:r>
          </w:p>
          <w:p w:rsidR="00444220" w:rsidRPr="00DA674F" w:rsidRDefault="00444220" w:rsidP="0098585D">
            <w:pPr>
              <w:tabs>
                <w:tab w:val="center" w:pos="4680"/>
              </w:tabs>
              <w:suppressAutoHyphens/>
              <w:rPr>
                <w:b/>
                <w:spacing w:val="-2"/>
                <w:szCs w:val="22"/>
              </w:rPr>
            </w:pPr>
            <w:r w:rsidRPr="00493AAE">
              <w:rPr>
                <w:b/>
                <w:spacing w:val="-2"/>
              </w:rPr>
              <w:t>)</w:t>
            </w:r>
          </w:p>
          <w:p w:rsidR="00444220" w:rsidRPr="00DA674F" w:rsidRDefault="00444220" w:rsidP="0098585D">
            <w:pPr>
              <w:tabs>
                <w:tab w:val="center" w:pos="4680"/>
              </w:tabs>
              <w:suppressAutoHyphens/>
              <w:rPr>
                <w:spacing w:val="-2"/>
                <w:szCs w:val="22"/>
              </w:rPr>
            </w:pPr>
          </w:p>
        </w:tc>
        <w:tc>
          <w:tcPr>
            <w:tcW w:w="4248" w:type="dxa"/>
          </w:tcPr>
          <w:p w:rsidR="00444220" w:rsidRPr="00DA674F" w:rsidRDefault="00444220" w:rsidP="0098585D">
            <w:pPr>
              <w:tabs>
                <w:tab w:val="center" w:pos="4680"/>
              </w:tabs>
              <w:suppressAutoHyphens/>
              <w:rPr>
                <w:spacing w:val="-2"/>
                <w:szCs w:val="22"/>
              </w:rPr>
            </w:pPr>
          </w:p>
          <w:p w:rsidR="00444220" w:rsidRPr="00DA674F" w:rsidRDefault="00444220" w:rsidP="0098585D">
            <w:pPr>
              <w:pStyle w:val="TOAHeading"/>
              <w:tabs>
                <w:tab w:val="clear" w:pos="9360"/>
                <w:tab w:val="center" w:pos="4680"/>
              </w:tabs>
              <w:rPr>
                <w:spacing w:val="-2"/>
                <w:szCs w:val="22"/>
              </w:rPr>
            </w:pPr>
          </w:p>
          <w:p w:rsidR="00444220" w:rsidRPr="00DA674F" w:rsidRDefault="00444220" w:rsidP="0098585D">
            <w:pPr>
              <w:tabs>
                <w:tab w:val="center" w:pos="4680"/>
              </w:tabs>
              <w:suppressAutoHyphens/>
              <w:rPr>
                <w:spacing w:val="-2"/>
                <w:szCs w:val="22"/>
              </w:rPr>
            </w:pPr>
            <w:r w:rsidRPr="114D192B">
              <w:rPr>
                <w:spacing w:val="-2"/>
              </w:rPr>
              <w:t>WC Docket No. 17-192</w:t>
            </w:r>
          </w:p>
          <w:p w:rsidR="00444220" w:rsidRPr="00DA674F" w:rsidRDefault="00444220" w:rsidP="0098585D">
            <w:pPr>
              <w:tabs>
                <w:tab w:val="center" w:pos="4680"/>
              </w:tabs>
              <w:suppressAutoHyphens/>
              <w:rPr>
                <w:spacing w:val="-2"/>
                <w:szCs w:val="22"/>
              </w:rPr>
            </w:pPr>
          </w:p>
          <w:p w:rsidR="00444220" w:rsidRPr="00DA674F" w:rsidRDefault="00444220" w:rsidP="0098585D">
            <w:pPr>
              <w:tabs>
                <w:tab w:val="center" w:pos="4680"/>
              </w:tabs>
              <w:suppressAutoHyphens/>
              <w:rPr>
                <w:spacing w:val="-2"/>
                <w:szCs w:val="22"/>
              </w:rPr>
            </w:pPr>
            <w:r w:rsidRPr="114D192B">
              <w:rPr>
                <w:spacing w:val="-2"/>
              </w:rPr>
              <w:t>CC Docket No. 95-155</w:t>
            </w:r>
          </w:p>
        </w:tc>
      </w:tr>
    </w:tbl>
    <w:p w:rsidR="00444220" w:rsidRPr="00DA674F" w:rsidRDefault="00444220" w:rsidP="00444220">
      <w:pPr>
        <w:rPr>
          <w:szCs w:val="22"/>
        </w:rPr>
      </w:pPr>
    </w:p>
    <w:p w:rsidR="00444220" w:rsidRPr="00DA674F" w:rsidRDefault="00444220" w:rsidP="00444220">
      <w:pPr>
        <w:pStyle w:val="StyleBoldCentered"/>
        <w:rPr>
          <w:rFonts w:ascii="Times New Roman" w:hAnsi="Times New Roman"/>
        </w:rPr>
      </w:pPr>
      <w:r w:rsidRPr="00DA674F">
        <w:rPr>
          <w:rFonts w:ascii="Times New Roman" w:hAnsi="Times New Roman"/>
        </w:rPr>
        <w:t>Notice of Proposed rulemaking</w:t>
      </w:r>
    </w:p>
    <w:p w:rsidR="00444220" w:rsidRDefault="00444220" w:rsidP="00444220">
      <w:pPr>
        <w:tabs>
          <w:tab w:val="left" w:pos="-720"/>
        </w:tabs>
        <w:suppressAutoHyphens/>
        <w:spacing w:line="227" w:lineRule="auto"/>
        <w:rPr>
          <w:spacing w:val="-2"/>
          <w:szCs w:val="22"/>
        </w:rPr>
      </w:pPr>
    </w:p>
    <w:p w:rsidR="00444220" w:rsidRPr="00DA674F" w:rsidRDefault="00444220" w:rsidP="00444220">
      <w:pPr>
        <w:tabs>
          <w:tab w:val="left" w:pos="-720"/>
        </w:tabs>
        <w:suppressAutoHyphens/>
        <w:spacing w:line="227" w:lineRule="auto"/>
        <w:rPr>
          <w:spacing w:val="-2"/>
          <w:szCs w:val="22"/>
        </w:rPr>
      </w:pPr>
    </w:p>
    <w:p w:rsidR="00444220" w:rsidRPr="00DA674F" w:rsidRDefault="00444220" w:rsidP="00444220">
      <w:pPr>
        <w:tabs>
          <w:tab w:val="left" w:pos="720"/>
          <w:tab w:val="right" w:pos="9360"/>
        </w:tabs>
        <w:suppressAutoHyphens/>
        <w:spacing w:line="227" w:lineRule="auto"/>
        <w:rPr>
          <w:spacing w:val="-2"/>
          <w:szCs w:val="22"/>
        </w:rPr>
      </w:pPr>
      <w:r w:rsidRPr="00A044BC">
        <w:rPr>
          <w:b/>
          <w:spacing w:val="-2"/>
        </w:rPr>
        <w:t>Adopte</w:t>
      </w:r>
      <w:r>
        <w:rPr>
          <w:b/>
          <w:spacing w:val="-2"/>
        </w:rPr>
        <w:t>d:  September 26</w:t>
      </w:r>
      <w:r w:rsidRPr="00493AAE">
        <w:rPr>
          <w:b/>
          <w:spacing w:val="-2"/>
        </w:rPr>
        <w:t>, 2017</w:t>
      </w:r>
      <w:r>
        <w:rPr>
          <w:b/>
          <w:spacing w:val="-2"/>
          <w:szCs w:val="22"/>
        </w:rPr>
        <w:tab/>
      </w:r>
      <w:r>
        <w:rPr>
          <w:b/>
          <w:spacing w:val="-2"/>
        </w:rPr>
        <w:t>Released:  September 28</w:t>
      </w:r>
      <w:r w:rsidRPr="00493AAE">
        <w:rPr>
          <w:b/>
          <w:spacing w:val="-2"/>
        </w:rPr>
        <w:t>, 2017</w:t>
      </w:r>
    </w:p>
    <w:p w:rsidR="00444220" w:rsidRPr="00DA674F" w:rsidRDefault="00444220" w:rsidP="00444220">
      <w:pPr>
        <w:rPr>
          <w:szCs w:val="22"/>
        </w:rPr>
      </w:pPr>
    </w:p>
    <w:p w:rsidR="00444220" w:rsidRPr="00DA674F" w:rsidRDefault="00444220" w:rsidP="00444220">
      <w:pPr>
        <w:rPr>
          <w:spacing w:val="-2"/>
          <w:szCs w:val="22"/>
        </w:rPr>
      </w:pPr>
      <w:r w:rsidRPr="114D192B">
        <w:t xml:space="preserve">By the </w:t>
      </w:r>
      <w:r w:rsidRPr="114D192B">
        <w:rPr>
          <w:spacing w:val="-2"/>
        </w:rPr>
        <w:t>Commission</w:t>
      </w:r>
      <w:r w:rsidRPr="114D192B">
        <w:t>:</w:t>
      </w:r>
      <w:r w:rsidR="00905900">
        <w:t xml:space="preserve"> </w:t>
      </w:r>
      <w:r w:rsidR="00905900" w:rsidRPr="00905900">
        <w:t>Chairman Pai and Commissioners O’Rielly</w:t>
      </w:r>
      <w:r w:rsidR="00905900">
        <w:t>, Carr and Rosenworcel issuing separate statements</w:t>
      </w:r>
      <w:r w:rsidR="00905900">
        <w:rPr>
          <w:color w:val="1F497D"/>
        </w:rPr>
        <w:t xml:space="preserve">; </w:t>
      </w:r>
      <w:r w:rsidR="00905900">
        <w:t>Commissioner Clyburn Dissenting and issuing a statement.</w:t>
      </w:r>
    </w:p>
    <w:p w:rsidR="00444220" w:rsidRPr="00171C2E" w:rsidRDefault="00444220" w:rsidP="00444220">
      <w:pPr>
        <w:pStyle w:val="BodyText"/>
        <w:jc w:val="left"/>
        <w:rPr>
          <w:b/>
        </w:rPr>
      </w:pPr>
    </w:p>
    <w:p w:rsidR="00444220" w:rsidRPr="00493AAE" w:rsidRDefault="00444220" w:rsidP="00444220">
      <w:pPr>
        <w:pStyle w:val="BodyText"/>
        <w:jc w:val="left"/>
        <w:rPr>
          <w:b/>
        </w:rPr>
      </w:pPr>
      <w:r w:rsidRPr="00A044BC">
        <w:rPr>
          <w:b/>
        </w:rPr>
        <w:t xml:space="preserve">Comment Date:  </w:t>
      </w:r>
      <w:r>
        <w:rPr>
          <w:b/>
        </w:rPr>
        <w:t>[</w:t>
      </w:r>
      <w:r w:rsidRPr="00A044BC">
        <w:rPr>
          <w:b/>
        </w:rPr>
        <w:t xml:space="preserve">30 days after </w:t>
      </w:r>
      <w:r>
        <w:rPr>
          <w:b/>
        </w:rPr>
        <w:t>date of publication in the Federal Register]</w:t>
      </w:r>
    </w:p>
    <w:p w:rsidR="00444220" w:rsidRPr="00493AAE" w:rsidRDefault="00444220" w:rsidP="00444220">
      <w:pPr>
        <w:pStyle w:val="BodyText"/>
        <w:jc w:val="left"/>
        <w:rPr>
          <w:b/>
        </w:rPr>
      </w:pPr>
      <w:r w:rsidRPr="00493AAE">
        <w:rPr>
          <w:b/>
        </w:rPr>
        <w:t xml:space="preserve">Reply Comment Date:  </w:t>
      </w:r>
      <w:r>
        <w:rPr>
          <w:b/>
        </w:rPr>
        <w:t>[</w:t>
      </w:r>
      <w:r w:rsidRPr="00493AAE">
        <w:rPr>
          <w:b/>
        </w:rPr>
        <w:t xml:space="preserve">60 days after </w:t>
      </w:r>
      <w:r>
        <w:rPr>
          <w:b/>
        </w:rPr>
        <w:t>date of publication in the Federal Register]</w:t>
      </w:r>
    </w:p>
    <w:p w:rsidR="00444220" w:rsidRDefault="00444220" w:rsidP="00444220">
      <w:pPr>
        <w:rPr>
          <w:szCs w:val="22"/>
        </w:rPr>
      </w:pPr>
    </w:p>
    <w:p w:rsidR="00444220" w:rsidRDefault="00444220" w:rsidP="00444220">
      <w:pPr>
        <w:pStyle w:val="TOCTitle"/>
      </w:pPr>
      <w:bookmarkStart w:id="1" w:name="TOChere"/>
      <w:r>
        <w:t>Table of Contents</w:t>
      </w:r>
    </w:p>
    <w:p w:rsidR="00444220" w:rsidRDefault="00444220" w:rsidP="00444220">
      <w:pPr>
        <w:pStyle w:val="Paratitle"/>
      </w:pPr>
      <w:r>
        <w:tab/>
        <w:t>Par</w:t>
      </w:r>
      <w:bookmarkStart w:id="2" w:name="start_here"/>
      <w:bookmarkEnd w:id="2"/>
      <w:r>
        <w:t>a.</w:t>
      </w:r>
    </w:p>
    <w:p w:rsidR="00444220" w:rsidRPr="00444220" w:rsidRDefault="00444220" w:rsidP="00444220">
      <w:pPr>
        <w:pStyle w:val="TOC1"/>
        <w:rPr>
          <w:rFonts w:ascii="Calibri" w:hAnsi="Calibri"/>
          <w:caps w:val="0"/>
          <w:snapToGrid/>
          <w:kern w:val="0"/>
          <w:szCs w:val="22"/>
        </w:rPr>
      </w:pPr>
      <w:r w:rsidRPr="008E3463">
        <w:t>I.</w:t>
      </w:r>
      <w:r w:rsidRPr="00444220">
        <w:rPr>
          <w:rFonts w:ascii="Calibri" w:hAnsi="Calibri"/>
          <w:caps w:val="0"/>
          <w:snapToGrid/>
          <w:kern w:val="0"/>
          <w:szCs w:val="22"/>
        </w:rPr>
        <w:tab/>
      </w:r>
      <w:r w:rsidRPr="008E3463">
        <w:t>INTRODUCTION</w:t>
      </w:r>
      <w:r>
        <w:tab/>
        <w:t>1</w:t>
      </w:r>
    </w:p>
    <w:p w:rsidR="00444220" w:rsidRPr="00444220" w:rsidRDefault="00444220" w:rsidP="00444220">
      <w:pPr>
        <w:pStyle w:val="TOC1"/>
        <w:rPr>
          <w:rFonts w:ascii="Calibri" w:hAnsi="Calibri"/>
          <w:caps w:val="0"/>
          <w:snapToGrid/>
          <w:kern w:val="0"/>
          <w:szCs w:val="22"/>
        </w:rPr>
      </w:pPr>
      <w:r w:rsidRPr="008E3463">
        <w:t>II.</w:t>
      </w:r>
      <w:r w:rsidRPr="00444220">
        <w:rPr>
          <w:rFonts w:ascii="Calibri" w:hAnsi="Calibri"/>
          <w:caps w:val="0"/>
          <w:snapToGrid/>
          <w:kern w:val="0"/>
          <w:szCs w:val="22"/>
        </w:rPr>
        <w:tab/>
      </w:r>
      <w:r w:rsidRPr="008E3463">
        <w:t>Background</w:t>
      </w:r>
      <w:r>
        <w:tab/>
        <w:t>2</w:t>
      </w:r>
    </w:p>
    <w:p w:rsidR="00444220" w:rsidRPr="00444220" w:rsidRDefault="00444220" w:rsidP="00444220">
      <w:pPr>
        <w:pStyle w:val="TOC1"/>
        <w:rPr>
          <w:rFonts w:ascii="Calibri" w:hAnsi="Calibri"/>
          <w:caps w:val="0"/>
          <w:snapToGrid/>
          <w:kern w:val="0"/>
          <w:szCs w:val="22"/>
        </w:rPr>
      </w:pPr>
      <w:r>
        <w:t>III.</w:t>
      </w:r>
      <w:r w:rsidRPr="00444220">
        <w:rPr>
          <w:rFonts w:ascii="Calibri" w:hAnsi="Calibri"/>
          <w:caps w:val="0"/>
          <w:snapToGrid/>
          <w:kern w:val="0"/>
          <w:szCs w:val="22"/>
        </w:rPr>
        <w:tab/>
      </w:r>
      <w:r>
        <w:t>Discussion</w:t>
      </w:r>
      <w:r>
        <w:tab/>
        <w:t>5</w:t>
      </w:r>
    </w:p>
    <w:p w:rsidR="00444220" w:rsidRPr="00444220" w:rsidRDefault="00444220" w:rsidP="00444220">
      <w:pPr>
        <w:pStyle w:val="TOC2"/>
        <w:tabs>
          <w:tab w:val="left" w:pos="360"/>
        </w:tabs>
        <w:rPr>
          <w:rFonts w:ascii="Calibri" w:hAnsi="Calibri"/>
          <w:snapToGrid/>
          <w:kern w:val="0"/>
          <w:szCs w:val="22"/>
        </w:rPr>
      </w:pPr>
      <w:r>
        <w:t>A.</w:t>
      </w:r>
      <w:r w:rsidRPr="00444220">
        <w:rPr>
          <w:rFonts w:ascii="Calibri" w:hAnsi="Calibri"/>
          <w:snapToGrid/>
          <w:kern w:val="0"/>
          <w:szCs w:val="22"/>
        </w:rPr>
        <w:tab/>
      </w:r>
      <w:r>
        <w:t>Distribution of Toll Free Numbers</w:t>
      </w:r>
      <w:r>
        <w:tab/>
        <w:t>5</w:t>
      </w:r>
    </w:p>
    <w:p w:rsidR="00444220" w:rsidRPr="00444220" w:rsidRDefault="00444220" w:rsidP="00444220">
      <w:pPr>
        <w:pStyle w:val="TOC3"/>
        <w:tabs>
          <w:tab w:val="left" w:pos="360"/>
        </w:tabs>
        <w:rPr>
          <w:rFonts w:ascii="Calibri" w:hAnsi="Calibri"/>
          <w:snapToGrid/>
          <w:kern w:val="0"/>
          <w:szCs w:val="22"/>
        </w:rPr>
      </w:pPr>
      <w:r>
        <w:t>1.</w:t>
      </w:r>
      <w:r w:rsidRPr="00444220">
        <w:rPr>
          <w:rFonts w:ascii="Calibri" w:hAnsi="Calibri"/>
          <w:snapToGrid/>
          <w:kern w:val="0"/>
          <w:szCs w:val="22"/>
        </w:rPr>
        <w:tab/>
      </w:r>
      <w:r>
        <w:t>Costs and Benefits of an Auction</w:t>
      </w:r>
      <w:r>
        <w:tab/>
        <w:t>10</w:t>
      </w:r>
    </w:p>
    <w:p w:rsidR="00444220" w:rsidRPr="00444220" w:rsidRDefault="00444220" w:rsidP="00444220">
      <w:pPr>
        <w:pStyle w:val="TOC3"/>
        <w:tabs>
          <w:tab w:val="left" w:pos="360"/>
        </w:tabs>
        <w:rPr>
          <w:rFonts w:ascii="Calibri" w:hAnsi="Calibri"/>
          <w:snapToGrid/>
          <w:kern w:val="0"/>
          <w:szCs w:val="22"/>
        </w:rPr>
      </w:pPr>
      <w:r>
        <w:t>2.</w:t>
      </w:r>
      <w:r w:rsidRPr="00444220">
        <w:rPr>
          <w:rFonts w:ascii="Calibri" w:hAnsi="Calibri"/>
          <w:snapToGrid/>
          <w:kern w:val="0"/>
          <w:szCs w:val="22"/>
        </w:rPr>
        <w:tab/>
      </w:r>
      <w:r>
        <w:t>Auction Procedures for 833</w:t>
      </w:r>
      <w:r>
        <w:tab/>
        <w:t>12</w:t>
      </w:r>
    </w:p>
    <w:p w:rsidR="00444220" w:rsidRPr="00444220" w:rsidRDefault="00444220" w:rsidP="00444220">
      <w:pPr>
        <w:pStyle w:val="TOC4"/>
        <w:tabs>
          <w:tab w:val="left" w:pos="360"/>
        </w:tabs>
        <w:rPr>
          <w:rFonts w:ascii="Calibri" w:hAnsi="Calibri"/>
          <w:snapToGrid/>
          <w:kern w:val="0"/>
          <w:szCs w:val="22"/>
        </w:rPr>
      </w:pPr>
      <w:r>
        <w:t>a.</w:t>
      </w:r>
      <w:r w:rsidRPr="00444220">
        <w:rPr>
          <w:rFonts w:ascii="Calibri" w:hAnsi="Calibri"/>
          <w:snapToGrid/>
          <w:kern w:val="0"/>
          <w:szCs w:val="22"/>
        </w:rPr>
        <w:tab/>
      </w:r>
      <w:r>
        <w:t>Single Round, Sealed-Bid Vickrey Auction</w:t>
      </w:r>
      <w:r>
        <w:tab/>
        <w:t>13</w:t>
      </w:r>
    </w:p>
    <w:p w:rsidR="00444220" w:rsidRPr="00444220" w:rsidRDefault="00444220" w:rsidP="00444220">
      <w:pPr>
        <w:pStyle w:val="TOC4"/>
        <w:tabs>
          <w:tab w:val="left" w:pos="360"/>
        </w:tabs>
        <w:rPr>
          <w:rFonts w:ascii="Calibri" w:hAnsi="Calibri"/>
          <w:snapToGrid/>
          <w:kern w:val="0"/>
          <w:szCs w:val="22"/>
        </w:rPr>
      </w:pPr>
      <w:r w:rsidRPr="008E3463">
        <w:rPr>
          <w:snapToGrid/>
        </w:rPr>
        <w:t>b.</w:t>
      </w:r>
      <w:r w:rsidRPr="00444220">
        <w:rPr>
          <w:rFonts w:ascii="Calibri" w:hAnsi="Calibri"/>
          <w:snapToGrid/>
          <w:kern w:val="0"/>
          <w:szCs w:val="22"/>
        </w:rPr>
        <w:tab/>
      </w:r>
      <w:r w:rsidRPr="008E3463">
        <w:rPr>
          <w:snapToGrid/>
        </w:rPr>
        <w:t>Alternative Auction Methodologies</w:t>
      </w:r>
      <w:r>
        <w:tab/>
        <w:t>18</w:t>
      </w:r>
    </w:p>
    <w:p w:rsidR="00444220" w:rsidRPr="00444220" w:rsidRDefault="00444220" w:rsidP="00444220">
      <w:pPr>
        <w:pStyle w:val="TOC3"/>
        <w:tabs>
          <w:tab w:val="left" w:pos="360"/>
        </w:tabs>
        <w:rPr>
          <w:rFonts w:ascii="Calibri" w:hAnsi="Calibri"/>
          <w:snapToGrid/>
          <w:kern w:val="0"/>
          <w:szCs w:val="22"/>
        </w:rPr>
      </w:pPr>
      <w:r>
        <w:t>3.</w:t>
      </w:r>
      <w:r w:rsidRPr="00444220">
        <w:rPr>
          <w:rFonts w:ascii="Calibri" w:hAnsi="Calibri"/>
          <w:snapToGrid/>
          <w:kern w:val="0"/>
          <w:szCs w:val="22"/>
        </w:rPr>
        <w:tab/>
      </w:r>
      <w:r>
        <w:t>Auction Eligibility</w:t>
      </w:r>
      <w:r>
        <w:tab/>
        <w:t>21</w:t>
      </w:r>
    </w:p>
    <w:p w:rsidR="00444220" w:rsidRPr="00444220" w:rsidRDefault="00444220" w:rsidP="00444220">
      <w:pPr>
        <w:pStyle w:val="TOC3"/>
        <w:tabs>
          <w:tab w:val="left" w:pos="360"/>
        </w:tabs>
        <w:rPr>
          <w:rFonts w:ascii="Calibri" w:hAnsi="Calibri"/>
          <w:snapToGrid/>
          <w:kern w:val="0"/>
          <w:szCs w:val="22"/>
        </w:rPr>
      </w:pPr>
      <w:r>
        <w:t>4.</w:t>
      </w:r>
      <w:r w:rsidRPr="00444220">
        <w:rPr>
          <w:rFonts w:ascii="Calibri" w:hAnsi="Calibri"/>
          <w:snapToGrid/>
          <w:kern w:val="0"/>
          <w:szCs w:val="22"/>
        </w:rPr>
        <w:tab/>
      </w:r>
      <w:r>
        <w:t>Auctioneer</w:t>
      </w:r>
      <w:r>
        <w:tab/>
        <w:t>24</w:t>
      </w:r>
    </w:p>
    <w:p w:rsidR="00444220" w:rsidRPr="00444220" w:rsidRDefault="00444220" w:rsidP="00444220">
      <w:pPr>
        <w:pStyle w:val="TOC3"/>
        <w:tabs>
          <w:tab w:val="left" w:pos="360"/>
        </w:tabs>
        <w:rPr>
          <w:rFonts w:ascii="Calibri" w:hAnsi="Calibri"/>
          <w:snapToGrid/>
          <w:kern w:val="0"/>
          <w:szCs w:val="22"/>
        </w:rPr>
      </w:pPr>
      <w:r>
        <w:t>5.</w:t>
      </w:r>
      <w:r w:rsidRPr="00444220">
        <w:rPr>
          <w:rFonts w:ascii="Calibri" w:hAnsi="Calibri"/>
          <w:snapToGrid/>
          <w:kern w:val="0"/>
          <w:szCs w:val="22"/>
        </w:rPr>
        <w:tab/>
      </w:r>
      <w:r>
        <w:t>Treatment of Auction Funds</w:t>
      </w:r>
      <w:r>
        <w:tab/>
        <w:t>25</w:t>
      </w:r>
    </w:p>
    <w:p w:rsidR="00444220" w:rsidRPr="00444220" w:rsidRDefault="00444220" w:rsidP="00444220">
      <w:pPr>
        <w:pStyle w:val="TOC3"/>
        <w:tabs>
          <w:tab w:val="left" w:pos="360"/>
        </w:tabs>
        <w:rPr>
          <w:rFonts w:ascii="Calibri" w:hAnsi="Calibri"/>
          <w:snapToGrid/>
          <w:kern w:val="0"/>
          <w:szCs w:val="22"/>
        </w:rPr>
      </w:pPr>
      <w:r>
        <w:t>6.</w:t>
      </w:r>
      <w:r w:rsidRPr="00444220">
        <w:rPr>
          <w:rFonts w:ascii="Calibri" w:hAnsi="Calibri"/>
          <w:snapToGrid/>
          <w:kern w:val="0"/>
          <w:szCs w:val="22"/>
        </w:rPr>
        <w:tab/>
      </w:r>
      <w:r>
        <w:t>Alternative Assignment Methodologies</w:t>
      </w:r>
      <w:r>
        <w:tab/>
        <w:t>28</w:t>
      </w:r>
    </w:p>
    <w:p w:rsidR="00444220" w:rsidRPr="00444220" w:rsidRDefault="00444220" w:rsidP="00444220">
      <w:pPr>
        <w:pStyle w:val="TOC2"/>
        <w:tabs>
          <w:tab w:val="left" w:pos="360"/>
        </w:tabs>
        <w:rPr>
          <w:rFonts w:ascii="Calibri" w:hAnsi="Calibri"/>
          <w:snapToGrid/>
          <w:kern w:val="0"/>
          <w:szCs w:val="22"/>
        </w:rPr>
      </w:pPr>
      <w:r>
        <w:t>B.</w:t>
      </w:r>
      <w:r w:rsidRPr="00444220">
        <w:rPr>
          <w:rFonts w:ascii="Calibri" w:hAnsi="Calibri"/>
          <w:snapToGrid/>
          <w:kern w:val="0"/>
          <w:szCs w:val="22"/>
        </w:rPr>
        <w:tab/>
      </w:r>
      <w:r>
        <w:t>Secondary Markets for Toll Free Numbers</w:t>
      </w:r>
      <w:r>
        <w:tab/>
        <w:t>30</w:t>
      </w:r>
    </w:p>
    <w:p w:rsidR="00444220" w:rsidRPr="00444220" w:rsidRDefault="00444220" w:rsidP="00444220">
      <w:pPr>
        <w:pStyle w:val="TOC2"/>
        <w:tabs>
          <w:tab w:val="left" w:pos="360"/>
        </w:tabs>
        <w:rPr>
          <w:rFonts w:ascii="Calibri" w:hAnsi="Calibri"/>
          <w:snapToGrid/>
          <w:kern w:val="0"/>
          <w:szCs w:val="22"/>
        </w:rPr>
      </w:pPr>
      <w:r>
        <w:t>C.</w:t>
      </w:r>
      <w:r w:rsidRPr="00444220">
        <w:rPr>
          <w:rFonts w:ascii="Calibri" w:hAnsi="Calibri"/>
          <w:snapToGrid/>
          <w:kern w:val="0"/>
          <w:szCs w:val="22"/>
        </w:rPr>
        <w:tab/>
      </w:r>
      <w:r>
        <w:t>Toll Free Number Administration</w:t>
      </w:r>
      <w:r>
        <w:tab/>
        <w:t>34</w:t>
      </w:r>
    </w:p>
    <w:p w:rsidR="00444220" w:rsidRPr="00444220" w:rsidRDefault="00444220" w:rsidP="00444220">
      <w:pPr>
        <w:pStyle w:val="TOC3"/>
        <w:tabs>
          <w:tab w:val="left" w:pos="360"/>
        </w:tabs>
        <w:rPr>
          <w:rFonts w:ascii="Calibri" w:hAnsi="Calibri"/>
          <w:snapToGrid/>
          <w:kern w:val="0"/>
          <w:szCs w:val="22"/>
        </w:rPr>
      </w:pPr>
      <w:r>
        <w:t>1.</w:t>
      </w:r>
      <w:r w:rsidRPr="00444220">
        <w:rPr>
          <w:rFonts w:ascii="Calibri" w:hAnsi="Calibri"/>
          <w:snapToGrid/>
          <w:kern w:val="0"/>
          <w:szCs w:val="22"/>
        </w:rPr>
        <w:tab/>
      </w:r>
      <w:r>
        <w:t>Toll Free Number Rule Revisions</w:t>
      </w:r>
      <w:r>
        <w:tab/>
        <w:t>34</w:t>
      </w:r>
    </w:p>
    <w:p w:rsidR="00444220" w:rsidRPr="00444220" w:rsidRDefault="00444220" w:rsidP="00444220">
      <w:pPr>
        <w:pStyle w:val="TOC3"/>
        <w:tabs>
          <w:tab w:val="left" w:pos="360"/>
        </w:tabs>
        <w:rPr>
          <w:rFonts w:ascii="Calibri" w:hAnsi="Calibri"/>
          <w:snapToGrid/>
          <w:kern w:val="0"/>
          <w:szCs w:val="22"/>
        </w:rPr>
      </w:pPr>
      <w:r>
        <w:t>2.</w:t>
      </w:r>
      <w:r w:rsidRPr="00444220">
        <w:rPr>
          <w:rFonts w:ascii="Calibri" w:hAnsi="Calibri"/>
          <w:snapToGrid/>
          <w:kern w:val="0"/>
          <w:szCs w:val="22"/>
        </w:rPr>
        <w:tab/>
      </w:r>
      <w:r>
        <w:t>Toll Free Numbers Used for Public Purposes</w:t>
      </w:r>
      <w:r>
        <w:tab/>
        <w:t>39</w:t>
      </w:r>
    </w:p>
    <w:p w:rsidR="00444220" w:rsidRPr="00444220" w:rsidRDefault="00444220" w:rsidP="00444220">
      <w:pPr>
        <w:pStyle w:val="TOC3"/>
        <w:tabs>
          <w:tab w:val="left" w:pos="360"/>
        </w:tabs>
        <w:rPr>
          <w:rFonts w:ascii="Calibri" w:hAnsi="Calibri"/>
          <w:snapToGrid/>
          <w:kern w:val="0"/>
          <w:szCs w:val="22"/>
        </w:rPr>
      </w:pPr>
      <w:r>
        <w:t>3.</w:t>
      </w:r>
      <w:r w:rsidRPr="00444220">
        <w:rPr>
          <w:rFonts w:ascii="Calibri" w:hAnsi="Calibri"/>
          <w:snapToGrid/>
          <w:kern w:val="0"/>
          <w:szCs w:val="22"/>
        </w:rPr>
        <w:tab/>
      </w:r>
      <w:r>
        <w:t>Abuse of Toll Free Numbers</w:t>
      </w:r>
      <w:r>
        <w:tab/>
        <w:t>40</w:t>
      </w:r>
    </w:p>
    <w:p w:rsidR="00444220" w:rsidRPr="00444220" w:rsidRDefault="00444220" w:rsidP="00444220">
      <w:pPr>
        <w:pStyle w:val="TOC3"/>
        <w:tabs>
          <w:tab w:val="left" w:pos="360"/>
        </w:tabs>
        <w:rPr>
          <w:rFonts w:ascii="Calibri" w:hAnsi="Calibri"/>
          <w:snapToGrid/>
          <w:kern w:val="0"/>
          <w:szCs w:val="22"/>
        </w:rPr>
      </w:pPr>
      <w:r>
        <w:t>4.</w:t>
      </w:r>
      <w:r w:rsidRPr="00444220">
        <w:rPr>
          <w:rFonts w:ascii="Calibri" w:hAnsi="Calibri"/>
          <w:snapToGrid/>
          <w:kern w:val="0"/>
          <w:szCs w:val="22"/>
        </w:rPr>
        <w:tab/>
      </w:r>
      <w:r>
        <w:t>Toll Free Number Assignment Management</w:t>
      </w:r>
      <w:r>
        <w:tab/>
        <w:t>41</w:t>
      </w:r>
    </w:p>
    <w:p w:rsidR="00444220" w:rsidRPr="00444220" w:rsidRDefault="00444220" w:rsidP="00444220">
      <w:pPr>
        <w:pStyle w:val="TOC2"/>
        <w:tabs>
          <w:tab w:val="left" w:pos="360"/>
        </w:tabs>
        <w:rPr>
          <w:rFonts w:ascii="Calibri" w:hAnsi="Calibri"/>
          <w:snapToGrid/>
          <w:kern w:val="0"/>
          <w:szCs w:val="22"/>
        </w:rPr>
      </w:pPr>
      <w:r>
        <w:t>D.</w:t>
      </w:r>
      <w:r w:rsidRPr="00444220">
        <w:rPr>
          <w:rFonts w:ascii="Calibri" w:hAnsi="Calibri"/>
          <w:snapToGrid/>
          <w:kern w:val="0"/>
          <w:szCs w:val="22"/>
        </w:rPr>
        <w:tab/>
      </w:r>
      <w:r>
        <w:t>Legal Authority</w:t>
      </w:r>
      <w:r>
        <w:tab/>
        <w:t>44</w:t>
      </w:r>
    </w:p>
    <w:p w:rsidR="00444220" w:rsidRPr="00444220" w:rsidRDefault="00444220" w:rsidP="00444220">
      <w:pPr>
        <w:pStyle w:val="TOC1"/>
        <w:rPr>
          <w:rFonts w:ascii="Calibri" w:hAnsi="Calibri"/>
          <w:caps w:val="0"/>
          <w:snapToGrid/>
          <w:kern w:val="0"/>
          <w:szCs w:val="22"/>
        </w:rPr>
      </w:pPr>
      <w:r w:rsidRPr="008E3463">
        <w:t>IV.</w:t>
      </w:r>
      <w:r w:rsidRPr="00444220">
        <w:rPr>
          <w:rFonts w:ascii="Calibri" w:hAnsi="Calibri"/>
          <w:caps w:val="0"/>
          <w:snapToGrid/>
          <w:kern w:val="0"/>
          <w:szCs w:val="22"/>
        </w:rPr>
        <w:tab/>
      </w:r>
      <w:r w:rsidRPr="008E3463">
        <w:t>Procedural Matters</w:t>
      </w:r>
      <w:r>
        <w:tab/>
        <w:t>48</w:t>
      </w:r>
    </w:p>
    <w:p w:rsidR="00444220" w:rsidRPr="00444220" w:rsidRDefault="00444220" w:rsidP="00444220">
      <w:pPr>
        <w:pStyle w:val="TOC2"/>
        <w:tabs>
          <w:tab w:val="left" w:pos="360"/>
        </w:tabs>
        <w:rPr>
          <w:rFonts w:ascii="Calibri" w:hAnsi="Calibri"/>
          <w:snapToGrid/>
          <w:kern w:val="0"/>
          <w:szCs w:val="22"/>
        </w:rPr>
      </w:pPr>
      <w:r>
        <w:t>A.</w:t>
      </w:r>
      <w:r w:rsidRPr="00444220">
        <w:rPr>
          <w:rFonts w:ascii="Calibri" w:hAnsi="Calibri"/>
          <w:snapToGrid/>
          <w:kern w:val="0"/>
          <w:szCs w:val="22"/>
        </w:rPr>
        <w:tab/>
      </w:r>
      <w:r>
        <w:t>Comment Filing Procedures</w:t>
      </w:r>
      <w:r>
        <w:tab/>
        <w:t>48</w:t>
      </w:r>
    </w:p>
    <w:p w:rsidR="00444220" w:rsidRPr="00444220" w:rsidRDefault="00444220" w:rsidP="00444220">
      <w:pPr>
        <w:pStyle w:val="TOC2"/>
        <w:tabs>
          <w:tab w:val="left" w:pos="360"/>
        </w:tabs>
        <w:rPr>
          <w:rFonts w:ascii="Calibri" w:hAnsi="Calibri"/>
          <w:snapToGrid/>
          <w:kern w:val="0"/>
          <w:szCs w:val="22"/>
        </w:rPr>
      </w:pPr>
      <w:r>
        <w:t>B.</w:t>
      </w:r>
      <w:r w:rsidRPr="00444220">
        <w:rPr>
          <w:rFonts w:ascii="Calibri" w:hAnsi="Calibri"/>
          <w:snapToGrid/>
          <w:kern w:val="0"/>
          <w:szCs w:val="22"/>
        </w:rPr>
        <w:tab/>
      </w:r>
      <w:r>
        <w:t>Initial Regulatory Flexibility Analysis</w:t>
      </w:r>
      <w:r>
        <w:tab/>
        <w:t>50</w:t>
      </w:r>
    </w:p>
    <w:p w:rsidR="00444220" w:rsidRPr="00444220" w:rsidRDefault="00444220" w:rsidP="00444220">
      <w:pPr>
        <w:pStyle w:val="TOC2"/>
        <w:tabs>
          <w:tab w:val="left" w:pos="360"/>
        </w:tabs>
        <w:rPr>
          <w:rFonts w:ascii="Calibri" w:hAnsi="Calibri"/>
          <w:snapToGrid/>
          <w:kern w:val="0"/>
          <w:szCs w:val="22"/>
        </w:rPr>
      </w:pPr>
      <w:r>
        <w:t>C.</w:t>
      </w:r>
      <w:r w:rsidRPr="00444220">
        <w:rPr>
          <w:rFonts w:ascii="Calibri" w:hAnsi="Calibri"/>
          <w:snapToGrid/>
          <w:kern w:val="0"/>
          <w:szCs w:val="22"/>
        </w:rPr>
        <w:tab/>
      </w:r>
      <w:r>
        <w:t>Paperwork Reduction Act</w:t>
      </w:r>
      <w:r>
        <w:tab/>
        <w:t>51</w:t>
      </w:r>
    </w:p>
    <w:p w:rsidR="00444220" w:rsidRPr="00444220" w:rsidRDefault="00444220" w:rsidP="00444220">
      <w:pPr>
        <w:pStyle w:val="TOC2"/>
        <w:tabs>
          <w:tab w:val="left" w:pos="360"/>
        </w:tabs>
        <w:rPr>
          <w:rFonts w:ascii="Calibri" w:hAnsi="Calibri"/>
          <w:snapToGrid/>
          <w:kern w:val="0"/>
          <w:szCs w:val="22"/>
        </w:rPr>
      </w:pPr>
      <w:r>
        <w:lastRenderedPageBreak/>
        <w:t>D.</w:t>
      </w:r>
      <w:r w:rsidRPr="00444220">
        <w:rPr>
          <w:rFonts w:ascii="Calibri" w:hAnsi="Calibri"/>
          <w:snapToGrid/>
          <w:kern w:val="0"/>
          <w:szCs w:val="22"/>
        </w:rPr>
        <w:tab/>
      </w:r>
      <w:r>
        <w:t>Contact Person</w:t>
      </w:r>
      <w:r>
        <w:tab/>
        <w:t>52</w:t>
      </w:r>
    </w:p>
    <w:p w:rsidR="00444220" w:rsidRPr="00444220" w:rsidRDefault="00444220" w:rsidP="00444220">
      <w:pPr>
        <w:pStyle w:val="TOC1"/>
        <w:rPr>
          <w:rFonts w:ascii="Calibri" w:hAnsi="Calibri"/>
          <w:caps w:val="0"/>
          <w:snapToGrid/>
          <w:kern w:val="0"/>
          <w:szCs w:val="22"/>
        </w:rPr>
      </w:pPr>
      <w:r w:rsidRPr="008E3463">
        <w:t>V.</w:t>
      </w:r>
      <w:r w:rsidRPr="00444220">
        <w:rPr>
          <w:rFonts w:ascii="Calibri" w:hAnsi="Calibri"/>
          <w:caps w:val="0"/>
          <w:snapToGrid/>
          <w:kern w:val="0"/>
          <w:szCs w:val="22"/>
        </w:rPr>
        <w:tab/>
      </w:r>
      <w:r w:rsidRPr="008E3463">
        <w:t>Ordering Clauses</w:t>
      </w:r>
      <w:r>
        <w:tab/>
        <w:t>53</w:t>
      </w:r>
    </w:p>
    <w:p w:rsidR="00444220" w:rsidRPr="00444220" w:rsidRDefault="00444220" w:rsidP="00444220">
      <w:r w:rsidRPr="00444220">
        <w:t>APPENDIX A—Toll Free Auction Design</w:t>
      </w:r>
    </w:p>
    <w:p w:rsidR="00444220" w:rsidRPr="00444220" w:rsidRDefault="00444220" w:rsidP="00444220">
      <w:r w:rsidRPr="00444220">
        <w:t>APPENDIX B—</w:t>
      </w:r>
      <w:r w:rsidRPr="0040672D">
        <w:t>Draft Proposed Rules for Comment</w:t>
      </w:r>
    </w:p>
    <w:p w:rsidR="00444220" w:rsidRPr="00444220" w:rsidRDefault="00444220" w:rsidP="00444220">
      <w:pPr>
        <w:pStyle w:val="TOC2"/>
        <w:tabs>
          <w:tab w:val="left" w:pos="360"/>
        </w:tabs>
        <w:ind w:left="0" w:firstLine="0"/>
        <w:rPr>
          <w:rFonts w:ascii="Calibri" w:hAnsi="Calibri"/>
          <w:snapToGrid/>
          <w:kern w:val="0"/>
          <w:szCs w:val="22"/>
        </w:rPr>
      </w:pPr>
      <w:r w:rsidRPr="00444220">
        <w:rPr>
          <w:snapToGrid/>
          <w:kern w:val="0"/>
          <w:szCs w:val="22"/>
        </w:rPr>
        <w:t>APPENDIX C—Initial Regulatory Flexibility Analysis</w:t>
      </w:r>
    </w:p>
    <w:bookmarkEnd w:id="1"/>
    <w:p w:rsidR="00444220" w:rsidRPr="00DA674F" w:rsidRDefault="00444220" w:rsidP="00444220">
      <w:pPr>
        <w:rPr>
          <w:szCs w:val="22"/>
        </w:rPr>
      </w:pPr>
    </w:p>
    <w:p w:rsidR="00444220" w:rsidRPr="00DA674F" w:rsidRDefault="00444220" w:rsidP="00444220">
      <w:pPr>
        <w:pStyle w:val="Heading1"/>
        <w:tabs>
          <w:tab w:val="num" w:pos="720"/>
        </w:tabs>
        <w:rPr>
          <w:rFonts w:ascii="Times New Roman" w:hAnsi="Times New Roman"/>
        </w:rPr>
      </w:pPr>
      <w:bookmarkStart w:id="3" w:name="_Toc459800334"/>
      <w:bookmarkStart w:id="4" w:name="_Toc491333911"/>
      <w:bookmarkStart w:id="5" w:name="_Toc491334428"/>
      <w:bookmarkStart w:id="6" w:name="_Toc491334743"/>
      <w:bookmarkStart w:id="7" w:name="_Toc491355015"/>
      <w:bookmarkStart w:id="8" w:name="_Toc491360002"/>
      <w:bookmarkStart w:id="9" w:name="_Toc492379131"/>
      <w:bookmarkStart w:id="10" w:name="_Toc492384449"/>
      <w:bookmarkStart w:id="11" w:name="_Toc492462129"/>
      <w:bookmarkStart w:id="12" w:name="_Toc492464338"/>
      <w:bookmarkStart w:id="13" w:name="_Toc494177058"/>
      <w:r w:rsidRPr="114D192B">
        <w:rPr>
          <w:rFonts w:ascii="Times New Roman" w:hAnsi="Times New Roman"/>
        </w:rPr>
        <w:t>INTRODUCTION</w:t>
      </w:r>
      <w:bookmarkEnd w:id="3"/>
      <w:bookmarkEnd w:id="4"/>
      <w:bookmarkEnd w:id="5"/>
      <w:bookmarkEnd w:id="6"/>
      <w:bookmarkEnd w:id="7"/>
      <w:bookmarkEnd w:id="8"/>
      <w:bookmarkEnd w:id="9"/>
      <w:bookmarkEnd w:id="10"/>
      <w:bookmarkEnd w:id="11"/>
      <w:bookmarkEnd w:id="12"/>
      <w:bookmarkEnd w:id="13"/>
      <w:r w:rsidRPr="114D192B">
        <w:rPr>
          <w:rFonts w:ascii="Times New Roman" w:hAnsi="Times New Roman"/>
        </w:rPr>
        <w:t xml:space="preserve"> </w:t>
      </w:r>
    </w:p>
    <w:p w:rsidR="00444220" w:rsidRPr="00DA674F" w:rsidRDefault="00444220" w:rsidP="00444220">
      <w:pPr>
        <w:pStyle w:val="ParaNum"/>
        <w:tabs>
          <w:tab w:val="clear" w:pos="1440"/>
        </w:tabs>
      </w:pPr>
      <w:r w:rsidRPr="114D192B">
        <w:t xml:space="preserve">Toll free calling originated in 1967, and to this day remains an </w:t>
      </w:r>
      <w:r>
        <w:t>important feature of the communications system</w:t>
      </w:r>
      <w:r w:rsidRPr="114D192B">
        <w:t>.</w:t>
      </w:r>
      <w:r w:rsidRPr="00DA674F">
        <w:rPr>
          <w:rStyle w:val="FootnoteReference"/>
          <w:szCs w:val="22"/>
        </w:rPr>
        <w:footnoteReference w:id="2"/>
      </w:r>
      <w:r w:rsidRPr="114D192B">
        <w:t xml:space="preserve">  Even with the </w:t>
      </w:r>
      <w:r>
        <w:t xml:space="preserve">growth of </w:t>
      </w:r>
      <w:r w:rsidRPr="114D192B">
        <w:t xml:space="preserve">e-commerce, many businesses, large and small, continue to use toll free </w:t>
      </w:r>
      <w:r>
        <w:t xml:space="preserve">numbers </w:t>
      </w:r>
      <w:r w:rsidRPr="114D192B">
        <w:t>for sales and customer service, as well as for advertising and marketing purposes.</w:t>
      </w:r>
      <w:bookmarkStart w:id="14" w:name="_Ref323679897"/>
      <w:r w:rsidRPr="00DA674F">
        <w:rPr>
          <w:rStyle w:val="FootnoteReference"/>
          <w:szCs w:val="22"/>
        </w:rPr>
        <w:footnoteReference w:id="3"/>
      </w:r>
      <w:bookmarkEnd w:id="14"/>
      <w:r w:rsidRPr="114D192B">
        <w:t xml:space="preserve">  </w:t>
      </w:r>
      <w:r>
        <w:t>G</w:t>
      </w:r>
      <w:r w:rsidRPr="114D192B">
        <w:t xml:space="preserve">overnment organizations </w:t>
      </w:r>
      <w:r>
        <w:t xml:space="preserve">and </w:t>
      </w:r>
      <w:r w:rsidRPr="002B4794">
        <w:t xml:space="preserve">non-profit health, safety, educational, or other </w:t>
      </w:r>
      <w:r>
        <w:t xml:space="preserve">non-profit </w:t>
      </w:r>
      <w:r w:rsidRPr="002B4794">
        <w:t>public interest organizations</w:t>
      </w:r>
      <w:r>
        <w:t xml:space="preserve"> </w:t>
      </w:r>
      <w:r w:rsidRPr="114D192B">
        <w:t>also use toll free numbers to provide vital health and safety services to the public.</w:t>
      </w:r>
      <w:r w:rsidRPr="00DA674F">
        <w:rPr>
          <w:rStyle w:val="FootnoteReference"/>
          <w:szCs w:val="22"/>
        </w:rPr>
        <w:footnoteReference w:id="4"/>
      </w:r>
      <w:r w:rsidRPr="114D192B">
        <w:t xml:space="preserve">  </w:t>
      </w:r>
      <w:r>
        <w:t xml:space="preserve">While </w:t>
      </w:r>
      <w:r w:rsidRPr="114D192B">
        <w:t xml:space="preserve">the Commission’s current </w:t>
      </w:r>
      <w:r>
        <w:t xml:space="preserve">rule uses a </w:t>
      </w:r>
      <w:r w:rsidRPr="114D192B">
        <w:t xml:space="preserve">first-come, first-served </w:t>
      </w:r>
      <w:r>
        <w:t>approach to the assignment of toll free numbers,</w:t>
      </w:r>
      <w:r w:rsidRPr="114D192B">
        <w:rPr>
          <w:rStyle w:val="FootnoteReference"/>
        </w:rPr>
        <w:footnoteReference w:id="5"/>
      </w:r>
      <w:r>
        <w:t xml:space="preserve"> t</w:t>
      </w:r>
      <w:r w:rsidRPr="114D192B">
        <w:t xml:space="preserve">o help ensure the continued usefulness and </w:t>
      </w:r>
      <w:r>
        <w:t xml:space="preserve">availability </w:t>
      </w:r>
      <w:r w:rsidRPr="114D192B">
        <w:t xml:space="preserve">of </w:t>
      </w:r>
      <w:r>
        <w:t>this finite resource, w</w:t>
      </w:r>
      <w:r w:rsidRPr="114D192B">
        <w:t xml:space="preserve">e </w:t>
      </w:r>
      <w:r>
        <w:t>now</w:t>
      </w:r>
      <w:r w:rsidRPr="114D192B">
        <w:t xml:space="preserve"> examine alternative assignment methodologies</w:t>
      </w:r>
      <w:r>
        <w:t xml:space="preserve">.  Specifically, we propose amending our rules to allow for use of an </w:t>
      </w:r>
      <w:r w:rsidRPr="114D192B">
        <w:t xml:space="preserve">auction </w:t>
      </w:r>
      <w:r>
        <w:t>to assign certain</w:t>
      </w:r>
      <w:r w:rsidRPr="114D192B">
        <w:t xml:space="preserve"> </w:t>
      </w:r>
      <w:r>
        <w:t xml:space="preserve">toll free </w:t>
      </w:r>
      <w:r w:rsidRPr="114D192B">
        <w:t>numbers—</w:t>
      </w:r>
      <w:r>
        <w:t xml:space="preserve">such as </w:t>
      </w:r>
      <w:r w:rsidRPr="114D192B">
        <w:t>vanity and repeater numbers—</w:t>
      </w:r>
      <w:r>
        <w:t xml:space="preserve">in order to </w:t>
      </w:r>
      <w:r w:rsidRPr="114D192B">
        <w:t xml:space="preserve">better promote </w:t>
      </w:r>
      <w:r>
        <w:t xml:space="preserve">the equitable and efficient </w:t>
      </w:r>
      <w:r w:rsidRPr="114D192B">
        <w:t>use of numbers.</w:t>
      </w:r>
      <w:r>
        <w:t xml:space="preserve">  With the opportunity afforded by the opening of the 833 toll free code, we propose to use an auction for assigning numbers for which mutually exclusive</w:t>
      </w:r>
      <w:r>
        <w:rPr>
          <w:rStyle w:val="FootnoteReference"/>
        </w:rPr>
        <w:footnoteReference w:id="6"/>
      </w:r>
      <w:r>
        <w:t xml:space="preserve"> interest has been expressed.  In this Notice of Proposed Rulemaking (</w:t>
      </w:r>
      <w:r>
        <w:rPr>
          <w:i/>
          <w:iCs/>
        </w:rPr>
        <w:t>Notice</w:t>
      </w:r>
      <w:r>
        <w:t>), we also consider a variety of other means to modernize toll free number assignments that are consistent with our statutory mandate to make “numbers available on an equitable basis.”</w:t>
      </w:r>
      <w:r>
        <w:rPr>
          <w:rStyle w:val="FootnoteReference"/>
        </w:rPr>
        <w:footnoteReference w:id="7"/>
      </w:r>
    </w:p>
    <w:p w:rsidR="00444220" w:rsidRPr="00DA674F" w:rsidRDefault="00444220" w:rsidP="00444220">
      <w:pPr>
        <w:pStyle w:val="Heading1"/>
        <w:tabs>
          <w:tab w:val="num" w:pos="720"/>
        </w:tabs>
        <w:rPr>
          <w:rFonts w:ascii="Times New Roman" w:hAnsi="Times New Roman"/>
        </w:rPr>
      </w:pPr>
      <w:bookmarkStart w:id="15" w:name="_Toc491333912"/>
      <w:bookmarkStart w:id="16" w:name="_Toc491334429"/>
      <w:bookmarkStart w:id="17" w:name="_Toc491334744"/>
      <w:bookmarkStart w:id="18" w:name="_Toc491355016"/>
      <w:bookmarkStart w:id="19" w:name="_Toc491360003"/>
      <w:bookmarkStart w:id="20" w:name="_Toc492379132"/>
      <w:bookmarkStart w:id="21" w:name="_Toc492384450"/>
      <w:bookmarkStart w:id="22" w:name="_Toc492462130"/>
      <w:bookmarkStart w:id="23" w:name="_Toc492464339"/>
      <w:bookmarkStart w:id="24" w:name="_Toc494177059"/>
      <w:r w:rsidRPr="114D192B">
        <w:rPr>
          <w:rFonts w:ascii="Times New Roman" w:hAnsi="Times New Roman"/>
        </w:rPr>
        <w:t>Background</w:t>
      </w:r>
      <w:bookmarkEnd w:id="15"/>
      <w:bookmarkEnd w:id="16"/>
      <w:bookmarkEnd w:id="17"/>
      <w:bookmarkEnd w:id="18"/>
      <w:bookmarkEnd w:id="19"/>
      <w:bookmarkEnd w:id="20"/>
      <w:bookmarkEnd w:id="21"/>
      <w:bookmarkEnd w:id="22"/>
      <w:bookmarkEnd w:id="23"/>
      <w:bookmarkEnd w:id="24"/>
      <w:r w:rsidRPr="114D192B">
        <w:rPr>
          <w:rFonts w:ascii="Times New Roman" w:hAnsi="Times New Roman"/>
        </w:rPr>
        <w:t xml:space="preserve"> </w:t>
      </w:r>
    </w:p>
    <w:p w:rsidR="00444220" w:rsidRPr="00DA674F" w:rsidRDefault="00444220" w:rsidP="00444220">
      <w:pPr>
        <w:pStyle w:val="ParaNum"/>
        <w:tabs>
          <w:tab w:val="clear" w:pos="1440"/>
        </w:tabs>
      </w:pPr>
      <w:r w:rsidRPr="114D192B">
        <w:t>Since mandat</w:t>
      </w:r>
      <w:r>
        <w:t>ing</w:t>
      </w:r>
      <w:r w:rsidRPr="114D192B">
        <w:t xml:space="preserve"> </w:t>
      </w:r>
      <w:r>
        <w:t xml:space="preserve">the </w:t>
      </w:r>
      <w:r w:rsidRPr="114D192B">
        <w:t>porting of toll free numbers and introduc</w:t>
      </w:r>
      <w:r>
        <w:t>ing</w:t>
      </w:r>
      <w:r w:rsidRPr="114D192B">
        <w:t xml:space="preserve"> the second toll free code, 888, to relieve exhaust of the original 800 code, </w:t>
      </w:r>
      <w:r>
        <w:t xml:space="preserve">the Commission </w:t>
      </w:r>
      <w:r w:rsidRPr="114D192B">
        <w:t>has sought to assign numbers in a manner that is equitable</w:t>
      </w:r>
      <w:r>
        <w:t xml:space="preserve"> and efficient</w:t>
      </w:r>
      <w:r w:rsidRPr="114D192B">
        <w:t xml:space="preserve">, and that fosters </w:t>
      </w:r>
      <w:r>
        <w:t xml:space="preserve">a </w:t>
      </w:r>
      <w:r w:rsidRPr="114D192B">
        <w:t>smooth introduction of a new code.</w:t>
      </w:r>
      <w:r w:rsidRPr="00DA674F">
        <w:rPr>
          <w:rStyle w:val="FootnoteReference"/>
          <w:szCs w:val="22"/>
        </w:rPr>
        <w:footnoteReference w:id="8"/>
      </w:r>
      <w:r w:rsidRPr="114D192B">
        <w:t xml:space="preserve">  </w:t>
      </w:r>
      <w:r>
        <w:t>D</w:t>
      </w:r>
      <w:r w:rsidRPr="114D192B">
        <w:t xml:space="preserve">oing so </w:t>
      </w:r>
      <w:r>
        <w:t xml:space="preserve">required </w:t>
      </w:r>
      <w:r w:rsidRPr="114D192B">
        <w:t xml:space="preserve">the Commission to address </w:t>
      </w:r>
      <w:r>
        <w:t xml:space="preserve">the </w:t>
      </w:r>
      <w:r w:rsidRPr="114D192B">
        <w:t>treatment of vanity numbers</w:t>
      </w:r>
      <w:r>
        <w:t xml:space="preserve">, </w:t>
      </w:r>
      <w:r w:rsidRPr="114D192B">
        <w:t xml:space="preserve">those numbers that </w:t>
      </w:r>
      <w:r w:rsidRPr="114D192B">
        <w:rPr>
          <w:snapToGrid/>
          <w:color w:val="212121"/>
        </w:rPr>
        <w:t>spell a name or word of value to the number holder (e.g., 1-800-FLOWERS),</w:t>
      </w:r>
      <w:r w:rsidRPr="114D192B">
        <w:rPr>
          <w:snapToGrid/>
          <w:color w:val="010101"/>
        </w:rPr>
        <w:t xml:space="preserve"> as well as repeater numbers that are easy to remember (e.g., 1-800-222-2222)</w:t>
      </w:r>
      <w:r>
        <w:rPr>
          <w:snapToGrid/>
          <w:color w:val="010101"/>
        </w:rPr>
        <w:t xml:space="preserve">, </w:t>
      </w:r>
      <w:r w:rsidRPr="114D192B">
        <w:rPr>
          <w:snapToGrid/>
          <w:color w:val="010101"/>
        </w:rPr>
        <w:t>as new codes open.</w:t>
      </w:r>
      <w:r w:rsidRPr="114D192B">
        <w:rPr>
          <w:snapToGrid/>
          <w:vertAlign w:val="superscript"/>
        </w:rPr>
        <w:footnoteReference w:id="9"/>
      </w:r>
      <w:r w:rsidRPr="114D192B">
        <w:rPr>
          <w:snapToGrid/>
          <w:color w:val="010101"/>
        </w:rPr>
        <w:t xml:space="preserve">  </w:t>
      </w:r>
      <w:r>
        <w:rPr>
          <w:snapToGrid/>
          <w:color w:val="010101"/>
        </w:rPr>
        <w:t>Attempting t</w:t>
      </w:r>
      <w:r w:rsidRPr="114D192B">
        <w:rPr>
          <w:snapToGrid/>
          <w:color w:val="010101"/>
        </w:rPr>
        <w:t xml:space="preserve">o assign these </w:t>
      </w:r>
      <w:r>
        <w:rPr>
          <w:snapToGrid/>
          <w:color w:val="010101"/>
        </w:rPr>
        <w:t xml:space="preserve">desirable </w:t>
      </w:r>
      <w:r w:rsidRPr="114D192B">
        <w:rPr>
          <w:snapToGrid/>
          <w:color w:val="010101"/>
        </w:rPr>
        <w:t xml:space="preserve">numbers </w:t>
      </w:r>
      <w:r w:rsidRPr="114D192B">
        <w:rPr>
          <w:snapToGrid/>
          <w:color w:val="010101"/>
        </w:rPr>
        <w:lastRenderedPageBreak/>
        <w:t xml:space="preserve">equitably, the Commission in 1997 initially permitted </w:t>
      </w:r>
      <w:r w:rsidRPr="114D192B">
        <w:t>800 number subscribers the right of first refusal to reserve corresponding numbers in the new 888 code.</w:t>
      </w:r>
      <w:r w:rsidRPr="00DA674F">
        <w:rPr>
          <w:rStyle w:val="FootnoteReference"/>
          <w:szCs w:val="22"/>
        </w:rPr>
        <w:footnoteReference w:id="10"/>
      </w:r>
      <w:r w:rsidRPr="114D192B">
        <w:t xml:space="preserve">  </w:t>
      </w:r>
      <w:r>
        <w:t>A</w:t>
      </w:r>
      <w:r w:rsidRPr="114D192B">
        <w:rPr>
          <w:snapToGrid/>
          <w:color w:val="010101"/>
        </w:rPr>
        <w:t xml:space="preserve">fter the 888 code opening, </w:t>
      </w:r>
      <w:r>
        <w:rPr>
          <w:snapToGrid/>
          <w:color w:val="010101"/>
        </w:rPr>
        <w:t xml:space="preserve">however, </w:t>
      </w:r>
      <w:r w:rsidRPr="114D192B">
        <w:rPr>
          <w:snapToGrid/>
          <w:color w:val="010101"/>
        </w:rPr>
        <w:t xml:space="preserve">the Commission </w:t>
      </w:r>
      <w:r w:rsidRPr="114D192B">
        <w:t>adopted in 1998 the current first-come, first-served rule, codified in section 52.111</w:t>
      </w:r>
      <w:r>
        <w:t xml:space="preserve"> of the Commission’s rules</w:t>
      </w:r>
      <w:r w:rsidRPr="114D192B">
        <w:t>.</w:t>
      </w:r>
      <w:r w:rsidRPr="00DA674F">
        <w:rPr>
          <w:rStyle w:val="FootnoteReference"/>
          <w:szCs w:val="22"/>
        </w:rPr>
        <w:footnoteReference w:id="11"/>
      </w:r>
      <w:r w:rsidRPr="114D192B">
        <w:t xml:space="preserve">  </w:t>
      </w:r>
      <w:r>
        <w:t xml:space="preserve">Although the Commission considered auctions to be </w:t>
      </w:r>
      <w:r w:rsidRPr="114D192B">
        <w:t>“generally efficient,”</w:t>
      </w:r>
      <w:r>
        <w:t xml:space="preserve"> the Commission concluded at that time </w:t>
      </w:r>
      <w:r w:rsidRPr="114D192B">
        <w:t xml:space="preserve">the first-come, first-served rule was </w:t>
      </w:r>
      <w:r>
        <w:t>a preferable mechanism for toll free number assignment.</w:t>
      </w:r>
      <w:r>
        <w:rPr>
          <w:rStyle w:val="FootnoteReference"/>
        </w:rPr>
        <w:footnoteReference w:id="12"/>
      </w:r>
      <w:r>
        <w:rPr>
          <w:szCs w:val="22"/>
        </w:rPr>
        <w:t xml:space="preserve"> </w:t>
      </w:r>
      <w:r>
        <w:t xml:space="preserve"> </w:t>
      </w:r>
      <w:r w:rsidRPr="114D192B">
        <w:t>The Commission followed the first-come, first-served rule, with slight modifications</w:t>
      </w:r>
      <w:r>
        <w:t xml:space="preserve"> made by the Wireline Competition Bureau (Bureau)</w:t>
      </w:r>
      <w:r w:rsidRPr="114D192B">
        <w:t>, for the next four code opening</w:t>
      </w:r>
      <w:r>
        <w:t>s</w:t>
      </w:r>
      <w:r w:rsidRPr="114D192B">
        <w:t xml:space="preserve"> (877, 866, 855, and 844), as well as for </w:t>
      </w:r>
      <w:r>
        <w:t xml:space="preserve">those instances in which </w:t>
      </w:r>
      <w:r w:rsidRPr="114D192B">
        <w:t>toll free numbers are released back into the pool of available numbers.</w:t>
      </w:r>
      <w:r w:rsidRPr="00DA674F">
        <w:rPr>
          <w:rStyle w:val="FootnoteReference"/>
          <w:szCs w:val="22"/>
        </w:rPr>
        <w:footnoteReference w:id="13"/>
      </w:r>
    </w:p>
    <w:p w:rsidR="00444220" w:rsidRPr="00DA674F" w:rsidRDefault="00444220" w:rsidP="00444220">
      <w:pPr>
        <w:pStyle w:val="ParaNum"/>
        <w:tabs>
          <w:tab w:val="clear" w:pos="1440"/>
        </w:tabs>
      </w:pPr>
      <w:r w:rsidRPr="114D192B">
        <w:rPr>
          <w:snapToGrid/>
          <w:color w:val="010101"/>
        </w:rPr>
        <w:t>In an attempt to extend the life of each toll free code, the Commission also prohibited warehousing, hoarding, and brokering of toll free numbers.</w:t>
      </w:r>
      <w:r w:rsidRPr="00DA674F">
        <w:rPr>
          <w:rStyle w:val="FootnoteReference"/>
          <w:szCs w:val="22"/>
        </w:rPr>
        <w:footnoteReference w:id="14"/>
      </w:r>
      <w:r w:rsidRPr="114D192B">
        <w:rPr>
          <w:snapToGrid/>
          <w:color w:val="010101"/>
        </w:rPr>
        <w:t xml:space="preserve">  </w:t>
      </w:r>
      <w:bookmarkStart w:id="25" w:name="_Ref312226627"/>
      <w:r>
        <w:rPr>
          <w:snapToGrid/>
          <w:color w:val="010101"/>
        </w:rPr>
        <w:t xml:space="preserve">Thus, </w:t>
      </w:r>
      <w:r>
        <w:t>t</w:t>
      </w:r>
      <w:r w:rsidRPr="114D192B">
        <w:t>he Commission’s current rules prohibit “warehousing” of a toll free number, defined as the practice in which a Responsible Organization (RespOrg),</w:t>
      </w:r>
      <w:r w:rsidRPr="00DA674F">
        <w:rPr>
          <w:rStyle w:val="FootnoteReference"/>
          <w:szCs w:val="22"/>
        </w:rPr>
        <w:footnoteReference w:id="15"/>
      </w:r>
      <w:r w:rsidRPr="114D192B">
        <w:t xml:space="preserve"> either directly or indirectly through an affiliate, reserves a number from the toll free database without having an end user subscriber for whom the number is being reserved.</w:t>
      </w:r>
      <w:r w:rsidRPr="00DA674F">
        <w:rPr>
          <w:rStyle w:val="FootnoteReference"/>
          <w:szCs w:val="22"/>
        </w:rPr>
        <w:footnoteReference w:id="16"/>
      </w:r>
      <w:r w:rsidRPr="114D192B">
        <w:t xml:space="preserve">  </w:t>
      </w:r>
      <w:bookmarkStart w:id="26" w:name="_Ref315266313"/>
      <w:bookmarkEnd w:id="25"/>
      <w:r w:rsidRPr="114D192B">
        <w:t>Similarly, the Commission’s rules prohibit the practice of “hoarding”—the acquisition by a toll free subscriber from a RespOrg of more toll free numbers than the toll free subscriber intends to use for the provision of toll free service.</w:t>
      </w:r>
      <w:r w:rsidRPr="00DA674F">
        <w:rPr>
          <w:rStyle w:val="FootnoteReference"/>
          <w:szCs w:val="22"/>
        </w:rPr>
        <w:footnoteReference w:id="17"/>
      </w:r>
      <w:r w:rsidRPr="114D192B">
        <w:t xml:space="preserve">  </w:t>
      </w:r>
      <w:bookmarkEnd w:id="26"/>
      <w:r>
        <w:t>And, finally, t</w:t>
      </w:r>
      <w:r w:rsidRPr="114D192B">
        <w:t>he definition of hoarding also prohibits number brokering, which is the selling of a toll free number by a private entity for a fee.</w:t>
      </w:r>
      <w:r w:rsidRPr="00DA674F">
        <w:rPr>
          <w:rStyle w:val="FootnoteReference"/>
          <w:szCs w:val="22"/>
        </w:rPr>
        <w:footnoteReference w:id="18"/>
      </w:r>
      <w:r w:rsidRPr="114D192B">
        <w:t xml:space="preserve">  </w:t>
      </w:r>
    </w:p>
    <w:p w:rsidR="00444220" w:rsidRDefault="00444220" w:rsidP="00444220">
      <w:pPr>
        <w:pStyle w:val="ParaNum"/>
        <w:tabs>
          <w:tab w:val="clear" w:pos="1440"/>
        </w:tabs>
      </w:pPr>
      <w:r>
        <w:t>Almost 20 years ago, t</w:t>
      </w:r>
      <w:r w:rsidRPr="114D192B">
        <w:t xml:space="preserve">he Commission considered an auction approach to </w:t>
      </w:r>
      <w:r>
        <w:t xml:space="preserve">toll free </w:t>
      </w:r>
      <w:r w:rsidRPr="114D192B">
        <w:t xml:space="preserve">number assignment in the </w:t>
      </w:r>
      <w:r w:rsidRPr="00A044BC">
        <w:rPr>
          <w:i/>
        </w:rPr>
        <w:t>1998 Toll Free Order</w:t>
      </w:r>
      <w:r w:rsidRPr="114D192B">
        <w:t xml:space="preserve">.  In doing so, the Commission </w:t>
      </w:r>
      <w:r>
        <w:t>recognized that auctions “offer all participants an equal opportunity to obtain a particular vanity number.”</w:t>
      </w:r>
      <w:r>
        <w:rPr>
          <w:rStyle w:val="FootnoteReference"/>
        </w:rPr>
        <w:footnoteReference w:id="19"/>
      </w:r>
      <w:r>
        <w:t xml:space="preserve">  The order also </w:t>
      </w:r>
      <w:r w:rsidRPr="114D192B">
        <w:t xml:space="preserve">determined that although auctions are “generally efficient,” it could not </w:t>
      </w:r>
      <w:r>
        <w:t>“</w:t>
      </w:r>
      <w:r w:rsidRPr="114D192B">
        <w:t>say on the present record that auctions of vanity numbers would produce efficiencies that would outweigh the practical difficulties,” such as cost, administration, and impact on the international membership of the North American Numbering Plan (NANP).</w:t>
      </w:r>
      <w:r>
        <w:rPr>
          <w:rStyle w:val="FootnoteReference"/>
        </w:rPr>
        <w:footnoteReference w:id="20"/>
      </w:r>
      <w:r w:rsidRPr="114D192B">
        <w:t xml:space="preserve">  Recently, however, with the opening of the 833 toll free code, the Commission took steps to reevaluate number assignment by establishing a series of pre-opening procedures to identify toll free numbers that could be part of an auction or other alter</w:t>
      </w:r>
      <w:r>
        <w:t>n</w:t>
      </w:r>
      <w:r w:rsidRPr="114D192B">
        <w:t>ative assignment methodology.  Specifically, the Bureau directed each RespOrg</w:t>
      </w:r>
      <w:r w:rsidRPr="114D192B">
        <w:rPr>
          <w:snapToGrid/>
          <w:color w:val="010101"/>
        </w:rPr>
        <w:t xml:space="preserve"> </w:t>
      </w:r>
      <w:r w:rsidRPr="114D192B">
        <w:t>to “submit a single request for up to 2,000 individual preferred 833 toll numbers.”</w:t>
      </w:r>
      <w:r w:rsidRPr="00DA674F">
        <w:rPr>
          <w:rStyle w:val="FootnoteReference"/>
          <w:szCs w:val="22"/>
        </w:rPr>
        <w:footnoteReference w:id="21"/>
      </w:r>
      <w:r w:rsidRPr="114D192B">
        <w:t xml:space="preserve">  The Bureau then directed Somos, Inc., the </w:t>
      </w:r>
      <w:r>
        <w:t>T</w:t>
      </w:r>
      <w:r w:rsidRPr="114D192B">
        <w:t xml:space="preserve">oll </w:t>
      </w:r>
      <w:r>
        <w:t>F</w:t>
      </w:r>
      <w:r w:rsidRPr="114D192B">
        <w:t xml:space="preserve">ree </w:t>
      </w:r>
      <w:r>
        <w:t>N</w:t>
      </w:r>
      <w:r w:rsidRPr="114D192B">
        <w:t>umber</w:t>
      </w:r>
      <w:r>
        <w:t>ing</w:t>
      </w:r>
      <w:r w:rsidRPr="114D192B">
        <w:t xml:space="preserve"> </w:t>
      </w:r>
      <w:r>
        <w:t>A</w:t>
      </w:r>
      <w:r w:rsidRPr="114D192B">
        <w:t xml:space="preserve">dministrator (TFNA), to review </w:t>
      </w:r>
      <w:r>
        <w:t>all</w:t>
      </w:r>
      <w:r w:rsidRPr="114D192B">
        <w:t xml:space="preserve"> 833 number requests and identify mutually exclusive numbers—those numbers for which there are two or more requests for assignment.</w:t>
      </w:r>
      <w:r w:rsidRPr="00DA674F">
        <w:rPr>
          <w:rStyle w:val="FootnoteReference"/>
          <w:szCs w:val="22"/>
        </w:rPr>
        <w:footnoteReference w:id="22"/>
      </w:r>
      <w:r w:rsidRPr="114D192B">
        <w:t xml:space="preserve">  Somos identified approximately 17,000 mutually exclusive </w:t>
      </w:r>
      <w:r>
        <w:t xml:space="preserve">numbers </w:t>
      </w:r>
      <w:r w:rsidRPr="114D192B">
        <w:t>and placed these numbers in unavailable status pending the outcome of this proceeding.</w:t>
      </w:r>
      <w:r w:rsidRPr="00DA674F">
        <w:rPr>
          <w:rStyle w:val="FootnoteReference"/>
          <w:szCs w:val="22"/>
        </w:rPr>
        <w:footnoteReference w:id="23"/>
      </w:r>
      <w:r w:rsidRPr="114D192B">
        <w:t xml:space="preserve">  </w:t>
      </w:r>
      <w:r>
        <w:rPr>
          <w:szCs w:val="22"/>
        </w:rPr>
        <w:t>These mutually exclusive numbers include repeaters numbers (e.g., 833-333-333 and 833-888-8888) as well as numbers that spell memorable words and phrases (e.g., 833-DENTIST, 833-DIVORCE, 833-DOCTORS, 833-FLOWERS, 833-HOLIDAY, 833-INJURED, and 833-LAWYERS).</w:t>
      </w:r>
      <w:r>
        <w:rPr>
          <w:rStyle w:val="FootnoteReference"/>
          <w:szCs w:val="22"/>
        </w:rPr>
        <w:footnoteReference w:id="24"/>
      </w:r>
      <w:r>
        <w:rPr>
          <w:szCs w:val="22"/>
        </w:rPr>
        <w:t xml:space="preserve">  </w:t>
      </w:r>
      <w:r>
        <w:t>Somos notes that 147 RespOrgs participated in the pre-code opening process and the top ten mutually exclusive toll free numbers were requested by 65 or more RespOrgs.  The top 25 numbers were requested by 48 or more RespOrgs, and the top 50 numbers were requested by 43 or more RespOrgs.</w:t>
      </w:r>
      <w:r>
        <w:rPr>
          <w:rStyle w:val="FootnoteReference"/>
        </w:rPr>
        <w:footnoteReference w:id="25"/>
      </w:r>
      <w:r>
        <w:t xml:space="preserve">  </w:t>
      </w:r>
      <w:r w:rsidRPr="114D192B">
        <w:t xml:space="preserve">The remaining numbers were assigned </w:t>
      </w:r>
      <w:r>
        <w:t xml:space="preserve">as established in the Commission’s existing rule, that is, </w:t>
      </w:r>
      <w:r w:rsidRPr="114D192B">
        <w:t>on a first-come, first-served basis.</w:t>
      </w:r>
      <w:r w:rsidRPr="00DA674F">
        <w:rPr>
          <w:rStyle w:val="FootnoteReference"/>
          <w:szCs w:val="22"/>
        </w:rPr>
        <w:footnoteReference w:id="26"/>
      </w:r>
      <w:r w:rsidRPr="114D192B">
        <w:t xml:space="preserve">  </w:t>
      </w:r>
    </w:p>
    <w:p w:rsidR="00444220" w:rsidRDefault="00444220" w:rsidP="00444220">
      <w:pPr>
        <w:pStyle w:val="Heading1"/>
        <w:tabs>
          <w:tab w:val="num" w:pos="720"/>
        </w:tabs>
      </w:pPr>
      <w:bookmarkStart w:id="27" w:name="_Toc491333913"/>
      <w:bookmarkStart w:id="28" w:name="_Toc491334430"/>
      <w:bookmarkStart w:id="29" w:name="_Toc491334745"/>
      <w:bookmarkStart w:id="30" w:name="_Toc491355017"/>
      <w:bookmarkStart w:id="31" w:name="_Toc491360004"/>
      <w:bookmarkStart w:id="32" w:name="_Toc492379133"/>
      <w:bookmarkStart w:id="33" w:name="_Toc492384451"/>
      <w:bookmarkStart w:id="34" w:name="_Toc492462131"/>
      <w:bookmarkStart w:id="35" w:name="_Toc492464340"/>
      <w:bookmarkStart w:id="36" w:name="_Toc494177060"/>
      <w:r>
        <w:t>Discussion</w:t>
      </w:r>
      <w:bookmarkEnd w:id="27"/>
      <w:bookmarkEnd w:id="28"/>
      <w:bookmarkEnd w:id="29"/>
      <w:bookmarkEnd w:id="30"/>
      <w:bookmarkEnd w:id="31"/>
      <w:bookmarkEnd w:id="32"/>
      <w:bookmarkEnd w:id="33"/>
      <w:bookmarkEnd w:id="34"/>
      <w:bookmarkEnd w:id="35"/>
      <w:bookmarkEnd w:id="36"/>
    </w:p>
    <w:p w:rsidR="00444220" w:rsidRDefault="00444220" w:rsidP="00444220">
      <w:pPr>
        <w:pStyle w:val="Heading2"/>
      </w:pPr>
      <w:bookmarkStart w:id="37" w:name="_Toc491333914"/>
      <w:bookmarkStart w:id="38" w:name="_Toc491334431"/>
      <w:bookmarkStart w:id="39" w:name="_Toc491334746"/>
      <w:bookmarkStart w:id="40" w:name="_Toc491355018"/>
      <w:bookmarkStart w:id="41" w:name="_Toc491360005"/>
      <w:bookmarkStart w:id="42" w:name="_Toc492379134"/>
      <w:bookmarkStart w:id="43" w:name="_Toc492384452"/>
      <w:bookmarkStart w:id="44" w:name="_Toc492462132"/>
      <w:bookmarkStart w:id="45" w:name="_Toc492464341"/>
      <w:bookmarkStart w:id="46" w:name="_Toc494177061"/>
      <w:r>
        <w:t>Distribution of Toll Free Numbers</w:t>
      </w:r>
      <w:bookmarkEnd w:id="37"/>
      <w:bookmarkEnd w:id="38"/>
      <w:bookmarkEnd w:id="39"/>
      <w:bookmarkEnd w:id="40"/>
      <w:bookmarkEnd w:id="41"/>
      <w:bookmarkEnd w:id="42"/>
      <w:bookmarkEnd w:id="43"/>
      <w:bookmarkEnd w:id="44"/>
      <w:bookmarkEnd w:id="45"/>
      <w:bookmarkEnd w:id="46"/>
    </w:p>
    <w:p w:rsidR="00444220" w:rsidRDefault="00444220" w:rsidP="00444220">
      <w:pPr>
        <w:pStyle w:val="ParaNum"/>
        <w:tabs>
          <w:tab w:val="clear" w:pos="1440"/>
        </w:tabs>
        <w:rPr>
          <w:szCs w:val="22"/>
        </w:rPr>
      </w:pPr>
      <w:r w:rsidRPr="0090130D">
        <w:rPr>
          <w:szCs w:val="22"/>
        </w:rPr>
        <w:t xml:space="preserve">We propose </w:t>
      </w:r>
      <w:r>
        <w:rPr>
          <w:szCs w:val="22"/>
        </w:rPr>
        <w:t xml:space="preserve">expanding the existing toll free number assignment rule to permit use of </w:t>
      </w:r>
      <w:r w:rsidRPr="0090130D">
        <w:rPr>
          <w:szCs w:val="22"/>
        </w:rPr>
        <w:t>an auction methodology</w:t>
      </w:r>
      <w:r>
        <w:rPr>
          <w:szCs w:val="22"/>
        </w:rPr>
        <w:t>, among other assignment mechanisms,</w:t>
      </w:r>
      <w:r w:rsidRPr="0090130D">
        <w:rPr>
          <w:szCs w:val="22"/>
        </w:rPr>
        <w:t xml:space="preserve"> to assign toll free numbers.  </w:t>
      </w:r>
      <w:r>
        <w:rPr>
          <w:szCs w:val="22"/>
        </w:rPr>
        <w:t>To do</w:t>
      </w:r>
      <w:r w:rsidRPr="0090130D">
        <w:rPr>
          <w:szCs w:val="22"/>
        </w:rPr>
        <w:t xml:space="preserve"> so, we propose to revise section 52.111 of our rules to allow the Commission to assign numbers in a manner that is equitable, including by auction</w:t>
      </w:r>
      <w:r>
        <w:rPr>
          <w:szCs w:val="22"/>
        </w:rPr>
        <w:t>,</w:t>
      </w:r>
      <w:r w:rsidRPr="0090130D">
        <w:rPr>
          <w:szCs w:val="22"/>
        </w:rPr>
        <w:t xml:space="preserve"> on a first-come, first-served basis</w:t>
      </w:r>
      <w:r>
        <w:rPr>
          <w:szCs w:val="22"/>
        </w:rPr>
        <w:t>, an alternative assignment methodology, or by</w:t>
      </w:r>
      <w:r w:rsidRPr="0090130D">
        <w:rPr>
          <w:szCs w:val="22"/>
        </w:rPr>
        <w:t xml:space="preserve"> </w:t>
      </w:r>
      <w:r>
        <w:rPr>
          <w:szCs w:val="22"/>
        </w:rPr>
        <w:t xml:space="preserve">a </w:t>
      </w:r>
      <w:r w:rsidRPr="0090130D">
        <w:rPr>
          <w:szCs w:val="22"/>
        </w:rPr>
        <w:t xml:space="preserve">combination </w:t>
      </w:r>
      <w:r>
        <w:rPr>
          <w:szCs w:val="22"/>
        </w:rPr>
        <w:t>of the forgoing</w:t>
      </w:r>
      <w:r w:rsidRPr="0090130D">
        <w:rPr>
          <w:szCs w:val="22"/>
        </w:rPr>
        <w:t xml:space="preserve"> as circumstances require.  </w:t>
      </w:r>
      <w:r>
        <w:rPr>
          <w:szCs w:val="22"/>
        </w:rPr>
        <w:t xml:space="preserve">We </w:t>
      </w:r>
      <w:r w:rsidRPr="0090130D">
        <w:rPr>
          <w:szCs w:val="22"/>
        </w:rPr>
        <w:t xml:space="preserve">seek comment on this proposal.  </w:t>
      </w:r>
    </w:p>
    <w:p w:rsidR="00444220" w:rsidRPr="00464C90" w:rsidRDefault="00444220" w:rsidP="00444220">
      <w:pPr>
        <w:pStyle w:val="ParaNum"/>
        <w:tabs>
          <w:tab w:val="clear" w:pos="1440"/>
        </w:tabs>
        <w:rPr>
          <w:szCs w:val="22"/>
        </w:rPr>
      </w:pPr>
      <w:r w:rsidRPr="0090130D">
        <w:rPr>
          <w:szCs w:val="22"/>
        </w:rPr>
        <w:t>We also seek comment on conducting a single</w:t>
      </w:r>
      <w:r>
        <w:rPr>
          <w:szCs w:val="22"/>
        </w:rPr>
        <w:t xml:space="preserve"> round, sealed</w:t>
      </w:r>
      <w:r w:rsidRPr="0090130D">
        <w:rPr>
          <w:szCs w:val="22"/>
        </w:rPr>
        <w:t xml:space="preserve">-bid Vickrey auction for the roughly 17,000 numbers set aside, pursuant to the </w:t>
      </w:r>
      <w:r w:rsidRPr="0090130D">
        <w:rPr>
          <w:i/>
          <w:iCs/>
          <w:szCs w:val="22"/>
        </w:rPr>
        <w:t>833 Code Opening Order</w:t>
      </w:r>
      <w:r w:rsidRPr="0090130D">
        <w:rPr>
          <w:szCs w:val="22"/>
        </w:rPr>
        <w:t xml:space="preserve">, for which there were mutually exclusive requests. </w:t>
      </w:r>
      <w:r>
        <w:rPr>
          <w:szCs w:val="22"/>
        </w:rPr>
        <w:t xml:space="preserve"> </w:t>
      </w:r>
      <w:r w:rsidRPr="00464C90">
        <w:rPr>
          <w:szCs w:val="22"/>
        </w:rPr>
        <w:t>If adopted, we intend to consider the outcome of the 833 auction to determine if changes need to be made to future code opening assignments.  In addition, we propose—and seek comment on—revising our rules to promote development of a secondary market for toll free numbers</w:t>
      </w:r>
      <w:r w:rsidRPr="00D6440F">
        <w:t>.</w:t>
      </w:r>
    </w:p>
    <w:p w:rsidR="00444220" w:rsidRDefault="00444220" w:rsidP="0072390A">
      <w:pPr>
        <w:pStyle w:val="ParaNum"/>
        <w:widowControl/>
        <w:tabs>
          <w:tab w:val="clear" w:pos="1440"/>
        </w:tabs>
      </w:pPr>
      <w:r>
        <w:rPr>
          <w:i/>
        </w:rPr>
        <w:t>Equity</w:t>
      </w:r>
      <w:r w:rsidRPr="003C30FA">
        <w:rPr>
          <w:i/>
        </w:rPr>
        <w:t xml:space="preserve"> </w:t>
      </w:r>
      <w:r>
        <w:rPr>
          <w:i/>
        </w:rPr>
        <w:t>Considerations</w:t>
      </w:r>
      <w:r>
        <w:t>.  S</w:t>
      </w:r>
      <w:r w:rsidRPr="00935658">
        <w:t>ection 251(e)(1) of the Communications Act</w:t>
      </w:r>
      <w:r>
        <w:t xml:space="preserve"> directs t</w:t>
      </w:r>
      <w:r w:rsidRPr="00935658">
        <w:t>he Commission to make numbers available on an equitable basis</w:t>
      </w:r>
      <w:r>
        <w:t>.</w:t>
      </w:r>
      <w:r>
        <w:rPr>
          <w:rStyle w:val="FootnoteReference"/>
        </w:rPr>
        <w:footnoteReference w:id="27"/>
      </w:r>
      <w:r w:rsidRPr="00935658">
        <w:t xml:space="preserve">  The Commission has adopt</w:t>
      </w:r>
      <w:r>
        <w:t>ed</w:t>
      </w:r>
      <w:r w:rsidRPr="00935658">
        <w:t xml:space="preserve"> rules to implement this obligation, as well as to serve the broader public interest</w:t>
      </w:r>
      <w:r>
        <w:t xml:space="preserve"> in telephone number administration</w:t>
      </w:r>
      <w:r w:rsidRPr="00935658">
        <w:t xml:space="preserve">.  </w:t>
      </w:r>
      <w:r>
        <w:t>W</w:t>
      </w:r>
      <w:r w:rsidRPr="00935658">
        <w:t xml:space="preserve">e </w:t>
      </w:r>
      <w:r>
        <w:t xml:space="preserve">believe </w:t>
      </w:r>
      <w:r w:rsidRPr="00935658">
        <w:t xml:space="preserve">that toll free numbers </w:t>
      </w:r>
      <w:r>
        <w:t xml:space="preserve">generally </w:t>
      </w:r>
      <w:r w:rsidRPr="00935658">
        <w:t>can be made available equitably via an auction—under which RespOrgs bid for numbers valuable to them—</w:t>
      </w:r>
      <w:r>
        <w:t>and that in many cases, including with respect to the mutually exclusive 833 toll free numbers, such an auction approach would be more equitable than</w:t>
      </w:r>
      <w:r w:rsidRPr="00935658">
        <w:t xml:space="preserve"> under the Commission’s current first-come, first-served </w:t>
      </w:r>
      <w:r>
        <w:t xml:space="preserve">assignment </w:t>
      </w:r>
      <w:r w:rsidRPr="00935658">
        <w:t xml:space="preserve">rule.  </w:t>
      </w:r>
      <w:r>
        <w:t>P</w:t>
      </w:r>
      <w:r w:rsidRPr="00935658">
        <w:t xml:space="preserve">arties who want particular </w:t>
      </w:r>
      <w:r>
        <w:t xml:space="preserve">toll free </w:t>
      </w:r>
      <w:r w:rsidRPr="00935658">
        <w:t xml:space="preserve">numbers </w:t>
      </w:r>
      <w:r>
        <w:t xml:space="preserve">often will </w:t>
      </w:r>
      <w:r w:rsidRPr="00935658">
        <w:t>have a better opportunity of acquiring those numbers, albeit for a price, in an auction than under the Commission’s current rule, which does not take into account the need for or the value placed on particular numbers</w:t>
      </w:r>
      <w:r>
        <w:t>.  As discussed above, with respect to 833 numbers, there are at least 65 RespOrgs that want the top-ten mutually exclusive numbers.</w:t>
      </w:r>
      <w:r>
        <w:rPr>
          <w:rStyle w:val="FootnoteReference"/>
        </w:rPr>
        <w:footnoteReference w:id="28"/>
      </w:r>
      <w:r>
        <w:t xml:space="preserve">  This demonstrates that there is demand for certain mutually exclusive numbers, and thus we believe that auctioning these numbers would be a more equitable assignment mechanism than assigning them on a first-come, first-basis.</w:t>
      </w:r>
      <w:r>
        <w:rPr>
          <w:rStyle w:val="FootnoteReference"/>
        </w:rPr>
        <w:footnoteReference w:id="29"/>
      </w:r>
      <w:r>
        <w:t xml:space="preserve">  </w:t>
      </w:r>
      <w:r w:rsidRPr="00511A89">
        <w:t xml:space="preserve">Moreover, if we allow for a secondary market for toll free numbers, it would be inequitable </w:t>
      </w:r>
      <w:r w:rsidRPr="00247ED1">
        <w:t xml:space="preserve">for </w:t>
      </w:r>
      <w:r>
        <w:t>a RespOrg or subscriber to get a valuable public resource for free, but then later be able to profit from it even when others would have paid for it initially.</w:t>
      </w:r>
    </w:p>
    <w:p w:rsidR="00444220" w:rsidRDefault="00444220" w:rsidP="00444220">
      <w:pPr>
        <w:pStyle w:val="ParaNum"/>
        <w:tabs>
          <w:tab w:val="clear" w:pos="1440"/>
        </w:tabs>
      </w:pPr>
      <w:r>
        <w:t>W</w:t>
      </w:r>
      <w:r w:rsidRPr="00935658">
        <w:t xml:space="preserve">e </w:t>
      </w:r>
      <w:r>
        <w:t xml:space="preserve">note that the first-come, first-served rule has </w:t>
      </w:r>
      <w:r w:rsidRPr="114D192B">
        <w:t xml:space="preserve">raised questions </w:t>
      </w:r>
      <w:r>
        <w:t>about</w:t>
      </w:r>
      <w:r w:rsidRPr="114D192B">
        <w:t xml:space="preserve"> whether recent toll free code openings were </w:t>
      </w:r>
      <w:r>
        <w:t>equitable</w:t>
      </w:r>
      <w:r w:rsidRPr="114D192B">
        <w:t xml:space="preserve"> because certain RespOrgs </w:t>
      </w:r>
      <w:r>
        <w:t xml:space="preserve">had </w:t>
      </w:r>
      <w:r w:rsidRPr="114D192B">
        <w:t xml:space="preserve">enhanced connectivity to the toll free database that allowed them to quickly reserve </w:t>
      </w:r>
      <w:r>
        <w:t>desirable numbers</w:t>
      </w:r>
      <w:r w:rsidRPr="114D192B">
        <w:t>.</w:t>
      </w:r>
      <w:r w:rsidRPr="114D192B">
        <w:rPr>
          <w:rStyle w:val="FootnoteReference"/>
        </w:rPr>
        <w:footnoteReference w:id="30"/>
      </w:r>
      <w:r w:rsidRPr="114D192B">
        <w:t xml:space="preserve">  To address these concerns for the 855 and 844 toll free code openings, the </w:t>
      </w:r>
      <w:r>
        <w:t xml:space="preserve">Bureau </w:t>
      </w:r>
      <w:r w:rsidRPr="00484232">
        <w:rPr>
          <w:snapToGrid/>
          <w:color w:val="010101"/>
        </w:rPr>
        <w:t>directed the TFNA to limit the quantity of toll free numbers a RespOrg may reserve to 100 per day for the first 30 days.</w:t>
      </w:r>
      <w:r w:rsidRPr="114D192B">
        <w:rPr>
          <w:snapToGrid/>
          <w:vertAlign w:val="superscript"/>
        </w:rPr>
        <w:footnoteReference w:id="31"/>
      </w:r>
      <w:r w:rsidRPr="114D192B">
        <w:t xml:space="preserve">  The </w:t>
      </w:r>
      <w:r>
        <w:t>Bureau</w:t>
      </w:r>
      <w:r w:rsidRPr="114D192B">
        <w:t xml:space="preserve"> found that this limited allocation would distribute </w:t>
      </w:r>
      <w:r>
        <w:t>desirable</w:t>
      </w:r>
      <w:r w:rsidRPr="114D192B">
        <w:t xml:space="preserve"> numbers more equitably.</w:t>
      </w:r>
      <w:r w:rsidRPr="00DA674F">
        <w:rPr>
          <w:rStyle w:val="FootnoteReference"/>
          <w:szCs w:val="22"/>
        </w:rPr>
        <w:footnoteReference w:id="32"/>
      </w:r>
      <w:r w:rsidRPr="114D192B">
        <w:t xml:space="preserve">  If the Commission adopts a</w:t>
      </w:r>
      <w:r>
        <w:t>n auction</w:t>
      </w:r>
      <w:r w:rsidRPr="114D192B">
        <w:t xml:space="preserve"> approach for toll free numbers, such rationing of numbers would not be necessary.  All bidders would have the same access to numbers in a new toll free code.  We seek comment on whether this </w:t>
      </w:r>
      <w:r>
        <w:t xml:space="preserve">market-based auction approach would yield </w:t>
      </w:r>
      <w:r w:rsidRPr="114D192B">
        <w:t xml:space="preserve">a </w:t>
      </w:r>
      <w:r>
        <w:t>more equitable</w:t>
      </w:r>
      <w:r w:rsidRPr="114D192B">
        <w:t xml:space="preserve"> outcome</w:t>
      </w:r>
      <w:r>
        <w:t xml:space="preserve"> by allowing any RespOrg an opportunity to bid for numbers based on their valuations.</w:t>
      </w:r>
      <w:r w:rsidRPr="00935658">
        <w:t xml:space="preserve"> </w:t>
      </w:r>
      <w:r>
        <w:t xml:space="preserve"> </w:t>
      </w:r>
    </w:p>
    <w:p w:rsidR="00444220" w:rsidRDefault="00444220" w:rsidP="00444220">
      <w:pPr>
        <w:pStyle w:val="ParaNum"/>
        <w:tabs>
          <w:tab w:val="clear" w:pos="1440"/>
        </w:tabs>
      </w:pPr>
      <w:r w:rsidRPr="003C30FA">
        <w:rPr>
          <w:i/>
        </w:rPr>
        <w:t>Efficiency and Public Interest</w:t>
      </w:r>
      <w:r>
        <w:rPr>
          <w:i/>
        </w:rPr>
        <w:t xml:space="preserve"> Considerations</w:t>
      </w:r>
      <w:r>
        <w:t xml:space="preserve">.  </w:t>
      </w:r>
      <w:r w:rsidRPr="00935658">
        <w:t>In addition to meeting the statutory mandate of making numbers available on an equitable basis</w:t>
      </w:r>
      <w:r>
        <w:t xml:space="preserve">, an auction method of assigning toll free numbers is more efficient and serves the public interest in toll free number conservation.  An auction </w:t>
      </w:r>
      <w:r w:rsidRPr="114D192B">
        <w:t xml:space="preserve">assignment mechanism </w:t>
      </w:r>
      <w:r>
        <w:t>for mutually exclusive toll free numbers</w:t>
      </w:r>
      <w:r w:rsidRPr="114D192B">
        <w:t xml:space="preserve"> will promote efficiency by assigning these numbers to the parties that value them most. </w:t>
      </w:r>
      <w:r>
        <w:t xml:space="preserve"> Moreover, t</w:t>
      </w:r>
      <w:r w:rsidRPr="00935658">
        <w:t>oll free number</w:t>
      </w:r>
      <w:r>
        <w:t>s are a limited resource that are</w:t>
      </w:r>
      <w:r w:rsidRPr="00935658">
        <w:t xml:space="preserve"> often used inefficiently because there is no real cost associated with obtaining</w:t>
      </w:r>
      <w:r>
        <w:t xml:space="preserve"> that resource</w:t>
      </w:r>
      <w:r w:rsidRPr="00935658">
        <w:t xml:space="preserve">.  If subscribers and RespOrgs </w:t>
      </w:r>
      <w:r>
        <w:t xml:space="preserve">are required </w:t>
      </w:r>
      <w:r w:rsidRPr="00935658">
        <w:t xml:space="preserve">to pay for toll free </w:t>
      </w:r>
      <w:r>
        <w:t xml:space="preserve">numbers, they are more likely to </w:t>
      </w:r>
      <w:r w:rsidRPr="00935658">
        <w:t>acquire only the n</w:t>
      </w:r>
      <w:r>
        <w:t>umbers they or their customers</w:t>
      </w:r>
      <w:r w:rsidRPr="00935658">
        <w:t xml:space="preserve"> need; they </w:t>
      </w:r>
      <w:r>
        <w:t>will</w:t>
      </w:r>
      <w:r w:rsidRPr="00935658">
        <w:t xml:space="preserve"> have no incentive to acquire numbers </w:t>
      </w:r>
      <w:r>
        <w:t>beyond those needed</w:t>
      </w:r>
      <w:r w:rsidRPr="00935658">
        <w:t xml:space="preserve">.  Thus, </w:t>
      </w:r>
      <w:r>
        <w:t xml:space="preserve">we believe that </w:t>
      </w:r>
      <w:r w:rsidRPr="00935658">
        <w:t>a toll free number auction will help limit ex</w:t>
      </w:r>
      <w:r>
        <w:t xml:space="preserve">haust of toll free numbers and further the </w:t>
      </w:r>
      <w:r w:rsidRPr="00935658">
        <w:t xml:space="preserve">public </w:t>
      </w:r>
      <w:r>
        <w:t xml:space="preserve">interest.  We seek comment on our analysis. </w:t>
      </w:r>
    </w:p>
    <w:p w:rsidR="00444220" w:rsidRPr="00196BC0" w:rsidRDefault="00444220" w:rsidP="00444220">
      <w:pPr>
        <w:pStyle w:val="Heading3"/>
      </w:pPr>
      <w:bookmarkStart w:id="47" w:name="_Toc491360006"/>
      <w:bookmarkStart w:id="48" w:name="_Toc492379135"/>
      <w:bookmarkStart w:id="49" w:name="_Toc492384453"/>
      <w:bookmarkStart w:id="50" w:name="_Toc492462133"/>
      <w:bookmarkStart w:id="51" w:name="_Toc492464342"/>
      <w:bookmarkStart w:id="52" w:name="_Toc494177062"/>
      <w:r>
        <w:t>Costs and Benefits of an Auction</w:t>
      </w:r>
      <w:bookmarkEnd w:id="47"/>
      <w:bookmarkEnd w:id="48"/>
      <w:bookmarkEnd w:id="49"/>
      <w:bookmarkEnd w:id="50"/>
      <w:bookmarkEnd w:id="51"/>
      <w:bookmarkEnd w:id="52"/>
    </w:p>
    <w:p w:rsidR="00444220" w:rsidRPr="000B28EB" w:rsidRDefault="00444220" w:rsidP="00444220">
      <w:pPr>
        <w:pStyle w:val="ParaNum"/>
        <w:tabs>
          <w:tab w:val="clear" w:pos="1440"/>
        </w:tabs>
      </w:pPr>
      <w:r>
        <w:t>The investment by RespOrgs in enhanced connectivity to the database discussed above is evidence of strong competing demand among RespOrgs for toll free numbers.</w:t>
      </w:r>
      <w:r>
        <w:rPr>
          <w:rStyle w:val="FootnoteReference"/>
        </w:rPr>
        <w:footnoteReference w:id="33"/>
      </w:r>
      <w:r w:rsidDel="004F1DF3">
        <w:t xml:space="preserve"> </w:t>
      </w:r>
      <w:r>
        <w:t xml:space="preserve"> And the fact that the Commission places constraints on how many numbers a RespOrg can obtain at any point, and also on hoarding, suggests that certain toll free numbers are currently underpriced.  We therefore believe that assignment via auction would more equitably and efficiently address this source of excess demand.  Moreover, to the extent that, with the current assignment method, transaction costs impede or restrict the efficient assignment of toll free numbers, the public interest gains from implementing an efficient auction mechanism would be substantial.  Thus, we believe that the equity and efficiency gains of an auction of mutually exclusive toll free numbers outweigh any costs of implementing an auction.  We seek comment on this analysis.  Also, if any commenters assert that an auction approach is inequitable, they should clearly explain why an auction approach would be inequitable, as well as how the current means of assignment, or some other means, would be more equitable.  </w:t>
      </w:r>
    </w:p>
    <w:p w:rsidR="00444220" w:rsidRDefault="00444220" w:rsidP="00444220">
      <w:pPr>
        <w:pStyle w:val="ParaNum"/>
        <w:tabs>
          <w:tab w:val="clear" w:pos="1440"/>
        </w:tabs>
      </w:pPr>
      <w:r w:rsidRPr="114D192B">
        <w:t>In arriving at our 833 number auction proposal, the Commission has considered the experience of the Australian Communications and Media Authority (ACMA) in auctioning toll free numbers.  Between 2005 and 2015, the ACMA attempted to auction 1.8 million</w:t>
      </w:r>
      <w:r>
        <w:t xml:space="preserve"> unreleased</w:t>
      </w:r>
      <w:r w:rsidRPr="114D192B">
        <w:t xml:space="preserve"> “freephone</w:t>
      </w:r>
      <w:r>
        <w:t xml:space="preserve">” (toll free) </w:t>
      </w:r>
      <w:r w:rsidRPr="114D192B">
        <w:t>and</w:t>
      </w:r>
      <w:r>
        <w:t xml:space="preserve"> “</w:t>
      </w:r>
      <w:r w:rsidRPr="114D192B">
        <w:t>local-rate numbers</w:t>
      </w:r>
      <w:r>
        <w:t>,</w:t>
      </w:r>
      <w:r w:rsidRPr="114D192B">
        <w:t xml:space="preserve">” </w:t>
      </w:r>
      <w:r>
        <w:t xml:space="preserve">considered desirable (as vanity numbers or repeaters), </w:t>
      </w:r>
      <w:r w:rsidRPr="114D192B">
        <w:t>which were branded as “smartnumbers®.”</w:t>
      </w:r>
      <w:r>
        <w:rPr>
          <w:rStyle w:val="FootnoteReference"/>
        </w:rPr>
        <w:footnoteReference w:id="34"/>
      </w:r>
      <w:r w:rsidRPr="114D192B">
        <w:t xml:space="preserve">  The results of the auction show that the most desirable smartnumbers® were sold in highly competitive auctions early in the process.  </w:t>
      </w:r>
      <w:r>
        <w:t>However, a</w:t>
      </w:r>
      <w:r w:rsidRPr="114D192B">
        <w:t>fter th</w:t>
      </w:r>
      <w:r>
        <w:t>e</w:t>
      </w:r>
      <w:r w:rsidRPr="114D192B">
        <w:t xml:space="preserve"> </w:t>
      </w:r>
      <w:r>
        <w:t xml:space="preserve">initial auctions within the </w:t>
      </w:r>
      <w:r w:rsidRPr="114D192B">
        <w:t>first year</w:t>
      </w:r>
      <w:r>
        <w:t xml:space="preserve"> of the most desirable numbers</w:t>
      </w:r>
      <w:r w:rsidRPr="114D192B">
        <w:t>, the vast majority of smartnumbers® were uncontested and thus auctioned at set reserve prices</w:t>
      </w:r>
      <w:r>
        <w:t xml:space="preserve">.  In reviewing the outcome of the ACMA auction, we propose, at least for the 833 code, to auction only mutually exclusive toll free numbers for which there is some demonstration of demand, and to assign the rest on a first-come, first-served basis.  </w:t>
      </w:r>
      <w:r w:rsidRPr="114D192B">
        <w:t xml:space="preserve">We seek comment on how the Commission </w:t>
      </w:r>
      <w:r>
        <w:t xml:space="preserve">has considered the </w:t>
      </w:r>
      <w:r w:rsidRPr="114D192B">
        <w:t>results of the ACMA e</w:t>
      </w:r>
      <w:r>
        <w:t>xperience in developing our own</w:t>
      </w:r>
      <w:r w:rsidRPr="114D192B">
        <w:t xml:space="preserve"> auction model.</w:t>
      </w:r>
    </w:p>
    <w:p w:rsidR="00444220" w:rsidRDefault="00444220" w:rsidP="00444220">
      <w:pPr>
        <w:pStyle w:val="Heading3"/>
      </w:pPr>
      <w:bookmarkStart w:id="53" w:name="_Toc491333916"/>
      <w:bookmarkStart w:id="54" w:name="_Toc491334433"/>
      <w:bookmarkStart w:id="55" w:name="_Toc491334748"/>
      <w:bookmarkStart w:id="56" w:name="_Toc491360008"/>
      <w:bookmarkStart w:id="57" w:name="_Toc492379136"/>
      <w:bookmarkStart w:id="58" w:name="_Toc492384454"/>
      <w:bookmarkStart w:id="59" w:name="_Toc492462134"/>
      <w:bookmarkStart w:id="60" w:name="_Toc492464343"/>
      <w:bookmarkStart w:id="61" w:name="_Toc494177063"/>
      <w:r>
        <w:t>Auction Procedures</w:t>
      </w:r>
      <w:bookmarkEnd w:id="53"/>
      <w:bookmarkEnd w:id="54"/>
      <w:bookmarkEnd w:id="55"/>
      <w:bookmarkEnd w:id="56"/>
      <w:r>
        <w:t xml:space="preserve"> for 833</w:t>
      </w:r>
      <w:bookmarkEnd w:id="57"/>
      <w:bookmarkEnd w:id="58"/>
      <w:bookmarkEnd w:id="59"/>
      <w:bookmarkEnd w:id="60"/>
      <w:bookmarkEnd w:id="61"/>
    </w:p>
    <w:p w:rsidR="00444220" w:rsidRDefault="00444220" w:rsidP="00444220">
      <w:pPr>
        <w:pStyle w:val="ParaNum"/>
        <w:tabs>
          <w:tab w:val="clear" w:pos="1440"/>
        </w:tabs>
      </w:pPr>
      <w:r>
        <w:t xml:space="preserve">As discussed above, the </w:t>
      </w:r>
      <w:r w:rsidRPr="00F61FB4">
        <w:t>Commission</w:t>
      </w:r>
      <w:r>
        <w:t xml:space="preserve"> proposes to </w:t>
      </w:r>
      <w:r w:rsidRPr="00F61FB4">
        <w:t xml:space="preserve">assign </w:t>
      </w:r>
      <w:r>
        <w:t xml:space="preserve">toll free </w:t>
      </w:r>
      <w:r w:rsidRPr="00F61FB4">
        <w:t xml:space="preserve">numbers in a manner that is equitable, </w:t>
      </w:r>
      <w:r w:rsidRPr="0090130D">
        <w:rPr>
          <w:szCs w:val="22"/>
        </w:rPr>
        <w:t>including by auction</w:t>
      </w:r>
      <w:r>
        <w:rPr>
          <w:szCs w:val="22"/>
        </w:rPr>
        <w:t>,</w:t>
      </w:r>
      <w:r w:rsidRPr="0090130D">
        <w:rPr>
          <w:szCs w:val="22"/>
        </w:rPr>
        <w:t xml:space="preserve"> on a first-come, first-served basis, </w:t>
      </w:r>
      <w:r>
        <w:rPr>
          <w:szCs w:val="22"/>
        </w:rPr>
        <w:t xml:space="preserve">by </w:t>
      </w:r>
      <w:r w:rsidRPr="0090130D">
        <w:rPr>
          <w:szCs w:val="22"/>
        </w:rPr>
        <w:t>alternative assignment methodolog</w:t>
      </w:r>
      <w:r>
        <w:rPr>
          <w:szCs w:val="22"/>
        </w:rPr>
        <w:t xml:space="preserve">ies, or by a combination of these methods, </w:t>
      </w:r>
      <w:r w:rsidRPr="0090130D">
        <w:rPr>
          <w:szCs w:val="22"/>
        </w:rPr>
        <w:t>as circumstances require</w:t>
      </w:r>
      <w:r>
        <w:t xml:space="preserve">.  In this section, we seek comment on certain auction procedures for the roughly 17,000 mutually exclusive numbers, which were set-aside in our </w:t>
      </w:r>
      <w:r w:rsidRPr="00A044BC">
        <w:rPr>
          <w:i/>
        </w:rPr>
        <w:t>833 Code Opening Procedures Orde</w:t>
      </w:r>
      <w:r w:rsidRPr="00493AAE">
        <w:rPr>
          <w:i/>
        </w:rPr>
        <w:t>r</w:t>
      </w:r>
      <w:r>
        <w:t>.</w:t>
      </w:r>
      <w:r>
        <w:rPr>
          <w:i/>
        </w:rPr>
        <w:t xml:space="preserve"> </w:t>
      </w:r>
      <w:r w:rsidRPr="00493AAE">
        <w:rPr>
          <w:i/>
        </w:rPr>
        <w:t xml:space="preserve"> </w:t>
      </w:r>
      <w:r>
        <w:t xml:space="preserve">Specifically, we propose to use a single round, sealed-bid Vickrey auction, as discussed below.  We emphasize that our proposal discussed herein is limited to the set-aside 833 mutually exclusive toll free numbers.  If adopted, we intend to consider the 833 auction process and outcomes in deciding how to make future toll free assignments.  </w:t>
      </w:r>
      <w:r w:rsidRPr="00C07F33">
        <w:t xml:space="preserve">In particular, </w:t>
      </w:r>
      <w:r>
        <w:t>we</w:t>
      </w:r>
      <w:r w:rsidRPr="00C07F33">
        <w:t xml:space="preserve"> may decide whether to use the </w:t>
      </w:r>
      <w:r>
        <w:t xml:space="preserve">single round, sealed-bid </w:t>
      </w:r>
      <w:r w:rsidRPr="00C07F33">
        <w:t>Vickrey auction model or another auction model, to employ the current first-come, first-served policy, or an alternative assignment method</w:t>
      </w:r>
      <w:r>
        <w:t>, or combination of these methods, as circumstances require</w:t>
      </w:r>
      <w:r w:rsidRPr="00C07F33">
        <w:t xml:space="preserve">.  </w:t>
      </w:r>
      <w:r w:rsidRPr="00031574">
        <w:t xml:space="preserve">We </w:t>
      </w:r>
      <w:r>
        <w:t>seek comment on these proposals.</w:t>
      </w:r>
    </w:p>
    <w:p w:rsidR="00444220" w:rsidRDefault="00444220" w:rsidP="00444220">
      <w:pPr>
        <w:pStyle w:val="Heading4"/>
      </w:pPr>
      <w:bookmarkStart w:id="62" w:name="_Toc492384455"/>
      <w:bookmarkStart w:id="63" w:name="_Toc492462135"/>
      <w:bookmarkStart w:id="64" w:name="_Toc494177064"/>
      <w:r>
        <w:t>Single Round, Sealed-Bid Vickrey Auction</w:t>
      </w:r>
      <w:bookmarkEnd w:id="62"/>
      <w:bookmarkEnd w:id="63"/>
      <w:bookmarkEnd w:id="64"/>
    </w:p>
    <w:p w:rsidR="00444220" w:rsidRDefault="00444220" w:rsidP="00444220">
      <w:pPr>
        <w:pStyle w:val="ParaNum"/>
        <w:tabs>
          <w:tab w:val="clear" w:pos="1440"/>
        </w:tabs>
      </w:pPr>
      <w:r w:rsidRPr="00C07F33">
        <w:rPr>
          <w:i/>
        </w:rPr>
        <w:t>Single</w:t>
      </w:r>
      <w:r>
        <w:rPr>
          <w:i/>
        </w:rPr>
        <w:t xml:space="preserve"> Round, Sealed-</w:t>
      </w:r>
      <w:r w:rsidRPr="00C07F33">
        <w:rPr>
          <w:i/>
        </w:rPr>
        <w:t>Bid</w:t>
      </w:r>
      <w:r>
        <w:rPr>
          <w:i/>
        </w:rPr>
        <w:t xml:space="preserve"> Auction</w:t>
      </w:r>
      <w:r>
        <w:t>. We propose to assign numbers using a single round, sealed-bid auction.  This methodology would be used for the roughly 17,000 numbers set aside in the 833 code.  In such an auction, a bidder submits bids for individual numbers privately to the auctioneer.</w:t>
      </w:r>
      <w:r>
        <w:rPr>
          <w:rStyle w:val="FootnoteReference"/>
        </w:rPr>
        <w:footnoteReference w:id="35"/>
      </w:r>
      <w:r>
        <w:t xml:space="preserve">  We propose use of a single round, sealed-bid auction here because such auctions are relatively easy to implement and to bid in and, therefore, less costly to both the auctioneer and </w:t>
      </w:r>
      <w:r w:rsidRPr="00656EF0">
        <w:t xml:space="preserve">participants than more </w:t>
      </w:r>
      <w:r>
        <w:t xml:space="preserve">complex </w:t>
      </w:r>
      <w:r w:rsidRPr="004E1982">
        <w:t>multi-round auctions.</w:t>
      </w:r>
    </w:p>
    <w:p w:rsidR="00444220" w:rsidRPr="00A816D0" w:rsidRDefault="00444220" w:rsidP="00444220">
      <w:pPr>
        <w:pStyle w:val="ParaNum"/>
        <w:tabs>
          <w:tab w:val="clear" w:pos="1440"/>
          <w:tab w:val="num" w:pos="1080"/>
        </w:tabs>
        <w:rPr>
          <w:snapToGrid/>
          <w:kern w:val="0"/>
          <w:sz w:val="20"/>
        </w:rPr>
      </w:pPr>
      <w:r>
        <w:t xml:space="preserve">We further propose an auction in which participants simultaneously submit separate bids for each number they are interested in, with </w:t>
      </w:r>
      <w:r w:rsidRPr="00A816D0">
        <w:t xml:space="preserve">the winning bid for each number being determined solely by bids for that number, independent of </w:t>
      </w:r>
      <w:r>
        <w:t>the bids for any other number.  Thus</w:t>
      </w:r>
      <w:r w:rsidRPr="00A816D0">
        <w:t>, the proposed auction will not allow for package bids</w:t>
      </w:r>
      <w:r w:rsidRPr="00935658">
        <w:t>—</w:t>
      </w:r>
      <w:r w:rsidRPr="00A816D0">
        <w:t>bids for combinations of numbers.</w:t>
      </w:r>
      <w:r>
        <w:rPr>
          <w:rStyle w:val="FootnoteReference"/>
        </w:rPr>
        <w:footnoteReference w:id="36"/>
      </w:r>
      <w:r w:rsidRPr="00A816D0">
        <w:t xml:space="preserve"> </w:t>
      </w:r>
      <w:r>
        <w:t xml:space="preserve"> </w:t>
      </w:r>
      <w:r w:rsidRPr="00A816D0">
        <w:t>While it is likely that some bidders may demand more than one number in an auction, we do not believe valuation synergies, to the extent they exist,</w:t>
      </w:r>
      <w:r>
        <w:t xml:space="preserve"> warrant allowing package bids. </w:t>
      </w:r>
      <w:r w:rsidRPr="00A816D0">
        <w:t xml:space="preserve"> We</w:t>
      </w:r>
      <w:r>
        <w:t xml:space="preserve"> seek comment on this proposal. </w:t>
      </w:r>
      <w:r w:rsidRPr="00A816D0">
        <w:t xml:space="preserve"> We further seek comment on other advantages or disadvantages of allowing package bids.</w:t>
      </w:r>
    </w:p>
    <w:p w:rsidR="00444220" w:rsidRPr="00D22CD2" w:rsidRDefault="00444220" w:rsidP="00444220">
      <w:pPr>
        <w:pStyle w:val="ParaNum"/>
        <w:tabs>
          <w:tab w:val="clear" w:pos="1440"/>
        </w:tabs>
        <w:rPr>
          <w:snapToGrid/>
          <w:kern w:val="0"/>
        </w:rPr>
      </w:pPr>
      <w:bookmarkStart w:id="65" w:name="_Ref491333700"/>
      <w:r w:rsidRPr="00656EF0">
        <w:rPr>
          <w:i/>
        </w:rPr>
        <w:t>Vickrey</w:t>
      </w:r>
      <w:r w:rsidRPr="00544BE8">
        <w:rPr>
          <w:i/>
        </w:rPr>
        <w:t xml:space="preserve"> </w:t>
      </w:r>
      <w:r w:rsidRPr="00483B02">
        <w:rPr>
          <w:i/>
        </w:rPr>
        <w:t>(Single</w:t>
      </w:r>
      <w:r>
        <w:rPr>
          <w:i/>
        </w:rPr>
        <w:t xml:space="preserve"> </w:t>
      </w:r>
      <w:r w:rsidRPr="00483B02">
        <w:rPr>
          <w:i/>
        </w:rPr>
        <w:t>Round, Sealed-Bid</w:t>
      </w:r>
      <w:r w:rsidRPr="00B73546">
        <w:rPr>
          <w:i/>
        </w:rPr>
        <w:t>)</w:t>
      </w:r>
      <w:r w:rsidRPr="00B73546" w:rsidDel="00307735">
        <w:rPr>
          <w:i/>
        </w:rPr>
        <w:t xml:space="preserve"> </w:t>
      </w:r>
      <w:r w:rsidRPr="00656EF0">
        <w:rPr>
          <w:i/>
        </w:rPr>
        <w:t>Auction</w:t>
      </w:r>
      <w:r w:rsidRPr="00493AAE">
        <w:rPr>
          <w:i/>
        </w:rPr>
        <w:t xml:space="preserve">.  </w:t>
      </w:r>
      <w:r>
        <w:t>To assign 833 mutually exclusive toll free numbers, we also propose to incorporate a Vickrey auction into the 833 auction procedures.  In a Vickrey auction, t</w:t>
      </w:r>
      <w:r>
        <w:rPr>
          <w:lang w:val="en"/>
        </w:rPr>
        <w:t xml:space="preserve">he highest bidder for a number wins and pays the second-highest bid for the number.  If we determine that package bids are allowed in an auction, then </w:t>
      </w:r>
      <w:r>
        <w:t>t</w:t>
      </w:r>
      <w:r>
        <w:rPr>
          <w:lang w:val="en"/>
        </w:rPr>
        <w:t xml:space="preserve">he bidders who maximize overall revenue from the auction win and pay the opportunity costs (highest alternative value) of their bids as discussed in more detail in Appendix A.  </w:t>
      </w:r>
      <w:bookmarkEnd w:id="65"/>
    </w:p>
    <w:p w:rsidR="00444220" w:rsidRPr="00155FCB" w:rsidRDefault="00444220" w:rsidP="00444220">
      <w:pPr>
        <w:pStyle w:val="ParaNum"/>
        <w:tabs>
          <w:tab w:val="clear" w:pos="1440"/>
        </w:tabs>
        <w:rPr>
          <w:snapToGrid/>
          <w:kern w:val="0"/>
        </w:rPr>
      </w:pPr>
      <w:r>
        <w:t>A Vickrey auction could result in an equitable and efficient assignment of mutually exclusive toll free numbers.  For example, in a Vickrey auction for one object, such as a toll free number, because the winner pays the second highest bid, the winner’s surplus (the winner’s value minus the amount paid), does not depend on the winner’s bid.  Since the amount paid is not a function of the winner’s bid, it is optimal for bidders in this type of auction to bid their valuation.</w:t>
      </w:r>
      <w:r>
        <w:rPr>
          <w:rStyle w:val="FootnoteReference"/>
        </w:rPr>
        <w:footnoteReference w:id="37"/>
      </w:r>
      <w:r>
        <w:t xml:space="preserve">  Similarly, bidders in a Vickrey auction with package bidding can do no better in equilibrium than to bid their valuations.</w:t>
      </w:r>
      <w:r>
        <w:rPr>
          <w:rStyle w:val="FootnoteReference"/>
        </w:rPr>
        <w:footnoteReference w:id="38"/>
      </w:r>
      <w:r>
        <w:t xml:space="preserve">  As a consequence of truthful bidding, a Vickrey auction allocates the numbers efficiently to the bidders who hold the highest valuations.  We do note that </w:t>
      </w:r>
      <w:r w:rsidRPr="00656EF0">
        <w:t xml:space="preserve">although </w:t>
      </w:r>
      <w:r w:rsidRPr="00283E07">
        <w:t xml:space="preserve">a </w:t>
      </w:r>
      <w:r w:rsidRPr="00656EF0">
        <w:t>Vickrey auction may lead to an efficient outcome,</w:t>
      </w:r>
      <w:r w:rsidRPr="00544BE8">
        <w:t xml:space="preserve"> </w:t>
      </w:r>
      <w:r w:rsidRPr="00283E07">
        <w:t xml:space="preserve">are </w:t>
      </w:r>
      <w:r w:rsidRPr="00656EF0">
        <w:t>there disadvantages or costs to this approach</w:t>
      </w:r>
      <w:r>
        <w:t>?</w:t>
      </w:r>
      <w:r w:rsidRPr="00656EF0">
        <w:rPr>
          <w:rStyle w:val="FootnoteReference"/>
        </w:rPr>
        <w:footnoteReference w:id="39"/>
      </w:r>
      <w:r w:rsidRPr="00656EF0">
        <w:t xml:space="preserve">  Furthermore</w:t>
      </w:r>
      <w:r>
        <w:t>, it might be undesirable for bidders in a Vickrey auction to fully reveal their valuations in the auction, particularly when some bids become public information.</w:t>
      </w:r>
      <w:r>
        <w:rPr>
          <w:rStyle w:val="FootnoteReference"/>
        </w:rPr>
        <w:footnoteReference w:id="40"/>
      </w:r>
      <w:r>
        <w:t xml:space="preserve">  We seek comment on using the Vickrey auction methodology for the 833 mutually exclusive numbers and ask parties to elaborate on the advantages and disadvantages of this proposal.</w:t>
      </w:r>
    </w:p>
    <w:p w:rsidR="00444220" w:rsidRPr="00440461" w:rsidRDefault="00444220" w:rsidP="00444220">
      <w:pPr>
        <w:pStyle w:val="ParaNum"/>
        <w:tabs>
          <w:tab w:val="clear" w:pos="1440"/>
        </w:tabs>
        <w:rPr>
          <w:snapToGrid/>
          <w:kern w:val="0"/>
        </w:rPr>
      </w:pPr>
      <w:r w:rsidRPr="00AB3AF4">
        <w:rPr>
          <w:i/>
          <w:iCs/>
        </w:rPr>
        <w:t xml:space="preserve">Reserve Prices. </w:t>
      </w:r>
      <w:r>
        <w:rPr>
          <w:i/>
          <w:iCs/>
        </w:rPr>
        <w:t xml:space="preserve"> </w:t>
      </w:r>
      <w:r w:rsidRPr="607E6BE2">
        <w:t>Reserve prices (or minimum acceptable bids for a number) can help to improve revenue in an auction.</w:t>
      </w:r>
      <w:r w:rsidRPr="0014569C">
        <w:rPr>
          <w:rStyle w:val="FootnoteReference"/>
        </w:rPr>
        <w:t xml:space="preserve"> </w:t>
      </w:r>
      <w:r w:rsidRPr="00AB3AF4">
        <w:rPr>
          <w:rStyle w:val="FootnoteReference"/>
        </w:rPr>
        <w:footnoteReference w:id="41"/>
      </w:r>
      <w:r w:rsidRPr="607E6BE2">
        <w:t xml:space="preserve">  However, our objective is primarily to increase the efficiency of toll-free number </w:t>
      </w:r>
      <w:r>
        <w:t>assignments</w:t>
      </w:r>
      <w:r w:rsidRPr="607E6BE2">
        <w:t xml:space="preserve">. </w:t>
      </w:r>
      <w:r>
        <w:t xml:space="preserve"> Since the numbers that are not auctioned are offered on a first-come, first-served basis at zero price, we recognize that an equitable assignment of numbers in the auction may be inconsistent with the imposition of a reserve price.  Furthermore, establishing a level of the reserve price that is in the public interest may require precise information that is unavailable prior to running a first auction for toll free numbers. </w:t>
      </w:r>
      <w:r w:rsidRPr="607E6BE2">
        <w:t xml:space="preserve">We seek comment on whether a reserve price should be imposed in the auction, and </w:t>
      </w:r>
      <w:r>
        <w:t xml:space="preserve">generally </w:t>
      </w:r>
      <w:r w:rsidRPr="607E6BE2">
        <w:t>on the potential advantages and disadvantages of reserve prices</w:t>
      </w:r>
      <w:r>
        <w:t xml:space="preserve"> in an auction of toll-free numbers</w:t>
      </w:r>
      <w:r w:rsidRPr="607E6BE2">
        <w:t xml:space="preserve">. </w:t>
      </w:r>
      <w:r>
        <w:t xml:space="preserve"> </w:t>
      </w:r>
      <w:r w:rsidRPr="607E6BE2">
        <w:t xml:space="preserve">If </w:t>
      </w:r>
      <w:r>
        <w:t>a reserve price is imposed in the auction, what factors should we consider in determining a level of the reserve price that is in the public interest?</w:t>
      </w:r>
    </w:p>
    <w:p w:rsidR="00444220" w:rsidRPr="00377A65" w:rsidRDefault="00444220" w:rsidP="00444220">
      <w:pPr>
        <w:pStyle w:val="Heading4"/>
        <w:rPr>
          <w:snapToGrid/>
        </w:rPr>
      </w:pPr>
      <w:bookmarkStart w:id="66" w:name="_Toc492384456"/>
      <w:bookmarkStart w:id="67" w:name="_Toc492462136"/>
      <w:bookmarkStart w:id="68" w:name="_Toc494177065"/>
      <w:r>
        <w:rPr>
          <w:snapToGrid/>
        </w:rPr>
        <w:t>Alternative Auction Methodologies</w:t>
      </w:r>
      <w:bookmarkEnd w:id="66"/>
      <w:bookmarkEnd w:id="67"/>
      <w:bookmarkEnd w:id="68"/>
    </w:p>
    <w:p w:rsidR="00444220" w:rsidRPr="002D4A7D" w:rsidRDefault="00444220" w:rsidP="00444220">
      <w:pPr>
        <w:pStyle w:val="ParaNum"/>
        <w:tabs>
          <w:tab w:val="clear" w:pos="1440"/>
        </w:tabs>
      </w:pPr>
      <w:r w:rsidRPr="00440461">
        <w:rPr>
          <w:i/>
          <w:lang w:val="en"/>
        </w:rPr>
        <w:t>Pay-Your-Bid Auction</w:t>
      </w:r>
      <w:r>
        <w:rPr>
          <w:lang w:val="en"/>
        </w:rPr>
        <w:t>.  An alternative methodology is a pay-your-bid auction whereby</w:t>
      </w:r>
      <w:r w:rsidRPr="007C69A2">
        <w:rPr>
          <w:lang w:val="en"/>
        </w:rPr>
        <w:t xml:space="preserve"> </w:t>
      </w:r>
      <w:r w:rsidRPr="007C69A2">
        <w:t>the highest bidder wins and pays his or her bid.</w:t>
      </w:r>
      <w:r w:rsidRPr="00D10A53">
        <w:t xml:space="preserve">  </w:t>
      </w:r>
      <w:r>
        <w:t>A pay-your-bid auction also has benefits.  This type of auction is generally straightforward because, as the name suggests, the highest bidder for a number wins the auction and pays his or her bid.  Moreover, the pay-your-bid auction may yield significantly higher revenues than the generalized Vickrey second-price auction.</w:t>
      </w:r>
      <w:r>
        <w:rPr>
          <w:rStyle w:val="FootnoteReference"/>
        </w:rPr>
        <w:footnoteReference w:id="42"/>
      </w:r>
      <w:r>
        <w:t xml:space="preserve">  On the other hand, the pay-your-bid auction may give rise to an inefficient toll free number assignment because in a pay-your-bid auction, bidding to reflect true valuations is not usually optimal.</w:t>
      </w:r>
      <w:r>
        <w:rPr>
          <w:rStyle w:val="FootnoteReference"/>
        </w:rPr>
        <w:footnoteReference w:id="43"/>
      </w:r>
      <w:r>
        <w:t xml:space="preserve"> </w:t>
      </w:r>
    </w:p>
    <w:p w:rsidR="00444220" w:rsidRDefault="00444220" w:rsidP="00444220">
      <w:pPr>
        <w:pStyle w:val="ParaNum"/>
        <w:tabs>
          <w:tab w:val="clear" w:pos="1440"/>
        </w:tabs>
      </w:pPr>
      <w:r w:rsidRPr="16A99F2E">
        <w:rPr>
          <w:i/>
          <w:iCs/>
        </w:rPr>
        <w:t>Open Auction</w:t>
      </w:r>
      <w:r>
        <w:t xml:space="preserve">.  </w:t>
      </w:r>
      <w:r w:rsidRPr="00656EF0">
        <w:t xml:space="preserve">Although we propose a </w:t>
      </w:r>
      <w:r w:rsidRPr="00B73546">
        <w:t>Vickrey auction</w:t>
      </w:r>
      <w:r w:rsidRPr="00E471E0">
        <w:t>, we</w:t>
      </w:r>
      <w:r>
        <w:t xml:space="preserve"> seek comment on the use of an open auction.  Open auctions can help bidders form more accurate expectations of the value of an object in environments in which bidders possess different and uncertain information about the objects for sale.  Examples of open auctions include the traditional English auction where the auctioneer calls increasing prices, eBay auctions where ascending bids are placed over a period of time, and the simultaneous multi-round auction employed by the Commission for the allocation of elec</w:t>
      </w:r>
      <w:r w:rsidRPr="00656EF0">
        <w:t>tromagnetic spectrum.</w:t>
      </w:r>
      <w:r w:rsidRPr="00656EF0">
        <w:rPr>
          <w:rStyle w:val="FootnoteReference"/>
        </w:rPr>
        <w:footnoteReference w:id="44"/>
      </w:r>
      <w:r w:rsidRPr="00656EF0">
        <w:t xml:space="preserve">  </w:t>
      </w:r>
      <w:r w:rsidRPr="00483B02">
        <w:t xml:space="preserve">Open auctions </w:t>
      </w:r>
      <w:r>
        <w:t>offer</w:t>
      </w:r>
      <w:r w:rsidRPr="00387527">
        <w:t xml:space="preserve"> bidders the </w:t>
      </w:r>
      <w:r>
        <w:t>opportunity for price discovery and</w:t>
      </w:r>
      <w:r w:rsidRPr="00387527">
        <w:t xml:space="preserve"> </w:t>
      </w:r>
      <w:r w:rsidRPr="00656EF0">
        <w:t>can lead to more efficient ou</w:t>
      </w:r>
      <w:r w:rsidRPr="00387527">
        <w:t>t</w:t>
      </w:r>
      <w:r w:rsidRPr="00656EF0">
        <w:t>comes</w:t>
      </w:r>
      <w:r>
        <w:t>.  However, these types of auctions</w:t>
      </w:r>
      <w:r w:rsidRPr="00E471E0">
        <w:t xml:space="preserve"> may be</w:t>
      </w:r>
      <w:r w:rsidRPr="008B799D">
        <w:t xml:space="preserve"> </w:t>
      </w:r>
      <w:r w:rsidRPr="00387527">
        <w:t xml:space="preserve">more </w:t>
      </w:r>
      <w:r w:rsidRPr="00656EF0">
        <w:t>costly to implement</w:t>
      </w:r>
      <w:r>
        <w:t xml:space="preserve">, and </w:t>
      </w:r>
      <w:r w:rsidRPr="00544BE8">
        <w:t xml:space="preserve">we expect </w:t>
      </w:r>
      <w:r w:rsidRPr="00B73546">
        <w:t>the bidder</w:t>
      </w:r>
      <w:r>
        <w:t>s’ valuations for toll free numbers will not be subject to significant uncertainty, as discussed in more detail in Appendix A.</w:t>
      </w:r>
      <w:r>
        <w:rPr>
          <w:rStyle w:val="FootnoteReference"/>
        </w:rPr>
        <w:footnoteReference w:id="45"/>
      </w:r>
      <w:r>
        <w:t xml:space="preserve">  We seek comment on this issue.  Would bidders change their valuations if they knew more about other bidders’ valuations?  Would this new information be central to an increase in the efficiency of the auction?  Are there other advantages and disadvantages of an open auction that we should consider?</w:t>
      </w:r>
    </w:p>
    <w:p w:rsidR="00444220" w:rsidRPr="00C66349" w:rsidRDefault="00444220" w:rsidP="00444220">
      <w:pPr>
        <w:pStyle w:val="ParaNum"/>
        <w:tabs>
          <w:tab w:val="clear" w:pos="1440"/>
        </w:tabs>
      </w:pPr>
      <w:r>
        <w:rPr>
          <w:i/>
        </w:rPr>
        <w:t xml:space="preserve">Other Auction Designs.  </w:t>
      </w:r>
      <w:r>
        <w:t>Other than the auction designs and procedures discussed above, we seek comment on whether there are other auction designs we should consider.  We believe that the auction design best suited to yield an outcome that is in the public interest depends in large measure on the institutional details of the toll free number market.  We therefore seek comment from industry and interested stakeholders about the essential characteristics of the toll free number market that might be helpful to develop an auction design most suitable to serve that market and the broader public interest.  We invite parties to provide any alternatives or offer further economic, legal, or logistical insights about these and other auction designs and procedures.</w:t>
      </w:r>
    </w:p>
    <w:p w:rsidR="00444220" w:rsidRPr="00440461" w:rsidRDefault="00444220" w:rsidP="00444220">
      <w:pPr>
        <w:pStyle w:val="Heading3"/>
      </w:pPr>
      <w:bookmarkStart w:id="69" w:name="_Toc492379137"/>
      <w:bookmarkStart w:id="70" w:name="_Toc492384457"/>
      <w:bookmarkStart w:id="71" w:name="_Toc492462137"/>
      <w:bookmarkStart w:id="72" w:name="_Toc492464344"/>
      <w:bookmarkStart w:id="73" w:name="_Toc494177066"/>
      <w:r>
        <w:t>Auction Eligibility</w:t>
      </w:r>
      <w:bookmarkEnd w:id="69"/>
      <w:bookmarkEnd w:id="70"/>
      <w:bookmarkEnd w:id="71"/>
      <w:bookmarkEnd w:id="72"/>
      <w:bookmarkEnd w:id="73"/>
    </w:p>
    <w:p w:rsidR="00444220" w:rsidRDefault="00444220" w:rsidP="00444220">
      <w:pPr>
        <w:pStyle w:val="ParaNum"/>
        <w:tabs>
          <w:tab w:val="clear" w:pos="1440"/>
        </w:tabs>
      </w:pPr>
      <w:r>
        <w:t>We propose to allow only RespOrgs to bid in an auction; potential subscribers seeking mutually exclusive toll free numbers would need to approach one or more RespOrgs about placing a bid on their behalf.  We seek comment on this proposal.  We think our proposal is consistent with the RespOrg’s role as manager and administrator of toll free records in the TFNA database.</w:t>
      </w:r>
      <w:r>
        <w:rPr>
          <w:rStyle w:val="FootnoteReference"/>
        </w:rPr>
        <w:footnoteReference w:id="46"/>
      </w:r>
      <w:r>
        <w:t xml:space="preserve">  Our proposal also reflects in part the importance of RespOrgs as market makers.  Further, RespOrgs may have strengths in maximizing the valuation of certain numbers, for example, by piecing together geographic coalitions of subscribers who may be unable to coordinate by themselves.  We seek comment on this proposal.  We also seek comment on whether we should consider allowing subscribers to directly participate in an auction.  Are there benefits to allowing their participation?  Would an auction that includes both subscribers and RespOrgs be difficult to implement?  Assuming we use an auction methodology for future code openings or other toll free assignments and identify mutually exclusive numbers, how should we define mutual exclusivity?  Should we consider mutually exclusive numbers those numbers which two or more RespOrgs have requested, </w:t>
      </w:r>
      <w:r w:rsidRPr="00990289">
        <w:t xml:space="preserve">or </w:t>
      </w:r>
      <w:r>
        <w:t xml:space="preserve">numbers that have been requested by two or more </w:t>
      </w:r>
      <w:r w:rsidRPr="00990289">
        <w:t>subscriber</w:t>
      </w:r>
      <w:r>
        <w:t>s?  If mutual exclusivity means toll free numbers requested by two or more RespOrgs, is there a way to determine how many of these numbers are sought by more than one subscriber?  Are there legal restrictions to allowing subscribers to circumvent their relationship with RespOrgs to participate directly in an auction, and would other provisions in our existing toll free rules need to be revised to allow participation by subscribers?</w:t>
      </w:r>
    </w:p>
    <w:p w:rsidR="00444220" w:rsidRPr="00440461" w:rsidRDefault="00444220" w:rsidP="00444220">
      <w:pPr>
        <w:pStyle w:val="ParaNum"/>
        <w:tabs>
          <w:tab w:val="clear" w:pos="1440"/>
        </w:tabs>
      </w:pPr>
      <w:r>
        <w:t xml:space="preserve">The greater the number of auction participants, the more effective the 833 number auction and subsequent toll free number auctions will be.  We seek comment on ways to notify potential subscribers about auctions and encourage their participation through their chosen RespOrg(s).  Should we consider including subscriber information in the TFNA database?  Currently, the TFNA can notify RespOrgs about auctions—because the toll free database identifies the RespOrg for each number assigned—but it cannot notify subscribers potentially interested in bidding for a number because the database does not contain subscriber information.  </w:t>
      </w:r>
      <w:bookmarkStart w:id="74" w:name="_Ref310509931"/>
      <w:r w:rsidRPr="114D192B">
        <w:rPr>
          <w:rFonts w:ascii="Times" w:hAnsi="Times" w:cs="Times"/>
        </w:rPr>
        <w:t xml:space="preserve">Would inclusion of subscriber information in the toll free database provide greater market transparency for auction bidders, improving the efficiency of the auction?  Are the costs of including this information in the database significant?  </w:t>
      </w:r>
      <w:bookmarkEnd w:id="74"/>
      <w:r w:rsidRPr="114D192B">
        <w:rPr>
          <w:rFonts w:ascii="Times" w:hAnsi="Times" w:cs="Times"/>
        </w:rPr>
        <w:t xml:space="preserve">Would having subscriber information in the database be useful for other reasons, such </w:t>
      </w:r>
      <w:r>
        <w:rPr>
          <w:rFonts w:ascii="Times" w:hAnsi="Times" w:cs="Times"/>
        </w:rPr>
        <w:t xml:space="preserve">as </w:t>
      </w:r>
      <w:r w:rsidRPr="114D192B">
        <w:rPr>
          <w:rFonts w:ascii="Times" w:hAnsi="Times" w:cs="Times"/>
        </w:rPr>
        <w:t>helping the TFNA and the Commission resolve disputes over the use of a toll free number</w:t>
      </w:r>
      <w:r w:rsidRPr="007259E9">
        <w:rPr>
          <w:rFonts w:ascii="Times" w:hAnsi="Times" w:cs="Times"/>
        </w:rPr>
        <w:t xml:space="preserve"> </w:t>
      </w:r>
      <w:r>
        <w:rPr>
          <w:rFonts w:ascii="Times" w:hAnsi="Times" w:cs="Times"/>
        </w:rPr>
        <w:t>or helping law enforcement agencies identify the subscriber for a number being used for unlawful purposes</w:t>
      </w:r>
      <w:r w:rsidRPr="114D192B">
        <w:rPr>
          <w:rFonts w:ascii="Times" w:hAnsi="Times" w:cs="Times"/>
        </w:rPr>
        <w:t xml:space="preserve">?  </w:t>
      </w:r>
      <w:r>
        <w:t>Are there privacy or other considerations that would militate against including subscriber information in the database that would be visible to other bidders (as opposed to being visible just to TFNA)?</w:t>
      </w:r>
    </w:p>
    <w:p w:rsidR="00444220" w:rsidRDefault="00444220" w:rsidP="00444220">
      <w:pPr>
        <w:pStyle w:val="ParaNum"/>
        <w:tabs>
          <w:tab w:val="clear" w:pos="1440"/>
        </w:tabs>
      </w:pPr>
      <w:r>
        <w:t xml:space="preserve">We propose not to limit the quantity of toll free numbers RespOrgs can acquire through the auction and seek comment on this proposal. </w:t>
      </w:r>
      <w:r w:rsidRPr="003919AA">
        <w:t xml:space="preserve"> </w:t>
      </w:r>
      <w:r w:rsidRPr="00F016C9">
        <w:t>We</w:t>
      </w:r>
      <w:r>
        <w:t xml:space="preserve"> think that l</w:t>
      </w:r>
      <w:r w:rsidRPr="003919AA">
        <w:t>imiting</w:t>
      </w:r>
      <w:r>
        <w:t xml:space="preserve"> the number of bids that can be placed by a RespOrg in the auction may hamper efficiency because it may constrain primarily the bidders who hold the highest valuations.  Do parties agree with this belief?  If subscribers are allowed to bid for numbers, should we impose limits on the quantity of 833 numbers they can acquire in the auction?</w:t>
      </w:r>
    </w:p>
    <w:p w:rsidR="00444220" w:rsidRDefault="00444220" w:rsidP="00444220">
      <w:pPr>
        <w:pStyle w:val="Heading3"/>
      </w:pPr>
      <w:bookmarkStart w:id="75" w:name="_Toc492379138"/>
      <w:bookmarkStart w:id="76" w:name="_Toc492384458"/>
      <w:bookmarkStart w:id="77" w:name="_Toc492462138"/>
      <w:bookmarkStart w:id="78" w:name="_Toc492464345"/>
      <w:bookmarkStart w:id="79" w:name="_Toc494177067"/>
      <w:r>
        <w:t>Auctioneer</w:t>
      </w:r>
      <w:bookmarkEnd w:id="75"/>
      <w:bookmarkEnd w:id="76"/>
      <w:bookmarkEnd w:id="77"/>
      <w:bookmarkEnd w:id="78"/>
      <w:bookmarkEnd w:id="79"/>
    </w:p>
    <w:p w:rsidR="00444220" w:rsidRDefault="00444220" w:rsidP="00444220">
      <w:pPr>
        <w:pStyle w:val="ParaNum"/>
        <w:tabs>
          <w:tab w:val="clear" w:pos="1440"/>
        </w:tabs>
      </w:pPr>
      <w:r>
        <w:t xml:space="preserve">We seek comment on the characteristics of an auctioneer who would be able to put in practice the auction process we propose above at the lowest cost.  Should we designate the TFNA as the auctioneer?  </w:t>
      </w:r>
    </w:p>
    <w:p w:rsidR="00444220" w:rsidRDefault="00444220" w:rsidP="00444220">
      <w:pPr>
        <w:pStyle w:val="Heading3"/>
      </w:pPr>
      <w:bookmarkStart w:id="80" w:name="_Toc491333919"/>
      <w:bookmarkStart w:id="81" w:name="_Toc491334436"/>
      <w:bookmarkStart w:id="82" w:name="_Toc491334751"/>
      <w:bookmarkStart w:id="83" w:name="_Toc491360011"/>
      <w:bookmarkStart w:id="84" w:name="_Toc492379139"/>
      <w:bookmarkStart w:id="85" w:name="_Toc492384459"/>
      <w:bookmarkStart w:id="86" w:name="_Toc492462139"/>
      <w:bookmarkStart w:id="87" w:name="_Toc492464346"/>
      <w:bookmarkStart w:id="88" w:name="_Toc494177068"/>
      <w:r>
        <w:t>Treatment of Auction Funds</w:t>
      </w:r>
      <w:bookmarkEnd w:id="80"/>
      <w:bookmarkEnd w:id="81"/>
      <w:bookmarkEnd w:id="82"/>
      <w:bookmarkEnd w:id="83"/>
      <w:bookmarkEnd w:id="84"/>
      <w:bookmarkEnd w:id="85"/>
      <w:bookmarkEnd w:id="86"/>
      <w:bookmarkEnd w:id="87"/>
      <w:bookmarkEnd w:id="88"/>
    </w:p>
    <w:p w:rsidR="00444220" w:rsidRPr="00CD3ADD" w:rsidRDefault="00444220" w:rsidP="00444220">
      <w:pPr>
        <w:pStyle w:val="ParaNum"/>
        <w:tabs>
          <w:tab w:val="clear" w:pos="1440"/>
        </w:tabs>
      </w:pPr>
      <w:r w:rsidRPr="114D192B">
        <w:t xml:space="preserve">We propose that </w:t>
      </w:r>
      <w:r>
        <w:t xml:space="preserve">the net </w:t>
      </w:r>
      <w:r w:rsidRPr="114D192B">
        <w:t xml:space="preserve">proceeds from </w:t>
      </w:r>
      <w:r>
        <w:t>any toll free</w:t>
      </w:r>
      <w:r w:rsidRPr="114D192B">
        <w:t xml:space="preserve"> number auction proposed in this </w:t>
      </w:r>
      <w:r w:rsidRPr="00341009">
        <w:rPr>
          <w:i/>
        </w:rPr>
        <w:t>Notice</w:t>
      </w:r>
      <w:r w:rsidRPr="114D192B">
        <w:t xml:space="preserve"> be directed to defray the costs of number administration.  Specifically, we propose that auction funds be applied to offset the costs of toll free numbering administration by the TFNA within the NANP</w:t>
      </w:r>
      <w:r w:rsidRPr="00341009">
        <w:rPr>
          <w:rStyle w:val="FootnoteReference"/>
          <w:szCs w:val="22"/>
        </w:rPr>
        <w:t xml:space="preserve"> </w:t>
      </w:r>
      <w:r w:rsidRPr="114D192B">
        <w:t>for the benefit of all RespOrgs and subscribers.</w:t>
      </w:r>
      <w:r w:rsidRPr="00341009">
        <w:rPr>
          <w:rStyle w:val="FootnoteReference"/>
          <w:szCs w:val="22"/>
        </w:rPr>
        <w:t xml:space="preserve"> </w:t>
      </w:r>
      <w:r>
        <w:t xml:space="preserve">This approach would include the administrative costs of implementing numbering auctions should the Commission designate the responsibility to the TFNA. </w:t>
      </w:r>
      <w:r w:rsidRPr="114D192B">
        <w:t xml:space="preserve"> </w:t>
      </w:r>
      <w:r>
        <w:t xml:space="preserve">The TFNA administers toll free numbers, which are part of the NANP numbering resources.  The NANP is comprised of 20 member countries.  We propose that the auction proceeds from any toll free auction be applied to offset the costs of the TFNA to equally benefit RespOrgs and subscribers in those member countries to the extent they pay fees to the TFNA.  Commenters should address whether this approach is the best method of applying the proceeds from the auction, or whether alternative methods are preferable.  We also seek comment on any legal, logistical, or international implications of this proposal, given the international composition of the NANP.  </w:t>
      </w:r>
      <w:r w:rsidRPr="00341009">
        <w:rPr>
          <w:szCs w:val="22"/>
        </w:rPr>
        <w:t>Further, we do not believe that applying auction funds to offset the TFNA costs, within the NANP, implicates any U.S. fiscal statutes.  Pursuant to our authority under section 251(e), the Commission has used a number of different approaches to collect funds to defray the costs of numbering administration</w:t>
      </w:r>
      <w:r>
        <w:rPr>
          <w:rStyle w:val="FootnoteReference"/>
          <w:szCs w:val="22"/>
        </w:rPr>
        <w:footnoteReference w:id="47"/>
      </w:r>
      <w:r w:rsidRPr="00341009">
        <w:rPr>
          <w:szCs w:val="22"/>
        </w:rPr>
        <w:t xml:space="preserve"> without implicating, for example, the Miscellaneous Receipts Act (MRA).</w:t>
      </w:r>
      <w:r w:rsidRPr="00341009">
        <w:rPr>
          <w:rStyle w:val="FootnoteReference"/>
          <w:szCs w:val="22"/>
        </w:rPr>
        <w:t xml:space="preserve"> </w:t>
      </w:r>
      <w:r w:rsidRPr="00CD3ADD">
        <w:rPr>
          <w:rStyle w:val="FootnoteReference"/>
          <w:szCs w:val="22"/>
        </w:rPr>
        <w:footnoteReference w:id="48"/>
      </w:r>
      <w:r w:rsidRPr="00341009">
        <w:rPr>
          <w:szCs w:val="22"/>
        </w:rPr>
        <w:t xml:space="preserve">  None of these cost recovery mechanisms implicated the MRA, and we do not believe that applying auction funds to offset the TFNA costs, within the NANP, would implicate the MRA, due to the Commission’s authority under section 251(e). We seek comment on this view.    </w:t>
      </w:r>
    </w:p>
    <w:p w:rsidR="00444220" w:rsidRDefault="00444220" w:rsidP="00444220">
      <w:pPr>
        <w:pStyle w:val="ParaNum"/>
        <w:tabs>
          <w:tab w:val="clear" w:pos="1440"/>
        </w:tabs>
      </w:pPr>
      <w:r w:rsidRPr="114D192B">
        <w:t xml:space="preserve">We also seek comment on implementation issues </w:t>
      </w:r>
      <w:r>
        <w:t>from</w:t>
      </w:r>
      <w:r w:rsidRPr="114D192B">
        <w:t xml:space="preserve"> applying auction funds to offset the TFNA.  We currently require that the TFNA’s tariffed rates charged to RespOrgs be based on the cost of providing its services, determined on a year-by-year basis.</w:t>
      </w:r>
      <w:r w:rsidRPr="00CD3ADD">
        <w:rPr>
          <w:rStyle w:val="FootnoteReference"/>
          <w:szCs w:val="22"/>
        </w:rPr>
        <w:footnoteReference w:id="49"/>
      </w:r>
      <w:r w:rsidRPr="114D192B">
        <w:t xml:space="preserve">  What is </w:t>
      </w:r>
      <w:r>
        <w:t xml:space="preserve">the </w:t>
      </w:r>
      <w:r w:rsidRPr="114D192B">
        <w:t xml:space="preserve">best way to factor in auction revenues?  Because the TFNA is limited to recovering its revenue requirement, and must budget and adjust its fees accordingly each year, how should it account for additional revenues from </w:t>
      </w:r>
      <w:r>
        <w:t>a</w:t>
      </w:r>
      <w:r w:rsidRPr="114D192B">
        <w:t xml:space="preserve"> number auction?  Should we create a system whereby auction proceeds realized in a given calendar year</w:t>
      </w:r>
      <w:r w:rsidRPr="00CD3ADD">
        <w:rPr>
          <w:rStyle w:val="FootnoteReference"/>
          <w:szCs w:val="22"/>
        </w:rPr>
        <w:footnoteReference w:id="50"/>
      </w:r>
      <w:r w:rsidRPr="114D192B">
        <w:t xml:space="preserve"> are held and remitted to the TFNA in the beginning of the following year (early January)?  Or, are there alternative remittance systems that are preferable?</w:t>
      </w:r>
    </w:p>
    <w:p w:rsidR="00444220" w:rsidRDefault="00444220" w:rsidP="00444220">
      <w:pPr>
        <w:pStyle w:val="ParaNum"/>
        <w:tabs>
          <w:tab w:val="clear" w:pos="1440"/>
        </w:tabs>
      </w:pPr>
      <w:r>
        <w:t>If an auction generates more revenue than the TFNA revenue requirement for a particular year, parties should comment on how to allocate those additional funds.  Should the TFNA retain any excess auction revenues, and apply them to the revenue requirements of future years?  Alternatively, should such remaining auction proceeds instead be remitted to the NANP Administrator (NANPA) to defray the general costs of administering it?</w:t>
      </w:r>
      <w:r>
        <w:rPr>
          <w:rStyle w:val="FootnoteReference"/>
        </w:rPr>
        <w:footnoteReference w:id="51"/>
      </w:r>
      <w:r>
        <w:t xml:space="preserve">  Would directing any excess proceeds in this manner benefit all users of the NANP across the 20 countries that comprise it?  Are any of the federal statutes discussed above implicated if we handle additional auctions proceeds in this manner?</w:t>
      </w:r>
    </w:p>
    <w:p w:rsidR="00444220" w:rsidRPr="00883745" w:rsidRDefault="00444220" w:rsidP="00444220">
      <w:pPr>
        <w:pStyle w:val="Heading3"/>
      </w:pPr>
      <w:bookmarkStart w:id="89" w:name="_Toc492379140"/>
      <w:bookmarkStart w:id="90" w:name="_Toc492384460"/>
      <w:bookmarkStart w:id="91" w:name="_Toc492462140"/>
      <w:bookmarkStart w:id="92" w:name="_Toc492464347"/>
      <w:bookmarkStart w:id="93" w:name="_Toc494177069"/>
      <w:r>
        <w:t>Alternative Assignment Methodologies</w:t>
      </w:r>
      <w:bookmarkEnd w:id="89"/>
      <w:bookmarkEnd w:id="90"/>
      <w:bookmarkEnd w:id="91"/>
      <w:bookmarkEnd w:id="92"/>
      <w:bookmarkEnd w:id="93"/>
    </w:p>
    <w:p w:rsidR="00444220" w:rsidRDefault="00444220" w:rsidP="00444220">
      <w:pPr>
        <w:pStyle w:val="ParaNum"/>
        <w:tabs>
          <w:tab w:val="clear" w:pos="1440"/>
        </w:tabs>
      </w:pPr>
      <w:r>
        <w:t>The Commission seeks comment on the costs and benefits of other possible assignment approaches for desirable 833 numbers.  We classify assignment approaches as either market-based, such as an auction, or administrative, such as a lottery or first-come, first-served.  Notwithstanding our proposal to adopt the market-based auction approach described above, an administrative approach may also have value.  Therefore, we also seek comment on possible benefits and drawbacks of administrative assignments.</w:t>
      </w:r>
      <w:r w:rsidRPr="00A044BC">
        <w:rPr>
          <w:i/>
        </w:rPr>
        <w:t xml:space="preserve">  </w:t>
      </w:r>
    </w:p>
    <w:p w:rsidR="00444220" w:rsidRPr="00F529EF" w:rsidRDefault="00444220" w:rsidP="00444220">
      <w:pPr>
        <w:pStyle w:val="ParaNum"/>
        <w:tabs>
          <w:tab w:val="clear" w:pos="1440"/>
          <w:tab w:val="num" w:pos="1080"/>
        </w:tabs>
        <w:rPr>
          <w:snapToGrid/>
          <w:kern w:val="0"/>
          <w:sz w:val="20"/>
        </w:rPr>
      </w:pPr>
      <w:r>
        <w:t xml:space="preserve">We wish to use any 833 auction as an experiment to ensure that we develop well-tested rules going forward.  After we review the record in response to this </w:t>
      </w:r>
      <w:r>
        <w:rPr>
          <w:i/>
          <w:iCs/>
        </w:rPr>
        <w:t>Notice</w:t>
      </w:r>
      <w:r>
        <w:t>, we anticipate adopting rules for auctioning the 833 mutually exclusive numbers.  Upon completion of any 833 auction, the Bureau will report to the Commission on the outcomes of the auction and lessons learned.  As we draw on the experience of the 833 auction, the Bureau will refresh the record in this proceeding before the Commission considers adopting final rules for the distribution of other toll free numbers going forward.</w:t>
      </w:r>
    </w:p>
    <w:p w:rsidR="00444220" w:rsidRPr="00DA674F" w:rsidRDefault="00444220" w:rsidP="00444220">
      <w:pPr>
        <w:pStyle w:val="Heading2"/>
      </w:pPr>
      <w:bookmarkStart w:id="94" w:name="_Toc491333920"/>
      <w:bookmarkStart w:id="95" w:name="_Toc491334437"/>
      <w:bookmarkStart w:id="96" w:name="_Toc491334752"/>
      <w:bookmarkStart w:id="97" w:name="_Toc491355019"/>
      <w:bookmarkStart w:id="98" w:name="_Toc491360012"/>
      <w:bookmarkStart w:id="99" w:name="_Toc492379141"/>
      <w:bookmarkStart w:id="100" w:name="_Toc492384461"/>
      <w:bookmarkStart w:id="101" w:name="_Toc492462141"/>
      <w:bookmarkStart w:id="102" w:name="_Toc492464348"/>
      <w:bookmarkStart w:id="103" w:name="_Toc494177070"/>
      <w:r w:rsidRPr="00DA674F">
        <w:t>Secondary Markets for Toll Free Numbers</w:t>
      </w:r>
      <w:bookmarkEnd w:id="94"/>
      <w:bookmarkEnd w:id="95"/>
      <w:bookmarkEnd w:id="96"/>
      <w:bookmarkEnd w:id="97"/>
      <w:bookmarkEnd w:id="98"/>
      <w:bookmarkEnd w:id="99"/>
      <w:bookmarkEnd w:id="100"/>
      <w:bookmarkEnd w:id="101"/>
      <w:bookmarkEnd w:id="102"/>
      <w:bookmarkEnd w:id="103"/>
      <w:r w:rsidRPr="00DA674F">
        <w:t xml:space="preserve"> </w:t>
      </w:r>
    </w:p>
    <w:p w:rsidR="00444220" w:rsidRDefault="00444220" w:rsidP="00444220">
      <w:pPr>
        <w:pStyle w:val="ParaNum"/>
        <w:tabs>
          <w:tab w:val="clear" w:pos="1440"/>
        </w:tabs>
      </w:pPr>
      <w:r>
        <w:t>Consistent with the</w:t>
      </w:r>
      <w:r w:rsidRPr="114D192B">
        <w:t xml:space="preserve"> market-based approach for assigning </w:t>
      </w:r>
      <w:r>
        <w:t xml:space="preserve">mutually exclusive </w:t>
      </w:r>
      <w:r w:rsidRPr="114D192B">
        <w:t xml:space="preserve">toll free numbers, we </w:t>
      </w:r>
      <w:r>
        <w:t>seek comment on</w:t>
      </w:r>
      <w:r w:rsidRPr="114D192B">
        <w:t xml:space="preserve"> revising our current rules to promote development of a secondary market for toll free numbers</w:t>
      </w:r>
      <w:r>
        <w:t xml:space="preserve"> generally</w:t>
      </w:r>
      <w:r w:rsidRPr="114D192B">
        <w:t xml:space="preserve">.  </w:t>
      </w:r>
      <w:r>
        <w:t>A</w:t>
      </w:r>
      <w:r w:rsidRPr="114D192B">
        <w:t xml:space="preserve"> secondary </w:t>
      </w:r>
      <w:r>
        <w:t xml:space="preserve">market would allow subscribers </w:t>
      </w:r>
      <w:r w:rsidRPr="114D192B">
        <w:t>to reassign their toll free numbers to other subscribers for a fee</w:t>
      </w:r>
      <w:r>
        <w:t xml:space="preserve"> (or other compensation) the parties negotiate</w:t>
      </w:r>
      <w:r w:rsidRPr="114D192B">
        <w:t>.</w:t>
      </w:r>
      <w:r w:rsidRPr="114D192B">
        <w:rPr>
          <w:rStyle w:val="FootnoteReference"/>
        </w:rPr>
        <w:footnoteReference w:id="52"/>
      </w:r>
      <w:r w:rsidRPr="114D192B">
        <w:t xml:space="preserve"> </w:t>
      </w:r>
      <w:r>
        <w:t xml:space="preserve"> </w:t>
      </w:r>
      <w:r w:rsidRPr="114D192B">
        <w:t>We are mindful of long-standing Commission and legal precedent that a telephone number is a public resource that is not privately owned and cannot be sold.</w:t>
      </w:r>
      <w:r w:rsidRPr="114D192B">
        <w:rPr>
          <w:vertAlign w:val="superscript"/>
        </w:rPr>
        <w:footnoteReference w:id="53"/>
      </w:r>
      <w:r w:rsidRPr="114D192B">
        <w:t xml:space="preserve">  We </w:t>
      </w:r>
      <w:r>
        <w:t>seek comment</w:t>
      </w:r>
      <w:r w:rsidRPr="114D192B">
        <w:t xml:space="preserve">, however, </w:t>
      </w:r>
      <w:r>
        <w:t>on whether we should change our rules so that</w:t>
      </w:r>
      <w:r w:rsidRPr="114D192B">
        <w:t xml:space="preserve"> even though a subscriber does not own a toll free number, he or she may reassign the right </w:t>
      </w:r>
      <w:r>
        <w:t>to use that number for a fee.  For example, i</w:t>
      </w:r>
      <w:r w:rsidRPr="114D192B">
        <w:t>n a secon</w:t>
      </w:r>
      <w:r>
        <w:t xml:space="preserve">dary market, a business owner </w:t>
      </w:r>
      <w:r w:rsidRPr="114D192B">
        <w:t xml:space="preserve">who wants to sell his or her business may sell the right to use the toll free number associated </w:t>
      </w:r>
      <w:r>
        <w:t xml:space="preserve">with </w:t>
      </w:r>
      <w:r w:rsidRPr="114D192B">
        <w:t>the business.  This reassignment would benefit both the seller and buyer of the business</w:t>
      </w:r>
      <w:r>
        <w:t>.</w:t>
      </w:r>
      <w:r w:rsidRPr="00984B38">
        <w:t xml:space="preserve"> </w:t>
      </w:r>
      <w:r>
        <w:t xml:space="preserve"> </w:t>
      </w:r>
      <w:r w:rsidRPr="114D192B">
        <w:t xml:space="preserve">Therefore, </w:t>
      </w:r>
      <w:r>
        <w:t>a</w:t>
      </w:r>
      <w:r w:rsidRPr="114D192B">
        <w:t xml:space="preserve"> secondary market </w:t>
      </w:r>
      <w:r>
        <w:t xml:space="preserve">may be more equitable and </w:t>
      </w:r>
      <w:r w:rsidRPr="114D192B">
        <w:t xml:space="preserve">promote economic efficiencies as the number would be better utilized by the new business owner than </w:t>
      </w:r>
      <w:r>
        <w:t xml:space="preserve">if it were </w:t>
      </w:r>
      <w:r w:rsidRPr="114D192B">
        <w:t>returned to the pool of available toll free numbers and subject to first-come, first-served assignment.</w:t>
      </w:r>
    </w:p>
    <w:p w:rsidR="00444220" w:rsidRDefault="00444220" w:rsidP="00444220">
      <w:pPr>
        <w:pStyle w:val="ParaNum"/>
        <w:tabs>
          <w:tab w:val="clear" w:pos="1440"/>
        </w:tabs>
      </w:pPr>
      <w:r>
        <w:t xml:space="preserve">Current </w:t>
      </w:r>
      <w:r w:rsidRPr="114D192B">
        <w:t>market realities appear to support a secondary market as an efficient and productive use of numbers.</w:t>
      </w:r>
      <w:r w:rsidRPr="00DA674F">
        <w:rPr>
          <w:rStyle w:val="FootnoteReference"/>
          <w:szCs w:val="22"/>
        </w:rPr>
        <w:footnoteReference w:id="54"/>
      </w:r>
      <w:r w:rsidRPr="114D192B">
        <w:t xml:space="preserve">  Despite the fact that toll free numbers are a public resource and neither carriers nor subscribers “own” their numbers,</w:t>
      </w:r>
      <w:r w:rsidRPr="00DA674F">
        <w:rPr>
          <w:rStyle w:val="FootnoteReference"/>
          <w:szCs w:val="22"/>
        </w:rPr>
        <w:footnoteReference w:id="55"/>
      </w:r>
      <w:r w:rsidRPr="114D192B">
        <w:t xml:space="preserve"> it takes little effort to find toll free numbers advertised for sale.  An Internet search for “toll free numbers for sale” produces numerous options to presumably buy and sell toll free numbers, as do online auction site searches for “toll free number.”</w:t>
      </w:r>
      <w:r w:rsidRPr="0062667E">
        <w:rPr>
          <w:rStyle w:val="FootnoteReference"/>
          <w:szCs w:val="22"/>
        </w:rPr>
        <w:t xml:space="preserve"> </w:t>
      </w:r>
      <w:r w:rsidRPr="00DA674F">
        <w:rPr>
          <w:rStyle w:val="FootnoteReference"/>
          <w:szCs w:val="22"/>
        </w:rPr>
        <w:footnoteReference w:id="56"/>
      </w:r>
      <w:r w:rsidRPr="114D192B">
        <w:t xml:space="preserve">  Indeed, the Enforcement Bureau has taken action against an individual who, through his company, engaged in multiple rule violations, including brokering “15 toll free numbers for fees ranging from $10,000 to $17,500 per number” to a pharmaceutical company.</w:t>
      </w:r>
      <w:r w:rsidRPr="00DA674F">
        <w:rPr>
          <w:rStyle w:val="FootnoteReference"/>
          <w:szCs w:val="22"/>
        </w:rPr>
        <w:footnoteReference w:id="57"/>
      </w:r>
      <w:r w:rsidRPr="114D192B">
        <w:t xml:space="preserve">  </w:t>
      </w:r>
      <w:r>
        <w:t>T</w:t>
      </w:r>
      <w:r w:rsidRPr="114D192B">
        <w:t>he fact that some parties are willing to take the risk of participating i</w:t>
      </w:r>
      <w:r>
        <w:t xml:space="preserve">n a black market to obtain toll </w:t>
      </w:r>
      <w:r w:rsidRPr="114D192B">
        <w:t>free numbers suggest</w:t>
      </w:r>
      <w:r>
        <w:t>s</w:t>
      </w:r>
      <w:r w:rsidRPr="114D192B">
        <w:t xml:space="preserve"> that there is significant demand for such numbers</w:t>
      </w:r>
      <w:r>
        <w:t>.  We believe</w:t>
      </w:r>
      <w:r w:rsidRPr="114D192B">
        <w:t xml:space="preserve"> </w:t>
      </w:r>
      <w:r>
        <w:t xml:space="preserve">that creating a framework for lawful transactions in these </w:t>
      </w:r>
      <w:r w:rsidRPr="114D192B">
        <w:t>secondary market</w:t>
      </w:r>
      <w:r>
        <w:t>s</w:t>
      </w:r>
      <w:r w:rsidRPr="114D192B">
        <w:t xml:space="preserve"> </w:t>
      </w:r>
      <w:r>
        <w:t>would be</w:t>
      </w:r>
      <w:r w:rsidRPr="114D192B">
        <w:t xml:space="preserve"> beneficial</w:t>
      </w:r>
      <w:r>
        <w:t xml:space="preserve"> by permitting subscribers to legally obtain numbers which they value.</w:t>
      </w:r>
      <w:r w:rsidRPr="114D192B">
        <w:t xml:space="preserve">  Even outside the context of a business ownership change, RespOrgs and subscribers may wish to buy and sell toll free numbers among themselves based on the usefulness of the numbers. </w:t>
      </w:r>
      <w:r>
        <w:t>We seek comment on our proposal, and in particular, the impact of a rule change on our public resource precedent.</w:t>
      </w:r>
    </w:p>
    <w:p w:rsidR="00444220" w:rsidRDefault="00444220" w:rsidP="00444220">
      <w:pPr>
        <w:pStyle w:val="ParaNum"/>
        <w:tabs>
          <w:tab w:val="clear" w:pos="1440"/>
        </w:tabs>
      </w:pPr>
      <w:r>
        <w:t xml:space="preserve">We also seek comment on whether the TFNA should receive any transaction proceeds or charge any fees to offset number administration costs.  Such funds could be used for the same purpose as we propose for auction funds:  </w:t>
      </w:r>
      <w:r w:rsidRPr="114D192B">
        <w:t>to offset the costs of toll free numbering administration by the TFNA within the NANP</w:t>
      </w:r>
      <w:r w:rsidRPr="00B608B7">
        <w:rPr>
          <w:rStyle w:val="FootnoteReference"/>
          <w:szCs w:val="22"/>
        </w:rPr>
        <w:t xml:space="preserve"> </w:t>
      </w:r>
      <w:r w:rsidRPr="114D192B">
        <w:t>for the benefit of all RespOrgs and subscribers</w:t>
      </w:r>
      <w:r>
        <w:t>.</w:t>
      </w:r>
      <w:r>
        <w:rPr>
          <w:rStyle w:val="FootnoteReference"/>
        </w:rPr>
        <w:footnoteReference w:id="58"/>
      </w:r>
      <w:r>
        <w:t xml:space="preserve">  Would this be an efficient use of funds?  If we did charge a transaction fee for the transfer of toll free numbers in the secondary market, what amount should be charged?  Are there legal constraints in charging a transaction fee for the transfer of toll free numbers?  Are there international concerns if such fees went to offset costs of the NANP?  Additionally, we seek comment on whether a RespOrg should be able to charge a fee for such transfers, and on whether such fees, if charged, should be regulated.  Or, should we put in place some other mechanisms to prevent the abuse of any market power RespOrgs might have?  Would a secondary market have an impact on settling trademark or branding disputes in desirable toll free numbers?</w:t>
      </w:r>
      <w:r w:rsidRPr="00B608B7">
        <w:rPr>
          <w:sz w:val="24"/>
          <w:szCs w:val="24"/>
        </w:rPr>
        <w:t xml:space="preserve"> </w:t>
      </w:r>
    </w:p>
    <w:p w:rsidR="00444220" w:rsidRPr="00B74F7A" w:rsidRDefault="00444220" w:rsidP="00444220">
      <w:pPr>
        <w:pStyle w:val="ParaNum"/>
        <w:tabs>
          <w:tab w:val="clear" w:pos="1440"/>
        </w:tabs>
      </w:pPr>
      <w:r>
        <w:t xml:space="preserve">Interested parties should further </w:t>
      </w:r>
      <w:r w:rsidRPr="114D192B">
        <w:t>comment on what types of information the TFNA</w:t>
      </w:r>
      <w:r>
        <w:t xml:space="preserve"> would </w:t>
      </w:r>
      <w:r w:rsidRPr="114D192B">
        <w:t xml:space="preserve">need from the buyer and seller to </w:t>
      </w:r>
      <w:r>
        <w:t>document</w:t>
      </w:r>
      <w:r w:rsidRPr="114D192B">
        <w:t xml:space="preserve"> a reassignment</w:t>
      </w:r>
      <w:r>
        <w:t>.</w:t>
      </w:r>
      <w:r w:rsidRPr="114D192B">
        <w:t xml:space="preserve">  Would the TFNA need to develop an online system to record any reassignments in the secondary market?  How will parties know when a number is available for reassignment, i.e., when a RespOrg or subscriber wishes to sell it</w:t>
      </w:r>
      <w:r>
        <w:t>?</w:t>
      </w:r>
      <w:r w:rsidRPr="114D192B">
        <w:t xml:space="preserve">  Should the Commission or </w:t>
      </w:r>
      <w:r>
        <w:t xml:space="preserve">the </w:t>
      </w:r>
      <w:r w:rsidRPr="114D192B">
        <w:t>TFNA maintain a database that potential buyers could check, or should buyers be responsible for their own advertising of numbers for sale?</w:t>
      </w:r>
      <w:r w:rsidRPr="114D192B">
        <w:rPr>
          <w:rStyle w:val="FootnoteReference"/>
        </w:rPr>
        <w:t xml:space="preserve"> </w:t>
      </w:r>
      <w:r w:rsidRPr="114D192B">
        <w:rPr>
          <w:rStyle w:val="FootnoteReference"/>
        </w:rPr>
        <w:footnoteReference w:id="59"/>
      </w:r>
      <w:r w:rsidRPr="114D192B">
        <w:t xml:space="preserve">  </w:t>
      </w:r>
      <w:r>
        <w:t xml:space="preserve">How could the Commission or the TFNA help ensure members of the public are able to verify that an entity is in fact a RespOrg?  </w:t>
      </w:r>
      <w:r w:rsidRPr="00DA674F">
        <w:t>Are there additional roles or functions the TFNA could perform or provide that would benefi</w:t>
      </w:r>
      <w:r>
        <w:t xml:space="preserve">t </w:t>
      </w:r>
      <w:r w:rsidRPr="00DA674F">
        <w:t>f</w:t>
      </w:r>
      <w:r>
        <w:t xml:space="preserve">unctioning of a secondary market </w:t>
      </w:r>
      <w:r w:rsidRPr="00DA674F">
        <w:t>or market participants?</w:t>
      </w:r>
    </w:p>
    <w:p w:rsidR="00444220" w:rsidRPr="00FA357B" w:rsidRDefault="00444220" w:rsidP="00444220">
      <w:pPr>
        <w:pStyle w:val="Heading2"/>
      </w:pPr>
      <w:bookmarkStart w:id="104" w:name="_Toc491333921"/>
      <w:bookmarkStart w:id="105" w:name="_Toc491334438"/>
      <w:bookmarkStart w:id="106" w:name="_Toc491334753"/>
      <w:bookmarkStart w:id="107" w:name="_Toc491355020"/>
      <w:bookmarkStart w:id="108" w:name="_Toc491360013"/>
      <w:bookmarkStart w:id="109" w:name="_Toc492379142"/>
      <w:bookmarkStart w:id="110" w:name="_Toc492384462"/>
      <w:bookmarkStart w:id="111" w:name="_Toc492462142"/>
      <w:bookmarkStart w:id="112" w:name="_Toc492464349"/>
      <w:bookmarkStart w:id="113" w:name="_Toc494177071"/>
      <w:r>
        <w:t xml:space="preserve">Toll Free Number </w:t>
      </w:r>
      <w:r w:rsidRPr="00FA357B">
        <w:t>Administration</w:t>
      </w:r>
      <w:bookmarkEnd w:id="104"/>
      <w:bookmarkEnd w:id="105"/>
      <w:bookmarkEnd w:id="106"/>
      <w:bookmarkEnd w:id="107"/>
      <w:bookmarkEnd w:id="108"/>
      <w:bookmarkEnd w:id="109"/>
      <w:bookmarkEnd w:id="110"/>
      <w:bookmarkEnd w:id="111"/>
      <w:bookmarkEnd w:id="112"/>
      <w:bookmarkEnd w:id="113"/>
    </w:p>
    <w:p w:rsidR="00444220" w:rsidRDefault="00444220" w:rsidP="00444220">
      <w:pPr>
        <w:pStyle w:val="Heading3"/>
      </w:pPr>
      <w:bookmarkStart w:id="114" w:name="_Toc491333922"/>
      <w:bookmarkStart w:id="115" w:name="_Toc491334439"/>
      <w:bookmarkStart w:id="116" w:name="_Toc491334754"/>
      <w:bookmarkStart w:id="117" w:name="_Toc491360014"/>
      <w:bookmarkStart w:id="118" w:name="_Toc492379143"/>
      <w:bookmarkStart w:id="119" w:name="_Toc492384463"/>
      <w:bookmarkStart w:id="120" w:name="_Toc492462143"/>
      <w:bookmarkStart w:id="121" w:name="_Toc492464350"/>
      <w:bookmarkStart w:id="122" w:name="_Toc494177072"/>
      <w:r>
        <w:t>Toll Free Number Rule Revisions</w:t>
      </w:r>
      <w:bookmarkEnd w:id="114"/>
      <w:bookmarkEnd w:id="115"/>
      <w:bookmarkEnd w:id="116"/>
      <w:bookmarkEnd w:id="117"/>
      <w:bookmarkEnd w:id="118"/>
      <w:bookmarkEnd w:id="119"/>
      <w:bookmarkEnd w:id="120"/>
      <w:bookmarkEnd w:id="121"/>
      <w:bookmarkEnd w:id="122"/>
    </w:p>
    <w:p w:rsidR="00444220" w:rsidRPr="00741E8F" w:rsidRDefault="00444220" w:rsidP="0072390A">
      <w:pPr>
        <w:pStyle w:val="ParaNum"/>
        <w:widowControl/>
        <w:tabs>
          <w:tab w:val="clear" w:pos="1440"/>
        </w:tabs>
      </w:pPr>
      <w:r w:rsidRPr="114D192B">
        <w:t xml:space="preserve">We propose revising certain toll free number rules to support our market approach to assigning </w:t>
      </w:r>
      <w:r>
        <w:t xml:space="preserve">certain </w:t>
      </w:r>
      <w:r w:rsidRPr="114D192B">
        <w:t xml:space="preserve">toll free numbers </w:t>
      </w:r>
      <w:r>
        <w:t>for new code openings, recovered toll free numbers,</w:t>
      </w:r>
      <w:r w:rsidRPr="114D192B">
        <w:t xml:space="preserve"> and </w:t>
      </w:r>
      <w:r>
        <w:t xml:space="preserve">in </w:t>
      </w:r>
      <w:r w:rsidRPr="114D192B">
        <w:t>the secondary market.  Specifically, we propose revising the first-come, first-served rule</w:t>
      </w:r>
      <w:r>
        <w:t>,</w:t>
      </w:r>
      <w:r w:rsidRPr="00DA674F">
        <w:rPr>
          <w:rStyle w:val="FootnoteReference"/>
          <w:szCs w:val="22"/>
        </w:rPr>
        <w:footnoteReference w:id="60"/>
      </w:r>
      <w:r w:rsidRPr="114D192B">
        <w:t xml:space="preserve"> and</w:t>
      </w:r>
      <w:r>
        <w:t xml:space="preserve"> seek comment on</w:t>
      </w:r>
      <w:r w:rsidRPr="114D192B">
        <w:t xml:space="preserve"> eliminating the brokering rule</w:t>
      </w:r>
      <w:r w:rsidRPr="00DA674F">
        <w:rPr>
          <w:rStyle w:val="FootnoteReference"/>
          <w:szCs w:val="22"/>
        </w:rPr>
        <w:footnoteReference w:id="61"/>
      </w:r>
      <w:r w:rsidRPr="114D192B">
        <w:t xml:space="preserve"> entirely.  We </w:t>
      </w:r>
      <w:r>
        <w:t xml:space="preserve">also </w:t>
      </w:r>
      <w:r w:rsidRPr="114D192B">
        <w:t xml:space="preserve">seek comment on </w:t>
      </w:r>
      <w:r>
        <w:t>revising</w:t>
      </w:r>
      <w:r w:rsidRPr="114D192B">
        <w:t xml:space="preserve"> the warehousing and hoarding rules.</w:t>
      </w:r>
      <w:r w:rsidRPr="114D192B">
        <w:rPr>
          <w:rStyle w:val="FootnoteReference"/>
        </w:rPr>
        <w:footnoteReference w:id="62"/>
      </w:r>
      <w:r w:rsidRPr="114D192B">
        <w:t xml:space="preserve">  </w:t>
      </w:r>
    </w:p>
    <w:p w:rsidR="00444220" w:rsidRPr="00CE7289" w:rsidRDefault="00444220" w:rsidP="00444220">
      <w:pPr>
        <w:pStyle w:val="ParaNum"/>
        <w:tabs>
          <w:tab w:val="clear" w:pos="1440"/>
        </w:tabs>
      </w:pPr>
      <w:r w:rsidRPr="00493AAE">
        <w:rPr>
          <w:i/>
        </w:rPr>
        <w:t>First-Come, First-Served Rule.</w:t>
      </w:r>
      <w:r w:rsidRPr="114D192B">
        <w:t xml:space="preserve">  </w:t>
      </w:r>
      <w:r>
        <w:t xml:space="preserve">We propose revising </w:t>
      </w:r>
      <w:r w:rsidRPr="114D192B">
        <w:t xml:space="preserve">section 52.111 </w:t>
      </w:r>
      <w:r>
        <w:t>of our rules</w:t>
      </w:r>
      <w:r>
        <w:rPr>
          <w:rStyle w:val="FootnoteReference"/>
        </w:rPr>
        <w:footnoteReference w:id="63"/>
      </w:r>
      <w:r>
        <w:t xml:space="preserve"> to allow for the assignment of toll free telephone numbers to RespOrgs and subscribers on an equitable basis by auction, on a first-come, first-served basis, by using an alternative assignment methodology, or by a combination of these approaches as circumstances require.  We seek comment on this </w:t>
      </w:r>
      <w:r w:rsidRPr="114D192B">
        <w:t>proposal</w:t>
      </w:r>
      <w:r>
        <w:t xml:space="preserve">.  </w:t>
      </w:r>
      <w:r w:rsidRPr="00725994">
        <w:t xml:space="preserve">Are different or more specific parameters needed?  It has been nearly 20 years since the adoption of the first-come, first-served rule.  Are there other revisions to that rule we should consider? </w:t>
      </w:r>
    </w:p>
    <w:p w:rsidR="00444220" w:rsidRPr="00A3777D" w:rsidRDefault="00444220" w:rsidP="00444220">
      <w:pPr>
        <w:pStyle w:val="ParaNum"/>
        <w:tabs>
          <w:tab w:val="clear" w:pos="1440"/>
        </w:tabs>
        <w:rPr>
          <w:kern w:val="0"/>
        </w:rPr>
      </w:pPr>
      <w:r w:rsidRPr="00493AAE">
        <w:rPr>
          <w:i/>
        </w:rPr>
        <w:t>Brokering Rule</w:t>
      </w:r>
      <w:r w:rsidRPr="114D192B">
        <w:t>.  The Commission’s brokering rule prohibits RespOrgs and subscribers from selling a toll free number for a fee.</w:t>
      </w:r>
      <w:r w:rsidRPr="00DA674F">
        <w:rPr>
          <w:rStyle w:val="FootnoteReference"/>
          <w:szCs w:val="22"/>
        </w:rPr>
        <w:footnoteReference w:id="64"/>
      </w:r>
      <w:r w:rsidRPr="114D192B">
        <w:t xml:space="preserve">  We </w:t>
      </w:r>
      <w:r>
        <w:t>seek comment on</w:t>
      </w:r>
      <w:r w:rsidRPr="114D192B">
        <w:t xml:space="preserve"> eliminating the brokering rule as it directly precludes a secondary market for toll free numbers.  </w:t>
      </w:r>
      <w:r>
        <w:t xml:space="preserve">Alternatively, we seek comment on whether the Commission should relax or suspend the brokering rule in any way.  Commenters should address whether these approaches are consistent with the public resource nature of toll free numbers, while still promoting the economic efficiencies of a secondary market in toll free numbers.  </w:t>
      </w:r>
      <w:r w:rsidRPr="114D192B">
        <w:t>The brokering rule was adopted</w:t>
      </w:r>
      <w:r>
        <w:t xml:space="preserve"> with the intention of</w:t>
      </w:r>
      <w:r w:rsidRPr="114D192B">
        <w:t xml:space="preserve"> equitably assign</w:t>
      </w:r>
      <w:r>
        <w:t>ing</w:t>
      </w:r>
      <w:r w:rsidRPr="114D192B">
        <w:t xml:space="preserve"> numbers and minimiz</w:t>
      </w:r>
      <w:r>
        <w:t>ing</w:t>
      </w:r>
      <w:r w:rsidRPr="114D192B">
        <w:t xml:space="preserve"> </w:t>
      </w:r>
      <w:r>
        <w:t xml:space="preserve">number </w:t>
      </w:r>
      <w:r w:rsidRPr="114D192B">
        <w:t>exhaust.</w:t>
      </w:r>
      <w:r w:rsidRPr="00DA674F">
        <w:rPr>
          <w:rStyle w:val="FootnoteReference"/>
          <w:szCs w:val="22"/>
        </w:rPr>
        <w:footnoteReference w:id="65"/>
      </w:r>
      <w:r w:rsidRPr="114D192B">
        <w:t xml:space="preserve">  </w:t>
      </w:r>
      <w:r>
        <w:t>However, we now question whether the brokering rule was a useful way to achieve those ends.  We seek comment on whether there are any other modifications we should make to the rule in lieu of eliminating it to avoid any undesirable or unforeseen outcomes.</w:t>
      </w:r>
    </w:p>
    <w:p w:rsidR="00444220" w:rsidRPr="00854599" w:rsidRDefault="00444220" w:rsidP="00444220">
      <w:pPr>
        <w:pStyle w:val="ParaNum"/>
        <w:tabs>
          <w:tab w:val="clear" w:pos="1440"/>
        </w:tabs>
      </w:pPr>
      <w:r w:rsidRPr="00493AAE">
        <w:rPr>
          <w:i/>
        </w:rPr>
        <w:t>Warehousing and Hoarding Prohibitions</w:t>
      </w:r>
      <w:r>
        <w:t xml:space="preserve">.  The warehousing and hoarding prohibitions </w:t>
      </w:r>
      <w:r w:rsidRPr="00994217">
        <w:rPr>
          <w:rFonts w:cs="Calibri"/>
        </w:rPr>
        <w:t>are intended to limit exhaust of toll free number</w:t>
      </w:r>
      <w:r>
        <w:rPr>
          <w:rFonts w:cs="Calibri"/>
        </w:rPr>
        <w:t xml:space="preserve">s </w:t>
      </w:r>
      <w:r w:rsidRPr="00994217">
        <w:rPr>
          <w:rFonts w:cs="Calibri"/>
        </w:rPr>
        <w:t xml:space="preserve">by </w:t>
      </w:r>
      <w:r>
        <w:rPr>
          <w:rFonts w:cs="Calibri"/>
        </w:rPr>
        <w:t>ensuring that numbers, once removed from the pool of available numbers, are used efficiently.</w:t>
      </w:r>
      <w:r w:rsidRPr="00EB600E">
        <w:rPr>
          <w:rStyle w:val="FootnoteReference"/>
          <w:rFonts w:cs="Calibri"/>
        </w:rPr>
        <w:footnoteReference w:id="66"/>
      </w:r>
      <w:r>
        <w:rPr>
          <w:rFonts w:cs="Calibri"/>
        </w:rPr>
        <w:t xml:space="preserve">  We seek comment on whether these rules effectively serve their purpose or whether </w:t>
      </w:r>
      <w:r>
        <w:t>we should revise or eliminate these rules</w:t>
      </w:r>
      <w:r>
        <w:rPr>
          <w:rFonts w:cs="Calibri"/>
        </w:rPr>
        <w:t xml:space="preserve">.  </w:t>
      </w:r>
      <w:r>
        <w:t xml:space="preserve">If numbers could be stored, and traded, would market forces ensure their efficient assignment?  </w:t>
      </w:r>
      <w:r w:rsidRPr="114D192B">
        <w:t xml:space="preserve">Without these rules, will RespOrgs and subscribers hold numbers they no longer need, hoping to sell them later at higher prices?  </w:t>
      </w:r>
      <w:r>
        <w:t>If they were to do so, c</w:t>
      </w:r>
      <w:r w:rsidRPr="114D192B">
        <w:t xml:space="preserve">ould we discourage this practice by limiting the amount of time a RespOrg or subscriber may hold a toll free number without either using or selling it?  That is, should we require that a number be “in use” within a certain time after </w:t>
      </w:r>
      <w:r>
        <w:t xml:space="preserve">it is </w:t>
      </w:r>
      <w:r w:rsidRPr="114D192B">
        <w:t>obtain</w:t>
      </w:r>
      <w:r>
        <w:t>ed</w:t>
      </w:r>
      <w:r w:rsidRPr="114D192B">
        <w:t>?  What constitutes number “use” in this context?  What time limit should we impose and how should we enforce that limitation?  Should we consider increasing administrative fees on RespOrg</w:t>
      </w:r>
      <w:r>
        <w:t>s</w:t>
      </w:r>
      <w:r w:rsidRPr="114D192B">
        <w:t xml:space="preserve"> (which would be passed on to subscribers) to limit the amount of time a number is held?  In the alternative, should the Commission eliminate these warehousing and hoarding prohibitions, along with the brokering prohibition, and rely instead on market forces to determine if and when toll free numbers are sold in the secondary market</w:t>
      </w:r>
      <w:r>
        <w:t xml:space="preserve">? </w:t>
      </w:r>
    </w:p>
    <w:p w:rsidR="00444220" w:rsidRPr="00741E8F" w:rsidRDefault="00444220" w:rsidP="00444220">
      <w:pPr>
        <w:pStyle w:val="ParaNum"/>
        <w:tabs>
          <w:tab w:val="clear" w:pos="1440"/>
        </w:tabs>
      </w:pPr>
      <w:r w:rsidRPr="00493AAE">
        <w:rPr>
          <w:i/>
        </w:rPr>
        <w:t>Other Rule Revisions</w:t>
      </w:r>
      <w:r w:rsidRPr="114D192B">
        <w:t xml:space="preserve">.  We also seek comment on whether the Commission should eliminate or revise any other toll free rules.  For example, </w:t>
      </w:r>
      <w:r>
        <w:t>should the Commission</w:t>
      </w:r>
      <w:r w:rsidRPr="114D192B">
        <w:t xml:space="preserve"> revise the definition of the </w:t>
      </w:r>
      <w:r>
        <w:t>Service Management System (</w:t>
      </w:r>
      <w:r w:rsidRPr="114D192B">
        <w:t>SMS</w:t>
      </w:r>
      <w:r>
        <w:t>)</w:t>
      </w:r>
      <w:r w:rsidRPr="114D192B">
        <w:t xml:space="preserve"> Database in section 52.101(d) to include subscriber information as discussed above</w:t>
      </w:r>
      <w:r>
        <w:t>?</w:t>
      </w:r>
      <w:r>
        <w:rPr>
          <w:rStyle w:val="FootnoteReference"/>
        </w:rPr>
        <w:footnoteReference w:id="67"/>
      </w:r>
      <w:r w:rsidRPr="114D192B">
        <w:t xml:space="preserve"> </w:t>
      </w:r>
      <w:r>
        <w:t xml:space="preserve"> </w:t>
      </w:r>
      <w:r w:rsidRPr="114D192B">
        <w:t>Moreover, section 52.103 of the rules contains a number of definitions and rules pertaining to the “status” of toll free numbers in the database and when these numbers are available for assignment to subscribers.</w:t>
      </w:r>
      <w:r w:rsidRPr="114D192B">
        <w:rPr>
          <w:rStyle w:val="FootnoteReference"/>
        </w:rPr>
        <w:footnoteReference w:id="68"/>
      </w:r>
      <w:r w:rsidRPr="114D192B">
        <w:t xml:space="preserve">  The term “status” refers to whether and how a toll free number is being </w:t>
      </w:r>
      <w:r>
        <w:t>used</w:t>
      </w:r>
      <w:r w:rsidRPr="114D192B">
        <w:t xml:space="preserve">.  What revisions, if any, to these categories should we consider to promote a secondary market? </w:t>
      </w:r>
    </w:p>
    <w:p w:rsidR="00444220" w:rsidRPr="00CD3ADD" w:rsidRDefault="00444220" w:rsidP="00444220">
      <w:pPr>
        <w:pStyle w:val="Heading3"/>
      </w:pPr>
      <w:bookmarkStart w:id="123" w:name="_Toc491333923"/>
      <w:bookmarkStart w:id="124" w:name="_Toc491334440"/>
      <w:bookmarkStart w:id="125" w:name="_Toc491334755"/>
      <w:bookmarkStart w:id="126" w:name="_Toc491360015"/>
      <w:bookmarkStart w:id="127" w:name="_Toc492379144"/>
      <w:bookmarkStart w:id="128" w:name="_Toc492384464"/>
      <w:bookmarkStart w:id="129" w:name="_Toc492462144"/>
      <w:bookmarkStart w:id="130" w:name="_Toc492464351"/>
      <w:bookmarkStart w:id="131" w:name="_Toc494177073"/>
      <w:r w:rsidRPr="00CD3ADD">
        <w:t xml:space="preserve">Toll Free Numbers Used for </w:t>
      </w:r>
      <w:r>
        <w:t>Public</w:t>
      </w:r>
      <w:r w:rsidRPr="00CD3ADD">
        <w:t xml:space="preserve"> Purposes</w:t>
      </w:r>
      <w:bookmarkEnd w:id="123"/>
      <w:bookmarkEnd w:id="124"/>
      <w:bookmarkEnd w:id="125"/>
      <w:bookmarkEnd w:id="126"/>
      <w:bookmarkEnd w:id="127"/>
      <w:bookmarkEnd w:id="128"/>
      <w:bookmarkEnd w:id="129"/>
      <w:bookmarkEnd w:id="130"/>
      <w:bookmarkEnd w:id="131"/>
    </w:p>
    <w:p w:rsidR="00444220" w:rsidRDefault="00444220" w:rsidP="00444220">
      <w:pPr>
        <w:pStyle w:val="ParaNum"/>
        <w:tabs>
          <w:tab w:val="clear" w:pos="1440"/>
        </w:tabs>
      </w:pPr>
      <w:r w:rsidRPr="114D192B">
        <w:t xml:space="preserve">We </w:t>
      </w:r>
      <w:r>
        <w:t>seek comment on whether</w:t>
      </w:r>
      <w:r w:rsidRPr="114D192B">
        <w:t xml:space="preserve"> certain </w:t>
      </w:r>
      <w:r>
        <w:t>desirable</w:t>
      </w:r>
      <w:r w:rsidRPr="114D192B">
        <w:t xml:space="preserve"> </w:t>
      </w:r>
      <w:r w:rsidRPr="00C33075">
        <w:t xml:space="preserve">toll free numbers necessary to promote health, safety, education, and other public interest goals </w:t>
      </w:r>
      <w:r>
        <w:t xml:space="preserve">should </w:t>
      </w:r>
      <w:r w:rsidRPr="114D192B">
        <w:t xml:space="preserve">be set aside for use, without cost, by government (federal, state, </w:t>
      </w:r>
      <w:r>
        <w:t xml:space="preserve">local </w:t>
      </w:r>
      <w:r w:rsidRPr="114D192B">
        <w:t xml:space="preserve">and </w:t>
      </w:r>
      <w:r>
        <w:t>Tribal</w:t>
      </w:r>
      <w:r w:rsidRPr="114D192B">
        <w:t>) agencies as well as</w:t>
      </w:r>
      <w:r>
        <w:t xml:space="preserve"> </w:t>
      </w:r>
      <w:r w:rsidRPr="002B4794">
        <w:t xml:space="preserve">by non-profit health, safety, education, or other </w:t>
      </w:r>
      <w:r>
        <w:t xml:space="preserve">non-profit </w:t>
      </w:r>
      <w:r w:rsidRPr="002B4794">
        <w:t>public interest organizations</w:t>
      </w:r>
      <w:r w:rsidRPr="114D192B">
        <w:t>.</w:t>
      </w:r>
      <w:r w:rsidRPr="114D192B">
        <w:rPr>
          <w:rStyle w:val="FootnoteReference"/>
        </w:rPr>
        <w:footnoteReference w:id="69"/>
      </w:r>
      <w:r w:rsidRPr="114D192B">
        <w:t xml:space="preserve">  Numerous organizations use </w:t>
      </w:r>
      <w:r>
        <w:t>desirable</w:t>
      </w:r>
      <w:r w:rsidRPr="114D192B">
        <w:t xml:space="preserve"> toll free numbers for a variety of purposes, such as for contacting the organization for information or assistance and for fundraising</w:t>
      </w:r>
      <w:r>
        <w:t xml:space="preserve">.  For example, </w:t>
      </w:r>
      <w:r w:rsidRPr="114D192B">
        <w:t>the Department of Health and Human Services uses 800-SUICIDE to support a network of suicide prevention hotlines.</w:t>
      </w:r>
      <w:r w:rsidRPr="114D192B">
        <w:rPr>
          <w:rStyle w:val="FootnoteReference"/>
        </w:rPr>
        <w:footnoteReference w:id="70"/>
      </w:r>
      <w:r w:rsidRPr="114D192B">
        <w:t xml:space="preserve">  Parties should address the advantages and disadvantages of granting an exemption </w:t>
      </w:r>
      <w:r>
        <w:t>for certain governmental and non-profit health, safety, education, and other non-profit public interest purposes.  How would such a system be implemented and administered?  Would this system raise any First Amendment, statutory, or other legal issues?  For example, how should such non-profit health, safety, education, and other non-profit public interest organizations be defined; should definitions from other sections of the Act or the Commission’s rules be used?</w:t>
      </w:r>
      <w:r>
        <w:rPr>
          <w:rStyle w:val="FootnoteReference"/>
        </w:rPr>
        <w:footnoteReference w:id="71"/>
      </w:r>
      <w:r>
        <w:t xml:space="preserve">  Should entities other than the ones described above—</w:t>
      </w:r>
      <w:r w:rsidRPr="008766D0">
        <w:t>non-p</w:t>
      </w:r>
      <w:r>
        <w:t>rofit health, safety, education</w:t>
      </w:r>
      <w:r w:rsidRPr="008766D0">
        <w:t xml:space="preserve">, or other </w:t>
      </w:r>
      <w:r>
        <w:t xml:space="preserve">non-profit </w:t>
      </w:r>
      <w:r w:rsidRPr="008766D0">
        <w:t>public interest organizations</w:t>
      </w:r>
      <w:r>
        <w:t>—</w:t>
      </w:r>
      <w:r w:rsidRPr="002B4794">
        <w:t>be</w:t>
      </w:r>
      <w:r>
        <w:t xml:space="preserve"> included in this definition or receive similar treatment?  </w:t>
      </w:r>
      <w:r w:rsidRPr="114D192B">
        <w:t xml:space="preserve">Should the Commission treat these </w:t>
      </w:r>
      <w:r>
        <w:t xml:space="preserve">purposes </w:t>
      </w:r>
      <w:r w:rsidRPr="114D192B">
        <w:t xml:space="preserve">differently from other </w:t>
      </w:r>
      <w:r>
        <w:t>purposes for which desirable</w:t>
      </w:r>
      <w:r w:rsidRPr="114D192B">
        <w:t xml:space="preserve"> numbers</w:t>
      </w:r>
      <w:r>
        <w:t xml:space="preserve"> are used</w:t>
      </w:r>
      <w:r w:rsidRPr="114D192B">
        <w:t>?  What are the pros and cons of each approach</w:t>
      </w:r>
      <w:r>
        <w:t>?</w:t>
      </w:r>
    </w:p>
    <w:p w:rsidR="00444220" w:rsidRDefault="00444220" w:rsidP="00444220">
      <w:pPr>
        <w:pStyle w:val="Heading3"/>
      </w:pPr>
      <w:bookmarkStart w:id="132" w:name="_Toc492379145"/>
      <w:bookmarkStart w:id="133" w:name="_Toc492384465"/>
      <w:bookmarkStart w:id="134" w:name="_Toc492462145"/>
      <w:bookmarkStart w:id="135" w:name="_Toc492464352"/>
      <w:bookmarkStart w:id="136" w:name="_Toc494177074"/>
      <w:r>
        <w:t>Abuse of Toll Free Numbers</w:t>
      </w:r>
      <w:bookmarkEnd w:id="132"/>
      <w:bookmarkEnd w:id="133"/>
      <w:bookmarkEnd w:id="134"/>
      <w:bookmarkEnd w:id="135"/>
      <w:bookmarkEnd w:id="136"/>
    </w:p>
    <w:p w:rsidR="00444220" w:rsidRPr="00A3777D" w:rsidRDefault="00444220" w:rsidP="00444220">
      <w:pPr>
        <w:pStyle w:val="ParaNum"/>
        <w:tabs>
          <w:tab w:val="clear" w:pos="1440"/>
          <w:tab w:val="num" w:pos="1080"/>
        </w:tabs>
        <w:rPr>
          <w:snapToGrid/>
          <w:kern w:val="0"/>
        </w:rPr>
      </w:pPr>
      <w:r w:rsidRPr="00614008">
        <w:t xml:space="preserve">We also seek comment on ways the Commission may address possible abuse of toll free numbers after they have been assigned to a </w:t>
      </w:r>
      <w:r>
        <w:t xml:space="preserve">non-profit </w:t>
      </w:r>
      <w:r w:rsidRPr="00614008">
        <w:t>health</w:t>
      </w:r>
      <w:r>
        <w:t>,</w:t>
      </w:r>
      <w:r w:rsidRPr="00614008">
        <w:t xml:space="preserve"> safety</w:t>
      </w:r>
      <w:r>
        <w:t>, education, or other non-profit public interest</w:t>
      </w:r>
      <w:r w:rsidRPr="00614008">
        <w:t xml:space="preserve"> organizations or any purchaser in an auction or in the secondary market?  Should the Commission propose a rule </w:t>
      </w:r>
      <w:r w:rsidRPr="001258F7">
        <w:t>stating its</w:t>
      </w:r>
      <w:r w:rsidRPr="00614008">
        <w:t xml:space="preserve"> ability </w:t>
      </w:r>
      <w:r>
        <w:t>to reclaim any toll free number</w:t>
      </w:r>
      <w:r w:rsidRPr="00614008">
        <w:t xml:space="preserve"> that is used for fraudulent or otherwise unlawful purposes?  Also, should the Commission create, or direct the TFNA to create, any terms and conditions for use of a toll free number purchased in </w:t>
      </w:r>
      <w:r>
        <w:t xml:space="preserve">an auction or </w:t>
      </w:r>
      <w:r w:rsidRPr="00614008">
        <w:t>the secondary market?</w:t>
      </w:r>
      <w:r w:rsidRPr="00614008">
        <w:rPr>
          <w:snapToGrid/>
          <w:kern w:val="0"/>
        </w:rPr>
        <w:t xml:space="preserve">  </w:t>
      </w:r>
      <w:r w:rsidRPr="00614008">
        <w:t xml:space="preserve">Should the Commission codify its authority to reassign a number to another subscriber if there is a strong public interest need to use the number for another purpose. </w:t>
      </w:r>
      <w:r w:rsidRPr="00440461">
        <w:t xml:space="preserve"> For example, following Hurricane Katrina in 2005, the Commission reassigned 800-RED-CROSS from a for-profit corporation to the American Red Cross so it could facilitate </w:t>
      </w:r>
      <w:r>
        <w:t>the Nation’s response to the disaster wrought by Hurricane Katrina.</w:t>
      </w:r>
      <w:r>
        <w:rPr>
          <w:rStyle w:val="FootnoteReference"/>
        </w:rPr>
        <w:footnoteReference w:id="72"/>
      </w:r>
    </w:p>
    <w:p w:rsidR="00444220" w:rsidRPr="00CD3ADD" w:rsidRDefault="00444220" w:rsidP="00444220">
      <w:pPr>
        <w:pStyle w:val="Heading3"/>
      </w:pPr>
      <w:bookmarkStart w:id="137" w:name="_Toc491333926"/>
      <w:bookmarkStart w:id="138" w:name="_Toc491334443"/>
      <w:bookmarkStart w:id="139" w:name="_Toc491334758"/>
      <w:bookmarkStart w:id="140" w:name="_Toc491360018"/>
      <w:bookmarkStart w:id="141" w:name="_Toc492379146"/>
      <w:bookmarkStart w:id="142" w:name="_Toc492384466"/>
      <w:bookmarkStart w:id="143" w:name="_Toc492462146"/>
      <w:bookmarkStart w:id="144" w:name="_Toc492464353"/>
      <w:bookmarkStart w:id="145" w:name="_Toc494177075"/>
      <w:r w:rsidRPr="00CD3ADD">
        <w:t>Toll Free Number Assignment</w:t>
      </w:r>
      <w:r>
        <w:t xml:space="preserve"> Management</w:t>
      </w:r>
      <w:bookmarkEnd w:id="137"/>
      <w:bookmarkEnd w:id="138"/>
      <w:bookmarkEnd w:id="139"/>
      <w:bookmarkEnd w:id="140"/>
      <w:bookmarkEnd w:id="141"/>
      <w:bookmarkEnd w:id="142"/>
      <w:bookmarkEnd w:id="143"/>
      <w:bookmarkEnd w:id="144"/>
      <w:bookmarkEnd w:id="145"/>
      <w:r w:rsidRPr="00CD3ADD">
        <w:t xml:space="preserve"> </w:t>
      </w:r>
    </w:p>
    <w:p w:rsidR="00444220" w:rsidRPr="00CD3ADD" w:rsidRDefault="00444220" w:rsidP="00444220">
      <w:pPr>
        <w:pStyle w:val="ParaNum"/>
        <w:tabs>
          <w:tab w:val="clear" w:pos="1440"/>
        </w:tabs>
      </w:pPr>
      <w:r w:rsidRPr="114D192B">
        <w:t xml:space="preserve">In light of the proposed changes to the toll free number assignment methodology in this </w:t>
      </w:r>
      <w:r w:rsidRPr="00493AAE">
        <w:rPr>
          <w:i/>
        </w:rPr>
        <w:t>Notice</w:t>
      </w:r>
      <w:r w:rsidRPr="114D192B">
        <w:t>, we seek comment on whether the Commission should consider changes to overall toll free number administration.  Since the Commission required designation of an impartial entity to administer toll free numbers,</w:t>
      </w:r>
      <w:r w:rsidRPr="00CD3ADD">
        <w:rPr>
          <w:rStyle w:val="FootnoteReference"/>
          <w:szCs w:val="22"/>
        </w:rPr>
        <w:footnoteReference w:id="73"/>
      </w:r>
      <w:r w:rsidRPr="114D192B">
        <w:t xml:space="preserve"> the TFNA has evolved from a Bell Operating Company operated organization, to a non-profit membership corporation.  Somos, Inc., the TFNA—organized as an independent, non-profit corporation—administers the toll free SMS.</w:t>
      </w:r>
      <w:r w:rsidRPr="114D192B">
        <w:rPr>
          <w:rStyle w:val="FootnoteReference"/>
        </w:rPr>
        <w:footnoteReference w:id="74"/>
      </w:r>
      <w:r w:rsidRPr="114D192B">
        <w:t xml:space="preserve">  Somos provides access to the SMS pursuant to the SMS Tariff that sets forth the regulations, rates, and charges applicable to SMS services, and describes the fea</w:t>
      </w:r>
      <w:r>
        <w:t>tures and functions of the SMS.</w:t>
      </w:r>
      <w:r w:rsidRPr="00CD3ADD">
        <w:rPr>
          <w:rStyle w:val="FootnoteReference"/>
          <w:szCs w:val="22"/>
        </w:rPr>
        <w:footnoteReference w:id="75"/>
      </w:r>
    </w:p>
    <w:p w:rsidR="00444220" w:rsidRDefault="00444220" w:rsidP="00444220">
      <w:pPr>
        <w:pStyle w:val="ParaNum"/>
        <w:tabs>
          <w:tab w:val="clear" w:pos="1440"/>
        </w:tabs>
      </w:pPr>
      <w:r w:rsidRPr="00493AAE">
        <w:rPr>
          <w:i/>
        </w:rPr>
        <w:t>SMS 800 Tariff</w:t>
      </w:r>
      <w:r w:rsidRPr="114D192B">
        <w:t xml:space="preserve">.  </w:t>
      </w:r>
      <w:r>
        <w:t>Should</w:t>
      </w:r>
      <w:r w:rsidRPr="114D192B">
        <w:t xml:space="preserve"> we consider a different mechanism for toll free number administration than the tariff mechanism described above?  The TFNA currently files a tariff</w:t>
      </w:r>
      <w:r w:rsidRPr="00DA674F">
        <w:rPr>
          <w:rStyle w:val="FootnoteReference"/>
          <w:szCs w:val="22"/>
        </w:rPr>
        <w:footnoteReference w:id="76"/>
      </w:r>
      <w:r w:rsidRPr="114D192B">
        <w:t xml:space="preserve"> that outlines the features and functions of the SMS, establishes RespOrg responsibilities and eligibility criteria, and sets forth the rates for service.</w:t>
      </w:r>
      <w:r w:rsidRPr="00DA674F">
        <w:rPr>
          <w:rStyle w:val="FootnoteReference"/>
          <w:szCs w:val="22"/>
        </w:rPr>
        <w:footnoteReference w:id="77"/>
      </w:r>
      <w:r w:rsidRPr="114D192B">
        <w:t xml:space="preserve">  The tariff also lists both the monthly and non-recurring charges for database access and other SMS services.  In the </w:t>
      </w:r>
      <w:r w:rsidRPr="00493AAE">
        <w:rPr>
          <w:i/>
        </w:rPr>
        <w:t>1993 CompTel Declaratory Ruling</w:t>
      </w:r>
      <w:r w:rsidRPr="114D192B">
        <w:t xml:space="preserve">, the Commission declared that RespOrg access to </w:t>
      </w:r>
      <w:r>
        <w:t xml:space="preserve">the </w:t>
      </w:r>
      <w:r w:rsidRPr="114D192B">
        <w:t>SMS database “is a Title II common carrier service and shall be provided subject to tariff.”</w:t>
      </w:r>
      <w:r w:rsidRPr="00DA674F">
        <w:rPr>
          <w:rStyle w:val="FootnoteReference"/>
          <w:szCs w:val="22"/>
        </w:rPr>
        <w:footnoteReference w:id="78"/>
      </w:r>
      <w:r w:rsidRPr="114D192B">
        <w:t xml:space="preserve">  Subsequently, in 2013, the Commission found that the reorganized toll free administrator, now Somos, met the neutrality requirements required by section 251(e) of the Act and the Commission’s rules, so long as it files and maintains the tariff.</w:t>
      </w:r>
      <w:r w:rsidRPr="00DA674F">
        <w:rPr>
          <w:rStyle w:val="FootnoteReference"/>
          <w:szCs w:val="22"/>
        </w:rPr>
        <w:footnoteReference w:id="79"/>
      </w:r>
      <w:r w:rsidRPr="114D192B">
        <w:t xml:space="preserve">  </w:t>
      </w:r>
    </w:p>
    <w:p w:rsidR="00444220" w:rsidRPr="00DA674F" w:rsidRDefault="00444220" w:rsidP="00444220">
      <w:pPr>
        <w:pStyle w:val="ParaNum"/>
        <w:tabs>
          <w:tab w:val="clear" w:pos="1440"/>
        </w:tabs>
      </w:pPr>
      <w:r w:rsidRPr="114D192B">
        <w:t xml:space="preserve">Should the Commission consider </w:t>
      </w:r>
      <w:r>
        <w:t xml:space="preserve">a </w:t>
      </w:r>
      <w:r w:rsidRPr="114D192B">
        <w:t>different regulatory treatment for SMS service?</w:t>
      </w:r>
      <w:r>
        <w:t xml:space="preserve">  How, given the central role of the TFNA in the administration of toll free numbers, would we ensure the public is protected from unreasonable rates, terms, and conditions?  </w:t>
      </w:r>
      <w:r w:rsidRPr="114D192B">
        <w:t>Alternatively, if the Commission adheres to the current TFNA model, including its filing of a tariff, should the Commission require more transparency in Somos’s operations and budget?  Are there other ways to make Somos</w:t>
      </w:r>
      <w:r>
        <w:t>’s</w:t>
      </w:r>
      <w:r w:rsidRPr="114D192B">
        <w:t xml:space="preserve"> </w:t>
      </w:r>
      <w:r>
        <w:t>financial information</w:t>
      </w:r>
      <w:r w:rsidRPr="114D192B">
        <w:t xml:space="preserve"> more transparent?  Although the </w:t>
      </w:r>
      <w:r>
        <w:t xml:space="preserve">public </w:t>
      </w:r>
      <w:r w:rsidRPr="114D192B">
        <w:t xml:space="preserve">tariff outlines Somos’s general operating procedures, </w:t>
      </w:r>
      <w:r>
        <w:t>certain information may be difficult to discern and other information is provided to the Commission under confidential cover</w:t>
      </w:r>
      <w:r w:rsidRPr="114D192B">
        <w:t>.</w:t>
      </w:r>
      <w:r w:rsidRPr="00DA674F">
        <w:rPr>
          <w:rStyle w:val="FootnoteReference"/>
          <w:szCs w:val="22"/>
        </w:rPr>
        <w:footnoteReference w:id="80"/>
      </w:r>
      <w:r w:rsidRPr="114D192B">
        <w:t xml:space="preserve">  As a non-profit organization, Somos is only allowed to recover operating costs.</w:t>
      </w:r>
      <w:r>
        <w:rPr>
          <w:rStyle w:val="FootnoteReference"/>
        </w:rPr>
        <w:footnoteReference w:id="81"/>
      </w:r>
      <w:r w:rsidRPr="114D192B">
        <w:t xml:space="preserve">  Part of the Commission’s rationale in allowing Somos to reorganize as a non-profit membership was “any savings realized as a result of SMS/800, Inc.’s corporate restructuring is likely to be reflected in lower tariffed rates for RespOrgs, which should in turn lead to lower charges for toll free subscribers.”</w:t>
      </w:r>
      <w:r w:rsidRPr="00DA674F">
        <w:rPr>
          <w:rStyle w:val="FootnoteReference"/>
          <w:szCs w:val="22"/>
        </w:rPr>
        <w:footnoteReference w:id="82"/>
      </w:r>
      <w:r w:rsidRPr="114D192B">
        <w:t xml:space="preserve">  </w:t>
      </w:r>
      <w:r>
        <w:t>Would a more transparent, or itemized accounting of Somos’s costs further this goal and also better inform RespOrgs and subscribers of the costs of acquiring toll free numbers?  We seek comment and ideas from industry on the roles of the TFNA and tariff as an important means to help us modernize toll free number assignment.</w:t>
      </w:r>
    </w:p>
    <w:p w:rsidR="00444220" w:rsidRPr="00DA674F" w:rsidRDefault="00444220" w:rsidP="00444220">
      <w:pPr>
        <w:pStyle w:val="Heading2"/>
      </w:pPr>
      <w:bookmarkStart w:id="146" w:name="_Toc491333927"/>
      <w:bookmarkStart w:id="147" w:name="_Toc491334444"/>
      <w:bookmarkStart w:id="148" w:name="_Toc491334759"/>
      <w:bookmarkStart w:id="149" w:name="_Toc491355021"/>
      <w:bookmarkStart w:id="150" w:name="_Toc491360019"/>
      <w:bookmarkStart w:id="151" w:name="_Toc492379147"/>
      <w:bookmarkStart w:id="152" w:name="_Toc492384467"/>
      <w:bookmarkStart w:id="153" w:name="_Toc492462147"/>
      <w:bookmarkStart w:id="154" w:name="_Toc492464354"/>
      <w:bookmarkStart w:id="155" w:name="_Toc494177076"/>
      <w:r w:rsidRPr="00DA674F">
        <w:t>Legal Authority</w:t>
      </w:r>
      <w:bookmarkEnd w:id="146"/>
      <w:bookmarkEnd w:id="147"/>
      <w:bookmarkEnd w:id="148"/>
      <w:bookmarkEnd w:id="149"/>
      <w:bookmarkEnd w:id="150"/>
      <w:bookmarkEnd w:id="151"/>
      <w:bookmarkEnd w:id="152"/>
      <w:bookmarkEnd w:id="153"/>
      <w:bookmarkEnd w:id="154"/>
      <w:bookmarkEnd w:id="155"/>
    </w:p>
    <w:p w:rsidR="00444220" w:rsidRDefault="00444220" w:rsidP="00444220">
      <w:pPr>
        <w:pStyle w:val="ParaNum"/>
        <w:tabs>
          <w:tab w:val="clear" w:pos="1440"/>
        </w:tabs>
      </w:pPr>
      <w:r>
        <w:t xml:space="preserve">The Commission has consistently found that the Act </w:t>
      </w:r>
      <w:r w:rsidRPr="114D192B">
        <w:t>require</w:t>
      </w:r>
      <w:r>
        <w:t>s</w:t>
      </w:r>
      <w:r w:rsidRPr="114D192B">
        <w:t xml:space="preserve"> the Commission to ensure the </w:t>
      </w:r>
      <w:r>
        <w:t xml:space="preserve">equitable, </w:t>
      </w:r>
      <w:r w:rsidRPr="114D192B">
        <w:t xml:space="preserve">efficient, and orderly </w:t>
      </w:r>
      <w:r>
        <w:t>assignment</w:t>
      </w:r>
      <w:r w:rsidRPr="114D192B">
        <w:t xml:space="preserve"> of toll free numbers.</w:t>
      </w:r>
      <w:r w:rsidRPr="00DA674F">
        <w:rPr>
          <w:rStyle w:val="FootnoteReference"/>
          <w:szCs w:val="22"/>
        </w:rPr>
        <w:footnoteReference w:id="83"/>
      </w:r>
      <w:r w:rsidRPr="114D192B">
        <w:t xml:space="preserve">  </w:t>
      </w:r>
      <w:r>
        <w:t>As noted above, s</w:t>
      </w:r>
      <w:r w:rsidRPr="114D192B">
        <w:t>ection 251(e)(1) of the Act gives the Commission “exclusive jurisdiction over those portions of the North American Numbering Plan that pertain to the United States” and provides that numbers must be made “available on an equitable basis.”</w:t>
      </w:r>
      <w:r w:rsidRPr="114D192B">
        <w:rPr>
          <w:vertAlign w:val="superscript"/>
        </w:rPr>
        <w:footnoteReference w:id="84"/>
      </w:r>
      <w:r w:rsidRPr="114D192B">
        <w:t xml:space="preserve">  </w:t>
      </w:r>
      <w:r>
        <w:t>Accordingly, t</w:t>
      </w:r>
      <w:r w:rsidRPr="114D192B">
        <w:t>he Commission retains “authority to set policy with respect to all facets of numbering administration in the United States.”</w:t>
      </w:r>
      <w:r w:rsidRPr="00DA674F">
        <w:rPr>
          <w:rStyle w:val="FootnoteReference"/>
          <w:szCs w:val="22"/>
        </w:rPr>
        <w:footnoteReference w:id="85"/>
      </w:r>
      <w:r w:rsidRPr="114D192B">
        <w:t xml:space="preserve">  </w:t>
      </w:r>
      <w:r>
        <w:t>In addition, the Commission has stated that s</w:t>
      </w:r>
      <w:r w:rsidRPr="114D192B">
        <w:t>ections 201(b) and 251(e)(1) of the Act “empower the Commission to ensure that toll free numbers, which are a scarce and valuable national public resource, are allocated in an equitable and orderly manner that serves the public interest.”</w:t>
      </w:r>
      <w:r w:rsidRPr="00DA674F">
        <w:rPr>
          <w:rStyle w:val="FootnoteReference"/>
          <w:szCs w:val="22"/>
        </w:rPr>
        <w:footnoteReference w:id="86"/>
      </w:r>
      <w:r>
        <w:t xml:space="preserve">  </w:t>
      </w:r>
      <w:r w:rsidRPr="114D192B">
        <w:t>This exclusive jurisdiction over numbering policy enables the Commission to act flexibly and expeditiously on important numbering matters.</w:t>
      </w:r>
      <w:r w:rsidRPr="114D192B">
        <w:rPr>
          <w:vertAlign w:val="superscript"/>
        </w:rPr>
        <w:footnoteReference w:id="87"/>
      </w:r>
      <w:r w:rsidRPr="114D192B">
        <w:t xml:space="preserve">  </w:t>
      </w:r>
      <w:r>
        <w:t>We note the Commission has also relied on sections 1 and 4(i) of the Act</w:t>
      </w:r>
      <w:r>
        <w:rPr>
          <w:rStyle w:val="FootnoteReference"/>
        </w:rPr>
        <w:footnoteReference w:id="88"/>
      </w:r>
      <w:r>
        <w:t xml:space="preserve"> to assign toll free numbers on an equitable and efficient basis.</w:t>
      </w:r>
      <w:r>
        <w:rPr>
          <w:rStyle w:val="FootnoteReference"/>
        </w:rPr>
        <w:footnoteReference w:id="89"/>
      </w:r>
    </w:p>
    <w:p w:rsidR="00444220" w:rsidRPr="00F772C6" w:rsidRDefault="00444220" w:rsidP="00444220">
      <w:pPr>
        <w:pStyle w:val="ParaNum"/>
        <w:tabs>
          <w:tab w:val="clear" w:pos="1440"/>
        </w:tabs>
      </w:pPr>
      <w:r w:rsidRPr="114D192B">
        <w:t>The Commission has promulgated toll free number rules to satisfy these congressional mandates</w:t>
      </w:r>
      <w:r>
        <w:t>.</w:t>
      </w:r>
      <w:r>
        <w:rPr>
          <w:rStyle w:val="FootnoteReference"/>
        </w:rPr>
        <w:footnoteReference w:id="90"/>
      </w:r>
      <w:r>
        <w:t xml:space="preserve">  T</w:t>
      </w:r>
      <w:r w:rsidRPr="114D192B">
        <w:t xml:space="preserve">he proposed actions in this </w:t>
      </w:r>
      <w:r w:rsidRPr="00493AAE">
        <w:rPr>
          <w:i/>
        </w:rPr>
        <w:t>Notice</w:t>
      </w:r>
      <w:r w:rsidRPr="114D192B">
        <w:t>—</w:t>
      </w:r>
      <w:r>
        <w:t xml:space="preserve">including the proposal to use </w:t>
      </w:r>
      <w:r w:rsidRPr="114D192B">
        <w:t>a new simple, low-cost auction method of assigning toll free numbers; and modifications to our current rules to allow a secondary market for toll free numbers that would support market forces after a code opening—are intended to further and better satisfy these mandates.</w:t>
      </w:r>
      <w:r>
        <w:t xml:space="preserve">  </w:t>
      </w:r>
    </w:p>
    <w:p w:rsidR="00444220" w:rsidRDefault="00444220" w:rsidP="00444220">
      <w:pPr>
        <w:pStyle w:val="ParaNum"/>
        <w:tabs>
          <w:tab w:val="clear" w:pos="1440"/>
        </w:tabs>
      </w:pPr>
      <w:bookmarkStart w:id="156" w:name="_Toc482278978"/>
      <w:bookmarkStart w:id="157" w:name="_Toc482711304"/>
      <w:bookmarkStart w:id="158" w:name="_Toc482869861"/>
      <w:bookmarkStart w:id="159" w:name="_Toc483387737"/>
      <w:bookmarkStart w:id="160" w:name="_Toc484769475"/>
      <w:bookmarkStart w:id="161" w:name="_Toc484794781"/>
      <w:bookmarkStart w:id="162" w:name="_Toc485133327"/>
      <w:bookmarkStart w:id="163" w:name="_Toc485298381"/>
      <w:bookmarkStart w:id="164" w:name="_Toc485368597"/>
      <w:bookmarkStart w:id="165" w:name="_Toc485386749"/>
      <w:bookmarkStart w:id="166" w:name="_Toc485659140"/>
      <w:bookmarkStart w:id="167" w:name="_Toc491333928"/>
      <w:bookmarkStart w:id="168" w:name="_Toc491334445"/>
      <w:bookmarkStart w:id="169" w:name="_Toc491334760"/>
      <w:bookmarkStart w:id="170" w:name="_Toc491355022"/>
      <w:bookmarkStart w:id="171" w:name="_Toc491360020"/>
      <w:bookmarkStart w:id="172" w:name="_Toc492379148"/>
      <w:bookmarkStart w:id="173" w:name="_Toc492384468"/>
      <w:bookmarkStart w:id="174" w:name="_Toc492462148"/>
      <w:bookmarkStart w:id="175" w:name="_Toc492464355"/>
      <w:r>
        <w:t xml:space="preserve">As we noted in the background section of this </w:t>
      </w:r>
      <w:r w:rsidRPr="00232711">
        <w:rPr>
          <w:i/>
        </w:rPr>
        <w:t>Notice</w:t>
      </w:r>
      <w:r>
        <w:t>, in 1998, t</w:t>
      </w:r>
      <w:r w:rsidRPr="008212E2">
        <w:t xml:space="preserve">he Commission </w:t>
      </w:r>
      <w:r>
        <w:t xml:space="preserve">previously </w:t>
      </w:r>
      <w:r w:rsidRPr="008212E2">
        <w:t xml:space="preserve">considered </w:t>
      </w:r>
      <w:r>
        <w:t xml:space="preserve">using </w:t>
      </w:r>
      <w:r w:rsidRPr="008212E2">
        <w:t xml:space="preserve">an auction approach to </w:t>
      </w:r>
      <w:r>
        <w:t xml:space="preserve">toll free number assignment.  In the </w:t>
      </w:r>
      <w:r w:rsidRPr="00FA6B46">
        <w:rPr>
          <w:i/>
        </w:rPr>
        <w:t>1998 Toll Free</w:t>
      </w:r>
      <w:r>
        <w:t xml:space="preserve"> </w:t>
      </w:r>
      <w:r w:rsidRPr="00FA6B46">
        <w:rPr>
          <w:i/>
        </w:rPr>
        <w:t>Order</w:t>
      </w:r>
      <w:r>
        <w:t xml:space="preserve">, the Commission recognized that auctions are both an equitable </w:t>
      </w:r>
      <w:r w:rsidRPr="008212E2">
        <w:t xml:space="preserve"> </w:t>
      </w:r>
      <w:r>
        <w:t xml:space="preserve">and a </w:t>
      </w:r>
      <w:r w:rsidRPr="008212E2">
        <w:t>“generally efficient”</w:t>
      </w:r>
      <w:r>
        <w:t xml:space="preserve"> assignment mechanism.”</w:t>
      </w:r>
      <w:r>
        <w:rPr>
          <w:rStyle w:val="FootnoteReference"/>
        </w:rPr>
        <w:footnoteReference w:id="91"/>
      </w:r>
      <w:r>
        <w:t xml:space="preserve">  At that time, however, the Commission </w:t>
      </w:r>
      <w:r w:rsidRPr="008212E2">
        <w:t>could not say “based on the present record that auctions of vanity numbers would produce efficiencies that would outweigh the practical difficulties,” such as cost, administration, and impact on the international membership of the NANP.</w:t>
      </w:r>
      <w:r w:rsidRPr="008212E2">
        <w:rPr>
          <w:vertAlign w:val="superscript"/>
        </w:rPr>
        <w:footnoteReference w:id="92"/>
      </w:r>
      <w:r>
        <w:t xml:space="preserve">  Our proposal to implement auctions for mutually exclusive toll free numbers is consistent with the Commission’s previous finding that auctions are generally equitable and efficient.  We believe that auctions would now be a more equitable and efficient approach to assignment of mutually exclusive toll free numbers and that the benefits of such auctions would outweigh any practical difficulties.  We seek comment on this assessment.  With nearly two more decades of experience and increased demand for toll free numbers, we seek to develop a new record which we believe will show that the efficiencies produced by the proposed auction will outweigh any practical difficulties.</w:t>
      </w:r>
    </w:p>
    <w:p w:rsidR="00444220" w:rsidRPr="00F772C6" w:rsidRDefault="00444220" w:rsidP="00444220">
      <w:pPr>
        <w:pStyle w:val="ParaNum"/>
        <w:tabs>
          <w:tab w:val="clear" w:pos="1440"/>
        </w:tabs>
      </w:pPr>
      <w:r w:rsidRPr="114D192B">
        <w:t xml:space="preserve">For the reasons previously discussed in this </w:t>
      </w:r>
      <w:r w:rsidRPr="00493AAE">
        <w:rPr>
          <w:i/>
        </w:rPr>
        <w:t>Notice</w:t>
      </w:r>
      <w:r w:rsidRPr="114D192B">
        <w:t xml:space="preserve">, </w:t>
      </w:r>
      <w:r>
        <w:t xml:space="preserve">we believe the proposals herein </w:t>
      </w:r>
      <w:r w:rsidRPr="114D192B">
        <w:t>are consistent with and further the Commission’s statutory mandate to make “numbers available on an equitable basis.”</w:t>
      </w:r>
      <w:r w:rsidRPr="00DA674F">
        <w:rPr>
          <w:rStyle w:val="FootnoteReference"/>
          <w:szCs w:val="22"/>
        </w:rPr>
        <w:footnoteReference w:id="93"/>
      </w:r>
      <w:r w:rsidRPr="114D192B">
        <w:t xml:space="preserve">  These proposals include a more efficient and market-driven approach to assigning toll free numbers, better promote productive use of numbers, and reflect current market realities.  We invite comment on </w:t>
      </w:r>
      <w:r>
        <w:t>the sources of authority discussed above</w:t>
      </w:r>
      <w:r w:rsidRPr="114D192B">
        <w:t>.</w:t>
      </w:r>
    </w:p>
    <w:p w:rsidR="00444220" w:rsidRPr="00DA674F" w:rsidRDefault="00444220" w:rsidP="00444220">
      <w:pPr>
        <w:pStyle w:val="Heading1"/>
        <w:tabs>
          <w:tab w:val="num" w:pos="720"/>
        </w:tabs>
        <w:rPr>
          <w:rFonts w:ascii="Times New Roman" w:hAnsi="Times New Roman"/>
        </w:rPr>
      </w:pPr>
      <w:bookmarkStart w:id="176" w:name="_Toc494177077"/>
      <w:r w:rsidRPr="114D192B">
        <w:rPr>
          <w:rFonts w:ascii="Times New Roman" w:hAnsi="Times New Roman"/>
        </w:rPr>
        <w:t>Procedural Matters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444220" w:rsidRPr="00DA674F" w:rsidRDefault="00444220" w:rsidP="00444220">
      <w:pPr>
        <w:pStyle w:val="Heading2"/>
      </w:pPr>
      <w:bookmarkStart w:id="177" w:name="_Toc482278980"/>
      <w:bookmarkStart w:id="178" w:name="_Toc482711306"/>
      <w:bookmarkStart w:id="179" w:name="_Toc482869863"/>
      <w:bookmarkStart w:id="180" w:name="_Toc483387739"/>
      <w:bookmarkStart w:id="181" w:name="_Toc484769477"/>
      <w:bookmarkStart w:id="182" w:name="_Toc484794783"/>
      <w:bookmarkStart w:id="183" w:name="_Toc485133329"/>
      <w:bookmarkStart w:id="184" w:name="_Toc485298383"/>
      <w:bookmarkStart w:id="185" w:name="_Toc485368599"/>
      <w:bookmarkStart w:id="186" w:name="_Toc485386751"/>
      <w:bookmarkStart w:id="187" w:name="_Toc485659142"/>
      <w:bookmarkStart w:id="188" w:name="_Toc491333929"/>
      <w:bookmarkStart w:id="189" w:name="_Toc491334446"/>
      <w:bookmarkStart w:id="190" w:name="_Toc491334761"/>
      <w:bookmarkStart w:id="191" w:name="_Toc491355023"/>
      <w:bookmarkStart w:id="192" w:name="_Toc491360021"/>
      <w:bookmarkStart w:id="193" w:name="_Toc492379149"/>
      <w:bookmarkStart w:id="194" w:name="_Toc492384469"/>
      <w:bookmarkStart w:id="195" w:name="_Toc492462149"/>
      <w:bookmarkStart w:id="196" w:name="_Toc492464356"/>
      <w:bookmarkStart w:id="197" w:name="_Toc494177078"/>
      <w:r w:rsidRPr="00DA674F">
        <w:t>Comment Filing Procedures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444220" w:rsidRPr="00DA674F" w:rsidRDefault="00444220" w:rsidP="00444220">
      <w:pPr>
        <w:pStyle w:val="ParaNum"/>
        <w:tabs>
          <w:tab w:val="clear" w:pos="1440"/>
        </w:tabs>
      </w:pPr>
      <w:r w:rsidRPr="114D192B">
        <w:t>Pursuant to sections 1.415 and 1.419 of the Commission’s rules, 47 CFR §§ 1.415, 1.419, interested parties may file comments and reply comments on or before the dates indicated on the first page of this document in Dockets WC 17-192, and CC 95-155.  Comments may be filed using the Commission’s Electronic Comment Filing System (ECFS).</w:t>
      </w:r>
      <w:r w:rsidRPr="00DA674F">
        <w:rPr>
          <w:rStyle w:val="FootnoteReference"/>
          <w:szCs w:val="22"/>
        </w:rPr>
        <w:footnoteReference w:id="94"/>
      </w:r>
      <w:r w:rsidRPr="114D192B">
        <w:t xml:space="preserve">  </w:t>
      </w:r>
      <w:r w:rsidRPr="00493AAE">
        <w:rPr>
          <w:i/>
        </w:rPr>
        <w:t>See Electronic Filing of Documents in Rulemaking Proceedings</w:t>
      </w:r>
      <w:r w:rsidRPr="114D192B">
        <w:t>, 63 FR 24121 (1998).</w:t>
      </w:r>
    </w:p>
    <w:p w:rsidR="00444220" w:rsidRPr="00DA674F" w:rsidRDefault="00444220" w:rsidP="00444220">
      <w:pPr>
        <w:pStyle w:val="ParaNum"/>
        <w:numPr>
          <w:ilvl w:val="0"/>
          <w:numId w:val="8"/>
        </w:numPr>
        <w:ind w:left="1080"/>
      </w:pPr>
      <w:r w:rsidRPr="00493AAE">
        <w:rPr>
          <w:i/>
        </w:rPr>
        <w:t>Electronic Filers</w:t>
      </w:r>
      <w:r>
        <w:t xml:space="preserve">: Comments may be filed electronically using the Internet by accessing the ECFS: </w:t>
      </w:r>
      <w:hyperlink r:id="rId8">
        <w:r w:rsidRPr="114D192B">
          <w:rPr>
            <w:rStyle w:val="Hyperlink"/>
          </w:rPr>
          <w:t>http://apps.fcc.gov/ecfs/</w:t>
        </w:r>
      </w:hyperlink>
    </w:p>
    <w:p w:rsidR="00444220" w:rsidRPr="00DA674F" w:rsidRDefault="00444220" w:rsidP="00444220">
      <w:pPr>
        <w:pStyle w:val="ParaNum"/>
        <w:numPr>
          <w:ilvl w:val="0"/>
          <w:numId w:val="8"/>
        </w:numPr>
        <w:ind w:left="1080"/>
      </w:pPr>
      <w:r w:rsidRPr="00493AAE">
        <w:rPr>
          <w:i/>
        </w:rPr>
        <w:t>Paper Filers</w:t>
      </w:r>
      <w:r>
        <w:t xml:space="preserve">: Parties who choose to file by paper must file an original and one copy of each filing.  If more than one docket or rulemaking number appears in the caption of this proceeding, filers must submit two additional copies for each additional docket or rulemaking number.  </w:t>
      </w:r>
    </w:p>
    <w:p w:rsidR="00444220" w:rsidRPr="00DA674F" w:rsidRDefault="00444220" w:rsidP="00444220">
      <w:pPr>
        <w:pStyle w:val="ParaNum"/>
        <w:numPr>
          <w:ilvl w:val="0"/>
          <w:numId w:val="0"/>
        </w:numPr>
        <w:ind w:left="1080"/>
        <w:rPr>
          <w:szCs w:val="22"/>
        </w:rPr>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444220" w:rsidRPr="00DA674F" w:rsidRDefault="00444220" w:rsidP="00444220">
      <w:pPr>
        <w:pStyle w:val="ParaNum"/>
        <w:numPr>
          <w:ilvl w:val="1"/>
          <w:numId w:val="9"/>
        </w:numPr>
        <w:ind w:left="1800"/>
      </w:pPr>
      <w:r>
        <w:t>All hand-delivered or messenger-delivered paper filings for the Commission’s Secretary must be delivered to FCC Headquarters at 445 12</w:t>
      </w:r>
      <w:r w:rsidRPr="114D192B">
        <w:rPr>
          <w:vertAlign w:val="superscript"/>
        </w:rPr>
        <w:t>th</w:t>
      </w:r>
      <w:r>
        <w:t xml:space="preserve"> St., SW, Room TW-A325, Washington, DC 20554.  The filing hours are 8:00 a.m. to 7:00 p.m.  All hand deliveries must be held together with rubber bands or fasteners.  Any envelopes and boxes must be disposed of </w:t>
      </w:r>
      <w:r w:rsidRPr="114D192B">
        <w:rPr>
          <w:u w:val="single"/>
        </w:rPr>
        <w:t>before</w:t>
      </w:r>
      <w:r>
        <w:t xml:space="preserve"> entering the building.</w:t>
      </w:r>
    </w:p>
    <w:p w:rsidR="00444220" w:rsidRPr="00DA674F" w:rsidRDefault="00444220" w:rsidP="00444220">
      <w:pPr>
        <w:pStyle w:val="ParaNum"/>
        <w:numPr>
          <w:ilvl w:val="1"/>
          <w:numId w:val="9"/>
        </w:numPr>
        <w:ind w:left="1800"/>
      </w:pPr>
      <w:r w:rsidRPr="00602F47">
        <w:t>Commercial overnight mail (other than U.S. Postal Service Express Mail and Priority Mail) must be sent to 9050 Junction Drive, Annapolis Junction, MD 20701.</w:t>
      </w:r>
    </w:p>
    <w:p w:rsidR="00444220" w:rsidRPr="00DA674F" w:rsidRDefault="00444220" w:rsidP="00444220">
      <w:pPr>
        <w:pStyle w:val="ParaNum"/>
        <w:numPr>
          <w:ilvl w:val="1"/>
          <w:numId w:val="9"/>
        </w:numPr>
        <w:ind w:left="1800"/>
      </w:pPr>
      <w:r>
        <w:t>U.S. Postal Service first-class, Express, and Priority mail must be addressed to 445 12</w:t>
      </w:r>
      <w:r w:rsidRPr="114D192B">
        <w:rPr>
          <w:vertAlign w:val="superscript"/>
        </w:rPr>
        <w:t>th</w:t>
      </w:r>
      <w:r>
        <w:t xml:space="preserve"> Street, SW, Washington DC 20554.</w:t>
      </w:r>
    </w:p>
    <w:p w:rsidR="00444220" w:rsidRPr="005649EF" w:rsidRDefault="00444220" w:rsidP="00444220">
      <w:pPr>
        <w:pStyle w:val="ParaNum"/>
        <w:numPr>
          <w:ilvl w:val="0"/>
          <w:numId w:val="8"/>
        </w:numPr>
        <w:ind w:left="1080"/>
      </w:pPr>
      <w:r w:rsidRPr="00493AAE">
        <w:rPr>
          <w:i/>
        </w:rPr>
        <w:t>People with Disabilities</w:t>
      </w:r>
      <w:r>
        <w:t xml:space="preserve">:  To request materials in accessible formats for people with disabilities (braille, large print, electronic files, audio format), send an email to </w:t>
      </w:r>
      <w:hyperlink r:id="rId9">
        <w:r w:rsidRPr="114D192B">
          <w:rPr>
            <w:rStyle w:val="Hyperlink"/>
          </w:rPr>
          <w:t>fcc504@fcc.gov</w:t>
        </w:r>
      </w:hyperlink>
      <w:r>
        <w:t xml:space="preserve"> or call the Consumer &amp; Governmental Affairs Bureau at 202-418-0530 (voice), 202-418-0432 (TTY).</w:t>
      </w:r>
    </w:p>
    <w:p w:rsidR="00444220" w:rsidRPr="00DA674F" w:rsidRDefault="00444220" w:rsidP="0072390A">
      <w:pPr>
        <w:pStyle w:val="ParaNum"/>
        <w:widowControl/>
        <w:tabs>
          <w:tab w:val="clear" w:pos="1440"/>
        </w:tabs>
      </w:pPr>
      <w:r w:rsidRPr="00DA674F">
        <w:t xml:space="preserve">This proceeding shall be treated as a “permit-but-disclose” proceeding in accordance with the </w:t>
      </w:r>
      <w:r w:rsidRPr="114D192B">
        <w:t>Commission’s</w:t>
      </w:r>
      <w:r w:rsidRPr="00DA674F">
        <w:t xml:space="preserve"> </w:t>
      </w:r>
      <w:r w:rsidRPr="00DA674F">
        <w:rPr>
          <w:i/>
          <w:iCs/>
        </w:rPr>
        <w:t xml:space="preserve">ex parte </w:t>
      </w:r>
      <w:r w:rsidRPr="00DA674F">
        <w:t>rules.</w:t>
      </w:r>
      <w:r w:rsidRPr="00DA674F">
        <w:rPr>
          <w:vertAlign w:val="superscript"/>
        </w:rPr>
        <w:footnoteReference w:id="95"/>
      </w:r>
      <w:r w:rsidRPr="00DA674F">
        <w:t xml:space="preserve">  Persons making </w:t>
      </w:r>
      <w:r w:rsidRPr="00493AAE">
        <w:rPr>
          <w:i/>
        </w:rPr>
        <w:t xml:space="preserve">ex parte </w:t>
      </w:r>
      <w:r w:rsidRPr="00DA674F">
        <w:t>presentations must file a copy of any written presentation or a memorandum summarizing any oral presentation within two business days after the presentation (</w:t>
      </w:r>
      <w:r w:rsidRPr="00ED0B4E">
        <w:t>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w:t>
      </w:r>
      <w:r w:rsidRPr="00DA674F">
        <w:t xml:space="preserve"> and must be filed consistent with rule 1.1206(b).  In proceedings governed by Rule 1.49(f) or for which the Commission has made available a method of electronic filing, written </w:t>
      </w:r>
      <w:r w:rsidRPr="00DA674F">
        <w:rPr>
          <w:i/>
          <w:iCs/>
        </w:rPr>
        <w:t xml:space="preserve">ex parte </w:t>
      </w:r>
      <w:r w:rsidRPr="00DA674F">
        <w:t xml:space="preserve">presentations and memoranda summarizing oral </w:t>
      </w:r>
      <w:r w:rsidRPr="00DA674F">
        <w:rPr>
          <w:i/>
          <w:iCs/>
        </w:rPr>
        <w:t xml:space="preserve">ex parte </w:t>
      </w:r>
      <w:r w:rsidRPr="00DA674F">
        <w:t>presentations, and all attachments thereto, must be filed through the electronic comment filing system available for that proceeding, and must be filed in their native format (</w:t>
      </w:r>
      <w:r w:rsidRPr="00DA674F">
        <w:rPr>
          <w:i/>
          <w:iCs/>
        </w:rPr>
        <w:t>e.g.</w:t>
      </w:r>
      <w:r w:rsidRPr="00DA674F">
        <w:t xml:space="preserve">, .doc, .xml, .ppt, searchable .pdf).  Participants in this proceeding should familiarize themselves with the Commission’s </w:t>
      </w:r>
      <w:r w:rsidRPr="00DA674F">
        <w:rPr>
          <w:i/>
          <w:iCs/>
        </w:rPr>
        <w:t xml:space="preserve">ex parte </w:t>
      </w:r>
      <w:r w:rsidRPr="00DA674F">
        <w:t>rules.</w:t>
      </w:r>
    </w:p>
    <w:p w:rsidR="00444220" w:rsidRPr="00DA674F" w:rsidRDefault="00444220" w:rsidP="00444220">
      <w:pPr>
        <w:pStyle w:val="Heading2"/>
      </w:pPr>
      <w:bookmarkStart w:id="198" w:name="_Toc482278982"/>
      <w:bookmarkStart w:id="199" w:name="_Toc482711308"/>
      <w:bookmarkStart w:id="200" w:name="_Toc482869864"/>
      <w:bookmarkStart w:id="201" w:name="_Toc483387740"/>
      <w:bookmarkStart w:id="202" w:name="_Toc484769478"/>
      <w:bookmarkStart w:id="203" w:name="_Toc484794784"/>
      <w:bookmarkStart w:id="204" w:name="_Toc485133330"/>
      <w:bookmarkStart w:id="205" w:name="_Toc485298384"/>
      <w:bookmarkStart w:id="206" w:name="_Toc485368600"/>
      <w:bookmarkStart w:id="207" w:name="_Toc485386752"/>
      <w:bookmarkStart w:id="208" w:name="_Toc485659143"/>
      <w:bookmarkStart w:id="209" w:name="_Toc491333930"/>
      <w:bookmarkStart w:id="210" w:name="_Toc491334447"/>
      <w:bookmarkStart w:id="211" w:name="_Toc491334762"/>
      <w:bookmarkStart w:id="212" w:name="_Toc491355024"/>
      <w:bookmarkStart w:id="213" w:name="_Toc491360022"/>
      <w:bookmarkStart w:id="214" w:name="_Toc492379150"/>
      <w:bookmarkStart w:id="215" w:name="_Toc492384470"/>
      <w:bookmarkStart w:id="216" w:name="_Toc492462150"/>
      <w:bookmarkStart w:id="217" w:name="_Toc492464357"/>
      <w:bookmarkStart w:id="218" w:name="_Toc494177079"/>
      <w:r w:rsidRPr="00DA674F">
        <w:t>Initial Regulatory Flexibility Analysis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rsidR="00444220" w:rsidRPr="004F24FA" w:rsidRDefault="00444220" w:rsidP="00444220">
      <w:pPr>
        <w:pStyle w:val="ParaNum"/>
        <w:tabs>
          <w:tab w:val="clear" w:pos="1440"/>
        </w:tabs>
      </w:pPr>
      <w:r w:rsidRPr="114D192B">
        <w:t>Pursuant to the Regulatory Flexibility Act (RFA),</w:t>
      </w:r>
      <w:r w:rsidRPr="00DA674F">
        <w:rPr>
          <w:rStyle w:val="FootnoteReference"/>
          <w:szCs w:val="22"/>
        </w:rPr>
        <w:footnoteReference w:id="96"/>
      </w:r>
      <w:r w:rsidRPr="114D192B">
        <w:t xml:space="preserve"> the Commission has prepared an Initial Regulatory Flexibility Analysis (IRFA) of the possible significant economic impact on small entities of the policies and actions considered in this Notice of Proposed Rulemaking.  The text of the IRFA is set forth in Appendix B.  Written public comments are requested on this IRFA.  Comments must be identified as responses to the IRFA and must be filed by the deadlines for comment on the Notice of Proposed Rulemaking.  The Commission’s Consumer and Governmental Affairs Bureau, Reference Information Center, will send a copy of this Notice of Proposed Rulemaking, including the IRFA, to the Chief Counsel for Advocacy of the Small Business Administration (SBA).</w:t>
      </w:r>
      <w:r w:rsidRPr="004F24FA">
        <w:rPr>
          <w:rStyle w:val="FootnoteReference"/>
          <w:szCs w:val="22"/>
        </w:rPr>
        <w:footnoteReference w:id="97"/>
      </w:r>
    </w:p>
    <w:p w:rsidR="00444220" w:rsidRPr="004F24FA" w:rsidRDefault="00444220" w:rsidP="00444220">
      <w:pPr>
        <w:pStyle w:val="Heading2"/>
      </w:pPr>
      <w:bookmarkStart w:id="219" w:name="_Toc482278983"/>
      <w:bookmarkStart w:id="220" w:name="_Toc482711309"/>
      <w:bookmarkStart w:id="221" w:name="_Toc482869865"/>
      <w:bookmarkStart w:id="222" w:name="_Toc483387741"/>
      <w:bookmarkStart w:id="223" w:name="_Toc484769479"/>
      <w:bookmarkStart w:id="224" w:name="_Toc484794785"/>
      <w:bookmarkStart w:id="225" w:name="_Toc485133331"/>
      <w:bookmarkStart w:id="226" w:name="_Toc485298385"/>
      <w:bookmarkStart w:id="227" w:name="_Toc485368601"/>
      <w:bookmarkStart w:id="228" w:name="_Toc485386753"/>
      <w:bookmarkStart w:id="229" w:name="_Toc485659144"/>
      <w:bookmarkStart w:id="230" w:name="_Toc491333931"/>
      <w:bookmarkStart w:id="231" w:name="_Toc491334448"/>
      <w:bookmarkStart w:id="232" w:name="_Toc491334763"/>
      <w:bookmarkStart w:id="233" w:name="_Toc491355025"/>
      <w:bookmarkStart w:id="234" w:name="_Toc491360023"/>
      <w:bookmarkStart w:id="235" w:name="_Toc492379151"/>
      <w:bookmarkStart w:id="236" w:name="_Toc492384471"/>
      <w:bookmarkStart w:id="237" w:name="_Toc492462151"/>
      <w:bookmarkStart w:id="238" w:name="_Toc492464358"/>
      <w:bookmarkStart w:id="239" w:name="_Toc494177080"/>
      <w:r w:rsidRPr="004F24FA">
        <w:t>Paperwork Reduction Act</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rsidR="00444220" w:rsidRPr="004F24FA" w:rsidRDefault="00444220" w:rsidP="00444220">
      <w:pPr>
        <w:pStyle w:val="ParaNum"/>
        <w:tabs>
          <w:tab w:val="clear" w:pos="1440"/>
        </w:tabs>
      </w:pPr>
      <w:r w:rsidRPr="114D192B">
        <w:t>This document conta</w:t>
      </w:r>
      <w:r>
        <w:t xml:space="preserve">ins proposed </w:t>
      </w:r>
      <w:r w:rsidRPr="00ED0B4E">
        <w:t>new</w:t>
      </w:r>
      <w:r w:rsidRPr="114D192B">
        <w:t xml:space="preserve">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we seek specific comment on how we might further reduce the information collection burden for small business concerns with fewer than 25 employees.</w:t>
      </w:r>
      <w:r w:rsidRPr="004F24FA">
        <w:rPr>
          <w:rStyle w:val="FootnoteReference"/>
          <w:szCs w:val="22"/>
        </w:rPr>
        <w:footnoteReference w:id="98"/>
      </w:r>
    </w:p>
    <w:p w:rsidR="00444220" w:rsidRPr="00DA674F" w:rsidRDefault="00444220" w:rsidP="00444220">
      <w:pPr>
        <w:pStyle w:val="Heading2"/>
      </w:pPr>
      <w:bookmarkStart w:id="240" w:name="_Toc482278984"/>
      <w:bookmarkStart w:id="241" w:name="_Toc482711310"/>
      <w:bookmarkStart w:id="242" w:name="_Toc482869866"/>
      <w:bookmarkStart w:id="243" w:name="_Toc483387742"/>
      <w:bookmarkStart w:id="244" w:name="_Toc484769480"/>
      <w:bookmarkStart w:id="245" w:name="_Toc484794786"/>
      <w:bookmarkStart w:id="246" w:name="_Toc485133332"/>
      <w:bookmarkStart w:id="247" w:name="_Toc485298386"/>
      <w:bookmarkStart w:id="248" w:name="_Toc485368602"/>
      <w:bookmarkStart w:id="249" w:name="_Toc485386754"/>
      <w:bookmarkStart w:id="250" w:name="_Toc485659145"/>
      <w:bookmarkStart w:id="251" w:name="_Toc491333932"/>
      <w:bookmarkStart w:id="252" w:name="_Toc491334449"/>
      <w:bookmarkStart w:id="253" w:name="_Toc491334764"/>
      <w:bookmarkStart w:id="254" w:name="_Toc491355026"/>
      <w:bookmarkStart w:id="255" w:name="_Toc491360024"/>
      <w:bookmarkStart w:id="256" w:name="_Toc492379152"/>
      <w:bookmarkStart w:id="257" w:name="_Toc492384472"/>
      <w:bookmarkStart w:id="258" w:name="_Toc492462152"/>
      <w:bookmarkStart w:id="259" w:name="_Toc492464359"/>
      <w:bookmarkStart w:id="260" w:name="_Toc494177081"/>
      <w:r w:rsidRPr="00DA674F">
        <w:t>Contact Person</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444220" w:rsidRPr="00DA674F" w:rsidRDefault="00444220" w:rsidP="00444220">
      <w:pPr>
        <w:pStyle w:val="ParaNum"/>
        <w:tabs>
          <w:tab w:val="clear" w:pos="1440"/>
        </w:tabs>
      </w:pPr>
      <w:r>
        <w:t xml:space="preserve">For further information about this proceeding, please contact E. Alex Espinoza, FCC Wireline Competition Bureau, Competition Policy Division, Room 5-C211, 445 12th Street, S.W., Washington, D.C. 20554, at (202) 418-0849 or </w:t>
      </w:r>
      <w:hyperlink r:id="rId10">
        <w:r w:rsidRPr="114D192B">
          <w:rPr>
            <w:rStyle w:val="Hyperlink"/>
          </w:rPr>
          <w:t>Alex.Espinoza@fcc.gov</w:t>
        </w:r>
      </w:hyperlink>
      <w:r>
        <w:t>.</w:t>
      </w:r>
    </w:p>
    <w:p w:rsidR="00444220" w:rsidRPr="00DA674F" w:rsidRDefault="00444220" w:rsidP="0072390A">
      <w:pPr>
        <w:pStyle w:val="Heading1"/>
        <w:widowControl/>
        <w:tabs>
          <w:tab w:val="num" w:pos="720"/>
        </w:tabs>
        <w:rPr>
          <w:rFonts w:ascii="Times New Roman" w:hAnsi="Times New Roman"/>
        </w:rPr>
      </w:pPr>
      <w:bookmarkStart w:id="261" w:name="_Toc482278985"/>
      <w:bookmarkStart w:id="262" w:name="_Toc482711311"/>
      <w:bookmarkStart w:id="263" w:name="_Toc482869867"/>
      <w:bookmarkStart w:id="264" w:name="_Toc483387743"/>
      <w:bookmarkStart w:id="265" w:name="_Toc484769481"/>
      <w:bookmarkStart w:id="266" w:name="_Toc484794787"/>
      <w:bookmarkStart w:id="267" w:name="_Toc485133333"/>
      <w:bookmarkStart w:id="268" w:name="_Toc485298387"/>
      <w:bookmarkStart w:id="269" w:name="_Toc485368603"/>
      <w:bookmarkStart w:id="270" w:name="_Toc485386755"/>
      <w:bookmarkStart w:id="271" w:name="_Toc485659146"/>
      <w:bookmarkStart w:id="272" w:name="_Toc491333933"/>
      <w:bookmarkStart w:id="273" w:name="_Toc491334450"/>
      <w:bookmarkStart w:id="274" w:name="_Toc491334765"/>
      <w:bookmarkStart w:id="275" w:name="_Toc491355027"/>
      <w:bookmarkStart w:id="276" w:name="_Toc491360025"/>
      <w:bookmarkStart w:id="277" w:name="_Toc492379153"/>
      <w:bookmarkStart w:id="278" w:name="_Toc492384473"/>
      <w:bookmarkStart w:id="279" w:name="_Toc492462153"/>
      <w:bookmarkStart w:id="280" w:name="_Toc492464360"/>
      <w:bookmarkStart w:id="281" w:name="_Toc494177082"/>
      <w:r w:rsidRPr="114D192B">
        <w:rPr>
          <w:rFonts w:ascii="Times New Roman" w:hAnsi="Times New Roman"/>
        </w:rPr>
        <w:t>Ordering Clauses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rsidR="00444220" w:rsidRDefault="00444220" w:rsidP="0072390A">
      <w:pPr>
        <w:pStyle w:val="ParaNum"/>
        <w:widowControl/>
        <w:tabs>
          <w:tab w:val="clear" w:pos="1440"/>
        </w:tabs>
      </w:pPr>
      <w:r>
        <w:t>Accordingly, IT IS ORDERED, pursuant to sections 1, 4(i), 201(b), and 251(e)(1) of the Communication Act of 1934, as amended, 47 U.S.C. §§ 151, 154(i), 201(b), and 251(e)(1) that this Notice of Proposed Rulemaking IS ADOPTED.</w:t>
      </w:r>
    </w:p>
    <w:p w:rsidR="00444220" w:rsidRDefault="00444220" w:rsidP="00444220">
      <w:pPr>
        <w:pStyle w:val="ParaNum"/>
        <w:tabs>
          <w:tab w:val="clear" w:pos="1440"/>
        </w:tabs>
      </w:pPr>
      <w:r>
        <w:t>IT IS FURTHER ORDERED that the Commission’s Consumer and Governmental Affairs Bureau, Reference Information Center, SHALL SEND a copy of this Notice of Proposed Rulemaking, including the IRFA, to the Chief Counsel for Advocacy of the Small Business Administration.</w:t>
      </w:r>
    </w:p>
    <w:p w:rsidR="00444220" w:rsidRPr="00DA674F" w:rsidRDefault="00444220" w:rsidP="00444220">
      <w:pPr>
        <w:pStyle w:val="ParaNum"/>
        <w:numPr>
          <w:ilvl w:val="0"/>
          <w:numId w:val="0"/>
        </w:numPr>
        <w:ind w:firstLine="720"/>
      </w:pPr>
    </w:p>
    <w:p w:rsidR="00444220" w:rsidRDefault="00444220" w:rsidP="0098585D">
      <w:r>
        <w:tab/>
      </w:r>
      <w:r>
        <w:tab/>
      </w:r>
      <w:r>
        <w:tab/>
      </w:r>
      <w:r>
        <w:tab/>
      </w:r>
      <w:r>
        <w:tab/>
      </w:r>
      <w:r>
        <w:tab/>
        <w:t>FEDERAL COMMUNICATIONS COMMISSION</w:t>
      </w:r>
    </w:p>
    <w:p w:rsidR="00444220" w:rsidRDefault="00444220" w:rsidP="0098585D"/>
    <w:p w:rsidR="00444220" w:rsidRDefault="00444220" w:rsidP="0098585D"/>
    <w:p w:rsidR="00444220" w:rsidRDefault="00444220" w:rsidP="0098585D"/>
    <w:p w:rsidR="00444220" w:rsidRDefault="00444220" w:rsidP="0098585D"/>
    <w:p w:rsidR="00444220" w:rsidRDefault="00444220" w:rsidP="0098585D">
      <w:r>
        <w:tab/>
      </w:r>
      <w:r>
        <w:tab/>
      </w:r>
      <w:r>
        <w:tab/>
      </w:r>
      <w:r>
        <w:tab/>
      </w:r>
      <w:r>
        <w:tab/>
      </w:r>
      <w:r>
        <w:tab/>
        <w:t>Marlene H. Dortch</w:t>
      </w:r>
    </w:p>
    <w:p w:rsidR="00444220" w:rsidRDefault="00444220" w:rsidP="0098585D">
      <w:r>
        <w:tab/>
      </w:r>
      <w:r>
        <w:tab/>
      </w:r>
      <w:r>
        <w:tab/>
      </w:r>
      <w:r>
        <w:tab/>
      </w:r>
      <w:r>
        <w:tab/>
      </w:r>
      <w:r>
        <w:tab/>
        <w:t>Secretary</w:t>
      </w:r>
    </w:p>
    <w:p w:rsidR="00444220" w:rsidRDefault="00444220" w:rsidP="00444220">
      <w:pPr>
        <w:jc w:val="center"/>
        <w:rPr>
          <w:b/>
        </w:rPr>
        <w:sectPr w:rsidR="00444220" w:rsidSect="0098585D">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2240" w:h="15840"/>
          <w:pgMar w:top="1440" w:right="1440" w:bottom="720" w:left="1440" w:header="720" w:footer="720" w:gutter="0"/>
          <w:pgNumType w:start="1"/>
          <w:cols w:space="720"/>
          <w:noEndnote/>
          <w:titlePg/>
        </w:sectPr>
      </w:pPr>
    </w:p>
    <w:p w:rsidR="00444220" w:rsidRDefault="00444220" w:rsidP="00444220">
      <w:pPr>
        <w:jc w:val="center"/>
        <w:rPr>
          <w:b/>
        </w:rPr>
      </w:pPr>
      <w:r>
        <w:rPr>
          <w:b/>
        </w:rPr>
        <w:t>APPENDIX A</w:t>
      </w:r>
    </w:p>
    <w:p w:rsidR="00444220" w:rsidRDefault="00444220" w:rsidP="00444220">
      <w:pPr>
        <w:jc w:val="center"/>
        <w:rPr>
          <w:b/>
        </w:rPr>
      </w:pPr>
    </w:p>
    <w:p w:rsidR="00444220" w:rsidRPr="001A1BE7" w:rsidRDefault="00444220" w:rsidP="00444220">
      <w:pPr>
        <w:jc w:val="center"/>
        <w:rPr>
          <w:b/>
        </w:rPr>
      </w:pPr>
      <w:r>
        <w:rPr>
          <w:b/>
        </w:rPr>
        <w:t>Toll Free Auction Design</w:t>
      </w:r>
    </w:p>
    <w:p w:rsidR="00444220" w:rsidRDefault="00444220" w:rsidP="00444220">
      <w:pPr>
        <w:ind w:firstLine="720"/>
      </w:pPr>
    </w:p>
    <w:p w:rsidR="00444220" w:rsidRDefault="00444220" w:rsidP="00E40B9A">
      <w:pPr>
        <w:pStyle w:val="ParaNum"/>
        <w:numPr>
          <w:ilvl w:val="0"/>
          <w:numId w:val="25"/>
        </w:numPr>
      </w:pPr>
      <w:r>
        <w:t xml:space="preserve">In this Appendix, to assist interested stakeholders in preparing focused and detailed comments on the </w:t>
      </w:r>
      <w:r w:rsidRPr="00E40B9A">
        <w:rPr>
          <w:i/>
        </w:rPr>
        <w:t>Notice</w:t>
      </w:r>
      <w:r>
        <w:t xml:space="preserve">, the Commission provides additional information on our interest in how potential bidders determine the value of toll free numbers, and on the Vickrey auction.  </w:t>
      </w:r>
    </w:p>
    <w:p w:rsidR="00444220" w:rsidRDefault="00444220" w:rsidP="00444220"/>
    <w:p w:rsidR="00444220" w:rsidRPr="001A1BE7" w:rsidRDefault="00444220" w:rsidP="00444220">
      <w:pPr>
        <w:jc w:val="center"/>
        <w:rPr>
          <w:u w:val="single"/>
        </w:rPr>
      </w:pPr>
      <w:r w:rsidRPr="001A1BE7">
        <w:rPr>
          <w:u w:val="single"/>
        </w:rPr>
        <w:t>Toll Free Number Valuations</w:t>
      </w:r>
    </w:p>
    <w:p w:rsidR="00444220" w:rsidRPr="00FB062A" w:rsidRDefault="00444220" w:rsidP="00444220">
      <w:pPr>
        <w:jc w:val="center"/>
      </w:pPr>
    </w:p>
    <w:p w:rsidR="00444220" w:rsidRPr="00FB062A" w:rsidRDefault="00444220" w:rsidP="00E40B9A">
      <w:pPr>
        <w:pStyle w:val="ParaNum"/>
      </w:pPr>
      <w:r>
        <w:t>The way potential bidders in our proposed auction determine their</w:t>
      </w:r>
      <w:r w:rsidRPr="00FB062A">
        <w:t xml:space="preserve"> valuations of </w:t>
      </w:r>
      <w:r>
        <w:t>coveted</w:t>
      </w:r>
      <w:r w:rsidRPr="00FB062A">
        <w:t xml:space="preserve"> numbers</w:t>
      </w:r>
      <w:r>
        <w:t>, such as 1-833-FLOWERS, can determine whether there are benefits from having a multi-round auction.  One possibility is</w:t>
      </w:r>
      <w:r w:rsidRPr="00FB062A">
        <w:t xml:space="preserve"> </w:t>
      </w:r>
      <w:r>
        <w:t xml:space="preserve">individuals’ valuations are </w:t>
      </w:r>
      <w:r w:rsidRPr="00FB062A">
        <w:t>idiosyncratic</w:t>
      </w:r>
      <w:r>
        <w:t xml:space="preserve">, that is, are inherent to the specific bidder, without </w:t>
      </w:r>
      <w:r w:rsidRPr="00FB062A">
        <w:t xml:space="preserve">commonalities or interdependencies in how </w:t>
      </w:r>
      <w:r>
        <w:t>subscriber</w:t>
      </w:r>
      <w:r w:rsidRPr="00FB062A">
        <w:t xml:space="preserve"> valuations are determined. </w:t>
      </w:r>
      <w:r>
        <w:t xml:space="preserve"> </w:t>
      </w:r>
      <w:r w:rsidRPr="00FB062A">
        <w:t xml:space="preserve">For example, </w:t>
      </w:r>
      <w:r>
        <w:t xml:space="preserve">potential bidders may develop their </w:t>
      </w:r>
      <w:r w:rsidRPr="00FB062A">
        <w:t xml:space="preserve">valuations </w:t>
      </w:r>
      <w:r>
        <w:t xml:space="preserve">based on </w:t>
      </w:r>
      <w:r w:rsidRPr="00FB062A">
        <w:t>the size of the</w:t>
      </w:r>
      <w:r>
        <w:t>ir</w:t>
      </w:r>
      <w:r w:rsidRPr="00FB062A">
        <w:t xml:space="preserve"> merchant network, and the</w:t>
      </w:r>
      <w:r>
        <w:t>ir</w:t>
      </w:r>
      <w:r w:rsidRPr="00FB062A">
        <w:t xml:space="preserve"> business models</w:t>
      </w:r>
      <w:r>
        <w:t>, and these valuations would not be changed if they were to discover a different bidder valued the same number differently</w:t>
      </w:r>
      <w:r w:rsidRPr="00FB062A">
        <w:t>.</w:t>
      </w:r>
      <w:r>
        <w:t xml:space="preserve"> </w:t>
      </w:r>
    </w:p>
    <w:p w:rsidR="00444220" w:rsidRPr="00FB062A" w:rsidRDefault="00444220" w:rsidP="00444220"/>
    <w:p w:rsidR="00444220" w:rsidRPr="00FB062A" w:rsidRDefault="00444220" w:rsidP="00E40B9A">
      <w:pPr>
        <w:pStyle w:val="ParaNum"/>
      </w:pPr>
      <w:r w:rsidRPr="00FB062A">
        <w:t xml:space="preserve">RespOrgs act </w:t>
      </w:r>
      <w:r>
        <w:t xml:space="preserve">as intermediaries in the toll free </w:t>
      </w:r>
      <w:r w:rsidRPr="00FB062A">
        <w:t>market</w:t>
      </w:r>
      <w:r>
        <w:t xml:space="preserve">. </w:t>
      </w:r>
      <w:r w:rsidRPr="00FB062A">
        <w:t xml:space="preserve"> RespOrgs’ gains or surpluses from supplying </w:t>
      </w:r>
      <w:r>
        <w:t xml:space="preserve">a toll </w:t>
      </w:r>
      <w:r w:rsidRPr="00FB062A">
        <w:t xml:space="preserve">free number </w:t>
      </w:r>
      <w:r>
        <w:t>may</w:t>
      </w:r>
      <w:r w:rsidRPr="00FB062A">
        <w:t xml:space="preserve"> be characterized by significant commonalities or interdependencies</w:t>
      </w:r>
      <w:r>
        <w:t xml:space="preserve">, that is, RespOrg valuations of toll free numbers may not be idiosyncratic.  Instead, a RespOrg that observed another RespOrg with a significantly higher or lower valuation than its own might wonder if it was misinformed, and the other RespOrg knows something about the value of the number that it does not.  </w:t>
      </w:r>
      <w:r w:rsidRPr="00FB062A">
        <w:t>A RespOrg derive</w:t>
      </w:r>
      <w:r>
        <w:t xml:space="preserve">s surplus from acquiring a toll </w:t>
      </w:r>
      <w:r w:rsidRPr="00FB062A">
        <w:t>free number only to the extent that i</w:t>
      </w:r>
      <w:r>
        <w:t xml:space="preserve">t can profitably supply it to a subscriber. </w:t>
      </w:r>
      <w:r w:rsidRPr="00FB062A">
        <w:t xml:space="preserve"> This surplus is equal to the difference between the price the RespOrg obtains for the number, and the cost of supplying it. </w:t>
      </w:r>
      <w:r>
        <w:t xml:space="preserve"> </w:t>
      </w:r>
      <w:r w:rsidRPr="00FB062A">
        <w:t xml:space="preserve">Differences in </w:t>
      </w:r>
      <w:r>
        <w:t xml:space="preserve">the </w:t>
      </w:r>
      <w:r w:rsidRPr="00FB062A">
        <w:t>technolog</w:t>
      </w:r>
      <w:r>
        <w:t>ies RespOrgs use to supply numbers, for example, to provide geographic-based calling, or in the markets the RespOrgs address</w:t>
      </w:r>
      <w:r w:rsidRPr="00FB062A">
        <w:t xml:space="preserve"> may give rise to idiosyncratic differences in cost. </w:t>
      </w:r>
      <w:r>
        <w:t xml:space="preserve"> </w:t>
      </w:r>
      <w:r w:rsidRPr="00FB062A">
        <w:t xml:space="preserve">However, </w:t>
      </w:r>
      <w:r>
        <w:t xml:space="preserve">if RespOrgs generally compete with other similar RespOrgs using the same technologies, seeking to supply the same subscribers with largely the same service, then the key factor that might lead such RespOrgs’ valuations of a number to differ is their assessment of </w:t>
      </w:r>
      <w:r w:rsidRPr="00FB062A">
        <w:t xml:space="preserve">the </w:t>
      </w:r>
      <w:r>
        <w:t xml:space="preserve">highest </w:t>
      </w:r>
      <w:r w:rsidRPr="00FB062A">
        <w:t xml:space="preserve">price that a </w:t>
      </w:r>
      <w:r>
        <w:t>subscriber</w:t>
      </w:r>
      <w:r w:rsidRPr="00FB062A">
        <w:t xml:space="preserve"> is willing to pay for </w:t>
      </w:r>
      <w:r>
        <w:t>the</w:t>
      </w:r>
      <w:r w:rsidRPr="00FB062A">
        <w:t xml:space="preserve"> number</w:t>
      </w:r>
      <w:r>
        <w:t xml:space="preserve"> (since the relevant RespOrg’s have similar costs, and are supplying essentially the same service).</w:t>
      </w:r>
      <w:r w:rsidRPr="007A5767">
        <w:t xml:space="preserve">  </w:t>
      </w:r>
      <w:r>
        <w:t>While the Commission recognizes many RespOrgs have different business models, it also considers that in general RespOrgs largely use the same technologies to supply the same services to customers with a demand for certain types of valuable toll free numbers.  For any such RespOrgs, t</w:t>
      </w:r>
      <w:r w:rsidRPr="007A5767">
        <w:t>he Commission does not view differences in the cost of supplying toll free number</w:t>
      </w:r>
      <w:r>
        <w:t xml:space="preserve"> or their business models</w:t>
      </w:r>
      <w:r w:rsidRPr="007A5767">
        <w:t xml:space="preserve"> as giving rise to significant</w:t>
      </w:r>
      <w:r w:rsidRPr="00FB062A">
        <w:t xml:space="preserve"> differences in competing RespOrgs’ surpluses from supplying a given </w:t>
      </w:r>
      <w:r>
        <w:t xml:space="preserve">toll </w:t>
      </w:r>
      <w:r w:rsidRPr="00FB062A">
        <w:t xml:space="preserve">free number. </w:t>
      </w:r>
      <w:r>
        <w:t xml:space="preserve"> The </w:t>
      </w:r>
      <w:r w:rsidRPr="0070029C">
        <w:rPr>
          <w:i/>
        </w:rPr>
        <w:t>Notice</w:t>
      </w:r>
      <w:r>
        <w:t xml:space="preserve"> seeks comment on the </w:t>
      </w:r>
      <w:r w:rsidRPr="00FB062A">
        <w:t xml:space="preserve">extent to which </w:t>
      </w:r>
      <w:r>
        <w:t xml:space="preserve">this conclusion is correct, that is, on whether </w:t>
      </w:r>
      <w:r w:rsidRPr="00FB062A">
        <w:t xml:space="preserve">differences in the cost structure </w:t>
      </w:r>
      <w:r>
        <w:t xml:space="preserve">or business plans </w:t>
      </w:r>
      <w:r w:rsidRPr="00FB062A">
        <w:t>of various RespOrgs</w:t>
      </w:r>
      <w:r>
        <w:t xml:space="preserve"> competing for the same customers using similar technologies</w:t>
      </w:r>
      <w:r w:rsidRPr="00FB062A">
        <w:t xml:space="preserve"> may cause their surpluses from supplying a given toll</w:t>
      </w:r>
      <w:r>
        <w:t xml:space="preserve"> </w:t>
      </w:r>
      <w:r w:rsidRPr="00FB062A">
        <w:t xml:space="preserve">free number to vary </w:t>
      </w:r>
      <w:r>
        <w:t>idiosyncratically</w:t>
      </w:r>
      <w:r w:rsidRPr="00FB062A">
        <w:t xml:space="preserve">. </w:t>
      </w:r>
    </w:p>
    <w:p w:rsidR="00444220" w:rsidRPr="00FB062A" w:rsidRDefault="00444220" w:rsidP="00444220"/>
    <w:p w:rsidR="00444220" w:rsidRDefault="00444220" w:rsidP="00E40B9A">
      <w:pPr>
        <w:pStyle w:val="ParaNum"/>
      </w:pPr>
      <w:r>
        <w:t>If</w:t>
      </w:r>
      <w:r w:rsidRPr="00FB062A">
        <w:t xml:space="preserve"> </w:t>
      </w:r>
      <w:r>
        <w:t xml:space="preserve">the Commission is right about competing RespOrgs largely using the same technologies to satisfy the same business models, then </w:t>
      </w:r>
      <w:r w:rsidRPr="00FB062A">
        <w:t xml:space="preserve">the surpluses of different RespOrgs from supplying a </w:t>
      </w:r>
      <w:r>
        <w:t xml:space="preserve">toll </w:t>
      </w:r>
      <w:r w:rsidRPr="00FB062A">
        <w:t xml:space="preserve">free number are not likely to differ significantly </w:t>
      </w:r>
      <w:r w:rsidRPr="00FB062A">
        <w:rPr>
          <w:i/>
        </w:rPr>
        <w:t>ex post</w:t>
      </w:r>
      <w:r>
        <w:t>.  However</w:t>
      </w:r>
      <w:r w:rsidRPr="00FB062A">
        <w:t xml:space="preserve">, the RespOrgs’ </w:t>
      </w:r>
      <w:r w:rsidRPr="00FB062A">
        <w:rPr>
          <w:i/>
        </w:rPr>
        <w:t>ex ante</w:t>
      </w:r>
      <w:r>
        <w:t xml:space="preserve"> valuations of a toll f</w:t>
      </w:r>
      <w:r w:rsidRPr="00FB062A">
        <w:t xml:space="preserve">ree number may be uncertain. </w:t>
      </w:r>
      <w:r>
        <w:t xml:space="preserve"> In particular, while m</w:t>
      </w:r>
      <w:r w:rsidRPr="00FB062A">
        <w:t xml:space="preserve">any RespOrgs </w:t>
      </w:r>
      <w:r>
        <w:t xml:space="preserve">likely </w:t>
      </w:r>
      <w:r w:rsidRPr="00FB062A">
        <w:t>have a deep understanding of the m</w:t>
      </w:r>
      <w:r>
        <w:t xml:space="preserve">arket for toll </w:t>
      </w:r>
      <w:r w:rsidRPr="00FB062A">
        <w:t>free number, and</w:t>
      </w:r>
      <w:r>
        <w:t>,</w:t>
      </w:r>
      <w:r w:rsidRPr="00FB062A">
        <w:t xml:space="preserve"> consequently, t</w:t>
      </w:r>
      <w:r>
        <w:t xml:space="preserve">heir valuations of a given toll </w:t>
      </w:r>
      <w:r w:rsidRPr="00FB062A">
        <w:t xml:space="preserve">free number might be fairly precise, other </w:t>
      </w:r>
      <w:r>
        <w:t xml:space="preserve">competing </w:t>
      </w:r>
      <w:r w:rsidRPr="00FB062A">
        <w:t xml:space="preserve">RespOrgs may not have </w:t>
      </w:r>
      <w:r>
        <w:t>a similar</w:t>
      </w:r>
      <w:r w:rsidRPr="00FB062A">
        <w:t xml:space="preserve"> understanding of the market, and their valuations of a given number might be uncertain to some degree. </w:t>
      </w:r>
      <w:r>
        <w:t xml:space="preserve"> If it is true that at least some competing RespOrgs have materially different estimates of customers’ valuations of certain toll free numbers than others, then an open auction might allow bidding RespOrgs to refine their value of the number or numbers they are bidding.  However, t</w:t>
      </w:r>
      <w:r w:rsidRPr="00FB062A">
        <w:t xml:space="preserve">he Commission believes that, overall, the RespOrgs’ valuations of a toll-free number are only slightly affected by uncertainty. </w:t>
      </w:r>
      <w:r>
        <w:t xml:space="preserve"> We seek to understand </w:t>
      </w:r>
      <w:r w:rsidRPr="00FB062A">
        <w:t>the degree to which uncertainty affects some of the RespOrgs’ valuations of a toll-free number.</w:t>
      </w:r>
    </w:p>
    <w:p w:rsidR="00444220" w:rsidRDefault="00444220" w:rsidP="00444220"/>
    <w:p w:rsidR="00444220" w:rsidRPr="001A1BE7" w:rsidRDefault="00444220" w:rsidP="00444220">
      <w:pPr>
        <w:jc w:val="center"/>
        <w:rPr>
          <w:u w:val="single"/>
        </w:rPr>
      </w:pPr>
      <w:r w:rsidRPr="001A1BE7">
        <w:rPr>
          <w:u w:val="single"/>
        </w:rPr>
        <w:t>The Vickrey Auction</w:t>
      </w:r>
    </w:p>
    <w:p w:rsidR="00444220" w:rsidRPr="00FB062A" w:rsidRDefault="00444220" w:rsidP="00444220"/>
    <w:p w:rsidR="00444220" w:rsidRPr="00FB062A" w:rsidRDefault="00444220" w:rsidP="00E40B9A">
      <w:pPr>
        <w:pStyle w:val="ParaNum"/>
      </w:pPr>
      <w:r>
        <w:t xml:space="preserve">To formulate their views on a Vickrey auction </w:t>
      </w:r>
      <w:r w:rsidRPr="00406C15">
        <w:rPr>
          <w:b/>
        </w:rPr>
        <w:t xml:space="preserve">with no </w:t>
      </w:r>
      <w:r>
        <w:rPr>
          <w:b/>
        </w:rPr>
        <w:t>package</w:t>
      </w:r>
      <w:r w:rsidRPr="00406C15">
        <w:rPr>
          <w:b/>
        </w:rPr>
        <w:t xml:space="preserve"> bid</w:t>
      </w:r>
      <w:r w:rsidRPr="00F208B6">
        <w:rPr>
          <w:b/>
        </w:rPr>
        <w:t>s</w:t>
      </w:r>
      <w:r>
        <w:t xml:space="preserve">, as proposed in the </w:t>
      </w:r>
      <w:r w:rsidRPr="00ED1804">
        <w:rPr>
          <w:i/>
        </w:rPr>
        <w:t>Notice</w:t>
      </w:r>
      <w:r>
        <w:t>, commenters may find this example helpful.  S</w:t>
      </w:r>
      <w:r w:rsidRPr="00FB062A">
        <w:t>uppose there are two bidders, A and B</w:t>
      </w:r>
      <w:r>
        <w:t>,</w:t>
      </w:r>
      <w:r w:rsidRPr="00FB062A">
        <w:t xml:space="preserve"> and two </w:t>
      </w:r>
      <w:r>
        <w:t xml:space="preserve">toll free </w:t>
      </w:r>
      <w:r w:rsidRPr="00FB062A">
        <w:t>numbers to be</w:t>
      </w:r>
      <w:r>
        <w:t xml:space="preserve"> assigned </w:t>
      </w:r>
      <w:r w:rsidRPr="00FB062A">
        <w:t xml:space="preserve">Number 1 and Number 2. </w:t>
      </w:r>
      <w:r>
        <w:t xml:space="preserve"> </w:t>
      </w:r>
      <w:r w:rsidRPr="00FB062A">
        <w:t xml:space="preserve">Bids are indicated by the dollar amounts in </w:t>
      </w:r>
      <w:r>
        <w:t>the table below.</w:t>
      </w:r>
      <w:r w:rsidRPr="00FB062A">
        <w:t xml:space="preserve"> </w:t>
      </w:r>
      <w:r>
        <w:t xml:space="preserve"> These bids should not be treated as indicative in any way of the expected value of any of the numbers auctioned, and are provided only as an example.</w:t>
      </w:r>
    </w:p>
    <w:p w:rsidR="00444220" w:rsidRPr="00FB062A" w:rsidRDefault="00444220" w:rsidP="00444220"/>
    <w:p w:rsidR="00444220" w:rsidRPr="00FB062A" w:rsidRDefault="00444220" w:rsidP="00444220">
      <w:pPr>
        <w:jc w:val="center"/>
      </w:pPr>
      <w:r w:rsidRPr="00FB062A">
        <w:t>Bidding Example</w:t>
      </w:r>
      <w:r>
        <w:t xml:space="preserv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638"/>
        <w:gridCol w:w="812"/>
        <w:gridCol w:w="812"/>
        <w:gridCol w:w="839"/>
      </w:tblGrid>
      <w:tr w:rsidR="00905900" w:rsidRPr="00FB062A" w:rsidTr="00444220">
        <w:trPr>
          <w:jc w:val="center"/>
        </w:trPr>
        <w:tc>
          <w:tcPr>
            <w:tcW w:w="1638" w:type="dxa"/>
            <w:shd w:val="clear" w:color="auto" w:fill="auto"/>
          </w:tcPr>
          <w:p w:rsidR="00444220" w:rsidRPr="00444220" w:rsidRDefault="00444220" w:rsidP="0098585D">
            <w:pPr>
              <w:rPr>
                <w:rFonts w:ascii="Calibri" w:eastAsia="Calibri" w:hAnsi="Calibri"/>
                <w:szCs w:val="22"/>
              </w:rPr>
            </w:pPr>
            <w:r w:rsidRPr="00444220">
              <w:rPr>
                <w:rFonts w:ascii="Calibri" w:eastAsia="Calibri" w:hAnsi="Calibri"/>
                <w:szCs w:val="22"/>
              </w:rPr>
              <w:t>Bidder/Number</w:t>
            </w:r>
          </w:p>
        </w:tc>
        <w:tc>
          <w:tcPr>
            <w:tcW w:w="812" w:type="dxa"/>
            <w:shd w:val="clear" w:color="auto" w:fill="auto"/>
          </w:tcPr>
          <w:p w:rsidR="00444220" w:rsidRPr="00444220" w:rsidRDefault="00444220" w:rsidP="0098585D">
            <w:pPr>
              <w:rPr>
                <w:rFonts w:ascii="Calibri" w:eastAsia="Calibri" w:hAnsi="Calibri"/>
                <w:szCs w:val="22"/>
              </w:rPr>
            </w:pPr>
            <w:r w:rsidRPr="00444220">
              <w:rPr>
                <w:rFonts w:ascii="Calibri" w:eastAsia="Calibri" w:hAnsi="Calibri"/>
                <w:szCs w:val="22"/>
              </w:rPr>
              <w:t>1</w:t>
            </w:r>
          </w:p>
        </w:tc>
        <w:tc>
          <w:tcPr>
            <w:tcW w:w="812" w:type="dxa"/>
            <w:shd w:val="clear" w:color="auto" w:fill="auto"/>
          </w:tcPr>
          <w:p w:rsidR="00444220" w:rsidRPr="00444220" w:rsidRDefault="00444220" w:rsidP="0098585D">
            <w:pPr>
              <w:rPr>
                <w:rFonts w:ascii="Calibri" w:eastAsia="Calibri" w:hAnsi="Calibri"/>
                <w:szCs w:val="22"/>
              </w:rPr>
            </w:pPr>
            <w:r w:rsidRPr="00444220">
              <w:rPr>
                <w:rFonts w:ascii="Calibri" w:eastAsia="Calibri" w:hAnsi="Calibri"/>
                <w:szCs w:val="22"/>
              </w:rPr>
              <w:t>2</w:t>
            </w:r>
          </w:p>
        </w:tc>
        <w:tc>
          <w:tcPr>
            <w:tcW w:w="839" w:type="dxa"/>
            <w:shd w:val="clear" w:color="auto" w:fill="auto"/>
          </w:tcPr>
          <w:p w:rsidR="00444220" w:rsidRPr="00444220" w:rsidRDefault="00444220" w:rsidP="0098585D">
            <w:pPr>
              <w:rPr>
                <w:rFonts w:ascii="Calibri" w:eastAsia="Calibri" w:hAnsi="Calibri"/>
                <w:szCs w:val="22"/>
              </w:rPr>
            </w:pPr>
            <w:r w:rsidRPr="00444220">
              <w:rPr>
                <w:rFonts w:ascii="Calibri" w:eastAsia="Calibri" w:hAnsi="Calibri"/>
                <w:szCs w:val="22"/>
              </w:rPr>
              <w:t>{1,2}</w:t>
            </w:r>
          </w:p>
        </w:tc>
      </w:tr>
      <w:tr w:rsidR="00905900" w:rsidRPr="00FB062A" w:rsidTr="00444220">
        <w:trPr>
          <w:jc w:val="center"/>
        </w:trPr>
        <w:tc>
          <w:tcPr>
            <w:tcW w:w="1638" w:type="dxa"/>
            <w:shd w:val="clear" w:color="auto" w:fill="auto"/>
          </w:tcPr>
          <w:p w:rsidR="00444220" w:rsidRPr="00444220" w:rsidRDefault="00444220" w:rsidP="0098585D">
            <w:pPr>
              <w:rPr>
                <w:rFonts w:ascii="Calibri" w:eastAsia="Calibri" w:hAnsi="Calibri"/>
                <w:szCs w:val="22"/>
              </w:rPr>
            </w:pPr>
            <w:r w:rsidRPr="00444220">
              <w:rPr>
                <w:rFonts w:ascii="Calibri" w:eastAsia="Calibri" w:hAnsi="Calibri"/>
                <w:szCs w:val="22"/>
              </w:rPr>
              <w:t>A</w:t>
            </w:r>
          </w:p>
        </w:tc>
        <w:tc>
          <w:tcPr>
            <w:tcW w:w="812" w:type="dxa"/>
            <w:shd w:val="clear" w:color="auto" w:fill="auto"/>
          </w:tcPr>
          <w:p w:rsidR="00444220" w:rsidRPr="00444220" w:rsidRDefault="00444220" w:rsidP="0098585D">
            <w:pPr>
              <w:rPr>
                <w:rFonts w:ascii="Calibri" w:eastAsia="Calibri" w:hAnsi="Calibri"/>
                <w:szCs w:val="22"/>
              </w:rPr>
            </w:pPr>
            <w:r w:rsidRPr="00444220">
              <w:rPr>
                <w:rFonts w:ascii="Calibri" w:eastAsia="Calibri" w:hAnsi="Calibri"/>
                <w:szCs w:val="22"/>
              </w:rPr>
              <w:t>$10</w:t>
            </w:r>
          </w:p>
        </w:tc>
        <w:tc>
          <w:tcPr>
            <w:tcW w:w="812" w:type="dxa"/>
            <w:shd w:val="clear" w:color="auto" w:fill="auto"/>
          </w:tcPr>
          <w:p w:rsidR="00444220" w:rsidRPr="00444220" w:rsidRDefault="00444220" w:rsidP="0098585D">
            <w:pPr>
              <w:rPr>
                <w:rFonts w:ascii="Calibri" w:eastAsia="Calibri" w:hAnsi="Calibri"/>
                <w:szCs w:val="22"/>
              </w:rPr>
            </w:pPr>
            <w:r w:rsidRPr="00444220">
              <w:rPr>
                <w:rFonts w:ascii="Calibri" w:eastAsia="Calibri" w:hAnsi="Calibri"/>
                <w:szCs w:val="22"/>
              </w:rPr>
              <w:t>$20</w:t>
            </w:r>
          </w:p>
        </w:tc>
        <w:tc>
          <w:tcPr>
            <w:tcW w:w="839" w:type="dxa"/>
            <w:shd w:val="clear" w:color="auto" w:fill="auto"/>
          </w:tcPr>
          <w:p w:rsidR="00444220" w:rsidRPr="00444220" w:rsidRDefault="00444220" w:rsidP="0098585D">
            <w:pPr>
              <w:rPr>
                <w:rFonts w:ascii="Calibri" w:eastAsia="Calibri" w:hAnsi="Calibri"/>
                <w:szCs w:val="22"/>
              </w:rPr>
            </w:pPr>
            <w:r w:rsidRPr="00444220">
              <w:rPr>
                <w:rFonts w:ascii="Calibri" w:eastAsia="Calibri" w:hAnsi="Calibri"/>
                <w:szCs w:val="22"/>
              </w:rPr>
              <w:t>$32</w:t>
            </w:r>
          </w:p>
        </w:tc>
      </w:tr>
      <w:tr w:rsidR="00905900" w:rsidRPr="00FB062A" w:rsidTr="00444220">
        <w:trPr>
          <w:jc w:val="center"/>
        </w:trPr>
        <w:tc>
          <w:tcPr>
            <w:tcW w:w="1638" w:type="dxa"/>
            <w:shd w:val="clear" w:color="auto" w:fill="auto"/>
          </w:tcPr>
          <w:p w:rsidR="00444220" w:rsidRPr="00444220" w:rsidRDefault="00444220" w:rsidP="0098585D">
            <w:pPr>
              <w:rPr>
                <w:rFonts w:ascii="Calibri" w:eastAsia="Calibri" w:hAnsi="Calibri"/>
                <w:szCs w:val="22"/>
              </w:rPr>
            </w:pPr>
            <w:r w:rsidRPr="00444220">
              <w:rPr>
                <w:rFonts w:ascii="Calibri" w:eastAsia="Calibri" w:hAnsi="Calibri"/>
                <w:szCs w:val="22"/>
              </w:rPr>
              <w:t>B</w:t>
            </w:r>
          </w:p>
        </w:tc>
        <w:tc>
          <w:tcPr>
            <w:tcW w:w="812" w:type="dxa"/>
            <w:shd w:val="clear" w:color="auto" w:fill="auto"/>
          </w:tcPr>
          <w:p w:rsidR="00444220" w:rsidRPr="00444220" w:rsidRDefault="00444220" w:rsidP="0098585D">
            <w:pPr>
              <w:rPr>
                <w:rFonts w:ascii="Calibri" w:eastAsia="Calibri" w:hAnsi="Calibri"/>
                <w:szCs w:val="22"/>
              </w:rPr>
            </w:pPr>
            <w:r w:rsidRPr="00444220">
              <w:rPr>
                <w:rFonts w:ascii="Calibri" w:eastAsia="Calibri" w:hAnsi="Calibri"/>
                <w:szCs w:val="22"/>
              </w:rPr>
              <w:t>$16</w:t>
            </w:r>
          </w:p>
        </w:tc>
        <w:tc>
          <w:tcPr>
            <w:tcW w:w="812" w:type="dxa"/>
            <w:shd w:val="clear" w:color="auto" w:fill="auto"/>
          </w:tcPr>
          <w:p w:rsidR="00444220" w:rsidRPr="00444220" w:rsidRDefault="00444220" w:rsidP="0098585D">
            <w:pPr>
              <w:rPr>
                <w:rFonts w:ascii="Calibri" w:eastAsia="Calibri" w:hAnsi="Calibri"/>
                <w:szCs w:val="22"/>
              </w:rPr>
            </w:pPr>
            <w:r w:rsidRPr="00444220">
              <w:rPr>
                <w:rFonts w:ascii="Calibri" w:eastAsia="Calibri" w:hAnsi="Calibri"/>
                <w:szCs w:val="22"/>
              </w:rPr>
              <w:t>$8</w:t>
            </w:r>
          </w:p>
        </w:tc>
        <w:tc>
          <w:tcPr>
            <w:tcW w:w="839" w:type="dxa"/>
            <w:shd w:val="clear" w:color="auto" w:fill="auto"/>
          </w:tcPr>
          <w:p w:rsidR="00444220" w:rsidRPr="00444220" w:rsidRDefault="00444220" w:rsidP="0098585D">
            <w:pPr>
              <w:rPr>
                <w:rFonts w:ascii="Calibri" w:eastAsia="Calibri" w:hAnsi="Calibri"/>
                <w:szCs w:val="22"/>
              </w:rPr>
            </w:pPr>
            <w:r w:rsidRPr="00444220">
              <w:rPr>
                <w:rFonts w:ascii="Calibri" w:eastAsia="Calibri" w:hAnsi="Calibri"/>
                <w:szCs w:val="22"/>
              </w:rPr>
              <w:t>$25</w:t>
            </w:r>
          </w:p>
        </w:tc>
      </w:tr>
    </w:tbl>
    <w:p w:rsidR="00444220" w:rsidRPr="00FB062A" w:rsidRDefault="00444220" w:rsidP="00444220"/>
    <w:p w:rsidR="00444220" w:rsidRPr="00FB062A" w:rsidRDefault="00444220" w:rsidP="00E40B9A">
      <w:pPr>
        <w:pStyle w:val="ParaNum"/>
      </w:pPr>
      <w:r>
        <w:t xml:space="preserve">In a </w:t>
      </w:r>
      <w:r w:rsidRPr="00FB062A">
        <w:t>Vickrey auction</w:t>
      </w:r>
      <w:r>
        <w:t xml:space="preserve"> without package bids, but which allows simultaneous bidding over more than one number, only columns 1 and 2 are relevant. </w:t>
      </w:r>
      <w:r w:rsidRPr="00FB062A">
        <w:t>Bidder A obtains Number 2 because it bid the highest amount ($20). Bidder A pays the highest non-winning bid for Number 2 ($8)</w:t>
      </w:r>
      <w:r>
        <w:t xml:space="preserve">. </w:t>
      </w:r>
      <w:r w:rsidRPr="00FB062A">
        <w:t>Bidder B obtains Number 1, because it bid the highest amount ($16). Bidder 2 pays the highest non-winning bid for Number 1 ($10).</w:t>
      </w:r>
      <w:r>
        <w:t xml:space="preserve">  Moreover, our expectation is that the four bids reflect the bidders’ true valuation of each number.  This is because regardless of what other bids are made, a bidder can always do better by bidding its true value.  If instead the bidder underbids, it may lose when it could have won by paying no more and potentially less than his value.  If it overbids, it may win and potentially pay more than the object is worth to it.  Therefore, it is optimal to bid his value.</w:t>
      </w:r>
      <w:r>
        <w:rPr>
          <w:rStyle w:val="FootnoteReference"/>
        </w:rPr>
        <w:footnoteReference w:id="99"/>
      </w:r>
      <w:r>
        <w:t xml:space="preserve">  Consequently, if each number’s valuation was independent of the other, the auction would be economically efficient.  It would assign the numbers to maximize value to the bidders.</w:t>
      </w:r>
    </w:p>
    <w:p w:rsidR="00444220" w:rsidRPr="00FB062A" w:rsidRDefault="00444220" w:rsidP="00444220"/>
    <w:p w:rsidR="00444220" w:rsidRDefault="00444220" w:rsidP="00E40B9A">
      <w:pPr>
        <w:pStyle w:val="ParaNum"/>
      </w:pPr>
      <w:r>
        <w:t>I</w:t>
      </w:r>
      <w:r w:rsidRPr="00FB062A">
        <w:t>n a generalized Vickrey auction</w:t>
      </w:r>
      <w:r>
        <w:t xml:space="preserve"> </w:t>
      </w:r>
      <w:r>
        <w:rPr>
          <w:b/>
        </w:rPr>
        <w:t>with package</w:t>
      </w:r>
      <w:r w:rsidRPr="00406C15">
        <w:rPr>
          <w:b/>
        </w:rPr>
        <w:t xml:space="preserve"> bids</w:t>
      </w:r>
      <w:r>
        <w:t>,</w:t>
      </w:r>
      <w:r w:rsidRPr="00FB062A">
        <w:t xml:space="preserve"> </w:t>
      </w:r>
      <w:r>
        <w:t xml:space="preserve">given the bids found in the table, </w:t>
      </w:r>
      <w:r w:rsidRPr="00FB062A">
        <w:t xml:space="preserve">the </w:t>
      </w:r>
      <w:r>
        <w:t>numbers are also assigned as in in the non-package generalized Vickrey auction.</w:t>
      </w:r>
      <w:r>
        <w:rPr>
          <w:rStyle w:val="FootnoteReference"/>
        </w:rPr>
        <w:footnoteReference w:id="100"/>
      </w:r>
      <w:r>
        <w:t xml:space="preserve">  In this case, however, the payments required of the winning bidders change.  As in the case of the non-package auction, the </w:t>
      </w:r>
      <w:r w:rsidRPr="00FB062A">
        <w:t xml:space="preserve">payments in the generalized Vickrey auction are equal to the opportunity cost (highest alternative value) of the items won by each bidder. </w:t>
      </w:r>
      <w:r>
        <w:t xml:space="preserve"> However, as is the case in the table, this changes the opportunity cost of the bid.  The payments required in the package auction are determined as follows:</w:t>
      </w:r>
    </w:p>
    <w:p w:rsidR="00444220" w:rsidRDefault="00444220" w:rsidP="00444220">
      <w:pPr>
        <w:ind w:left="720" w:firstLine="720"/>
      </w:pPr>
    </w:p>
    <w:p w:rsidR="00444220" w:rsidRDefault="00444220" w:rsidP="00444220">
      <w:pPr>
        <w:ind w:left="1440"/>
      </w:pPr>
      <w:r w:rsidRPr="00FB062A">
        <w:t xml:space="preserve">If Number 2 </w:t>
      </w:r>
      <w:r>
        <w:t xml:space="preserve">is assigned </w:t>
      </w:r>
      <w:r w:rsidRPr="00FB062A">
        <w:t xml:space="preserve">to Bidder B instead of Bidder A, then Bidder B would realize a value of $25 (because Bidder B would have obtained both numbers). </w:t>
      </w:r>
      <w:r>
        <w:t xml:space="preserve"> </w:t>
      </w:r>
      <w:r w:rsidRPr="00FB062A">
        <w:t xml:space="preserve">By </w:t>
      </w:r>
      <w:r>
        <w:t xml:space="preserve">assigning </w:t>
      </w:r>
      <w:r w:rsidRPr="00FB062A">
        <w:t xml:space="preserve">Number 2 to Bidder A, the (opportunity) cost for Bidder B is $9 ($25 minus $16, the value for Bidder B from obtaining Number 1). </w:t>
      </w:r>
      <w:r>
        <w:t xml:space="preserve"> </w:t>
      </w:r>
      <w:r w:rsidRPr="00FB062A">
        <w:t xml:space="preserve">If Number 1 </w:t>
      </w:r>
      <w:r>
        <w:t xml:space="preserve">is assigned </w:t>
      </w:r>
      <w:r w:rsidRPr="00FB062A">
        <w:t xml:space="preserve">to Bidder A instead of Bidder B, then Bidder A would realize a value of $32. </w:t>
      </w:r>
      <w:r>
        <w:t xml:space="preserve"> </w:t>
      </w:r>
      <w:r w:rsidRPr="00FB062A">
        <w:t xml:space="preserve">By </w:t>
      </w:r>
      <w:r>
        <w:t xml:space="preserve">assigning </w:t>
      </w:r>
      <w:r w:rsidRPr="00FB062A">
        <w:t>Number 1 to Bidder B, the (opportunity) cost for Bidder A is $12 ($32 minus $20</w:t>
      </w:r>
      <w:r>
        <w:t xml:space="preserve">).  Thus, </w:t>
      </w:r>
      <w:r w:rsidRPr="00FB062A">
        <w:t xml:space="preserve">the outcome of the generalized Vickrey auction </w:t>
      </w:r>
      <w:r>
        <w:t xml:space="preserve">is </w:t>
      </w:r>
      <w:r w:rsidRPr="00FB062A">
        <w:t>as follows:</w:t>
      </w:r>
      <w:r>
        <w:t xml:space="preserve">  </w:t>
      </w:r>
      <w:r w:rsidRPr="00FB062A">
        <w:t xml:space="preserve">Bidder A obtains Number 2, for which it pays $9. </w:t>
      </w:r>
      <w:r>
        <w:t xml:space="preserve"> </w:t>
      </w:r>
      <w:r w:rsidRPr="00FB062A">
        <w:t>Bidder B obtains Number 1, for which it pays $12.</w:t>
      </w:r>
    </w:p>
    <w:p w:rsidR="00444220" w:rsidRDefault="00444220" w:rsidP="00444220">
      <w:pPr>
        <w:ind w:left="720" w:firstLine="720"/>
      </w:pPr>
    </w:p>
    <w:p w:rsidR="00444220" w:rsidRPr="00BE279E" w:rsidRDefault="00444220" w:rsidP="00E40B9A">
      <w:pPr>
        <w:pStyle w:val="ParaNum"/>
      </w:pPr>
      <w:r>
        <w:t xml:space="preserve">Further, in such auctions, by similar reasoning to that provided for the non-package auction, the bidders best strategy is to bid their valuations.  Accordingly, the </w:t>
      </w:r>
      <w:r w:rsidRPr="00FB062A">
        <w:t xml:space="preserve">highest value can be realized by </w:t>
      </w:r>
      <w:r>
        <w:t xml:space="preserve">assigning </w:t>
      </w:r>
      <w:r w:rsidRPr="00FB062A">
        <w:t>Number 2 to Bidder A and Number 1 to Bidder B.  In this case, that value is $36: $20 for Bidder A</w:t>
      </w:r>
      <w:r>
        <w:t xml:space="preserve"> and </w:t>
      </w:r>
      <w:r w:rsidRPr="00FB062A">
        <w:t xml:space="preserve">$16 for Bidder B. </w:t>
      </w:r>
      <w:r>
        <w:t xml:space="preserve"> </w:t>
      </w:r>
      <w:r w:rsidRPr="00FB062A">
        <w:t xml:space="preserve">If Number 1 is </w:t>
      </w:r>
      <w:r>
        <w:t xml:space="preserve">assigned </w:t>
      </w:r>
      <w:r w:rsidRPr="00FB062A">
        <w:t>to Bidder A, and Number 2 to Bidder B, then t</w:t>
      </w:r>
      <w:r>
        <w:t>he value of the assignment is $</w:t>
      </w:r>
      <w:r w:rsidRPr="00FB062A">
        <w:t xml:space="preserve">18. </w:t>
      </w:r>
      <w:r>
        <w:t xml:space="preserve"> </w:t>
      </w:r>
      <w:r w:rsidRPr="00FB062A">
        <w:t xml:space="preserve">If both numbers are </w:t>
      </w:r>
      <w:r>
        <w:t xml:space="preserve">assigned </w:t>
      </w:r>
      <w:r w:rsidRPr="00FB062A">
        <w:t xml:space="preserve">to Bidder A, the value of the </w:t>
      </w:r>
      <w:r>
        <w:t>assignment</w:t>
      </w:r>
      <w:r w:rsidRPr="00FB062A">
        <w:t xml:space="preserve"> is $32. </w:t>
      </w:r>
      <w:r>
        <w:t xml:space="preserve"> </w:t>
      </w:r>
      <w:r w:rsidRPr="00FB062A">
        <w:t xml:space="preserve">If </w:t>
      </w:r>
      <w:r>
        <w:t xml:space="preserve">both </w:t>
      </w:r>
      <w:r w:rsidRPr="00FB062A">
        <w:t xml:space="preserve">numbers are </w:t>
      </w:r>
      <w:r>
        <w:t>assigned</w:t>
      </w:r>
      <w:r w:rsidRPr="00FB062A">
        <w:t xml:space="preserve"> to Bidder B, the value of the </w:t>
      </w:r>
      <w:r>
        <w:t>assignment</w:t>
      </w:r>
      <w:r w:rsidRPr="00FB062A">
        <w:t xml:space="preserve"> is $25. </w:t>
      </w:r>
      <w:r>
        <w:t xml:space="preserve"> </w:t>
      </w:r>
      <w:r w:rsidRPr="00FB062A">
        <w:t xml:space="preserve">The generalized Vickrey auction </w:t>
      </w:r>
      <w:r>
        <w:t xml:space="preserve">assigns </w:t>
      </w:r>
      <w:r w:rsidRPr="00FB062A">
        <w:t xml:space="preserve">the two numbers to maximize value. </w:t>
      </w:r>
      <w:r>
        <w:t xml:space="preserve"> </w:t>
      </w:r>
      <w:r w:rsidRPr="00FB062A">
        <w:t xml:space="preserve">Accordingly, the generalized Vickrey auction </w:t>
      </w:r>
      <w:r>
        <w:t xml:space="preserve">assigns </w:t>
      </w:r>
      <w:r w:rsidRPr="00FB062A">
        <w:t xml:space="preserve">Number 2 to Bidder A and Number 1 to Bidder B. </w:t>
      </w:r>
      <w:r>
        <w:t xml:space="preserve"> Thus, the generalized Vickrey auction with package bids is economically efficient allocating the numbers to maximize the value to bidders.</w:t>
      </w:r>
      <w:r>
        <w:rPr>
          <w:rStyle w:val="FootnoteReference"/>
        </w:rPr>
        <w:footnoteReference w:id="101"/>
      </w:r>
    </w:p>
    <w:p w:rsidR="00444220" w:rsidRDefault="00444220" w:rsidP="00444220">
      <w:pPr>
        <w:widowControl/>
        <w:jc w:val="center"/>
        <w:rPr>
          <w:b/>
        </w:rPr>
        <w:sectPr w:rsidR="00444220" w:rsidSect="00E403E3">
          <w:footnotePr>
            <w:numRestart w:val="eachSect"/>
          </w:footnotePr>
          <w:endnotePr>
            <w:numFmt w:val="decimal"/>
          </w:endnotePr>
          <w:pgSz w:w="12240" w:h="15840"/>
          <w:pgMar w:top="1440" w:right="1440" w:bottom="720" w:left="1440" w:header="720" w:footer="720" w:gutter="0"/>
          <w:cols w:space="720"/>
          <w:noEndnote/>
          <w:docGrid w:linePitch="299"/>
        </w:sectPr>
      </w:pPr>
    </w:p>
    <w:p w:rsidR="00444220" w:rsidRPr="00A814A6" w:rsidRDefault="00444220" w:rsidP="00444220">
      <w:pPr>
        <w:jc w:val="center"/>
        <w:rPr>
          <w:b/>
        </w:rPr>
      </w:pPr>
      <w:bookmarkStart w:id="282" w:name="_Toc491334454"/>
      <w:bookmarkStart w:id="283" w:name="APPXB"/>
      <w:r w:rsidRPr="00A814A6">
        <w:rPr>
          <w:b/>
        </w:rPr>
        <w:t>APPENDIX B</w:t>
      </w:r>
      <w:bookmarkEnd w:id="282"/>
    </w:p>
    <w:p w:rsidR="00444220" w:rsidRPr="00493AAE" w:rsidRDefault="00444220" w:rsidP="00444220">
      <w:pPr>
        <w:widowControl/>
        <w:jc w:val="center"/>
        <w:rPr>
          <w:b/>
        </w:rPr>
      </w:pPr>
    </w:p>
    <w:p w:rsidR="00444220" w:rsidRPr="00493AAE" w:rsidRDefault="00444220" w:rsidP="00444220">
      <w:pPr>
        <w:pStyle w:val="ParaNum"/>
        <w:numPr>
          <w:ilvl w:val="0"/>
          <w:numId w:val="0"/>
        </w:numPr>
        <w:jc w:val="center"/>
        <w:rPr>
          <w:b/>
        </w:rPr>
      </w:pPr>
      <w:r w:rsidRPr="00493AAE">
        <w:rPr>
          <w:b/>
        </w:rPr>
        <w:t>Draft Proposed Rules for Comment</w:t>
      </w:r>
    </w:p>
    <w:bookmarkEnd w:id="283"/>
    <w:p w:rsidR="00444220" w:rsidRPr="00231976" w:rsidRDefault="00444220" w:rsidP="00444220">
      <w:pPr>
        <w:widowControl/>
        <w:autoSpaceDE w:val="0"/>
        <w:autoSpaceDN w:val="0"/>
        <w:adjustRightInd w:val="0"/>
        <w:spacing w:after="200" w:line="276" w:lineRule="auto"/>
        <w:rPr>
          <w:rFonts w:eastAsia="Calibri"/>
          <w:snapToGrid/>
          <w:kern w:val="0"/>
          <w:szCs w:val="22"/>
        </w:rPr>
      </w:pPr>
      <w:r w:rsidRPr="00C53154">
        <w:rPr>
          <w:rFonts w:eastAsia="Calibri"/>
          <w:snapToGrid/>
          <w:kern w:val="0"/>
          <w:szCs w:val="22"/>
        </w:rPr>
        <w:t>The Federal Communications Comm</w:t>
      </w:r>
      <w:r>
        <w:rPr>
          <w:rFonts w:eastAsia="Calibri"/>
          <w:snapToGrid/>
          <w:kern w:val="0"/>
          <w:szCs w:val="22"/>
        </w:rPr>
        <w:t>ission proposes to amend Part 52</w:t>
      </w:r>
      <w:r w:rsidRPr="00C53154">
        <w:rPr>
          <w:rFonts w:eastAsia="Calibri"/>
          <w:snapToGrid/>
          <w:kern w:val="0"/>
          <w:szCs w:val="22"/>
        </w:rPr>
        <w:t xml:space="preserve"> of Title 47 of the </w:t>
      </w:r>
      <w:r w:rsidRPr="00231976">
        <w:rPr>
          <w:rFonts w:eastAsia="Calibri"/>
          <w:snapToGrid/>
          <w:kern w:val="0"/>
          <w:szCs w:val="22"/>
        </w:rPr>
        <w:t>Code of Federal Regulations</w:t>
      </w:r>
      <w:r>
        <w:rPr>
          <w:rFonts w:eastAsia="Calibri"/>
          <w:snapToGrid/>
          <w:kern w:val="0"/>
          <w:szCs w:val="22"/>
        </w:rPr>
        <w:t xml:space="preserve"> </w:t>
      </w:r>
      <w:r w:rsidRPr="00231976">
        <w:rPr>
          <w:rFonts w:eastAsia="Calibri"/>
          <w:snapToGrid/>
          <w:kern w:val="0"/>
          <w:szCs w:val="22"/>
        </w:rPr>
        <w:t xml:space="preserve">as follows: </w:t>
      </w:r>
    </w:p>
    <w:p w:rsidR="00444220" w:rsidRPr="00081F33" w:rsidRDefault="00444220" w:rsidP="00444220">
      <w:pPr>
        <w:widowControl/>
        <w:autoSpaceDE w:val="0"/>
        <w:autoSpaceDN w:val="0"/>
        <w:adjustRightInd w:val="0"/>
        <w:spacing w:after="200" w:line="276" w:lineRule="auto"/>
        <w:rPr>
          <w:rFonts w:eastAsia="Calibri"/>
          <w:b/>
          <w:snapToGrid/>
          <w:kern w:val="0"/>
          <w:szCs w:val="22"/>
        </w:rPr>
      </w:pPr>
      <w:r w:rsidRPr="00231976">
        <w:rPr>
          <w:rFonts w:eastAsia="Calibri"/>
          <w:b/>
          <w:snapToGrid/>
          <w:kern w:val="0"/>
          <w:szCs w:val="22"/>
        </w:rPr>
        <w:t xml:space="preserve">PART </w:t>
      </w:r>
      <w:r>
        <w:rPr>
          <w:rFonts w:eastAsia="Calibri"/>
          <w:b/>
          <w:snapToGrid/>
          <w:kern w:val="0"/>
          <w:szCs w:val="22"/>
        </w:rPr>
        <w:t>52</w:t>
      </w:r>
      <w:r w:rsidRPr="00231976">
        <w:rPr>
          <w:rFonts w:eastAsia="Calibri"/>
          <w:b/>
          <w:snapToGrid/>
          <w:kern w:val="0"/>
          <w:szCs w:val="22"/>
        </w:rPr>
        <w:t xml:space="preserve"> – </w:t>
      </w:r>
      <w:r>
        <w:rPr>
          <w:rFonts w:eastAsia="Calibri"/>
          <w:b/>
          <w:snapToGrid/>
          <w:kern w:val="0"/>
          <w:szCs w:val="22"/>
        </w:rPr>
        <w:t>NUMBERING</w:t>
      </w:r>
    </w:p>
    <w:p w:rsidR="00444220" w:rsidRPr="00504D26" w:rsidRDefault="00444220" w:rsidP="00444220">
      <w:pPr>
        <w:widowControl/>
        <w:autoSpaceDE w:val="0"/>
        <w:autoSpaceDN w:val="0"/>
        <w:adjustRightInd w:val="0"/>
        <w:spacing w:after="200" w:line="276" w:lineRule="auto"/>
        <w:rPr>
          <w:b/>
        </w:rPr>
      </w:pPr>
      <w:r>
        <w:t>*    *    *    *    *</w:t>
      </w:r>
    </w:p>
    <w:p w:rsidR="00444220" w:rsidRDefault="00444220" w:rsidP="00444220">
      <w:pPr>
        <w:widowControl/>
        <w:autoSpaceDE w:val="0"/>
        <w:autoSpaceDN w:val="0"/>
        <w:adjustRightInd w:val="0"/>
        <w:spacing w:after="200" w:line="276" w:lineRule="auto"/>
        <w:rPr>
          <w:rFonts w:eastAsia="Calibri"/>
          <w:snapToGrid/>
          <w:kern w:val="0"/>
        </w:rPr>
      </w:pPr>
      <w:r w:rsidRPr="00F0530A">
        <w:rPr>
          <w:rFonts w:eastAsia="Calibri"/>
          <w:b/>
          <w:snapToGrid/>
          <w:kern w:val="0"/>
          <w:szCs w:val="22"/>
        </w:rPr>
        <w:t>Subpart D—Toll Free Numbers</w:t>
      </w:r>
      <w:r w:rsidDel="00EB023F">
        <w:rPr>
          <w:rFonts w:eastAsia="Calibri"/>
          <w:snapToGrid/>
          <w:kern w:val="0"/>
        </w:rPr>
        <w:t xml:space="preserve"> </w:t>
      </w:r>
    </w:p>
    <w:p w:rsidR="00444220" w:rsidRDefault="00444220" w:rsidP="00444220">
      <w:pPr>
        <w:widowControl/>
        <w:autoSpaceDE w:val="0"/>
        <w:autoSpaceDN w:val="0"/>
        <w:adjustRightInd w:val="0"/>
        <w:spacing w:after="200" w:line="276" w:lineRule="auto"/>
        <w:rPr>
          <w:rFonts w:eastAsia="Calibri"/>
          <w:snapToGrid/>
          <w:kern w:val="0"/>
          <w:szCs w:val="22"/>
        </w:rPr>
      </w:pPr>
      <w:r>
        <w:rPr>
          <w:rFonts w:eastAsia="Calibri"/>
          <w:snapToGrid/>
          <w:kern w:val="0"/>
          <w:szCs w:val="22"/>
        </w:rPr>
        <w:t>1.</w:t>
      </w:r>
      <w:r>
        <w:rPr>
          <w:rFonts w:eastAsia="Calibri"/>
          <w:snapToGrid/>
          <w:kern w:val="0"/>
          <w:szCs w:val="22"/>
        </w:rPr>
        <w:tab/>
        <w:t>Amend section 52.111</w:t>
      </w:r>
      <w:r w:rsidRPr="00C5137A">
        <w:rPr>
          <w:rFonts w:eastAsia="Calibri"/>
          <w:snapToGrid/>
          <w:kern w:val="0"/>
          <w:szCs w:val="22"/>
        </w:rPr>
        <w:t xml:space="preserve"> by:</w:t>
      </w:r>
    </w:p>
    <w:p w:rsidR="00444220" w:rsidRPr="00C5137A" w:rsidRDefault="00444220" w:rsidP="00444220">
      <w:pPr>
        <w:widowControl/>
        <w:autoSpaceDE w:val="0"/>
        <w:autoSpaceDN w:val="0"/>
        <w:adjustRightInd w:val="0"/>
        <w:spacing w:after="200" w:line="276" w:lineRule="auto"/>
        <w:rPr>
          <w:rFonts w:eastAsia="Calibri"/>
          <w:snapToGrid/>
          <w:kern w:val="0"/>
          <w:szCs w:val="22"/>
        </w:rPr>
      </w:pPr>
      <w:r w:rsidRPr="00C5137A">
        <w:t xml:space="preserve">The revision </w:t>
      </w:r>
      <w:r w:rsidRPr="00C5137A">
        <w:rPr>
          <w:rFonts w:eastAsia="Calibri"/>
          <w:snapToGrid/>
          <w:kern w:val="0"/>
          <w:szCs w:val="22"/>
        </w:rPr>
        <w:t>read</w:t>
      </w:r>
      <w:r>
        <w:rPr>
          <w:rFonts w:eastAsia="Calibri"/>
          <w:snapToGrid/>
          <w:kern w:val="0"/>
          <w:szCs w:val="22"/>
        </w:rPr>
        <w:t>s</w:t>
      </w:r>
      <w:r w:rsidRPr="00C5137A">
        <w:rPr>
          <w:rFonts w:eastAsia="Calibri"/>
          <w:snapToGrid/>
          <w:kern w:val="0"/>
          <w:szCs w:val="22"/>
        </w:rPr>
        <w:t xml:space="preserve"> as follows:  </w:t>
      </w:r>
    </w:p>
    <w:p w:rsidR="00444220" w:rsidRDefault="00444220" w:rsidP="00444220">
      <w:pPr>
        <w:widowControl/>
        <w:autoSpaceDE w:val="0"/>
        <w:autoSpaceDN w:val="0"/>
        <w:adjustRightInd w:val="0"/>
        <w:spacing w:after="200" w:line="276" w:lineRule="auto"/>
        <w:rPr>
          <w:rFonts w:eastAsia="Calibri"/>
          <w:snapToGrid/>
          <w:kern w:val="0"/>
        </w:rPr>
      </w:pPr>
      <w:r w:rsidRPr="00C5137A">
        <w:rPr>
          <w:b/>
        </w:rPr>
        <w:t>§ 52.111  Toll free number assignment.</w:t>
      </w:r>
      <w:r w:rsidDel="00EB023F">
        <w:rPr>
          <w:rFonts w:eastAsia="Calibri"/>
          <w:snapToGrid/>
          <w:kern w:val="0"/>
        </w:rPr>
        <w:t xml:space="preserve"> </w:t>
      </w:r>
    </w:p>
    <w:p w:rsidR="00444220" w:rsidRPr="0071150C" w:rsidRDefault="00444220" w:rsidP="00444220">
      <w:pPr>
        <w:widowControl/>
        <w:autoSpaceDE w:val="0"/>
        <w:autoSpaceDN w:val="0"/>
        <w:adjustRightInd w:val="0"/>
        <w:spacing w:after="200" w:line="276" w:lineRule="auto"/>
      </w:pPr>
      <w:r w:rsidRPr="008C761E">
        <w:t>Toll free telephone numbers must be made available to Responsible Organizations and subscribers on an equitable basis</w:t>
      </w:r>
      <w:r w:rsidRPr="003572CC">
        <w:t>.  The Commission will assign toll free numbers by auction, on a first-come, first-served basis, by an alternative assignment methodology, or by a combination of the foregoing options, as circumstances require</w:t>
      </w:r>
      <w:r>
        <w:t>.</w:t>
      </w:r>
    </w:p>
    <w:p w:rsidR="00444220" w:rsidRPr="00231976" w:rsidRDefault="00444220" w:rsidP="00444220">
      <w:pPr>
        <w:widowControl/>
        <w:autoSpaceDE w:val="0"/>
        <w:autoSpaceDN w:val="0"/>
        <w:adjustRightInd w:val="0"/>
        <w:spacing w:after="200" w:line="276" w:lineRule="auto"/>
        <w:rPr>
          <w:rFonts w:eastAsia="Calibri"/>
        </w:rPr>
      </w:pPr>
      <w:r w:rsidDel="00EB023F">
        <w:rPr>
          <w:rFonts w:eastAsia="Calibri"/>
          <w:snapToGrid/>
          <w:kern w:val="0"/>
        </w:rPr>
        <w:t xml:space="preserve"> </w:t>
      </w:r>
    </w:p>
    <w:p w:rsidR="00444220" w:rsidRDefault="00444220" w:rsidP="00444220">
      <w:pPr>
        <w:widowControl/>
        <w:tabs>
          <w:tab w:val="left" w:pos="720"/>
          <w:tab w:val="left" w:pos="3468"/>
        </w:tabs>
        <w:autoSpaceDE w:val="0"/>
        <w:autoSpaceDN w:val="0"/>
        <w:adjustRightInd w:val="0"/>
        <w:spacing w:after="200" w:line="276" w:lineRule="auto"/>
        <w:rPr>
          <w:b/>
        </w:rPr>
        <w:sectPr w:rsidR="00444220" w:rsidSect="00E403E3">
          <w:footnotePr>
            <w:numRestart w:val="eachSect"/>
          </w:footnotePr>
          <w:endnotePr>
            <w:numFmt w:val="decimal"/>
          </w:endnotePr>
          <w:pgSz w:w="12240" w:h="15840"/>
          <w:pgMar w:top="1440" w:right="1440" w:bottom="720" w:left="1440" w:header="720" w:footer="720" w:gutter="0"/>
          <w:cols w:space="720"/>
          <w:noEndnote/>
          <w:docGrid w:linePitch="299"/>
        </w:sectPr>
      </w:pPr>
    </w:p>
    <w:p w:rsidR="00444220" w:rsidRPr="00A814A6" w:rsidRDefault="00444220" w:rsidP="00444220">
      <w:pPr>
        <w:jc w:val="center"/>
        <w:rPr>
          <w:b/>
        </w:rPr>
      </w:pPr>
      <w:bookmarkStart w:id="284" w:name="_Toc491334455"/>
      <w:bookmarkStart w:id="285" w:name="APPXC"/>
      <w:r w:rsidRPr="00A814A6">
        <w:rPr>
          <w:b/>
        </w:rPr>
        <w:t>APPENDIX C</w:t>
      </w:r>
      <w:bookmarkEnd w:id="284"/>
    </w:p>
    <w:p w:rsidR="00444220" w:rsidRDefault="00444220" w:rsidP="00444220">
      <w:pPr>
        <w:jc w:val="center"/>
        <w:rPr>
          <w:b/>
          <w:snapToGrid/>
        </w:rPr>
      </w:pPr>
    </w:p>
    <w:p w:rsidR="00444220" w:rsidRDefault="00444220" w:rsidP="00444220">
      <w:pPr>
        <w:pStyle w:val="ParaNum"/>
        <w:numPr>
          <w:ilvl w:val="0"/>
          <w:numId w:val="0"/>
        </w:numPr>
        <w:tabs>
          <w:tab w:val="left" w:pos="720"/>
        </w:tabs>
        <w:jc w:val="center"/>
        <w:rPr>
          <w:b/>
        </w:rPr>
      </w:pPr>
      <w:r>
        <w:rPr>
          <w:b/>
        </w:rPr>
        <w:t>Initial Regulatory Flexibility Analysis</w:t>
      </w:r>
    </w:p>
    <w:bookmarkEnd w:id="285"/>
    <w:p w:rsidR="00444220" w:rsidRDefault="00444220" w:rsidP="00444220">
      <w:pPr>
        <w:pStyle w:val="ParaNum"/>
        <w:numPr>
          <w:ilvl w:val="0"/>
          <w:numId w:val="7"/>
        </w:numPr>
        <w:tabs>
          <w:tab w:val="clear" w:pos="1080"/>
        </w:tabs>
      </w:pPr>
      <w:r>
        <w:t>As required by the Regulatory Flexibility Act of 1980, as amended (RFA),</w:t>
      </w:r>
      <w:r>
        <w:rPr>
          <w:rStyle w:val="FootnoteReference"/>
          <w:szCs w:val="22"/>
        </w:rPr>
        <w:footnoteReference w:id="102"/>
      </w:r>
      <w:r>
        <w:t xml:space="preserve"> the Commission has prepared this Initial Regulatory Flexibility Analysis (IRFA) of the possible significant economic impact on a substantial number of small entities by the policies and rules proposed in this </w:t>
      </w:r>
      <w:r w:rsidRPr="00ED0B4E">
        <w:rPr>
          <w:i/>
        </w:rPr>
        <w:t>Notice of Proposed Rulemaking</w:t>
      </w:r>
      <w:r>
        <w:t xml:space="preserve"> (</w:t>
      </w:r>
      <w:r w:rsidRPr="00ED0B4E">
        <w:rPr>
          <w:i/>
        </w:rPr>
        <w:t>N</w:t>
      </w:r>
      <w:r>
        <w:rPr>
          <w:i/>
        </w:rPr>
        <w:t>otice</w:t>
      </w:r>
      <w:r>
        <w:t xml:space="preserve">).  The Commission requests written public comments on this IRFA.  Comments must be identified as responses to the IRFA and must be filed by the deadlines for comments provided on the first page of the </w:t>
      </w:r>
      <w:r>
        <w:rPr>
          <w:i/>
        </w:rPr>
        <w:t>Notice</w:t>
      </w:r>
      <w:r>
        <w:t xml:space="preserve">.  The Commission will send a copy of the </w:t>
      </w:r>
      <w:r>
        <w:rPr>
          <w:i/>
        </w:rPr>
        <w:t>Notice</w:t>
      </w:r>
      <w:r>
        <w:t>, including this IRFA, to the Chief Counsel for Advocacy of the Small Business Administration (SBA).</w:t>
      </w:r>
      <w:r>
        <w:rPr>
          <w:rStyle w:val="FootnoteReference"/>
          <w:szCs w:val="22"/>
        </w:rPr>
        <w:footnoteReference w:id="103"/>
      </w:r>
      <w:r>
        <w:t xml:space="preserve">  In addition, the </w:t>
      </w:r>
      <w:r>
        <w:rPr>
          <w:i/>
        </w:rPr>
        <w:t>Notice</w:t>
      </w:r>
      <w:r w:rsidRPr="00ED0B4E">
        <w:rPr>
          <w:i/>
        </w:rPr>
        <w:t xml:space="preserve"> </w:t>
      </w:r>
      <w:r>
        <w:t>and IRFA (or summaries thereof) will be published in the Federal Register.</w:t>
      </w:r>
      <w:r>
        <w:rPr>
          <w:rStyle w:val="FootnoteReference"/>
          <w:szCs w:val="22"/>
        </w:rPr>
        <w:footnoteReference w:id="104"/>
      </w:r>
    </w:p>
    <w:p w:rsidR="00444220" w:rsidRDefault="00444220" w:rsidP="00444220">
      <w:pPr>
        <w:pStyle w:val="Heading2"/>
      </w:pPr>
      <w:bookmarkStart w:id="286" w:name="_Toc485659147"/>
      <w:bookmarkStart w:id="287" w:name="_Toc485386756"/>
      <w:bookmarkStart w:id="288" w:name="_Toc485368604"/>
      <w:bookmarkStart w:id="289" w:name="_Toc485298388"/>
      <w:bookmarkStart w:id="290" w:name="_Toc485133334"/>
      <w:bookmarkStart w:id="291" w:name="_Toc484794788"/>
      <w:bookmarkStart w:id="292" w:name="_Toc371003726"/>
      <w:bookmarkStart w:id="293" w:name="_Toc491333936"/>
      <w:bookmarkStart w:id="294" w:name="_Toc491334456"/>
      <w:bookmarkStart w:id="295" w:name="_Toc491334768"/>
      <w:bookmarkStart w:id="296" w:name="_Toc491355030"/>
      <w:bookmarkStart w:id="297" w:name="_Toc491360026"/>
      <w:bookmarkStart w:id="298" w:name="_Toc492462154"/>
      <w:bookmarkStart w:id="299" w:name="_Toc492464361"/>
      <w:bookmarkStart w:id="300" w:name="_Toc494177083"/>
      <w:r>
        <w:t>Need for, and Objectives of, the Proposed Rules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rsidR="00444220" w:rsidRDefault="00444220" w:rsidP="00444220">
      <w:pPr>
        <w:pStyle w:val="ParaNum"/>
        <w:tabs>
          <w:tab w:val="clear" w:pos="1440"/>
        </w:tabs>
      </w:pPr>
      <w:r>
        <w:t xml:space="preserve">In this </w:t>
      </w:r>
      <w:r>
        <w:rPr>
          <w:i/>
        </w:rPr>
        <w:t>Notice</w:t>
      </w:r>
      <w:r>
        <w:t xml:space="preserve">, we propose changes to, and seek comment on, our toll free number administration and assignment rules.  While </w:t>
      </w:r>
      <w:r w:rsidRPr="114D192B">
        <w:t xml:space="preserve">the Commission’s current </w:t>
      </w:r>
      <w:r>
        <w:t xml:space="preserve">rule uses a </w:t>
      </w:r>
      <w:r w:rsidRPr="114D192B">
        <w:t xml:space="preserve">first-come, first-served </w:t>
      </w:r>
      <w:r>
        <w:t>approach to the assignment of toll free numbers,</w:t>
      </w:r>
      <w:r w:rsidRPr="114D192B">
        <w:rPr>
          <w:rStyle w:val="FootnoteReference"/>
        </w:rPr>
        <w:footnoteReference w:id="105"/>
      </w:r>
      <w:r>
        <w:t xml:space="preserve"> t</w:t>
      </w:r>
      <w:r w:rsidRPr="114D192B">
        <w:t xml:space="preserve">o help ensure the continued usefulness and </w:t>
      </w:r>
      <w:r>
        <w:t xml:space="preserve">availability </w:t>
      </w:r>
      <w:r w:rsidRPr="114D192B">
        <w:t xml:space="preserve">of </w:t>
      </w:r>
      <w:r>
        <w:t>this finite resource, w</w:t>
      </w:r>
      <w:r w:rsidRPr="114D192B">
        <w:t xml:space="preserve">e </w:t>
      </w:r>
      <w:r>
        <w:t>now</w:t>
      </w:r>
      <w:r w:rsidRPr="114D192B">
        <w:t xml:space="preserve"> examine alternative assignment methodologies</w:t>
      </w:r>
      <w:r>
        <w:t>.  The objective of the proposed rules is to create a more efficient method of toll free number assignment that is consistent with our statutory mandate to make “numbers available on an equitable basis.”</w:t>
      </w:r>
      <w:r>
        <w:rPr>
          <w:rStyle w:val="FootnoteReference"/>
          <w:szCs w:val="22"/>
        </w:rPr>
        <w:footnoteReference w:id="106"/>
      </w:r>
      <w:r>
        <w:t xml:space="preserve">  Specifically, we propose amending our rules to allow for use of an </w:t>
      </w:r>
      <w:r w:rsidRPr="114D192B">
        <w:t xml:space="preserve">auction </w:t>
      </w:r>
      <w:r>
        <w:t>to assign certain</w:t>
      </w:r>
      <w:r w:rsidRPr="114D192B">
        <w:t xml:space="preserve"> </w:t>
      </w:r>
      <w:r>
        <w:t xml:space="preserve">toll free </w:t>
      </w:r>
      <w:r w:rsidRPr="114D192B">
        <w:t>numbers—</w:t>
      </w:r>
      <w:r>
        <w:t xml:space="preserve">such as </w:t>
      </w:r>
      <w:r w:rsidRPr="114D192B">
        <w:t>vanity and repeater numbers—</w:t>
      </w:r>
      <w:r>
        <w:t xml:space="preserve">in order to </w:t>
      </w:r>
      <w:r w:rsidRPr="114D192B">
        <w:t xml:space="preserve">better promote </w:t>
      </w:r>
      <w:r>
        <w:t xml:space="preserve">the equitable and efficient, </w:t>
      </w:r>
      <w:r w:rsidRPr="114D192B">
        <w:t>use of numbers.</w:t>
      </w:r>
      <w:r>
        <w:t xml:space="preserve">  With the opportunity afforded by the opening of the 833 toll free code, we propose to use an auction for assigning numbers for which mutually exclusive</w:t>
      </w:r>
      <w:r>
        <w:rPr>
          <w:rStyle w:val="FootnoteReference"/>
        </w:rPr>
        <w:footnoteReference w:id="107"/>
      </w:r>
      <w:r>
        <w:t xml:space="preserve"> interest has been expressed.  We seek comment on repealing or relaxing the prohibition on number brokering, thereby allowing toll free number secondary markets, and consider a variety of other means to modernize toll free number assignments.</w:t>
      </w:r>
    </w:p>
    <w:p w:rsidR="00444220" w:rsidRDefault="00444220" w:rsidP="00444220">
      <w:pPr>
        <w:pStyle w:val="Heading2"/>
      </w:pPr>
      <w:bookmarkStart w:id="301" w:name="_Toc485659148"/>
      <w:bookmarkStart w:id="302" w:name="_Toc485386757"/>
      <w:bookmarkStart w:id="303" w:name="_Toc485368605"/>
      <w:bookmarkStart w:id="304" w:name="_Toc485298389"/>
      <w:bookmarkStart w:id="305" w:name="_Toc485133335"/>
      <w:bookmarkStart w:id="306" w:name="_Toc484794789"/>
      <w:bookmarkStart w:id="307" w:name="_Toc371003732"/>
      <w:bookmarkStart w:id="308" w:name="_Toc491333937"/>
      <w:bookmarkStart w:id="309" w:name="_Toc491334457"/>
      <w:bookmarkStart w:id="310" w:name="_Toc491334769"/>
      <w:bookmarkStart w:id="311" w:name="_Toc491355031"/>
      <w:bookmarkStart w:id="312" w:name="_Toc491360027"/>
      <w:bookmarkStart w:id="313" w:name="_Toc492462155"/>
      <w:bookmarkStart w:id="314" w:name="_Toc492464362"/>
      <w:bookmarkStart w:id="315" w:name="_Toc494177084"/>
      <w:r>
        <w:t>Legal Basis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rsidR="00444220" w:rsidRDefault="00444220" w:rsidP="00444220">
      <w:pPr>
        <w:pStyle w:val="ParaNum"/>
        <w:tabs>
          <w:tab w:val="clear" w:pos="1440"/>
        </w:tabs>
      </w:pPr>
      <w:r>
        <w:t xml:space="preserve">The legal basis for any action that may be taken pursuant to this </w:t>
      </w:r>
      <w:r>
        <w:rPr>
          <w:i/>
        </w:rPr>
        <w:t>Notice</w:t>
      </w:r>
      <w:r>
        <w:t xml:space="preserve"> is contained in sections 1, 4(i), 201(b), and 251(e)(1) of the Communications Act of 1934, as amended, 47 U.S.C. §§ 151, 154(i), 201(b), and 251(e)(1).</w:t>
      </w:r>
    </w:p>
    <w:p w:rsidR="00444220" w:rsidRDefault="00444220" w:rsidP="00444220">
      <w:pPr>
        <w:pStyle w:val="Heading2"/>
      </w:pPr>
      <w:bookmarkStart w:id="316" w:name="_Ref488143099"/>
      <w:bookmarkStart w:id="317" w:name="_Toc485659149"/>
      <w:bookmarkStart w:id="318" w:name="_Toc485386758"/>
      <w:bookmarkStart w:id="319" w:name="_Toc485368606"/>
      <w:bookmarkStart w:id="320" w:name="_Toc485298390"/>
      <w:bookmarkStart w:id="321" w:name="_Toc485133336"/>
      <w:bookmarkStart w:id="322" w:name="_Toc484794790"/>
      <w:bookmarkStart w:id="323" w:name="_Toc371003733"/>
      <w:bookmarkStart w:id="324" w:name="_Toc491333938"/>
      <w:bookmarkStart w:id="325" w:name="_Toc491334458"/>
      <w:bookmarkStart w:id="326" w:name="_Toc491334770"/>
      <w:bookmarkStart w:id="327" w:name="_Toc491355032"/>
      <w:bookmarkStart w:id="328" w:name="_Toc491360028"/>
      <w:bookmarkStart w:id="329" w:name="_Toc492462156"/>
      <w:bookmarkStart w:id="330" w:name="_Toc492464363"/>
      <w:bookmarkStart w:id="331" w:name="_Toc494177085"/>
      <w:r>
        <w:t>Description and Estimate of the Number of Small Entities to Which the Proposed Rules Will Apply</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rsidR="00444220" w:rsidRDefault="00444220" w:rsidP="00444220">
      <w:pPr>
        <w:pStyle w:val="ParaNum"/>
        <w:tabs>
          <w:tab w:val="clear" w:pos="1440"/>
        </w:tabs>
      </w:pPr>
      <w:r>
        <w:t>The RFA directs agencies to provide a description of, and where feasible, an estimate of the number of small entities that may be affected by the proposed rule revisions, if adopted.</w:t>
      </w:r>
      <w:r>
        <w:rPr>
          <w:vertAlign w:val="superscript"/>
        </w:rPr>
        <w:footnoteReference w:id="108"/>
      </w:r>
      <w:r>
        <w:t xml:space="preserve">  The RFA generally defines the term “small entity” as having the same meaning as the terms “small business,” “small organization,” and “small governmental jurisdiction.”</w:t>
      </w:r>
      <w:r>
        <w:rPr>
          <w:vertAlign w:val="superscript"/>
        </w:rPr>
        <w:footnoteReference w:id="109"/>
      </w:r>
      <w:r>
        <w:t xml:space="preserve">  In addition, the term “small business” has the same meaning as the term “small-business concern” under the Small Business Act.</w:t>
      </w:r>
      <w:r>
        <w:rPr>
          <w:vertAlign w:val="superscript"/>
        </w:rPr>
        <w:footnoteReference w:id="110"/>
      </w:r>
      <w:r>
        <w:t xml:space="preserve">  A “small-business concern” is one which:  (1) is independently owned and operated; (2) is not dominant in its field of operation; and (3) satisfies any additional criteria established by the SBA.</w:t>
      </w:r>
      <w:r>
        <w:rPr>
          <w:vertAlign w:val="superscript"/>
        </w:rPr>
        <w:footnoteReference w:id="111"/>
      </w:r>
    </w:p>
    <w:p w:rsidR="00444220" w:rsidRDefault="00444220" w:rsidP="00444220">
      <w:pPr>
        <w:pStyle w:val="ParaNum"/>
        <w:tabs>
          <w:tab w:val="clear" w:pos="1440"/>
        </w:tabs>
      </w:pPr>
      <w:r>
        <w:rPr>
          <w:i/>
        </w:rPr>
        <w:t>Small Businesses, Small Organizations, Small Governmental Jurisdictions</w:t>
      </w:r>
      <w:r>
        <w:t>.  Our actions, over time, may affect small entities that are not easily categorized at present.  We therefore describe here, at the outset, three comprehensive small entity size standards that could be directly affected herein.</w:t>
      </w:r>
      <w:r>
        <w:rPr>
          <w:rStyle w:val="FootnoteReference"/>
          <w:szCs w:val="22"/>
        </w:rPr>
        <w:footnoteReference w:id="112"/>
      </w:r>
      <w:r>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rStyle w:val="FootnoteReference"/>
          <w:szCs w:val="22"/>
        </w:rPr>
        <w:footnoteReference w:id="113"/>
      </w:r>
      <w:r>
        <w:t xml:space="preserve">  These types of small businesses represent 99.9% of all businesses in the United States which translates to 28.8 million businesses.</w:t>
      </w:r>
      <w:r>
        <w:rPr>
          <w:rStyle w:val="FootnoteReference"/>
          <w:szCs w:val="22"/>
        </w:rPr>
        <w:footnoteReference w:id="114"/>
      </w:r>
      <w:r>
        <w:t xml:space="preserve">  Next, the type of small entity described as a “small organization” is generally “any not-for-profit enterprise which is independently owned and operated and is not dominant in its field.”</w:t>
      </w:r>
      <w:r>
        <w:rPr>
          <w:rStyle w:val="FootnoteReference"/>
          <w:szCs w:val="22"/>
        </w:rPr>
        <w:footnoteReference w:id="115"/>
      </w:r>
      <w:r>
        <w:t xml:space="preserve">  Nationwide, as of 2007, there were approximately 1,621,215 small organizations.</w:t>
      </w:r>
      <w:r>
        <w:rPr>
          <w:rStyle w:val="FootnoteReference"/>
          <w:szCs w:val="22"/>
        </w:rPr>
        <w:footnoteReference w:id="116"/>
      </w:r>
      <w:r>
        <w:t xml:space="preserve">  Finally, the small entity described as a “small governmental jurisdiction” is defined generally as “governments of cities, towns, townships, villages, school districts, or special districts, with a population of less than fifty thousand.”</w:t>
      </w:r>
      <w:r>
        <w:rPr>
          <w:rStyle w:val="FootnoteReference"/>
          <w:szCs w:val="22"/>
        </w:rPr>
        <w:footnoteReference w:id="117"/>
      </w:r>
      <w:r>
        <w:t xml:space="preserve">  U.S. Census Bureau data published in 2012 indicate that there were </w:t>
      </w:r>
      <w:r>
        <w:rPr>
          <w:color w:val="000000"/>
        </w:rPr>
        <w:t xml:space="preserve">89,476 </w:t>
      </w:r>
      <w:r>
        <w:t>local governmental jurisdictions in the United States.</w:t>
      </w:r>
      <w:r>
        <w:rPr>
          <w:rStyle w:val="FootnoteReference"/>
          <w:szCs w:val="22"/>
        </w:rPr>
        <w:footnoteReference w:id="118"/>
      </w:r>
      <w:r>
        <w:t xml:space="preserve">  We estimate that, of this total, as many as 88,761 entities may qualify as “small governmental jurisdictions.”</w:t>
      </w:r>
      <w:r>
        <w:rPr>
          <w:vertAlign w:val="superscript"/>
        </w:rPr>
        <w:footnoteReference w:id="119"/>
      </w:r>
      <w:r>
        <w:t xml:space="preserve">  Thus, we estimate that most governmental jurisdictions are small.</w:t>
      </w:r>
    </w:p>
    <w:p w:rsidR="00444220" w:rsidRDefault="00444220" w:rsidP="00444220">
      <w:pPr>
        <w:pStyle w:val="ParaNum"/>
        <w:tabs>
          <w:tab w:val="clear" w:pos="1440"/>
        </w:tabs>
      </w:pPr>
      <w:r>
        <w:rPr>
          <w:i/>
        </w:rPr>
        <w:t>Wired Telecommunications Carriers.</w:t>
      </w:r>
      <w:r>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643E11">
        <w:rPr>
          <w:sz w:val="20"/>
          <w:vertAlign w:val="superscript"/>
        </w:rPr>
        <w:footnoteReference w:id="120"/>
      </w:r>
      <w:r>
        <w:t xml:space="preserve">  The SBA has developed a small business size standard for Wired Telecommunications Carriers, which consists of all such companies having 1,500 or fewer employees.</w:t>
      </w:r>
      <w:r>
        <w:rPr>
          <w:rStyle w:val="FootnoteReference"/>
          <w:szCs w:val="22"/>
        </w:rPr>
        <w:footnoteReference w:id="121"/>
      </w:r>
      <w:r>
        <w:t xml:space="preserve">  Census data for 2012 show that there were 3,117 firms that operated that year.  Of this total, 3,083 operated with fewer than 1,000 employees.  Thus, under this size standard, the majority of firms in this industry can be considered small.</w:t>
      </w:r>
    </w:p>
    <w:p w:rsidR="00444220" w:rsidRDefault="00444220" w:rsidP="00444220">
      <w:pPr>
        <w:pStyle w:val="ParaNum"/>
        <w:tabs>
          <w:tab w:val="clear" w:pos="1440"/>
        </w:tabs>
      </w:pPr>
      <w:r>
        <w:rPr>
          <w:i/>
        </w:rPr>
        <w:t>Local Exchange Carriers (LECs).</w:t>
      </w:r>
      <w:r>
        <w:t xml:space="preserve">  Neither the Commission nor the SBA has developed a size standard for small businesses specifically applicable to local exchange services.  The closest applicable NAICS Code category is Wired Telecommunications Carriers as defined above.  Under the applicable SBA size standard, such a business is small if it has 1,500 or fewer employees.</w:t>
      </w:r>
      <w:r>
        <w:rPr>
          <w:rStyle w:val="FootnoteReference"/>
          <w:szCs w:val="22"/>
        </w:rPr>
        <w:footnoteReference w:id="122"/>
      </w:r>
      <w:r>
        <w:t xml:space="preserve">  According to Commission data, census data for 2012 shows that there were 3,117 firms that operated that year.  Of this total, 3,083 operated with fewer than 1,000 employees.</w:t>
      </w:r>
      <w:r w:rsidRPr="00643E11">
        <w:rPr>
          <w:sz w:val="20"/>
          <w:vertAlign w:val="superscript"/>
        </w:rPr>
        <w:footnoteReference w:id="123"/>
      </w:r>
      <w:r>
        <w:t xml:space="preserve">  The Commission therefore estimates that most providers of local exchange carrier service are small entities that may be affected by the rules adopted.</w:t>
      </w:r>
    </w:p>
    <w:p w:rsidR="00444220" w:rsidRDefault="00444220" w:rsidP="00444220">
      <w:pPr>
        <w:pStyle w:val="ParaNum"/>
        <w:tabs>
          <w:tab w:val="clear" w:pos="1440"/>
        </w:tabs>
      </w:pPr>
      <w:r>
        <w:rPr>
          <w:i/>
        </w:rPr>
        <w:t>Incumbent LECs.</w:t>
      </w:r>
      <w:r>
        <w:t xml:space="preserve">  Neither the Commission nor the SBA has developed a small business size standard specifically for incumbent local exchange services.  The closest applicable NAICS Code category is Wired Telecommunications Carriers as defined above.  Under that size standard, such a business is small if it has 1,500 or fewer employees.</w:t>
      </w:r>
      <w:r>
        <w:rPr>
          <w:rStyle w:val="FootnoteReference"/>
          <w:szCs w:val="22"/>
        </w:rPr>
        <w:footnoteReference w:id="124"/>
      </w:r>
      <w:r>
        <w:t xml:space="preserve">  According to Commission data, 3,117 firms operated in that year.  Of this total, 3,083 operated with fewer than 1,000 employees.</w:t>
      </w:r>
      <w:r>
        <w:rPr>
          <w:rStyle w:val="FootnoteReference"/>
          <w:szCs w:val="22"/>
        </w:rPr>
        <w:footnoteReference w:id="125"/>
      </w:r>
      <w:r>
        <w:t xml:space="preserve">  Consequently, the Commission estimates that most providers of incumbent local exchange service are small businesses that may be affected by the rules and policies adopted</w:t>
      </w:r>
      <w:r>
        <w:rPr>
          <w:i/>
        </w:rPr>
        <w:t>.</w:t>
      </w:r>
      <w:r>
        <w:t xml:space="preserve">  Three hundred and seven (307) Incumbent Local Exchange Carriers reported that they were incumbent local exchange service providers.</w:t>
      </w:r>
      <w:r w:rsidRPr="00643E11">
        <w:rPr>
          <w:spacing w:val="-2"/>
          <w:sz w:val="20"/>
          <w:vertAlign w:val="superscript"/>
        </w:rPr>
        <w:footnoteReference w:id="126"/>
      </w:r>
      <w:r>
        <w:t xml:space="preserve">  Of this total, an estimated 1,006 have 1,500 or fewer employees.</w:t>
      </w:r>
      <w:r w:rsidRPr="00643E11">
        <w:rPr>
          <w:spacing w:val="-2"/>
          <w:sz w:val="20"/>
          <w:vertAlign w:val="superscript"/>
        </w:rPr>
        <w:footnoteReference w:id="127"/>
      </w:r>
      <w:r>
        <w:t xml:space="preserve">    </w:t>
      </w:r>
    </w:p>
    <w:p w:rsidR="00444220" w:rsidRDefault="00444220" w:rsidP="00444220">
      <w:pPr>
        <w:pStyle w:val="ParaNum"/>
        <w:tabs>
          <w:tab w:val="clear" w:pos="1440"/>
        </w:tabs>
      </w:pPr>
      <w:r w:rsidRPr="00643E11">
        <w:rPr>
          <w:i/>
        </w:rPr>
        <w:t>Competitive Local Exchange Carriers (Competitive LECs), Competitive Access Providers (CAPs), Shared-Tenant Service Providers, and Other Local Service Providers.</w:t>
      </w:r>
      <w:r>
        <w:t xml:space="preserve">  Neither the Commission nor the SBA has developed a small business size standard specifically for these service providers.  The appropriate NAICS Code category is Wired Telecommunications Carriers, as defined above.  Under that size standard, such a business is small if it has 1,500 or fewer employees.</w:t>
      </w:r>
      <w:r w:rsidRPr="00643E11">
        <w:rPr>
          <w:spacing w:val="-2"/>
          <w:sz w:val="20"/>
          <w:vertAlign w:val="superscript"/>
        </w:rPr>
        <w:footnoteReference w:id="128"/>
      </w:r>
      <w:r>
        <w:t xml:space="preserve">  U.S. Census data for 2012 indicate that 3,117 firms operated during that year.  Of that number, 3,083 operated with fewer than 1,000 employees.</w:t>
      </w:r>
      <w:r w:rsidRPr="00643E11">
        <w:rPr>
          <w:sz w:val="20"/>
          <w:vertAlign w:val="superscript"/>
        </w:rPr>
        <w:footnoteReference w:id="129"/>
      </w:r>
      <w:r>
        <w:t xml:space="preserve">  Based on this data, the Commission concludes that the majority of Competitive LECS, CAPs, Shared-Tenant Service Providers, and Other Local Service Providers, are small entities.  According to Commission data, 1,442 carriers reported that they were engaged in the provision of either competitive local exchange services or competitive access provider services.  Of these 1,442 carriers, an estimated 1,256 have 1,500 or fewer employees.  In addition, 17 carriers have reported that they are Shared-Tenant Service Providers, and all 17 are estimated to have 1,500 or fewer employees.  Also, 72 carriers have reported that they are Other Local Service Providers.  Of this total, 70 have 1,500 or fewer employees.  Consequently, based on internally researched FCC data, the Commission estimates that most providers of competitive local exchange service, competitive access providers, Shared-Tenant Service Providers, and Other Local Service Providers are small entities. </w:t>
      </w:r>
    </w:p>
    <w:p w:rsidR="00444220" w:rsidRDefault="00444220" w:rsidP="00444220">
      <w:pPr>
        <w:pStyle w:val="ParaNum"/>
        <w:tabs>
          <w:tab w:val="clear" w:pos="1440"/>
        </w:tabs>
      </w:pPr>
      <w:r>
        <w:t xml:space="preserve">We have included small incumbent LECs in this present RFA analysis.  As noted above, a “small business” under the RFA is one that, </w:t>
      </w:r>
      <w:r>
        <w:rPr>
          <w:i/>
        </w:rPr>
        <w:t>inter alia</w:t>
      </w:r>
      <w:r>
        <w:t>, meets the pertinent small business size standard (e.g., a telephone communications business having 1,500 or fewer employees), and “is not dominant in its field of operation.”</w:t>
      </w:r>
      <w:r w:rsidRPr="00643E11">
        <w:rPr>
          <w:sz w:val="20"/>
          <w:vertAlign w:val="superscript"/>
        </w:rPr>
        <w:footnoteReference w:id="130"/>
      </w:r>
      <w:r>
        <w:t xml:space="preserve">  The SBA’s Office of Advocacy contends that, for RFA purposes, small incumbent LECs are not dominant in their field of operation because any such dominance is not “national” in scope.</w:t>
      </w:r>
      <w:r w:rsidRPr="00643E11">
        <w:rPr>
          <w:sz w:val="20"/>
          <w:vertAlign w:val="superscript"/>
        </w:rPr>
        <w:footnoteReference w:id="131"/>
      </w:r>
      <w:r>
        <w:t xml:space="preserve">  We have therefore included small incumbent LECs in this RFA analysis, although we emphasize that this RFA action has no effect on Commission analyses and determinations in other, non-RFA contexts.</w:t>
      </w:r>
    </w:p>
    <w:p w:rsidR="00444220" w:rsidRDefault="00444220" w:rsidP="00444220">
      <w:pPr>
        <w:pStyle w:val="ParaNum"/>
        <w:tabs>
          <w:tab w:val="clear" w:pos="1440"/>
        </w:tabs>
      </w:pPr>
      <w:r>
        <w:rPr>
          <w:i/>
        </w:rPr>
        <w:t xml:space="preserve">Interexchange Carriers (IXCs).  </w:t>
      </w:r>
      <w:r>
        <w:t>Neither the Commission nor the SBA has developed a definition for Interexchange Carriers.  The closest NAICS Code category is Wired Telecommunications Carriers as defined above.  The applicable size standard under SBA rules is that such a business is small if it has 1,500 or fewer employees.</w:t>
      </w:r>
      <w:r w:rsidRPr="00643E11">
        <w:rPr>
          <w:spacing w:val="-2"/>
          <w:sz w:val="20"/>
          <w:vertAlign w:val="superscript"/>
        </w:rPr>
        <w:footnoteReference w:id="132"/>
      </w:r>
      <w:r>
        <w:t xml:space="preserve">  U.S. Census data for 2012 indicates that 3,117 firms operated during that year.  Of that number, 3,083 operated with fewer than 1,000 employees.</w:t>
      </w:r>
      <w:r w:rsidRPr="00643E11">
        <w:rPr>
          <w:sz w:val="20"/>
          <w:vertAlign w:val="superscript"/>
        </w:rPr>
        <w:footnoteReference w:id="133"/>
      </w:r>
      <w:r>
        <w:t xml:space="preserve">  According to internally developed Commission data, 359 companies reported that their primary telecommunications service activity was the provision of interexchange services.</w:t>
      </w:r>
      <w:r w:rsidRPr="00643E11">
        <w:rPr>
          <w:spacing w:val="-2"/>
          <w:sz w:val="20"/>
          <w:vertAlign w:val="superscript"/>
        </w:rPr>
        <w:footnoteReference w:id="134"/>
      </w:r>
      <w:r>
        <w:t xml:space="preserve">  Of this total, an estimated 317 have 1,500 or fewer employees.  Consequently, the Commission estimates that the majority of IXCs are small entities that may be affected by our proposed rules.</w:t>
      </w:r>
    </w:p>
    <w:p w:rsidR="00444220" w:rsidRDefault="00444220" w:rsidP="00444220">
      <w:pPr>
        <w:pStyle w:val="ParaNum"/>
        <w:tabs>
          <w:tab w:val="clear" w:pos="1440"/>
        </w:tabs>
      </w:pPr>
      <w:r>
        <w:rPr>
          <w:i/>
        </w:rPr>
        <w:t>Local Resellers.</w:t>
      </w:r>
      <w:r>
        <w:t xml:space="preserve">  The SBA has developed a small business size standard for the category of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sidRPr="00643E11">
        <w:rPr>
          <w:sz w:val="20"/>
          <w:vertAlign w:val="superscript"/>
        </w:rPr>
        <w:footnoteReference w:id="135"/>
      </w:r>
      <w:r>
        <w:t xml:space="preserve">  Under that size standard, such a business is small if it has 1,500 or fewer employees.</w:t>
      </w:r>
      <w:r w:rsidRPr="00643E11">
        <w:rPr>
          <w:sz w:val="20"/>
          <w:vertAlign w:val="superscript"/>
        </w:rPr>
        <w:footnoteReference w:id="136"/>
      </w:r>
      <w:r>
        <w:t xml:space="preserve">  Census data for 2012 show that 1,341 firms provided resale services during that year.  Of that number, all operated with fewer than 1,000 employees.  Thus, under this category and the associated small business size standard, the majority of these prepaid calling card providers can be considered small entities.</w:t>
      </w:r>
    </w:p>
    <w:p w:rsidR="00444220" w:rsidRDefault="00444220" w:rsidP="00444220">
      <w:pPr>
        <w:pStyle w:val="ParaNum"/>
        <w:tabs>
          <w:tab w:val="clear" w:pos="1440"/>
        </w:tabs>
      </w:pPr>
      <w:r>
        <w:rPr>
          <w:i/>
        </w:rPr>
        <w:t>Toll Resellers.</w:t>
      </w:r>
      <w:r>
        <w:t xml:space="preserve">  The Commission has not developed a definition for Toll Resellers.  The closest NAICS Code Category is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sidRPr="00643E11">
        <w:rPr>
          <w:sz w:val="20"/>
          <w:vertAlign w:val="superscript"/>
        </w:rPr>
        <w:footnoteReference w:id="137"/>
      </w:r>
      <w:r>
        <w:t xml:space="preserve">  The SBA has developed a small business size standard for the category of Telecommunications Resellers.</w:t>
      </w:r>
      <w:r w:rsidRPr="00643E11">
        <w:rPr>
          <w:sz w:val="20"/>
          <w:vertAlign w:val="superscript"/>
        </w:rPr>
        <w:footnoteReference w:id="138"/>
      </w:r>
      <w:r>
        <w:t xml:space="preserve">  Under that size standard, such a business is small if it has 1,500 or fewer employees.</w:t>
      </w:r>
      <w:r w:rsidRPr="00643E11">
        <w:rPr>
          <w:sz w:val="20"/>
          <w:vertAlign w:val="superscript"/>
        </w:rPr>
        <w:footnoteReference w:id="139"/>
      </w:r>
      <w:r>
        <w:t xml:space="preserve">  Census data for 2012 show that 1,341 firms provided resale services during that year.  Of that number, 1,341 operated with fewer than 1,000 employees.  Thus, under this category and the associated small business size standard, the majority of these resellers can be considered small entities.  According to Commission data, 881 carriers have reported that they are engaged in the provision of toll resale services.  Of this total, an estimated 857 have 1,500 or fewer employees.  Consequently, the Commission estimates that the majority of toll resellers are small entities.</w:t>
      </w:r>
    </w:p>
    <w:p w:rsidR="00444220" w:rsidRDefault="00444220" w:rsidP="00444220">
      <w:pPr>
        <w:pStyle w:val="ParaNum"/>
        <w:tabs>
          <w:tab w:val="clear" w:pos="1440"/>
        </w:tabs>
      </w:pPr>
      <w:r>
        <w:rPr>
          <w:i/>
        </w:rPr>
        <w:t>Other Toll Carriers</w:t>
      </w:r>
      <w:r>
        <w:t>.  Neither the Commission nor the SBA has developed a definition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NAICS Code category is for Wired Telecommunications Carriers as defined above.  Under the applicable SBA size standard, such a business is small if it has 1,500 or fewer employees.</w:t>
      </w:r>
      <w:r w:rsidRPr="00643E11">
        <w:rPr>
          <w:spacing w:val="-2"/>
          <w:sz w:val="20"/>
          <w:vertAlign w:val="superscript"/>
        </w:rPr>
        <w:footnoteReference w:id="140"/>
      </w:r>
      <w:r>
        <w:t xml:space="preserve">  Census data for 2012 shows that there were 3,117 firms that operated that year.  Of this total, 3,083 operated with fewer than 1,000 employees.</w:t>
      </w:r>
      <w:r w:rsidRPr="00643E11">
        <w:rPr>
          <w:sz w:val="20"/>
          <w:vertAlign w:val="superscript"/>
        </w:rPr>
        <w:footnoteReference w:id="141"/>
      </w:r>
      <w:r>
        <w:t xml:space="preserve">  Thus, under this category and the associated small business size standard, the majority of Other Toll Carriers can be considered small.  According to internally developed Commission data, 284 companies reported that their primary telecommunications service activity was the provision of other toll carriage.</w:t>
      </w:r>
      <w:r w:rsidRPr="00643E11">
        <w:rPr>
          <w:spacing w:val="-2"/>
          <w:sz w:val="20"/>
          <w:vertAlign w:val="superscript"/>
        </w:rPr>
        <w:footnoteReference w:id="142"/>
      </w:r>
      <w:r>
        <w:t xml:space="preserve">  Of these, an estimated 279 have 1,500 or fewer employees.  Consequently, the Commission estimates that most Other Toll Carriers are small entities that may be affected by rules adopted pursuant to the Second Further Notice.</w:t>
      </w:r>
    </w:p>
    <w:p w:rsidR="00444220" w:rsidRDefault="00444220" w:rsidP="00444220">
      <w:pPr>
        <w:pStyle w:val="ParaNum"/>
        <w:tabs>
          <w:tab w:val="clear" w:pos="1440"/>
        </w:tabs>
      </w:pPr>
      <w:r>
        <w:rPr>
          <w:i/>
        </w:rPr>
        <w:t>Prepaid Calling Card Providers</w:t>
      </w:r>
      <w:r>
        <w:t>.  The SBA has developed a definition for small businesses within the category of Telecommunications Resellers.  Under that SBA definition, such a business is small if it has 1,500 or fewer employees.</w:t>
      </w:r>
      <w:r>
        <w:rPr>
          <w:rStyle w:val="FootnoteReference"/>
          <w:color w:val="000000"/>
          <w:szCs w:val="22"/>
        </w:rPr>
        <w:footnoteReference w:id="143"/>
      </w:r>
      <w:r>
        <w:t xml:space="preserve">  According to the Commission's Form 499 Filer Database, 500 companies reported that they were engaged in the provision of prepaid calling cards.</w:t>
      </w:r>
      <w:r>
        <w:rPr>
          <w:rStyle w:val="FootnoteReference"/>
          <w:color w:val="000000"/>
          <w:spacing w:val="-2"/>
          <w:szCs w:val="22"/>
        </w:rPr>
        <w:footnoteReference w:id="144"/>
      </w:r>
      <w:r>
        <w:t xml:space="preserve">  The Commission does not have data regarding how many of these 500 companies have 1,500 or fewer employees.  Consequently, the Commission estimates that there are 500 or fewer prepaid calling card providers that may be affected by the rules.</w:t>
      </w:r>
    </w:p>
    <w:p w:rsidR="00444220" w:rsidRDefault="00444220" w:rsidP="00444220">
      <w:pPr>
        <w:pStyle w:val="ParaNum"/>
        <w:tabs>
          <w:tab w:val="clear" w:pos="1440"/>
        </w:tabs>
      </w:pPr>
      <w:r>
        <w:rPr>
          <w:i/>
        </w:rPr>
        <w:t>Wireless Telecommunications Carriers (except Satellite</w:t>
      </w:r>
      <w:r>
        <w:t>).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szCs w:val="22"/>
        </w:rPr>
        <w:footnoteReference w:id="145"/>
      </w:r>
      <w:r>
        <w:t xml:space="preserve">  The appropriate size standard under SBA rules is that such a business is small if it has 1,500 or fewer employees.</w:t>
      </w:r>
      <w:r>
        <w:rPr>
          <w:rStyle w:val="FootnoteReference"/>
          <w:szCs w:val="22"/>
        </w:rPr>
        <w:footnoteReference w:id="146"/>
      </w:r>
      <w:r>
        <w:t xml:space="preserve">  For this industry, U.S. Census data for 2012 show that there were 967 firms that operated for the entire year.</w:t>
      </w:r>
      <w:r>
        <w:rPr>
          <w:rStyle w:val="FootnoteReference"/>
          <w:szCs w:val="22"/>
        </w:rPr>
        <w:footnoteReference w:id="147"/>
      </w:r>
      <w:r>
        <w:t xml:space="preserve">  Of this total, 955 firms had employment of 999 or fewer employees and 12 had employment of 1000 employees or more.</w:t>
      </w:r>
      <w:r>
        <w:rPr>
          <w:rStyle w:val="FootnoteReference"/>
          <w:szCs w:val="22"/>
        </w:rPr>
        <w:footnoteReference w:id="148"/>
      </w:r>
      <w:r>
        <w:t xml:space="preserve">  Thus under this category and the associated size standard, the Commission estimates that the majority of wireless telecommunications carriers (except satellite) are small entities.  </w:t>
      </w:r>
    </w:p>
    <w:p w:rsidR="00444220" w:rsidRDefault="00444220" w:rsidP="00444220">
      <w:pPr>
        <w:pStyle w:val="ParaNum"/>
        <w:tabs>
          <w:tab w:val="clear" w:pos="1440"/>
        </w:tabs>
      </w:pPr>
      <w:r>
        <w:t>The Commission’s own data—available in its Universal Licensing System—indicate that, as of October 25, 2016, there are 280 Cellular licensees that will be affected by our actions today.</w:t>
      </w:r>
      <w:r>
        <w:rPr>
          <w:rStyle w:val="FootnoteReference"/>
          <w:szCs w:val="22"/>
        </w:rPr>
        <w:footnoteReference w:id="149"/>
      </w:r>
      <w:r>
        <w:t xml:space="preserve">  The Commission does not know how many of these licensees are small, as the Commission does not collect that information for these types of entities.  Similarly, according to internally developed Commission data, 413 carriers reported that they were engaged in the provision of wireless telephony, including cellular service, Personal Communications Service, and Specialized Mobile Radio Telephony services.</w:t>
      </w:r>
      <w:r>
        <w:rPr>
          <w:rStyle w:val="FootnoteReference"/>
          <w:szCs w:val="22"/>
        </w:rPr>
        <w:footnoteReference w:id="150"/>
      </w:r>
      <w:r>
        <w:t xml:space="preserve">  Of this total, an estimated 261 have 1,500 or fewer employees, and 152 have more than 1,500 employees.  Thus, using available data, we estimate that the majority of wireless firms can be considered small.  </w:t>
      </w:r>
    </w:p>
    <w:p w:rsidR="00444220" w:rsidRDefault="00444220" w:rsidP="00444220">
      <w:pPr>
        <w:pStyle w:val="ParaNum"/>
        <w:tabs>
          <w:tab w:val="clear" w:pos="1440"/>
        </w:tabs>
      </w:pPr>
      <w:r>
        <w:rPr>
          <w:i/>
        </w:rPr>
        <w:t>Wireless Communications Services</w:t>
      </w:r>
      <w:r>
        <w:t>.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Pr>
          <w:rStyle w:val="FootnoteReference"/>
          <w:szCs w:val="22"/>
        </w:rPr>
        <w:footnoteReference w:id="151"/>
      </w:r>
      <w:r>
        <w:t xml:space="preserve">  The SBA has approved these definitions.</w:t>
      </w:r>
      <w:r>
        <w:rPr>
          <w:rStyle w:val="FootnoteReference"/>
          <w:szCs w:val="22"/>
        </w:rPr>
        <w:footnoteReference w:id="152"/>
      </w:r>
      <w:r>
        <w:t xml:space="preserve">  </w:t>
      </w:r>
    </w:p>
    <w:p w:rsidR="00444220" w:rsidRDefault="00444220" w:rsidP="00444220">
      <w:pPr>
        <w:pStyle w:val="ParaNum"/>
        <w:tabs>
          <w:tab w:val="clear" w:pos="1440"/>
        </w:tabs>
      </w:pPr>
      <w:r>
        <w:rPr>
          <w:i/>
        </w:rPr>
        <w:t>Wireless Telephony</w:t>
      </w:r>
      <w:r>
        <w:t>.  Wireless telephony includes cellular, personal communications services, and specialized mobile radio telephony carriers.  As noted, the SBA has developed a small business size standard for Wireless Telecommunications Carriers (except Satellite).</w:t>
      </w:r>
      <w:r>
        <w:rPr>
          <w:rStyle w:val="FootnoteReference"/>
          <w:szCs w:val="22"/>
        </w:rPr>
        <w:footnoteReference w:id="153"/>
      </w:r>
      <w:r>
        <w:t xml:space="preserve">  Under the SBA small business size standard, a business is small if it has 1,500 or fewer employees.</w:t>
      </w:r>
      <w:r>
        <w:rPr>
          <w:rStyle w:val="FootnoteReference"/>
          <w:szCs w:val="22"/>
        </w:rPr>
        <w:footnoteReference w:id="154"/>
      </w:r>
      <w:r>
        <w:t xml:space="preserve">  According to Commission data, 413 carriers reported that they were engaged in wireless telephony.</w:t>
      </w:r>
      <w:r>
        <w:rPr>
          <w:rStyle w:val="FootnoteReference"/>
          <w:szCs w:val="22"/>
        </w:rPr>
        <w:footnoteReference w:id="155"/>
      </w:r>
      <w:r>
        <w:t xml:space="preserve">  Of these, an estimated 261 have 1,500 or fewer employees and 152 have more than 1,500 employees.  Therefore, a little less than one third of these entities can be considered small.</w:t>
      </w:r>
    </w:p>
    <w:p w:rsidR="00444220" w:rsidRDefault="00444220" w:rsidP="00444220">
      <w:pPr>
        <w:pStyle w:val="ParaNum"/>
        <w:tabs>
          <w:tab w:val="clear" w:pos="1440"/>
        </w:tabs>
      </w:pPr>
      <w:r>
        <w:rPr>
          <w:i/>
        </w:rPr>
        <w:t>Cable and Other Subscription Programming.</w:t>
      </w:r>
      <w:r>
        <w:t xml:space="preserve">  This industry comprises establishments primarily engaged in operating studios and facilities for the broadcasting of programs on a subscription or fee basis.  The broadcast programming is typically narrowcast in nature (e.g. limited format, such as news, sports, education, or youth-oriented).  These establishments produce programming in their own facilities or acquire programming from external sources.  The programming material is usually delivered to a third party, such as cable systems or direct-to-home satellite systems, for transmission to viewers.</w:t>
      </w:r>
      <w:r w:rsidRPr="00643E11">
        <w:rPr>
          <w:sz w:val="20"/>
          <w:vertAlign w:val="superscript"/>
        </w:rPr>
        <w:footnoteReference w:id="156"/>
      </w:r>
      <w:r>
        <w:t xml:space="preserve"> The SBA has established a size standard for this industry stating that a business in this industry is small if it has 1,500 or fewer employees.</w:t>
      </w:r>
      <w:r w:rsidRPr="00643E11">
        <w:rPr>
          <w:sz w:val="20"/>
          <w:vertAlign w:val="superscript"/>
        </w:rPr>
        <w:footnoteReference w:id="157"/>
      </w:r>
      <w:r>
        <w:t xml:space="preserve">  The 2012 Economic Census indicates that 367 firms were operational for that entire year.  Of this total, 357 operated with less than 1,000 employees.</w:t>
      </w:r>
      <w:r w:rsidRPr="00643E11">
        <w:rPr>
          <w:sz w:val="20"/>
          <w:vertAlign w:val="superscript"/>
        </w:rPr>
        <w:footnoteReference w:id="158"/>
      </w:r>
      <w:r>
        <w:t xml:space="preserve">  Accordingly we conclude that a substantial majority of firms in this industry are small under the applicable SBA size standard.</w:t>
      </w:r>
    </w:p>
    <w:p w:rsidR="00444220" w:rsidRDefault="00444220" w:rsidP="00444220">
      <w:pPr>
        <w:pStyle w:val="ParaNum"/>
        <w:tabs>
          <w:tab w:val="clear" w:pos="1440"/>
        </w:tabs>
      </w:pPr>
      <w:r>
        <w:rPr>
          <w:i/>
        </w:rPr>
        <w:t>Cable Companies and Systems (Rate Regulation).</w:t>
      </w:r>
      <w:r>
        <w:t xml:space="preserve">  The Commission has developed its own small business size standards for the purpose of cable rate regulation.  Under the Commission's rules, a “small cable company” is one serving 400,000 or fewer subscribers nationwide.</w:t>
      </w:r>
      <w:r>
        <w:rPr>
          <w:rStyle w:val="FootnoteReference"/>
          <w:szCs w:val="22"/>
        </w:rPr>
        <w:footnoteReference w:id="159"/>
      </w:r>
      <w:r>
        <w:t xml:space="preserve">  Industry data indicate that there are currently 4,600 active cable systems in the United States.</w:t>
      </w:r>
      <w:r>
        <w:rPr>
          <w:rStyle w:val="FootnoteReference"/>
          <w:szCs w:val="22"/>
        </w:rPr>
        <w:footnoteReference w:id="160"/>
      </w:r>
      <w:r>
        <w:t xml:space="preserve">  Of this total, all but eleven cable operators nationwide are small under the 400,000-subscriber size standard.</w:t>
      </w:r>
      <w:r>
        <w:rPr>
          <w:rStyle w:val="FootnoteReference"/>
          <w:szCs w:val="22"/>
        </w:rPr>
        <w:footnoteReference w:id="161"/>
      </w:r>
      <w:r>
        <w:t xml:space="preserve">  In addition, under the Commission's rate regulation rules, a “small system” is a cable system serving 15,000 or fewer subscribers.</w:t>
      </w:r>
      <w:r>
        <w:rPr>
          <w:rStyle w:val="FootnoteReference"/>
          <w:szCs w:val="22"/>
        </w:rPr>
        <w:footnoteReference w:id="162"/>
      </w:r>
      <w:r>
        <w:t xml:space="preserve">  Current Commission records show 4,600 cable systems nationwide.  Of this total, 3,900 cable systems have fewer than 15,000 subscribers, and 700 systems have 15,000 or more subscribers, based on the same records.</w:t>
      </w:r>
      <w:r>
        <w:rPr>
          <w:rStyle w:val="FootnoteReference"/>
          <w:szCs w:val="22"/>
        </w:rPr>
        <w:footnoteReference w:id="163"/>
      </w:r>
      <w:r>
        <w:t xml:space="preserve">  Thus, under this standard as well, we estimate that most cable systems are small entities.</w:t>
      </w:r>
    </w:p>
    <w:p w:rsidR="00444220" w:rsidRDefault="00444220" w:rsidP="00444220">
      <w:pPr>
        <w:pStyle w:val="ParaNum"/>
        <w:tabs>
          <w:tab w:val="clear" w:pos="1440"/>
        </w:tabs>
      </w:pPr>
      <w:r>
        <w:rPr>
          <w:i/>
        </w:rPr>
        <w:t>Cable System Operators (Telecom Act Standard).</w:t>
      </w:r>
      <w:r>
        <w:t xml:space="preserve">  The Communications Act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Pr>
          <w:rStyle w:val="FootnoteReference"/>
          <w:szCs w:val="22"/>
        </w:rPr>
        <w:footnoteReference w:id="164"/>
      </w:r>
      <w:r>
        <w:t xml:space="preserve">  There are approximately 52,403,705 cable video subscribers in the United States today.</w:t>
      </w:r>
      <w:r w:rsidRPr="00643E11">
        <w:rPr>
          <w:sz w:val="20"/>
          <w:vertAlign w:val="superscript"/>
        </w:rPr>
        <w:footnoteReference w:id="165"/>
      </w:r>
      <w:r>
        <w:t xml:space="preserve">  Accordingly, an operator serving fewer than 524,037 subscribers shall be deemed a small operator if its annual revenues, when combined with the total annual revenues of all its affiliates, do not exceed $250 million in the aggregate.</w:t>
      </w:r>
      <w:r>
        <w:rPr>
          <w:rStyle w:val="FootnoteReference"/>
          <w:szCs w:val="22"/>
        </w:rPr>
        <w:footnoteReference w:id="166"/>
      </w:r>
      <w:r>
        <w:t xml:space="preserve">  Based on available data, we find that all but nine incumbent cable operators are small entities under this size standard.</w:t>
      </w:r>
      <w:r>
        <w:rPr>
          <w:rStyle w:val="FootnoteReference"/>
          <w:szCs w:val="22"/>
        </w:rPr>
        <w:footnoteReference w:id="167"/>
      </w:r>
      <w:r>
        <w:t xml:space="preserve">  We note that the Commission neither requests nor collects information on whether cable system operators are affiliated with entities whose gross annual revenues exceed $250 million.</w:t>
      </w:r>
      <w:r w:rsidRPr="00643E11">
        <w:rPr>
          <w:sz w:val="20"/>
          <w:vertAlign w:val="superscript"/>
        </w:rPr>
        <w:footnoteReference w:id="168"/>
      </w:r>
      <w:r>
        <w:t xml:space="preserve">  Although it seems certain that some of these cable system operators are affiliated with entities whose gross annual revenues exceed $250 million, we are unable at this time to estimate with greater precision the number of cable system operators that would qualify as small cable operators under the definition in the Communications Act.  </w:t>
      </w:r>
    </w:p>
    <w:p w:rsidR="00444220" w:rsidRDefault="00444220" w:rsidP="00444220">
      <w:pPr>
        <w:pStyle w:val="ParaNum"/>
        <w:tabs>
          <w:tab w:val="clear" w:pos="1440"/>
        </w:tabs>
      </w:pPr>
      <w:r>
        <w:rPr>
          <w:i/>
        </w:rPr>
        <w:t xml:space="preserve">All Other Telecommunications.  </w:t>
      </w:r>
      <w:r>
        <w:t xml:space="preserve">The </w:t>
      </w:r>
      <w:r w:rsidRPr="00643E11">
        <w:t>“</w:t>
      </w:r>
      <w:r>
        <w:t>All Other Telecommunications” industry 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sidRPr="00643E11">
        <w:rPr>
          <w:sz w:val="20"/>
          <w:vertAlign w:val="superscript"/>
        </w:rPr>
        <w:footnoteReference w:id="169"/>
      </w:r>
      <w:r>
        <w:t xml:space="preserve">  The SBA has developed a small business size standard for “All Other Telecommunications,” which consists of all such firms with gross annual receipts of $32.5 million or less.</w:t>
      </w:r>
      <w:r w:rsidRPr="00643E11">
        <w:rPr>
          <w:sz w:val="20"/>
          <w:vertAlign w:val="superscript"/>
        </w:rPr>
        <w:footnoteReference w:id="170"/>
      </w:r>
      <w:r>
        <w:t xml:space="preserve">  For this category, U.S. Census data for 2012 show that there were 1,442 firms that operated for the entire year.  Of these firms, a total of 1,400 had gross annual receipts of less than $25 million.</w:t>
      </w:r>
      <w:r w:rsidRPr="00643E11">
        <w:rPr>
          <w:sz w:val="20"/>
          <w:vertAlign w:val="superscript"/>
        </w:rPr>
        <w:footnoteReference w:id="171"/>
      </w:r>
      <w:r>
        <w:t xml:space="preserve">  Thus a majority of “All Other Telecommunications” firms potentially affected by our action can be considered small.</w:t>
      </w:r>
    </w:p>
    <w:p w:rsidR="00444220" w:rsidRDefault="00444220" w:rsidP="00444220">
      <w:pPr>
        <w:pStyle w:val="Heading2"/>
      </w:pPr>
      <w:bookmarkStart w:id="332" w:name="_Toc485659150"/>
      <w:bookmarkStart w:id="333" w:name="_Toc485386759"/>
      <w:bookmarkStart w:id="334" w:name="_Toc485368607"/>
      <w:bookmarkStart w:id="335" w:name="_Toc485298391"/>
      <w:bookmarkStart w:id="336" w:name="_Toc485133337"/>
      <w:bookmarkStart w:id="337" w:name="_Toc484794791"/>
      <w:bookmarkStart w:id="338" w:name="_Toc371003734"/>
      <w:bookmarkStart w:id="339" w:name="_Toc491333939"/>
      <w:bookmarkStart w:id="340" w:name="_Toc491334459"/>
      <w:bookmarkStart w:id="341" w:name="_Toc491334771"/>
      <w:bookmarkStart w:id="342" w:name="_Toc491355033"/>
      <w:bookmarkStart w:id="343" w:name="_Toc491360029"/>
      <w:bookmarkStart w:id="344" w:name="_Toc492462157"/>
      <w:bookmarkStart w:id="345" w:name="_Toc492464364"/>
      <w:bookmarkStart w:id="346" w:name="_Toc494177086"/>
      <w:r>
        <w:t>Description of Projected Reporting, Recordkeeping, and Other Compliance Requirements for Small Entities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rsidR="00444220" w:rsidRDefault="00444220" w:rsidP="00444220">
      <w:pPr>
        <w:pStyle w:val="ParaNum"/>
        <w:tabs>
          <w:tab w:val="clear" w:pos="1440"/>
        </w:tabs>
      </w:pPr>
      <w:r w:rsidRPr="00ED0B4E">
        <w:t xml:space="preserve">The </w:t>
      </w:r>
      <w:r w:rsidRPr="00643E11">
        <w:rPr>
          <w:i/>
        </w:rPr>
        <w:t>Notice</w:t>
      </w:r>
      <w:r w:rsidRPr="00ED0B4E">
        <w:t xml:space="preserve"> proposes and seeks comment on rule changes that will affect toll free number </w:t>
      </w:r>
      <w:r>
        <w:t>assignment</w:t>
      </w:r>
      <w:r w:rsidRPr="00ED0B4E">
        <w:t xml:space="preserve"> and administration.  In particular, </w:t>
      </w:r>
      <w:r>
        <w:t xml:space="preserve">we propose expanding the existing toll free number assignment rule to permit use of an auction methodology, among other assignment mechanisms, to assign toll free numbers.  </w:t>
      </w:r>
      <w:r w:rsidRPr="00A54C3C">
        <w:rPr>
          <w:szCs w:val="22"/>
        </w:rPr>
        <w:t xml:space="preserve">To do so, we propose to revise section 52.111 of our rules to allow the Commission to assign numbers </w:t>
      </w:r>
      <w:r w:rsidRPr="001D7540">
        <w:rPr>
          <w:szCs w:val="22"/>
        </w:rPr>
        <w:t xml:space="preserve">in a manner that is equitable, including by auction, on a first-come, first-served basis, an alternative assignment methodology, or </w:t>
      </w:r>
      <w:r w:rsidRPr="002C7061">
        <w:rPr>
          <w:szCs w:val="22"/>
        </w:rPr>
        <w:t xml:space="preserve">by a combination of the forgoing as circumstances require.  </w:t>
      </w:r>
      <w:r w:rsidRPr="00A54C3C">
        <w:rPr>
          <w:szCs w:val="22"/>
        </w:rPr>
        <w:t>We also seek comment on conducting a sealed, single</w:t>
      </w:r>
      <w:r>
        <w:rPr>
          <w:szCs w:val="22"/>
        </w:rPr>
        <w:t xml:space="preserve"> round, sealed</w:t>
      </w:r>
      <w:r w:rsidRPr="00A54C3C">
        <w:rPr>
          <w:szCs w:val="22"/>
        </w:rPr>
        <w:t xml:space="preserve">-bid Vickrey auction for the roughly 17,000 numbers set aside, pursuant to the </w:t>
      </w:r>
      <w:r w:rsidRPr="00A54C3C">
        <w:rPr>
          <w:i/>
          <w:iCs/>
          <w:szCs w:val="22"/>
        </w:rPr>
        <w:t>833 Code Opening Order</w:t>
      </w:r>
      <w:r w:rsidRPr="00A54C3C">
        <w:rPr>
          <w:szCs w:val="22"/>
        </w:rPr>
        <w:t>, for which there were mutually exclusive requests.</w:t>
      </w:r>
      <w:r>
        <w:t xml:space="preserve">  </w:t>
      </w:r>
      <w:r w:rsidRPr="00ED0B4E">
        <w:t xml:space="preserve">Auction procedure compliance will affect the </w:t>
      </w:r>
      <w:r>
        <w:t>toll free auction administrator</w:t>
      </w:r>
      <w:r w:rsidRPr="00ED0B4E">
        <w:t xml:space="preserve"> and all RespOrgs, including those considered small entities, as</w:t>
      </w:r>
      <w:r>
        <w:t xml:space="preserve"> described</w:t>
      </w:r>
      <w:r w:rsidRPr="00ED0B4E">
        <w:t xml:space="preserve"> above.</w:t>
      </w:r>
    </w:p>
    <w:p w:rsidR="00444220" w:rsidRDefault="00444220" w:rsidP="00444220">
      <w:pPr>
        <w:pStyle w:val="ParaNum"/>
        <w:tabs>
          <w:tab w:val="clear" w:pos="1440"/>
        </w:tabs>
      </w:pPr>
      <w:r w:rsidRPr="001150E1">
        <w:rPr>
          <w:szCs w:val="22"/>
        </w:rPr>
        <w:t>In addition, we seek comment on</w:t>
      </w:r>
      <w:r>
        <w:rPr>
          <w:szCs w:val="22"/>
        </w:rPr>
        <w:t xml:space="preserve"> </w:t>
      </w:r>
      <w:r w:rsidRPr="001150E1">
        <w:rPr>
          <w:szCs w:val="22"/>
        </w:rPr>
        <w:t xml:space="preserve">revising our rules to promote development of </w:t>
      </w:r>
      <w:r w:rsidRPr="002C7061">
        <w:rPr>
          <w:szCs w:val="22"/>
        </w:rPr>
        <w:t>a secondary market for toll free numbers.  We seek comment</w:t>
      </w:r>
      <w:r>
        <w:t xml:space="preserve"> on what types of information would be needed from the buyer and seller to document a reassignment, whether an online recording system is needed to record reassignments in the secondary market, and whether there should be a database for potential buyers.  The </w:t>
      </w:r>
      <w:r w:rsidRPr="002C7061">
        <w:rPr>
          <w:i/>
        </w:rPr>
        <w:t>Notice</w:t>
      </w:r>
      <w:r>
        <w:t xml:space="preserve"> also seeks comment on whether the Toll Free Numbering Administrator (TFNA) should keep toll free number subscriber records and whether we should consider including subscriber information in a TFNA database?  </w:t>
      </w:r>
    </w:p>
    <w:p w:rsidR="00444220" w:rsidRDefault="00444220" w:rsidP="00444220">
      <w:pPr>
        <w:pStyle w:val="Heading2"/>
      </w:pPr>
      <w:bookmarkStart w:id="347" w:name="_Toc485659151"/>
      <w:bookmarkStart w:id="348" w:name="_Toc485386760"/>
      <w:bookmarkStart w:id="349" w:name="_Toc485368608"/>
      <w:bookmarkStart w:id="350" w:name="_Toc485298392"/>
      <w:bookmarkStart w:id="351" w:name="_Toc485133338"/>
      <w:bookmarkStart w:id="352" w:name="_Toc484794792"/>
      <w:bookmarkStart w:id="353" w:name="_Toc371003735"/>
      <w:bookmarkStart w:id="354" w:name="_Toc491333940"/>
      <w:bookmarkStart w:id="355" w:name="_Toc491334460"/>
      <w:bookmarkStart w:id="356" w:name="_Toc491334772"/>
      <w:bookmarkStart w:id="357" w:name="_Toc491355034"/>
      <w:bookmarkStart w:id="358" w:name="_Toc491360030"/>
      <w:bookmarkStart w:id="359" w:name="_Toc492462158"/>
      <w:bookmarkStart w:id="360" w:name="_Toc492464365"/>
      <w:bookmarkStart w:id="361" w:name="_Toc494177087"/>
      <w:r>
        <w:t>Steps Taken to Minimize the Significant Economic Impact on Small Entities, and Significant Alternatives Considered</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rsidR="00444220" w:rsidRDefault="00444220" w:rsidP="00444220">
      <w:pPr>
        <w:pStyle w:val="ParaNum"/>
        <w:tabs>
          <w:tab w:val="clear" w:pos="1440"/>
        </w:tabs>
      </w:pPr>
      <w:r>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rules for such small entities; (3) the use of performance rather than design standards; and (4) an exemption from coverage of the rule, or any part thereof, for such small entities.</w:t>
      </w:r>
      <w:r>
        <w:rPr>
          <w:rStyle w:val="FootnoteReference"/>
          <w:szCs w:val="22"/>
        </w:rPr>
        <w:footnoteReference w:id="172"/>
      </w:r>
    </w:p>
    <w:p w:rsidR="00444220" w:rsidRDefault="00444220" w:rsidP="00444220">
      <w:pPr>
        <w:pStyle w:val="ParaNum"/>
        <w:tabs>
          <w:tab w:val="clear" w:pos="1440"/>
        </w:tabs>
      </w:pPr>
      <w:r>
        <w:t xml:space="preserve">This </w:t>
      </w:r>
      <w:r w:rsidRPr="003310A5">
        <w:rPr>
          <w:i/>
        </w:rPr>
        <w:t>Notice</w:t>
      </w:r>
      <w:r>
        <w:t xml:space="preserve"> invites comment on a number of proposals and alternatives to modify the present toll free number administration and assignment method rules.  The </w:t>
      </w:r>
      <w:r w:rsidRPr="00643E11">
        <w:rPr>
          <w:i/>
        </w:rPr>
        <w:t>Notice</w:t>
      </w:r>
      <w:r>
        <w:t xml:space="preserve"> proposes</w:t>
      </w:r>
      <w:r w:rsidRPr="003310A5">
        <w:t xml:space="preserve"> </w:t>
      </w:r>
      <w:r>
        <w:t xml:space="preserve">expanding the existing toll free number assignment rule to permit use of an auction methodology, among other assignment mechanisms, to assign toll free numbers.  </w:t>
      </w:r>
      <w:r w:rsidRPr="0096791B">
        <w:rPr>
          <w:szCs w:val="22"/>
        </w:rPr>
        <w:t>To do so, we propose to revise section 52.111 of our rules to allow the Commission to assign numbers in a manner that is equitable, including by auction, on a first-come, first-served basis, an alternative assignment methodology, or by a combination of the forgoing as circumstances require.</w:t>
      </w:r>
      <w:r>
        <w:t xml:space="preserve">  The </w:t>
      </w:r>
      <w:r w:rsidRPr="0096791B">
        <w:rPr>
          <w:i/>
        </w:rPr>
        <w:t>Notice</w:t>
      </w:r>
      <w:r>
        <w:t xml:space="preserve"> also seeks comment on types of auction methods that should be employed and on the advantages and disadvantages of these auction methods.  </w:t>
      </w:r>
    </w:p>
    <w:p w:rsidR="00444220" w:rsidRDefault="00444220" w:rsidP="0072390A">
      <w:pPr>
        <w:pStyle w:val="ParaNum"/>
        <w:widowControl/>
        <w:tabs>
          <w:tab w:val="clear" w:pos="1440"/>
        </w:tabs>
      </w:pPr>
      <w:r>
        <w:t xml:space="preserve">The Notice also seeks comment on repealing or relaxing the prohibition against brokering and open number distribution to secondary markets.  Theses proposal could minimize burdens on current and future toll free subscribers, some of which may be small entities.  Finally, in the </w:t>
      </w:r>
      <w:r w:rsidRPr="002C7061">
        <w:rPr>
          <w:i/>
        </w:rPr>
        <w:t>Notice</w:t>
      </w:r>
      <w:r>
        <w:t>, w</w:t>
      </w:r>
      <w:r w:rsidRPr="114D192B">
        <w:t xml:space="preserve">e </w:t>
      </w:r>
      <w:r>
        <w:t>seek comment on whether</w:t>
      </w:r>
      <w:r w:rsidRPr="114D192B">
        <w:t xml:space="preserve"> certain </w:t>
      </w:r>
      <w:r>
        <w:t>desirable</w:t>
      </w:r>
      <w:r w:rsidRPr="114D192B">
        <w:t xml:space="preserve"> </w:t>
      </w:r>
      <w:r>
        <w:t>toll free</w:t>
      </w:r>
      <w:r w:rsidRPr="114D192B">
        <w:t xml:space="preserve"> numbers necessary to promote health and safety be set aside for </w:t>
      </w:r>
      <w:r w:rsidRPr="00522F94">
        <w:t xml:space="preserve">use, without cost, by </w:t>
      </w:r>
      <w:r w:rsidRPr="001D45AE">
        <w:t xml:space="preserve">government (federal, state, local and Tribal) agencies as well as by non-profit health, safety, educational, or other non-profit public </w:t>
      </w:r>
      <w:r w:rsidRPr="006077A6">
        <w:t>interest</w:t>
      </w:r>
      <w:r>
        <w:t>.</w:t>
      </w:r>
      <w:r>
        <w:rPr>
          <w:rStyle w:val="FootnoteReference"/>
        </w:rPr>
        <w:footnoteReference w:id="173"/>
      </w:r>
      <w:r>
        <w:t xml:space="preserve">  We also seek comment on whether other entities such as non-profit educational and charitable organizations be included in this definition or receive similar treatment.</w:t>
      </w:r>
      <w:r>
        <w:rPr>
          <w:rStyle w:val="FootnoteReference"/>
        </w:rPr>
        <w:footnoteReference w:id="174"/>
      </w:r>
      <w:r>
        <w:t xml:space="preserve">  These organizations could include small entities and such set asides would ensure that these organizations could receive certain numbers with minimal effort.  </w:t>
      </w:r>
    </w:p>
    <w:p w:rsidR="00444220" w:rsidRDefault="00444220" w:rsidP="00444220">
      <w:pPr>
        <w:pStyle w:val="Heading2"/>
      </w:pPr>
      <w:bookmarkStart w:id="362" w:name="_Toc485659152"/>
      <w:bookmarkStart w:id="363" w:name="_Toc485386761"/>
      <w:bookmarkStart w:id="364" w:name="_Toc485368609"/>
      <w:bookmarkStart w:id="365" w:name="_Toc485298393"/>
      <w:bookmarkStart w:id="366" w:name="_Toc485133339"/>
      <w:bookmarkStart w:id="367" w:name="_Toc484794793"/>
      <w:bookmarkStart w:id="368" w:name="_Toc371003736"/>
      <w:bookmarkStart w:id="369" w:name="_Toc491333941"/>
      <w:bookmarkStart w:id="370" w:name="_Toc491334461"/>
      <w:bookmarkStart w:id="371" w:name="_Toc491334773"/>
      <w:bookmarkStart w:id="372" w:name="_Toc491355035"/>
      <w:bookmarkStart w:id="373" w:name="_Toc491360031"/>
      <w:bookmarkStart w:id="374" w:name="_Toc492462159"/>
      <w:bookmarkStart w:id="375" w:name="_Toc492464366"/>
      <w:bookmarkStart w:id="376" w:name="_Toc494177088"/>
      <w:r>
        <w:t>Federal Rules that May Duplicate, Overlap, or Conflict with the Proposed Rules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rsidR="00444220" w:rsidRDefault="00444220" w:rsidP="00444220">
      <w:pPr>
        <w:pStyle w:val="ParaNum"/>
        <w:tabs>
          <w:tab w:val="clear" w:pos="1440"/>
        </w:tabs>
      </w:pPr>
      <w:r>
        <w:t>None.</w:t>
      </w:r>
    </w:p>
    <w:p w:rsidR="00444220" w:rsidRPr="00757896" w:rsidRDefault="00444220" w:rsidP="00444220"/>
    <w:p w:rsidR="00444220" w:rsidRDefault="00444220" w:rsidP="00444220"/>
    <w:p w:rsidR="00444220" w:rsidRDefault="00444220" w:rsidP="00444220">
      <w:pPr>
        <w:sectPr w:rsidR="00444220" w:rsidSect="00444220">
          <w:headerReference w:type="default" r:id="rId17"/>
          <w:footerReference w:type="even" r:id="rId18"/>
          <w:footerReference w:type="default" r:id="rId19"/>
          <w:headerReference w:type="first" r:id="rId20"/>
          <w:footerReference w:type="first" r:id="rId21"/>
          <w:endnotePr>
            <w:numFmt w:val="decimal"/>
          </w:endnotePr>
          <w:pgSz w:w="12240" w:h="15840"/>
          <w:pgMar w:top="1440" w:right="1440" w:bottom="720" w:left="1440" w:header="720" w:footer="720" w:gutter="0"/>
          <w:cols w:space="720"/>
          <w:noEndnote/>
          <w:titlePg/>
        </w:sectPr>
      </w:pPr>
    </w:p>
    <w:p w:rsidR="00444220" w:rsidRPr="002A7A4C" w:rsidRDefault="00444220" w:rsidP="00444220">
      <w:pPr>
        <w:jc w:val="center"/>
        <w:rPr>
          <w:b/>
        </w:rPr>
      </w:pPr>
      <w:r w:rsidRPr="002A7A4C">
        <w:rPr>
          <w:b/>
        </w:rPr>
        <w:t>STATEMENT OF</w:t>
      </w:r>
      <w:r w:rsidRPr="002A7A4C">
        <w:rPr>
          <w:b/>
        </w:rPr>
        <w:br/>
        <w:t>CHAIRMAN AJIT PAI</w:t>
      </w:r>
    </w:p>
    <w:p w:rsidR="00444220" w:rsidRPr="002A7A4C" w:rsidRDefault="00444220" w:rsidP="00444220">
      <w:pPr>
        <w:autoSpaceDE w:val="0"/>
        <w:autoSpaceDN w:val="0"/>
        <w:adjustRightInd w:val="0"/>
        <w:ind w:left="720" w:hanging="720"/>
      </w:pPr>
      <w:r w:rsidRPr="002A7A4C">
        <w:t>Re:</w:t>
      </w:r>
      <w:r w:rsidRPr="002A7A4C">
        <w:tab/>
      </w:r>
      <w:r w:rsidRPr="002A7A4C">
        <w:rPr>
          <w:i/>
        </w:rPr>
        <w:t>Toll Free Assignment Modernization</w:t>
      </w:r>
      <w:r w:rsidRPr="002A7A4C">
        <w:t xml:space="preserve">, WC Docket No. 17-192; </w:t>
      </w:r>
      <w:r w:rsidRPr="002A7A4C">
        <w:rPr>
          <w:i/>
        </w:rPr>
        <w:t>Toll Free Service Access Codes</w:t>
      </w:r>
      <w:r w:rsidRPr="002A7A4C">
        <w:t>, WC Docket No. 95-155</w:t>
      </w:r>
      <w:r>
        <w:t>.</w:t>
      </w:r>
    </w:p>
    <w:p w:rsidR="00444220" w:rsidRPr="002A7A4C" w:rsidRDefault="00444220" w:rsidP="00444220">
      <w:pPr>
        <w:ind w:firstLine="720"/>
      </w:pPr>
      <w:r w:rsidRPr="002A7A4C">
        <w:t>In 1959, when Ronald Coase proposed that the FCC auction spectrum licenses</w:t>
      </w:r>
      <w:r w:rsidRPr="00A03FD8">
        <w:t xml:space="preserve">, he was met with more than a little </w:t>
      </w:r>
      <w:r w:rsidRPr="00535216">
        <w:t xml:space="preserve">skepticism.  One </w:t>
      </w:r>
      <w:r w:rsidRPr="002A7A4C">
        <w:t>commenter</w:t>
      </w:r>
      <w:r w:rsidRPr="00FF6E54">
        <w:t xml:space="preserve"> said of his proposal: “I know of no country on the face of the globe—except for a few corrupt Latin American dictatorships—where the ‘sale’ of the spectrum could even be seriously proposed.”</w:t>
      </w:r>
      <w:r w:rsidRPr="002A7A4C">
        <w:rPr>
          <w:rStyle w:val="FootnoteReference"/>
        </w:rPr>
        <w:footnoteReference w:id="175"/>
      </w:r>
      <w:r>
        <w:t xml:space="preserve"> </w:t>
      </w:r>
      <w:r w:rsidRPr="002A7A4C">
        <w:t>And when he stood before this very agency to discuss his idea, one FCC commissioner publicly mocked him, asking “[a]re you spoofing us?  Is this all a big joke?”</w:t>
      </w:r>
      <w:r w:rsidRPr="002A7A4C">
        <w:rPr>
          <w:rStyle w:val="FootnoteReference"/>
        </w:rPr>
        <w:footnoteReference w:id="176"/>
      </w:r>
      <w:r w:rsidRPr="002A7A4C">
        <w:t xml:space="preserve">  With that great start, it then took 34 years before the </w:t>
      </w:r>
      <w:r>
        <w:t>FCC</w:t>
      </w:r>
      <w:r w:rsidRPr="002A7A4C">
        <w:t xml:space="preserve"> finally </w:t>
      </w:r>
      <w:r>
        <w:t xml:space="preserve">started </w:t>
      </w:r>
      <w:r w:rsidRPr="002A7A4C">
        <w:t>auction</w:t>
      </w:r>
      <w:r>
        <w:t>ing</w:t>
      </w:r>
      <w:r w:rsidRPr="002A7A4C">
        <w:t xml:space="preserve"> </w:t>
      </w:r>
      <w:r>
        <w:t>licenses to use the airwaves</w:t>
      </w:r>
      <w:r w:rsidRPr="002A7A4C">
        <w:t xml:space="preserve">. </w:t>
      </w:r>
    </w:p>
    <w:p w:rsidR="00444220" w:rsidRDefault="00444220" w:rsidP="00444220">
      <w:pPr>
        <w:ind w:firstLine="720"/>
      </w:pPr>
      <w:r w:rsidRPr="002A7A4C">
        <w:t>For some reason, when it comes to figuring out who should get to use a valuable public resource</w:t>
      </w:r>
      <w:r>
        <w:t>—</w:t>
      </w:r>
      <w:r w:rsidRPr="002A7A4C">
        <w:t>like spectrum or toll free numbers</w:t>
      </w:r>
      <w:r>
        <w:t>—</w:t>
      </w:r>
      <w:r w:rsidRPr="002A7A4C">
        <w:t>there’s a resistance to innovative ideas.  I suppose there’s something comforting about</w:t>
      </w:r>
      <w:r w:rsidRPr="00A03FD8">
        <w:t xml:space="preserve"> holding “beauty contests” (as we did with spectrum) or using a first-come, first-served approach (as we currently do with toll free numbers).  But when </w:t>
      </w:r>
      <w:r>
        <w:t>it comes to a scarce resource</w:t>
      </w:r>
      <w:r w:rsidRPr="002A7A4C">
        <w:t xml:space="preserve">, </w:t>
      </w:r>
      <w:r>
        <w:t>the market—not commissioners’ caprice or fast filing—is the superior method to allocate licenses</w:t>
      </w:r>
      <w:r w:rsidRPr="002A7A4C">
        <w:t xml:space="preserve">.  </w:t>
      </w:r>
      <w:r>
        <w:t xml:space="preserve">That’s especially true given </w:t>
      </w:r>
      <w:r w:rsidRPr="002A7A4C">
        <w:t xml:space="preserve">that companies literally might build multi-million dollar businesses upon </w:t>
      </w:r>
      <w:r>
        <w:t xml:space="preserve">this resource and the proceeds can defray our multi-trillion dollar debt.  </w:t>
      </w:r>
      <w:r w:rsidRPr="002A7A4C">
        <w:t xml:space="preserve">And </w:t>
      </w:r>
      <w:r>
        <w:t xml:space="preserve">in this case, </w:t>
      </w:r>
      <w:r w:rsidRPr="002A7A4C">
        <w:t>as proposed</w:t>
      </w:r>
      <w:r>
        <w:t>,</w:t>
      </w:r>
      <w:r w:rsidRPr="002A7A4C">
        <w:t xml:space="preserve"> the revenues </w:t>
      </w:r>
      <w:r>
        <w:t xml:space="preserve">from toll-free number auctions </w:t>
      </w:r>
      <w:r w:rsidRPr="002A7A4C">
        <w:t xml:space="preserve">would be used to defray the costs of number administration. </w:t>
      </w:r>
      <w:r>
        <w:t xml:space="preserve"> </w:t>
      </w:r>
    </w:p>
    <w:p w:rsidR="00444220" w:rsidRPr="002A7A4C" w:rsidRDefault="00444220" w:rsidP="00444220">
      <w:pPr>
        <w:ind w:firstLine="720"/>
      </w:pPr>
      <w:r w:rsidRPr="002A7A4C">
        <w:t>I</w:t>
      </w:r>
      <w:r>
        <w:t>n his paper, Coase recognized what he was up against, observing: “It is to be expected that even so modest a suggestion for bidding . . . would not be welcomed.”</w:t>
      </w:r>
      <w:r>
        <w:rPr>
          <w:rStyle w:val="FootnoteReference"/>
        </w:rPr>
        <w:footnoteReference w:id="177"/>
      </w:r>
      <w:r>
        <w:t xml:space="preserve">  Fifty-eight years and one Nobel Prize later, he’s been vindicated—including today.  My </w:t>
      </w:r>
      <w:r w:rsidRPr="002A7A4C">
        <w:t>thank</w:t>
      </w:r>
      <w:r>
        <w:t>s</w:t>
      </w:r>
      <w:r w:rsidRPr="002A7A4C">
        <w:t xml:space="preserve"> </w:t>
      </w:r>
      <w:r>
        <w:t xml:space="preserve">to the </w:t>
      </w:r>
      <w:r w:rsidRPr="002A7A4C">
        <w:t xml:space="preserve">staff of the Wireline Competition Bureau, the Wireless Telecommunications Bureau, the Office of Strategic Planning, and the Office of General Counsel for their work.  </w:t>
      </w:r>
      <w:r>
        <w:t>In particular, t</w:t>
      </w:r>
      <w:r w:rsidRPr="002A7A4C">
        <w:t>hank</w:t>
      </w:r>
      <w:r>
        <w:t>s</w:t>
      </w:r>
      <w:r w:rsidRPr="002A7A4C">
        <w:t xml:space="preserve"> to William Andrle, Larry Atlas, Tavi Carare, Terri Cavanaugh, Jean Ann Collins, Rita Cookmeyer, Alex Espinoza, Heat</w:t>
      </w:r>
      <w:r>
        <w:t>her Hendrickson, Dan Kahn, Rach</w:t>
      </w:r>
      <w:r w:rsidRPr="002A7A4C">
        <w:t>el Kazan, Jean Kiddo</w:t>
      </w:r>
      <w:r>
        <w:t>o</w:t>
      </w:r>
      <w:r w:rsidRPr="002A7A4C">
        <w:t>, Evan Kwerel, Wayne Leighton, Rick Mallen, Linda Oliver, Eric Ralph, Ann Stevens, Joel Taubenblatt, Margie Wiener, and Chin Yoo.</w:t>
      </w:r>
    </w:p>
    <w:p w:rsidR="00444220" w:rsidRDefault="00444220" w:rsidP="00444220"/>
    <w:p w:rsidR="00444220" w:rsidRDefault="00444220" w:rsidP="00444220">
      <w:pPr>
        <w:sectPr w:rsidR="00444220">
          <w:pgSz w:w="12240" w:h="15840"/>
          <w:pgMar w:top="1440" w:right="1440" w:bottom="1440" w:left="1440" w:header="720" w:footer="720" w:gutter="0"/>
          <w:cols w:space="720"/>
          <w:docGrid w:linePitch="360"/>
        </w:sectPr>
      </w:pPr>
    </w:p>
    <w:p w:rsidR="00444220" w:rsidRDefault="00444220" w:rsidP="00444220">
      <w:pPr>
        <w:spacing w:after="120"/>
        <w:jc w:val="center"/>
        <w:rPr>
          <w:b/>
        </w:rPr>
      </w:pPr>
      <w:r w:rsidRPr="00C13A9E">
        <w:rPr>
          <w:b/>
        </w:rPr>
        <w:t xml:space="preserve">DISSENTING STATEMENT OF </w:t>
      </w:r>
      <w:r>
        <w:rPr>
          <w:b/>
        </w:rPr>
        <w:br/>
      </w:r>
      <w:r w:rsidRPr="00C13A9E">
        <w:rPr>
          <w:b/>
        </w:rPr>
        <w:t>COMMISSIONER MIGNON L. CLYBURN</w:t>
      </w:r>
    </w:p>
    <w:p w:rsidR="00444220" w:rsidRPr="00C13A9E" w:rsidRDefault="00444220" w:rsidP="00444220">
      <w:pPr>
        <w:spacing w:after="120"/>
        <w:ind w:left="360" w:hanging="360"/>
        <w:rPr>
          <w:b/>
        </w:rPr>
      </w:pPr>
      <w:r w:rsidRPr="00C13A9E">
        <w:t xml:space="preserve">Re: </w:t>
      </w:r>
      <w:r>
        <w:rPr>
          <w:i/>
        </w:rPr>
        <w:t>Toll Free Assignment M</w:t>
      </w:r>
      <w:r w:rsidRPr="00C13A9E">
        <w:rPr>
          <w:i/>
        </w:rPr>
        <w:t>odernization</w:t>
      </w:r>
      <w:r>
        <w:t xml:space="preserve">, WC Docket No. 17-192; </w:t>
      </w:r>
      <w:r w:rsidRPr="00C13A9E">
        <w:rPr>
          <w:i/>
        </w:rPr>
        <w:t>Toll Free Service Access Codes</w:t>
      </w:r>
      <w:r>
        <w:t>, CC Docket No. 95-155</w:t>
      </w:r>
    </w:p>
    <w:p w:rsidR="00444220" w:rsidRDefault="00444220" w:rsidP="00444220">
      <w:pPr>
        <w:spacing w:after="120"/>
        <w:ind w:firstLine="720"/>
      </w:pPr>
      <w:r w:rsidRPr="00C13A9E">
        <w:t xml:space="preserve">From Carly Rae Jepsen obsessing over how long her crush was taking to call her </w:t>
      </w:r>
      <w:r>
        <w:t>(maybe)</w:t>
      </w:r>
      <w:r w:rsidRPr="00C13A9E">
        <w:t xml:space="preserve">, to Drake wondering why his lady wasn’t punching his digits, recording artists </w:t>
      </w:r>
      <w:r>
        <w:t xml:space="preserve">often seem to </w:t>
      </w:r>
      <w:r w:rsidRPr="00C13A9E">
        <w:t xml:space="preserve">have a tough time getting folks to </w:t>
      </w:r>
      <w:r>
        <w:t>reach out by phone</w:t>
      </w:r>
      <w:r w:rsidRPr="00C13A9E">
        <w:t xml:space="preserve">. Maybe Earth Wind and Fire would have spent less time “waiting so long, just watching the phone” if they </w:t>
      </w:r>
      <w:r>
        <w:t xml:space="preserve">had </w:t>
      </w:r>
      <w:r w:rsidRPr="00C13A9E">
        <w:t xml:space="preserve">sweetened the deal by getting a toll-free number.  </w:t>
      </w:r>
      <w:r>
        <w:t>T</w:t>
      </w:r>
      <w:r w:rsidRPr="00C13A9E">
        <w:t xml:space="preserve">he Sultan of Swoon would </w:t>
      </w:r>
      <w:r>
        <w:t xml:space="preserve">probably </w:t>
      </w:r>
      <w:r w:rsidRPr="00C13A9E">
        <w:t xml:space="preserve">have </w:t>
      </w:r>
      <w:r>
        <w:t xml:space="preserve">had </w:t>
      </w:r>
      <w:r w:rsidRPr="00C13A9E">
        <w:t>a</w:t>
      </w:r>
      <w:r>
        <w:t>n</w:t>
      </w:r>
      <w:r w:rsidRPr="00C13A9E">
        <w:t xml:space="preserve"> easy time nabbing 1-800-SINATRA, </w:t>
      </w:r>
      <w:r>
        <w:t>but I am willing to bet that</w:t>
      </w:r>
      <w:r w:rsidRPr="00C13A9E">
        <w:t xml:space="preserve"> </w:t>
      </w:r>
      <w:r>
        <w:t xml:space="preserve">just about </w:t>
      </w:r>
      <w:r w:rsidRPr="00C13A9E">
        <w:t>every florist in the country would</w:t>
      </w:r>
      <w:r>
        <w:t xml:space="preserve"> have</w:t>
      </w:r>
      <w:r w:rsidRPr="00C13A9E">
        <w:t xml:space="preserve"> love</w:t>
      </w:r>
      <w:r>
        <w:t>d</w:t>
      </w:r>
      <w:r w:rsidRPr="00C13A9E">
        <w:t xml:space="preserve"> to grab 1-800-FLOWERS. </w:t>
      </w:r>
    </w:p>
    <w:p w:rsidR="00444220" w:rsidRPr="00C13A9E" w:rsidRDefault="00444220" w:rsidP="00444220">
      <w:pPr>
        <w:spacing w:after="120"/>
        <w:ind w:firstLine="720"/>
      </w:pPr>
      <w:r w:rsidRPr="00C13A9E">
        <w:t xml:space="preserve">Therein lies the predicament. How do we design a toll-free numbering system that </w:t>
      </w:r>
      <w:r>
        <w:t>is equitable</w:t>
      </w:r>
      <w:r w:rsidRPr="00C13A9E">
        <w:t>?</w:t>
      </w:r>
    </w:p>
    <w:p w:rsidR="00444220" w:rsidRPr="00C13A9E" w:rsidRDefault="00444220" w:rsidP="00444220">
      <w:pPr>
        <w:spacing w:after="120"/>
        <w:ind w:firstLine="720"/>
      </w:pPr>
      <w:r w:rsidRPr="00C13A9E">
        <w:t>Historically, assignment of toll-free numbers has been first come, first serve</w:t>
      </w:r>
      <w:r>
        <w:t>d</w:t>
      </w:r>
      <w:r w:rsidRPr="00C13A9E">
        <w:t>. No one had a property interest in their phone number, and there was no legal secondary market for</w:t>
      </w:r>
      <w:r>
        <w:t xml:space="preserve"> those</w:t>
      </w:r>
      <w:r w:rsidRPr="00C13A9E">
        <w:t xml:space="preserve"> </w:t>
      </w:r>
      <w:r>
        <w:t>tele</w:t>
      </w:r>
      <w:r w:rsidRPr="00C13A9E">
        <w:t>phone numbers. While the most sought-after numbers may have been inefficiently allocated, for the most part</w:t>
      </w:r>
      <w:r>
        <w:t>,</w:t>
      </w:r>
      <w:r w:rsidRPr="00C13A9E">
        <w:t xml:space="preserve"> the market has worked fairly well. This item seeks to fundamentally change that market, because </w:t>
      </w:r>
      <w:r>
        <w:t>around 0.2%</w:t>
      </w:r>
      <w:r w:rsidRPr="00C13A9E">
        <w:t xml:space="preserve"> of </w:t>
      </w:r>
      <w:r>
        <w:t xml:space="preserve">the </w:t>
      </w:r>
      <w:r w:rsidRPr="00C13A9E">
        <w:t xml:space="preserve">almost </w:t>
      </w:r>
      <w:r w:rsidRPr="00CD66A9">
        <w:rPr>
          <w:i/>
        </w:rPr>
        <w:t>eight million</w:t>
      </w:r>
      <w:r w:rsidRPr="00C13A9E">
        <w:t xml:space="preserve"> </w:t>
      </w:r>
      <w:r>
        <w:t xml:space="preserve">numbers </w:t>
      </w:r>
      <w:r w:rsidRPr="00C13A9E">
        <w:t>allocated in the</w:t>
      </w:r>
      <w:r>
        <w:t xml:space="preserve"> opening of the new toll-free code</w:t>
      </w:r>
      <w:r w:rsidRPr="00C13A9E">
        <w:t xml:space="preserve"> </w:t>
      </w:r>
      <w:r>
        <w:t>“</w:t>
      </w:r>
      <w:r w:rsidRPr="00C13A9E">
        <w:t>833</w:t>
      </w:r>
      <w:r>
        <w:t>”</w:t>
      </w:r>
      <w:r w:rsidRPr="00C13A9E">
        <w:t xml:space="preserve"> </w:t>
      </w:r>
      <w:r>
        <w:t xml:space="preserve">had </w:t>
      </w:r>
      <w:r w:rsidRPr="00C13A9E">
        <w:t xml:space="preserve">more than one </w:t>
      </w:r>
      <w:r>
        <w:t xml:space="preserve">Responsible Organization, or Resp Org, </w:t>
      </w:r>
      <w:r w:rsidRPr="00C13A9E">
        <w:t>expressing interest.</w:t>
      </w:r>
      <w:r>
        <w:t xml:space="preserve"> For those who do not closely follow toll-free numbering policy, a Resp Org is a </w:t>
      </w:r>
      <w:r w:rsidRPr="00FF1449">
        <w:t xml:space="preserve">company which maintains the registration for individual toll-free telephone numbers </w:t>
      </w:r>
      <w:r>
        <w:t>in the national database.</w:t>
      </w:r>
      <w:r w:rsidRPr="00C13A9E">
        <w:t xml:space="preserve"> </w:t>
      </w:r>
    </w:p>
    <w:p w:rsidR="00444220" w:rsidRPr="00C13A9E" w:rsidRDefault="00444220" w:rsidP="00444220">
      <w:pPr>
        <w:spacing w:after="120"/>
        <w:ind w:firstLine="720"/>
      </w:pPr>
      <w:r>
        <w:t xml:space="preserve">In recent </w:t>
      </w:r>
      <w:r w:rsidRPr="00C13A9E">
        <w:t>months</w:t>
      </w:r>
      <w:r>
        <w:t>,</w:t>
      </w:r>
      <w:r w:rsidRPr="00C13A9E">
        <w:t xml:space="preserve"> </w:t>
      </w:r>
      <w:r>
        <w:t>the Commission’s majority has initiated several NOIs which seek</w:t>
      </w:r>
      <w:r w:rsidRPr="00C13A9E">
        <w:t xml:space="preserve"> to frame out proposals </w:t>
      </w:r>
      <w:r>
        <w:t xml:space="preserve">before the agency embarks on </w:t>
      </w:r>
      <w:r w:rsidRPr="00C13A9E">
        <w:t>significantly alter</w:t>
      </w:r>
      <w:r>
        <w:t>ing</w:t>
      </w:r>
      <w:r w:rsidRPr="00C13A9E">
        <w:t xml:space="preserve"> the regulatory treatment of certain sectors of the industry</w:t>
      </w:r>
      <w:r>
        <w:t>. So,</w:t>
      </w:r>
      <w:r w:rsidRPr="00C13A9E">
        <w:t xml:space="preserve"> you would think that</w:t>
      </w:r>
      <w:r>
        <w:t xml:space="preserve"> the leadership would have followed this model as a means of assisting us in establishing</w:t>
      </w:r>
      <w:r w:rsidRPr="00C13A9E">
        <w:t xml:space="preserve"> </w:t>
      </w:r>
      <w:r>
        <w:t>a sound and informed approach in this proceeding</w:t>
      </w:r>
      <w:r w:rsidRPr="00C13A9E">
        <w:t xml:space="preserve">. But no, this item proposes to </w:t>
      </w:r>
      <w:r>
        <w:t>alter</w:t>
      </w:r>
      <w:r w:rsidRPr="00C13A9E">
        <w:t xml:space="preserve"> decades of Commission precedent, without any real input from businesses and consumers, or clear notice about what it is proposing. So, like Adele</w:t>
      </w:r>
      <w:r>
        <w:t>,</w:t>
      </w:r>
      <w:r w:rsidRPr="00C13A9E">
        <w:t xml:space="preserve"> I say, “hello from the other side” and respectfully dissent. </w:t>
      </w:r>
    </w:p>
    <w:p w:rsidR="00444220" w:rsidRPr="00C13A9E" w:rsidRDefault="00444220" w:rsidP="00444220">
      <w:pPr>
        <w:spacing w:after="120"/>
        <w:ind w:firstLine="720"/>
      </w:pPr>
      <w:r>
        <w:t>Why? Because</w:t>
      </w:r>
      <w:r w:rsidRPr="00C13A9E">
        <w:t xml:space="preserve"> it is unclear what impact this proposal would have on consumers and small businesses. The few comments received on this item so far</w:t>
      </w:r>
      <w:r>
        <w:t>,</w:t>
      </w:r>
      <w:r w:rsidRPr="00C13A9E">
        <w:t xml:space="preserve"> indicate that many consumers are wary of changing the existing system. Significant uncertainties abound. Would this fundamentally change property rights in toll-free numbers? Would it result in additional costs to all consumers</w:t>
      </w:r>
      <w:r>
        <w:t xml:space="preserve"> who request</w:t>
      </w:r>
      <w:r w:rsidRPr="00C13A9E">
        <w:t xml:space="preserve"> a toll-free number? Would it decrease the ability of the little guy to get an attractive vanity number?</w:t>
      </w:r>
      <w:r>
        <w:t xml:space="preserve"> Does it unfairly disadvantage small businesses?</w:t>
      </w:r>
      <w:r w:rsidRPr="00C13A9E">
        <w:t xml:space="preserve"> These are just a few questions that remain unexplored and unanswered in this item.</w:t>
      </w:r>
    </w:p>
    <w:p w:rsidR="00444220" w:rsidRPr="00C13A9E" w:rsidRDefault="00444220" w:rsidP="00444220">
      <w:pPr>
        <w:spacing w:after="120"/>
        <w:ind w:firstLine="720"/>
      </w:pPr>
      <w:r w:rsidRPr="00C13A9E">
        <w:t xml:space="preserve">Second, the NPRM is not particularly clear on several of its </w:t>
      </w:r>
      <w:r>
        <w:t>proposals</w:t>
      </w:r>
      <w:r w:rsidRPr="00C13A9E">
        <w:t xml:space="preserve">. For example, it seeks comment on creating secondary markets for phone numbers. Fine. But Resp Orgs would </w:t>
      </w:r>
      <w:r>
        <w:t xml:space="preserve">still </w:t>
      </w:r>
      <w:r w:rsidRPr="00C13A9E">
        <w:t xml:space="preserve">be the only entities able to acquire toll free numbers, and subscribers the only ones able to use them, potentially creating perverse incentives in the market. Further, it seeks comment on giving the numbering administrator a cut of secondary market revenues, but there is no clarity on what the mechanism would be, and whether and how the Commission should be assessing a fee on every </w:t>
      </w:r>
      <w:r>
        <w:t>number transfer</w:t>
      </w:r>
      <w:r w:rsidRPr="00C13A9E">
        <w:t xml:space="preserve"> in the toll-free system.  </w:t>
      </w:r>
      <w:r>
        <w:t>We are talking about</w:t>
      </w:r>
      <w:r w:rsidRPr="00C13A9E">
        <w:t xml:space="preserve"> a lot of transaction costs for a new system </w:t>
      </w:r>
      <w:r>
        <w:t xml:space="preserve">which is </w:t>
      </w:r>
      <w:r w:rsidRPr="00C13A9E">
        <w:t>supposed to increase allocative efficiency.</w:t>
      </w:r>
    </w:p>
    <w:p w:rsidR="00444220" w:rsidRPr="00C13A9E" w:rsidRDefault="00444220" w:rsidP="00444220">
      <w:pPr>
        <w:spacing w:after="120"/>
        <w:ind w:firstLine="720"/>
      </w:pPr>
      <w:r w:rsidRPr="00C13A9E">
        <w:t xml:space="preserve">In the interest of keeping my statement relatively short, I </w:t>
      </w:r>
      <w:r>
        <w:t xml:space="preserve">have opted to only present </w:t>
      </w:r>
      <w:r w:rsidRPr="00C13A9E">
        <w:t>a couple of concerns, but</w:t>
      </w:r>
      <w:r>
        <w:t xml:space="preserve"> I have more questions and concerns and</w:t>
      </w:r>
      <w:r w:rsidRPr="00C13A9E">
        <w:t xml:space="preserve"> </w:t>
      </w:r>
      <w:r>
        <w:t>they each counsel</w:t>
      </w:r>
      <w:r w:rsidRPr="00C13A9E">
        <w:t xml:space="preserve"> in favor of </w:t>
      </w:r>
      <w:r>
        <w:t xml:space="preserve">us </w:t>
      </w:r>
      <w:r w:rsidRPr="00C13A9E">
        <w:t xml:space="preserve">taking a step back and figuring out exactly what we are trying to accomplish </w:t>
      </w:r>
      <w:r>
        <w:t>here</w:t>
      </w:r>
      <w:r w:rsidRPr="00C13A9E">
        <w:t xml:space="preserve">. </w:t>
      </w:r>
      <w:r>
        <w:t xml:space="preserve">In sum, this item is neither NPRM ready or worthy. </w:t>
      </w:r>
      <w:r w:rsidRPr="00C13A9E">
        <w:t xml:space="preserve">An NOI would </w:t>
      </w:r>
      <w:r>
        <w:t xml:space="preserve">have </w:t>
      </w:r>
      <w:r w:rsidRPr="00C13A9E">
        <w:t>be</w:t>
      </w:r>
      <w:r>
        <w:t>en</w:t>
      </w:r>
      <w:r w:rsidRPr="00C13A9E">
        <w:t xml:space="preserve"> </w:t>
      </w:r>
      <w:r>
        <w:t>the</w:t>
      </w:r>
      <w:r w:rsidRPr="00C13A9E">
        <w:t xml:space="preserve"> perfect </w:t>
      </w:r>
      <w:r>
        <w:t>vehicle for which to work through the many unanswered questions that remain. Instead, we get too little, too late:  a series of edits circulated hours before the meeting, suggesting a non-binding record refresh after running the first auction.</w:t>
      </w:r>
      <w:r w:rsidRPr="00C13A9E">
        <w:t xml:space="preserve"> Unfortunately, despite channeling the Orlons’ cry not to “hang up” on my request, I was left with only a dial tone</w:t>
      </w:r>
      <w:r>
        <w:t xml:space="preserve"> and no other option but to redial and voice my opposition</w:t>
      </w:r>
      <w:r w:rsidRPr="00C13A9E">
        <w:t>.</w:t>
      </w:r>
    </w:p>
    <w:p w:rsidR="00444220" w:rsidRPr="00C13A9E" w:rsidRDefault="00444220" w:rsidP="00444220">
      <w:pPr>
        <w:spacing w:after="120"/>
        <w:ind w:firstLine="720"/>
      </w:pPr>
      <w:r>
        <w:t xml:space="preserve">I </w:t>
      </w:r>
      <w:r w:rsidRPr="00C13A9E">
        <w:t>nonetheless t</w:t>
      </w:r>
      <w:r>
        <w:t>hank</w:t>
      </w:r>
      <w:r w:rsidRPr="00C13A9E">
        <w:t xml:space="preserve"> the Wireline Competition Bureau for their work on this item</w:t>
      </w:r>
      <w:r>
        <w:t>.</w:t>
      </w:r>
    </w:p>
    <w:p w:rsidR="00444220" w:rsidRDefault="00444220" w:rsidP="00444220">
      <w:pPr>
        <w:sectPr w:rsidR="00444220">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pPr>
    </w:p>
    <w:p w:rsidR="00444220" w:rsidRPr="00D539CE" w:rsidRDefault="00444220" w:rsidP="00444220">
      <w:pPr>
        <w:spacing w:after="120"/>
        <w:jc w:val="center"/>
        <w:rPr>
          <w:b/>
        </w:rPr>
      </w:pPr>
      <w:r w:rsidRPr="00D539CE">
        <w:rPr>
          <w:b/>
        </w:rPr>
        <w:t>STATEMENT OF</w:t>
      </w:r>
      <w:r>
        <w:rPr>
          <w:b/>
        </w:rPr>
        <w:br/>
      </w:r>
      <w:r w:rsidRPr="00D539CE">
        <w:rPr>
          <w:b/>
        </w:rPr>
        <w:t>COMMISSIONER MICHAEL O’RIELLY</w:t>
      </w:r>
    </w:p>
    <w:p w:rsidR="00444220" w:rsidRPr="00D539CE" w:rsidRDefault="00444220" w:rsidP="00444220">
      <w:pPr>
        <w:spacing w:after="120"/>
        <w:ind w:left="720" w:hanging="720"/>
        <w:rPr>
          <w:i/>
          <w:spacing w:val="-2"/>
        </w:rPr>
      </w:pPr>
      <w:r w:rsidRPr="00D539CE">
        <w:rPr>
          <w:i/>
        </w:rPr>
        <w:t>Re:</w:t>
      </w:r>
      <w:r w:rsidRPr="00D539CE">
        <w:rPr>
          <w:i/>
        </w:rPr>
        <w:tab/>
        <w:t xml:space="preserve">Toll Free Assignment Modernization, </w:t>
      </w:r>
      <w:r w:rsidRPr="0045343E">
        <w:rPr>
          <w:spacing w:val="-2"/>
        </w:rPr>
        <w:t>WC Docket No. 17-192</w:t>
      </w:r>
      <w:r w:rsidRPr="00D539CE">
        <w:rPr>
          <w:i/>
          <w:spacing w:val="-2"/>
        </w:rPr>
        <w:t xml:space="preserve">; Toll Free Service Access Codes, </w:t>
      </w:r>
      <w:r w:rsidRPr="0045343E">
        <w:rPr>
          <w:spacing w:val="-2"/>
        </w:rPr>
        <w:t>CC</w:t>
      </w:r>
      <w:r w:rsidRPr="00D539CE">
        <w:rPr>
          <w:i/>
          <w:spacing w:val="-2"/>
        </w:rPr>
        <w:t xml:space="preserve"> </w:t>
      </w:r>
      <w:r w:rsidRPr="0045343E">
        <w:rPr>
          <w:spacing w:val="-2"/>
        </w:rPr>
        <w:t>Docket No. 95-155</w:t>
      </w:r>
    </w:p>
    <w:p w:rsidR="00444220" w:rsidRPr="00D539CE" w:rsidRDefault="00444220" w:rsidP="00444220">
      <w:pPr>
        <w:spacing w:after="120"/>
        <w:ind w:firstLine="720"/>
        <w:rPr>
          <w:spacing w:val="-2"/>
        </w:rPr>
      </w:pPr>
      <w:r w:rsidRPr="00D539CE">
        <w:rPr>
          <w:spacing w:val="-2"/>
        </w:rPr>
        <w:t xml:space="preserve">This item aims to bring greater market efficiencies to another aspect of the Commission’s work:  toll free number assignment.  I was somewhat surprised to learn that there is mutually exclusive interest in as many at 17,000 numbers, although I suspect that figure may be lower if viewed from the standpoint of the end users ultimately seeking to obtain toll free numbers.  </w:t>
      </w:r>
    </w:p>
    <w:p w:rsidR="00444220" w:rsidRPr="00D539CE" w:rsidRDefault="00444220" w:rsidP="00444220">
      <w:pPr>
        <w:spacing w:after="120"/>
        <w:ind w:firstLine="720"/>
        <w:rPr>
          <w:spacing w:val="-2"/>
        </w:rPr>
      </w:pPr>
      <w:r w:rsidRPr="00D539CE">
        <w:rPr>
          <w:spacing w:val="-2"/>
        </w:rPr>
        <w:t>In my experience, companies and consumers have found it increasingly more convenient and cost-effective to address questions and comments online rather than through call centers and toll-free numbers.  Certainly, we should make sure that nothing in the Commission’s rules impedes companies from shifting from toll free numbers to other customer service options should they desire to do so.  Until the demand for toll free numbers has ceased, however, there should be potential benefits to auctioning remaining numbers where there is mutually exclusive interest.  I thank my colleagues for working with me to improve the item, including to eliminate unnecessary delegations, to hone the legal authority discussion to focus on the substantive provisions of the Act, and to strengthen the discussion on preventing warehousing and</w:t>
      </w:r>
      <w:r>
        <w:rPr>
          <w:spacing w:val="-2"/>
        </w:rPr>
        <w:t xml:space="preserve"> hoarding.  I vote to approve. </w:t>
      </w:r>
    </w:p>
    <w:p w:rsidR="00444220" w:rsidRDefault="00444220" w:rsidP="00444220">
      <w:pPr>
        <w:sectPr w:rsidR="00444220">
          <w:pgSz w:w="12240" w:h="15840"/>
          <w:pgMar w:top="1440" w:right="1440" w:bottom="1440" w:left="1440" w:header="720" w:footer="720" w:gutter="0"/>
          <w:cols w:space="720"/>
          <w:docGrid w:linePitch="360"/>
        </w:sectPr>
      </w:pPr>
    </w:p>
    <w:p w:rsidR="00444220" w:rsidRDefault="00444220" w:rsidP="00444220">
      <w:pPr>
        <w:spacing w:after="120"/>
        <w:jc w:val="center"/>
        <w:rPr>
          <w:b/>
        </w:rPr>
      </w:pPr>
      <w:r>
        <w:rPr>
          <w:b/>
        </w:rPr>
        <w:t>STATEMENT OF</w:t>
      </w:r>
      <w:r>
        <w:rPr>
          <w:b/>
        </w:rPr>
        <w:br/>
        <w:t>COMMISSIONER BRENDAN CARR</w:t>
      </w:r>
    </w:p>
    <w:p w:rsidR="00444220" w:rsidRPr="005B1A24" w:rsidRDefault="00444220" w:rsidP="00444220">
      <w:pPr>
        <w:spacing w:after="120"/>
        <w:ind w:left="720" w:hanging="720"/>
      </w:pPr>
      <w:r>
        <w:t>Re:</w:t>
      </w:r>
      <w:r>
        <w:tab/>
      </w:r>
      <w:r>
        <w:rPr>
          <w:i/>
        </w:rPr>
        <w:t>Toll Free Assignment Modernization</w:t>
      </w:r>
      <w:r>
        <w:t xml:space="preserve">, WC Docket No. 17-192; </w:t>
      </w:r>
      <w:r>
        <w:rPr>
          <w:i/>
        </w:rPr>
        <w:t>Toll Free Service Access Codes</w:t>
      </w:r>
      <w:r>
        <w:t>, CC Docket No. 95-155</w:t>
      </w:r>
    </w:p>
    <w:p w:rsidR="00444220" w:rsidRDefault="00444220" w:rsidP="00444220">
      <w:pPr>
        <w:spacing w:after="120"/>
        <w:ind w:firstLine="720"/>
      </w:pPr>
      <w:r>
        <w:t xml:space="preserve">Today’s </w:t>
      </w:r>
      <w:r w:rsidRPr="00050F71">
        <w:t>Notice</w:t>
      </w:r>
      <w:r>
        <w:t xml:space="preserve"> highlights the very rare intersection between Nobel Prize-winning economist Ronald Coase, best known as the father of FCC spectrum auctions, and Tommy Tutone, the 1980s pop band best known for their hit “867-5309.”  The latter shows us that memorable numbers have value, and the former teaches that the FCC should examine the most efficient way of distributing them. </w:t>
      </w:r>
    </w:p>
    <w:p w:rsidR="00444220" w:rsidRDefault="00444220" w:rsidP="00444220">
      <w:pPr>
        <w:spacing w:after="120"/>
        <w:ind w:firstLine="720"/>
      </w:pPr>
      <w:r>
        <w:t xml:space="preserve">One approach involves auctioning off high-demand, toll-free numbers.  Now, this idea is not new.  The Clinton Administration proposed assigning toll-free numbers by auction over 20 years ago.  In the intervening time, the Commission has learned a lot about conducting auctions.  So I am glad that we are exploring this issue again.  I am also pleased that we seek comment on how we can use the revenues from an auction to help offset or reduce the costs that consumers and businesses ultimately bear for toll-free number administration.  I look forward to examining the record and ensuring that we reach the best result for all stakeholders.  </w:t>
      </w:r>
    </w:p>
    <w:p w:rsidR="00444220" w:rsidRDefault="00444220" w:rsidP="00444220">
      <w:pPr>
        <w:sectPr w:rsidR="00444220">
          <w:pgSz w:w="12240" w:h="15840"/>
          <w:pgMar w:top="1440" w:right="1440" w:bottom="1440" w:left="1440" w:header="720" w:footer="720" w:gutter="0"/>
          <w:cols w:space="720"/>
          <w:docGrid w:linePitch="360"/>
        </w:sectPr>
      </w:pPr>
    </w:p>
    <w:p w:rsidR="00444220" w:rsidRPr="009A5A10" w:rsidRDefault="00444220" w:rsidP="00444220">
      <w:pPr>
        <w:spacing w:after="120"/>
        <w:jc w:val="center"/>
        <w:rPr>
          <w:b/>
          <w:szCs w:val="22"/>
        </w:rPr>
      </w:pPr>
      <w:r w:rsidRPr="009A5A10">
        <w:rPr>
          <w:b/>
          <w:szCs w:val="22"/>
        </w:rPr>
        <w:t>STATEMENT OF</w:t>
      </w:r>
      <w:r w:rsidRPr="009A5A10">
        <w:rPr>
          <w:b/>
          <w:szCs w:val="22"/>
        </w:rPr>
        <w:br/>
        <w:t>COMMISSIONER JESSICA ROSENWORCEL</w:t>
      </w:r>
    </w:p>
    <w:p w:rsidR="00444220" w:rsidRPr="009A5A10" w:rsidRDefault="00444220" w:rsidP="00444220">
      <w:pPr>
        <w:spacing w:after="120"/>
        <w:ind w:left="720" w:hanging="720"/>
        <w:rPr>
          <w:b/>
          <w:szCs w:val="22"/>
        </w:rPr>
      </w:pPr>
      <w:r w:rsidRPr="009A5A10">
        <w:rPr>
          <w:szCs w:val="22"/>
        </w:rPr>
        <w:t>Re:</w:t>
      </w:r>
      <w:r w:rsidRPr="009A5A10">
        <w:rPr>
          <w:szCs w:val="22"/>
        </w:rPr>
        <w:tab/>
      </w:r>
      <w:r w:rsidRPr="009A5A10">
        <w:rPr>
          <w:i/>
          <w:szCs w:val="22"/>
        </w:rPr>
        <w:t>Toll Free Assignment Modernization</w:t>
      </w:r>
      <w:r w:rsidRPr="009A5A10">
        <w:rPr>
          <w:szCs w:val="22"/>
        </w:rPr>
        <w:t>;</w:t>
      </w:r>
      <w:r w:rsidRPr="009A5A10">
        <w:rPr>
          <w:i/>
          <w:szCs w:val="22"/>
        </w:rPr>
        <w:t xml:space="preserve"> </w:t>
      </w:r>
      <w:r w:rsidRPr="009A5A10">
        <w:rPr>
          <w:szCs w:val="22"/>
        </w:rPr>
        <w:t>WC Docket No. 17-192</w:t>
      </w:r>
      <w:r>
        <w:rPr>
          <w:szCs w:val="22"/>
        </w:rPr>
        <w:t xml:space="preserve">; </w:t>
      </w:r>
      <w:r w:rsidRPr="009A5A10">
        <w:rPr>
          <w:i/>
          <w:szCs w:val="22"/>
        </w:rPr>
        <w:t>Toll Free Access Codes</w:t>
      </w:r>
      <w:r w:rsidRPr="009A5A10">
        <w:rPr>
          <w:szCs w:val="22"/>
        </w:rPr>
        <w:t>, CC Docket No. 95-155</w:t>
      </w:r>
    </w:p>
    <w:p w:rsidR="00444220" w:rsidRPr="009A5A10" w:rsidRDefault="00444220" w:rsidP="00444220">
      <w:pPr>
        <w:spacing w:after="120"/>
        <w:ind w:firstLine="720"/>
        <w:rPr>
          <w:szCs w:val="22"/>
        </w:rPr>
      </w:pPr>
      <w:r w:rsidRPr="009A5A10">
        <w:rPr>
          <w:szCs w:val="22"/>
        </w:rPr>
        <w:t>Today, we kick off an examination of the distribution of numbers under our toll free numbering system.  Toll free numbers range from the whimsical—like the now defunct 1-800-ABCDEFG—to the life-saving—like 1-800-SUICIDE.  But no matter the letters or digits, we have a responsibility to ensure that the distribution of toll free numbers is equitable under the law.</w:t>
      </w:r>
    </w:p>
    <w:p w:rsidR="00444220" w:rsidRPr="009A5A10" w:rsidRDefault="00444220" w:rsidP="00444220">
      <w:pPr>
        <w:spacing w:after="120"/>
        <w:ind w:firstLine="720"/>
        <w:rPr>
          <w:szCs w:val="22"/>
        </w:rPr>
      </w:pPr>
      <w:r w:rsidRPr="009A5A10">
        <w:rPr>
          <w:szCs w:val="22"/>
        </w:rPr>
        <w:t xml:space="preserve">To date, equitable distribution by the Commission has meant a command and control system, through a first-come, first-served approach.  As part of this approach, the agency has prohibited a secondary market in toll free numbers.  But a simple Internet search will reveal that there is a vibrant marketplace where anyone can “buy” a toll free number from entities that openly flout our rules.   </w:t>
      </w:r>
    </w:p>
    <w:p w:rsidR="00444220" w:rsidRPr="009A5A10" w:rsidRDefault="00444220" w:rsidP="00444220">
      <w:pPr>
        <w:spacing w:after="120"/>
        <w:ind w:firstLine="720"/>
        <w:rPr>
          <w:szCs w:val="22"/>
        </w:rPr>
      </w:pPr>
      <w:r w:rsidRPr="009A5A10">
        <w:rPr>
          <w:szCs w:val="22"/>
        </w:rPr>
        <w:t>It is fair to ask if there is a better way.  This Notice of Proposed Rulemaking does just that—and there is a lot to commend here, but also reasons for caution.  There are challenges that this rulemaking needs to resolve before any new approach to toll free number distribution can take place.</w:t>
      </w:r>
    </w:p>
    <w:p w:rsidR="00444220" w:rsidRPr="009A5A10" w:rsidRDefault="00444220" w:rsidP="00444220">
      <w:pPr>
        <w:spacing w:after="120"/>
        <w:rPr>
          <w:szCs w:val="22"/>
        </w:rPr>
      </w:pPr>
      <w:r w:rsidRPr="009A5A10">
        <w:rPr>
          <w:szCs w:val="22"/>
        </w:rPr>
        <w:t>For starters, preserving key numbers for public purposes is complex when an auction is overlaid on the Commission’s traditional distribution system.  I appreciate that my colleagues worked with me to ensure that we look at setting aside numbers for health, safety, and other essential public purposes.  A rational distribution system can recognize that some numbers may be too important to simply be auctioned off to the highest bidder.</w:t>
      </w:r>
    </w:p>
    <w:p w:rsidR="00444220" w:rsidRPr="009A5A10" w:rsidRDefault="00444220" w:rsidP="00444220">
      <w:pPr>
        <w:spacing w:after="120"/>
        <w:ind w:firstLine="720"/>
        <w:rPr>
          <w:szCs w:val="22"/>
        </w:rPr>
      </w:pPr>
      <w:r w:rsidRPr="009A5A10">
        <w:rPr>
          <w:szCs w:val="22"/>
        </w:rPr>
        <w:t xml:space="preserve">In addition, Congress knows how to direct the Commission to use auctions to disseminate scarce public resources.  See, for instance, the Omnibus Budget Reconciliation Act of 1993, granting the Commission authority to hold auctions for spectrum licenses.  Or see the Middle Class Tax Relief and Job Creation Act of 2012, which provided the Commission with incentive auction authority.  The absence of clear direction here is not fatal, but it’s problematic.  Where does revenue associated with these auctions go?  Under what legal authority?  Here’s my proposal:  any revenue raised from a nationwide auction for toll free numbers should go to a fund supporting our nationwide emergency number—911.  I think this is a good idea—and I hope a record develops to support it.  </w:t>
      </w:r>
    </w:p>
    <w:p w:rsidR="00444220" w:rsidRPr="009A5A10" w:rsidRDefault="00444220" w:rsidP="00444220">
      <w:pPr>
        <w:spacing w:after="120"/>
        <w:ind w:firstLine="720"/>
        <w:rPr>
          <w:szCs w:val="22"/>
        </w:rPr>
      </w:pPr>
      <w:r w:rsidRPr="009A5A10">
        <w:rPr>
          <w:szCs w:val="22"/>
        </w:rPr>
        <w:t xml:space="preserve">Thank you to the Wireline Competition Bureau for your work on toll free numbers under the system we have today—and the one we may have in the future.  </w:t>
      </w:r>
    </w:p>
    <w:p w:rsidR="002C00E8" w:rsidRPr="00444220" w:rsidRDefault="002C00E8" w:rsidP="00444220"/>
    <w:sectPr w:rsidR="002C00E8" w:rsidRPr="00444220" w:rsidSect="00E403E3">
      <w:footerReference w:type="default" r:id="rId28"/>
      <w:pgSz w:w="12240" w:h="15840"/>
      <w:pgMar w:top="1170" w:right="1260" w:bottom="990" w:left="1296"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E4A" w:rsidRDefault="00074E4A">
      <w:pPr>
        <w:spacing w:line="20" w:lineRule="exact"/>
      </w:pPr>
    </w:p>
  </w:endnote>
  <w:endnote w:type="continuationSeparator" w:id="0">
    <w:p w:rsidR="00074E4A" w:rsidRDefault="00074E4A">
      <w:r>
        <w:t xml:space="preserve"> </w:t>
      </w:r>
    </w:p>
  </w:endnote>
  <w:endnote w:type="continuationNotice" w:id="1">
    <w:p w:rsidR="00074E4A" w:rsidRDefault="00074E4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EF" w:usb1="C0007841" w:usb2="00000009" w:usb3="00000000" w:csb0="000001FF" w:csb1="00000000"/>
  </w:font>
  <w:font w:name="Times New Roman Italic">
    <w:panose1 w:val="02020503050405090304"/>
    <w:charset w:val="00"/>
    <w:family w:val="roman"/>
    <w:notTrueType/>
    <w:pitch w:val="default"/>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85D" w:rsidRDefault="0098585D" w:rsidP="0098585D">
    <w:pPr>
      <w:pStyle w:val="Footer"/>
      <w:framePr w:wrap="around" w:vAnchor="text" w:hAnchor="margin" w:xAlign="center" w:y="1"/>
    </w:pPr>
    <w:r>
      <w:fldChar w:fldCharType="begin"/>
    </w:r>
    <w:r>
      <w:instrText xml:space="preserve">PAGE  </w:instrText>
    </w:r>
    <w:r>
      <w:fldChar w:fldCharType="end"/>
    </w:r>
  </w:p>
  <w:p w:rsidR="0098585D" w:rsidRDefault="0098585D">
    <w:pPr>
      <w:pStyle w:val="Footer"/>
    </w:pPr>
  </w:p>
  <w:p w:rsidR="0098585D" w:rsidRDefault="0098585D"/>
  <w:p w:rsidR="0098585D" w:rsidRDefault="0098585D"/>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85D" w:rsidRDefault="0098585D">
    <w:pPr>
      <w:pStyle w:val="Footer"/>
      <w:ind w:right="144"/>
      <w:jc w:val="center"/>
    </w:pPr>
    <w:r>
      <w:fldChar w:fldCharType="begin"/>
    </w:r>
    <w:r>
      <w:instrText xml:space="preserve"> PAGE   \* MERGEFORMAT </w:instrText>
    </w:r>
    <w:r>
      <w:fldChar w:fldCharType="separate"/>
    </w:r>
    <w:r w:rsidR="009B0E31">
      <w:rPr>
        <w:noProof/>
      </w:rPr>
      <w:t>39</w:t>
    </w:r>
    <w:r>
      <w:rPr>
        <w:noProof/>
      </w:rPr>
      <w:fldChar w:fldCharType="end"/>
    </w:r>
  </w:p>
  <w:p w:rsidR="0098585D" w:rsidRDefault="009858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85D" w:rsidRDefault="0098585D" w:rsidP="0098585D">
    <w:pPr>
      <w:pStyle w:val="Footer"/>
      <w:framePr w:wrap="around" w:vAnchor="text" w:hAnchor="margin" w:xAlign="center" w:y="1"/>
    </w:pPr>
    <w:r>
      <w:fldChar w:fldCharType="begin"/>
    </w:r>
    <w:r>
      <w:instrText xml:space="preserve">PAGE  </w:instrText>
    </w:r>
    <w:r>
      <w:fldChar w:fldCharType="separate"/>
    </w:r>
    <w:r w:rsidR="00D67BAD">
      <w:rPr>
        <w:noProof/>
      </w:rPr>
      <w:t>2</w:t>
    </w:r>
    <w:r>
      <w:fldChar w:fldCharType="end"/>
    </w:r>
  </w:p>
  <w:p w:rsidR="0098585D" w:rsidRDefault="0098585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85D" w:rsidRDefault="0098585D">
    <w:pPr>
      <w:pStyle w:val="Footer"/>
      <w:jc w:val="center"/>
    </w:pPr>
  </w:p>
  <w:p w:rsidR="0098585D" w:rsidRDefault="0098585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85D" w:rsidRDefault="0098585D" w:rsidP="0055614C">
    <w:pPr>
      <w:pStyle w:val="Footer"/>
      <w:framePr w:wrap="around" w:vAnchor="text" w:hAnchor="margin" w:xAlign="center" w:y="1"/>
    </w:pPr>
    <w:r>
      <w:fldChar w:fldCharType="begin"/>
    </w:r>
    <w:r>
      <w:instrText xml:space="preserve">PAGE  </w:instrText>
    </w:r>
    <w:r>
      <w:fldChar w:fldCharType="end"/>
    </w:r>
  </w:p>
  <w:p w:rsidR="0098585D" w:rsidRDefault="0098585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85D" w:rsidRDefault="0098585D" w:rsidP="0055614C">
    <w:pPr>
      <w:pStyle w:val="Footer"/>
      <w:framePr w:wrap="around" w:vAnchor="text" w:hAnchor="margin" w:xAlign="center" w:y="1"/>
    </w:pPr>
    <w:r>
      <w:fldChar w:fldCharType="begin"/>
    </w:r>
    <w:r>
      <w:instrText xml:space="preserve">PAGE  </w:instrText>
    </w:r>
    <w:r>
      <w:fldChar w:fldCharType="separate"/>
    </w:r>
    <w:r w:rsidR="009B0E31">
      <w:rPr>
        <w:noProof/>
      </w:rPr>
      <w:t>34</w:t>
    </w:r>
    <w:r>
      <w:fldChar w:fldCharType="end"/>
    </w:r>
  </w:p>
  <w:p w:rsidR="0098585D" w:rsidRDefault="0098585D">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85D" w:rsidRDefault="0098585D">
    <w:pPr>
      <w:pStyle w:val="Footer"/>
      <w:jc w:val="center"/>
    </w:pPr>
    <w:r>
      <w:fldChar w:fldCharType="begin"/>
    </w:r>
    <w:r>
      <w:instrText xml:space="preserve"> PAGE   \* MERGEFORMAT </w:instrText>
    </w:r>
    <w:r>
      <w:fldChar w:fldCharType="separate"/>
    </w:r>
    <w:r w:rsidR="009B0E31">
      <w:rPr>
        <w:noProof/>
      </w:rPr>
      <w:t>24</w:t>
    </w:r>
    <w:r>
      <w:rPr>
        <w:noProof/>
      </w:rPr>
      <w:fldChar w:fldCharType="end"/>
    </w:r>
  </w:p>
  <w:p w:rsidR="0098585D" w:rsidRDefault="0098585D">
    <w:pPr>
      <w:pStyle w:val="Footer"/>
      <w:tabs>
        <w:tab w:val="clear" w:pos="864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85D" w:rsidRDefault="0098585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85D" w:rsidRDefault="0098585D">
    <w:pPr>
      <w:pStyle w:val="Footer"/>
      <w:jc w:val="center"/>
    </w:pPr>
    <w:r>
      <w:fldChar w:fldCharType="begin"/>
    </w:r>
    <w:r>
      <w:instrText xml:space="preserve"> PAGE   \* MERGEFORMAT </w:instrText>
    </w:r>
    <w:r>
      <w:fldChar w:fldCharType="separate"/>
    </w:r>
    <w:r w:rsidR="009B0E31">
      <w:rPr>
        <w:noProof/>
      </w:rPr>
      <w:t>38</w:t>
    </w:r>
    <w:r>
      <w:rPr>
        <w:noProof/>
      </w:rPr>
      <w:fldChar w:fldCharType="end"/>
    </w:r>
  </w:p>
  <w:p w:rsidR="0098585D" w:rsidRDefault="0098585D">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85D" w:rsidRDefault="009858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E4A" w:rsidRDefault="00074E4A">
      <w:r>
        <w:separator/>
      </w:r>
    </w:p>
  </w:footnote>
  <w:footnote w:type="continuationSeparator" w:id="0">
    <w:p w:rsidR="00074E4A" w:rsidRDefault="00074E4A" w:rsidP="00C721AC">
      <w:pPr>
        <w:spacing w:before="120"/>
        <w:rPr>
          <w:sz w:val="20"/>
        </w:rPr>
      </w:pPr>
      <w:r>
        <w:rPr>
          <w:sz w:val="20"/>
        </w:rPr>
        <w:t xml:space="preserve">(Continued from previous page)  </w:t>
      </w:r>
      <w:r>
        <w:rPr>
          <w:sz w:val="20"/>
        </w:rPr>
        <w:separator/>
      </w:r>
    </w:p>
  </w:footnote>
  <w:footnote w:type="continuationNotice" w:id="1">
    <w:p w:rsidR="00074E4A" w:rsidRDefault="00074E4A" w:rsidP="00C721AC">
      <w:pPr>
        <w:jc w:val="right"/>
        <w:rPr>
          <w:sz w:val="20"/>
        </w:rPr>
      </w:pPr>
      <w:r>
        <w:rPr>
          <w:sz w:val="20"/>
        </w:rPr>
        <w:t>(continued….)</w:t>
      </w:r>
    </w:p>
  </w:footnote>
  <w:footnote w:id="2">
    <w:p w:rsidR="0098585D" w:rsidRDefault="0098585D" w:rsidP="00444220">
      <w:pPr>
        <w:pStyle w:val="FootnoteText"/>
      </w:pPr>
      <w:r>
        <w:rPr>
          <w:rStyle w:val="FootnoteReference"/>
        </w:rPr>
        <w:footnoteRef/>
      </w:r>
      <w:r>
        <w:t xml:space="preserve"> </w:t>
      </w:r>
      <w:r w:rsidRPr="00294E88">
        <w:rPr>
          <w:i/>
        </w:rPr>
        <w:t>See</w:t>
      </w:r>
      <w:r>
        <w:t xml:space="preserve"> Kevin T. Duffy-Deno &amp; Steve G. Parsons, </w:t>
      </w:r>
      <w:r w:rsidRPr="00294E88">
        <w:rPr>
          <w:i/>
        </w:rPr>
        <w:t xml:space="preserve">Toll-free </w:t>
      </w:r>
      <w:r>
        <w:rPr>
          <w:i/>
        </w:rPr>
        <w:t>N</w:t>
      </w:r>
      <w:r w:rsidRPr="00294E88">
        <w:rPr>
          <w:i/>
        </w:rPr>
        <w:t xml:space="preserve">umbers:  Demand, </w:t>
      </w:r>
      <w:r>
        <w:rPr>
          <w:i/>
        </w:rPr>
        <w:t>P</w:t>
      </w:r>
      <w:r w:rsidRPr="00294E88">
        <w:rPr>
          <w:i/>
        </w:rPr>
        <w:t xml:space="preserve">roperty </w:t>
      </w:r>
      <w:r>
        <w:rPr>
          <w:i/>
        </w:rPr>
        <w:t>R</w:t>
      </w:r>
      <w:r w:rsidRPr="00294E88">
        <w:rPr>
          <w:i/>
        </w:rPr>
        <w:t>ights</w:t>
      </w:r>
      <w:r>
        <w:rPr>
          <w:i/>
        </w:rPr>
        <w:t>,</w:t>
      </w:r>
      <w:r w:rsidRPr="00294E88">
        <w:rPr>
          <w:i/>
        </w:rPr>
        <w:t xml:space="preserve"> and </w:t>
      </w:r>
      <w:r>
        <w:rPr>
          <w:i/>
        </w:rPr>
        <w:t>P</w:t>
      </w:r>
      <w:r w:rsidRPr="00294E88">
        <w:rPr>
          <w:i/>
        </w:rPr>
        <w:t xml:space="preserve">ublic </w:t>
      </w:r>
      <w:r>
        <w:rPr>
          <w:i/>
        </w:rPr>
        <w:t>P</w:t>
      </w:r>
      <w:r w:rsidRPr="00294E88">
        <w:rPr>
          <w:i/>
        </w:rPr>
        <w:t>olicy</w:t>
      </w:r>
      <w:r>
        <w:t xml:space="preserve">, 36 </w:t>
      </w:r>
      <w:r w:rsidRPr="000E3856">
        <w:t>Telecomm</w:t>
      </w:r>
      <w:r>
        <w:t>.</w:t>
      </w:r>
      <w:r w:rsidRPr="000E3856">
        <w:t xml:space="preserve"> Pol</w:t>
      </w:r>
      <w:r>
        <w:t>’</w:t>
      </w:r>
      <w:r w:rsidRPr="000E3856">
        <w:t>y</w:t>
      </w:r>
      <w:r>
        <w:rPr>
          <w:smallCaps/>
        </w:rPr>
        <w:t xml:space="preserve"> 324, </w:t>
      </w:r>
      <w:r>
        <w:t>325 (2012) (Telecom Policy Report).</w:t>
      </w:r>
    </w:p>
  </w:footnote>
  <w:footnote w:id="3">
    <w:p w:rsidR="0098585D" w:rsidRDefault="0098585D" w:rsidP="00444220">
      <w:pPr>
        <w:pStyle w:val="FootnoteText"/>
      </w:pPr>
      <w:r>
        <w:rPr>
          <w:rStyle w:val="FootnoteReference"/>
        </w:rPr>
        <w:footnoteRef/>
      </w:r>
      <w:r>
        <w:rPr>
          <w:i/>
        </w:rPr>
        <w:t xml:space="preserve"> </w:t>
      </w:r>
      <w:r w:rsidRPr="0025045E">
        <w:rPr>
          <w:i/>
        </w:rPr>
        <w:t>Id</w:t>
      </w:r>
      <w:r>
        <w:t>.</w:t>
      </w:r>
    </w:p>
  </w:footnote>
  <w:footnote w:id="4">
    <w:p w:rsidR="0098585D" w:rsidRDefault="0098585D" w:rsidP="00444220">
      <w:pPr>
        <w:pStyle w:val="FootnoteText"/>
      </w:pPr>
      <w:r>
        <w:rPr>
          <w:rStyle w:val="FootnoteReference"/>
        </w:rPr>
        <w:footnoteRef/>
      </w:r>
      <w:r>
        <w:t xml:space="preserve"> </w:t>
      </w:r>
      <w:r w:rsidRPr="00634043">
        <w:rPr>
          <w:i/>
        </w:rPr>
        <w:t>See</w:t>
      </w:r>
      <w:r>
        <w:t xml:space="preserve"> </w:t>
      </w:r>
      <w:r>
        <w:rPr>
          <w:i/>
        </w:rPr>
        <w:t>e</w:t>
      </w:r>
      <w:r w:rsidRPr="003C01EC">
        <w:rPr>
          <w:i/>
        </w:rPr>
        <w:t>.g.</w:t>
      </w:r>
      <w:r>
        <w:t xml:space="preserve">, </w:t>
      </w:r>
      <w:r w:rsidRPr="006C64DA">
        <w:rPr>
          <w:i/>
        </w:rPr>
        <w:t>U.S. Department of Healt</w:t>
      </w:r>
      <w:r>
        <w:rPr>
          <w:i/>
        </w:rPr>
        <w:t>h and Human Services Substance A</w:t>
      </w:r>
      <w:r w:rsidRPr="006C64DA">
        <w:rPr>
          <w:i/>
        </w:rPr>
        <w:t>buse and Mental Health Services Administration Petition for Permanent Reassignment of Three Toll Free Suicide Prevention Hotline Numbers</w:t>
      </w:r>
      <w:r w:rsidRPr="007456F8">
        <w:t>, Order, 27 FCC Rcd</w:t>
      </w:r>
      <w:r>
        <w:t xml:space="preserve"> 2965, 2968, para. 7 (WCB 2012); </w:t>
      </w:r>
      <w:r w:rsidRPr="006C64DA">
        <w:rPr>
          <w:i/>
        </w:rPr>
        <w:t>Toll Free Service Access Codes</w:t>
      </w:r>
      <w:r w:rsidRPr="006C64DA">
        <w:t>, Order, 21 FCC Rcd 9925, 9925 para. 1 (WCB 2006).</w:t>
      </w:r>
    </w:p>
  </w:footnote>
  <w:footnote w:id="5">
    <w:p w:rsidR="0098585D" w:rsidRDefault="0098585D" w:rsidP="00444220">
      <w:pPr>
        <w:pStyle w:val="FootnoteText"/>
      </w:pPr>
      <w:r>
        <w:rPr>
          <w:rStyle w:val="FootnoteReference"/>
        </w:rPr>
        <w:footnoteRef/>
      </w:r>
      <w:r>
        <w:t xml:space="preserve"> 47 CFR § 52.111.</w:t>
      </w:r>
    </w:p>
  </w:footnote>
  <w:footnote w:id="6">
    <w:p w:rsidR="0098585D" w:rsidRDefault="0098585D" w:rsidP="00444220">
      <w:pPr>
        <w:pStyle w:val="FootnoteText"/>
      </w:pPr>
      <w:r>
        <w:rPr>
          <w:rStyle w:val="FootnoteReference"/>
        </w:rPr>
        <w:footnoteRef/>
      </w:r>
      <w:r>
        <w:t xml:space="preserve"> Mutually exclusive numbers are </w:t>
      </w:r>
      <w:r w:rsidRPr="114D192B">
        <w:t xml:space="preserve">those </w:t>
      </w:r>
      <w:r>
        <w:t xml:space="preserve">toll free </w:t>
      </w:r>
      <w:r w:rsidRPr="114D192B">
        <w:t>numbers for which there are two or more requests for assignment.</w:t>
      </w:r>
      <w:r>
        <w:t xml:space="preserve">  </w:t>
      </w:r>
      <w:r w:rsidRPr="006F1918">
        <w:rPr>
          <w:i/>
        </w:rPr>
        <w:t>See</w:t>
      </w:r>
      <w:r>
        <w:t xml:space="preserve"> </w:t>
      </w:r>
      <w:r w:rsidRPr="004A0D76">
        <w:rPr>
          <w:i/>
        </w:rPr>
        <w:t>Toll Free Service Access Codes</w:t>
      </w:r>
      <w:r>
        <w:t>, Order, 32 FCC Rcd 3153, 3155, para. 6 (WCB 2017) (</w:t>
      </w:r>
      <w:r w:rsidRPr="006F1918">
        <w:rPr>
          <w:i/>
        </w:rPr>
        <w:t>833 Code Opening Order</w:t>
      </w:r>
      <w:r>
        <w:t xml:space="preserve">). </w:t>
      </w:r>
    </w:p>
  </w:footnote>
  <w:footnote w:id="7">
    <w:p w:rsidR="0098585D" w:rsidRDefault="0098585D" w:rsidP="00444220">
      <w:pPr>
        <w:pStyle w:val="FootnoteText"/>
      </w:pPr>
      <w:r>
        <w:rPr>
          <w:rStyle w:val="FootnoteReference"/>
        </w:rPr>
        <w:footnoteRef/>
      </w:r>
      <w:r>
        <w:t xml:space="preserve"> 47 U.S.C. § 251(e)(1).</w:t>
      </w:r>
    </w:p>
  </w:footnote>
  <w:footnote w:id="8">
    <w:p w:rsidR="0098585D" w:rsidRDefault="0098585D" w:rsidP="00444220">
      <w:pPr>
        <w:pStyle w:val="FootnoteText"/>
      </w:pPr>
      <w:r>
        <w:rPr>
          <w:rStyle w:val="FootnoteReference"/>
        </w:rPr>
        <w:footnoteRef/>
      </w:r>
      <w:r>
        <w:t xml:space="preserve"> </w:t>
      </w:r>
      <w:r w:rsidRPr="00DD6916">
        <w:rPr>
          <w:i/>
        </w:rPr>
        <w:t>Toll Free Service Access Code</w:t>
      </w:r>
      <w:r>
        <w:rPr>
          <w:i/>
        </w:rPr>
        <w:t>s</w:t>
      </w:r>
      <w:r>
        <w:t>, CC Docket No. 95-155, Second Report and Order and Further Notice of Proposed Rulemaking, 12 FCC Rcd 11162, 11163, para. 1 (1997) (</w:t>
      </w:r>
      <w:r w:rsidRPr="00DD6916">
        <w:rPr>
          <w:i/>
        </w:rPr>
        <w:t>1997 Toll Free Order</w:t>
      </w:r>
      <w:r>
        <w:t xml:space="preserve">).  </w:t>
      </w:r>
      <w:r w:rsidRPr="002425AC">
        <w:t xml:space="preserve">For a detailed discussion of the toll free administration system, </w:t>
      </w:r>
      <w:r w:rsidRPr="000E3856">
        <w:rPr>
          <w:i/>
        </w:rPr>
        <w:t>see</w:t>
      </w:r>
      <w:r w:rsidRPr="002425AC">
        <w:t xml:space="preserve"> </w:t>
      </w:r>
      <w:r w:rsidRPr="002425AC">
        <w:rPr>
          <w:i/>
        </w:rPr>
        <w:t>Toll Free Service Access Codes; Database Services Management, Inc. Petition for Declaratory Ruling; Beehive Telephone Company Petition for Declaratory Ruling</w:t>
      </w:r>
      <w:r w:rsidRPr="002425AC">
        <w:t>, CC Docket No. 95</w:t>
      </w:r>
      <w:r>
        <w:t>-</w:t>
      </w:r>
      <w:r w:rsidRPr="002425AC">
        <w:t>155, NSD File Nos. L-99-87, L-99-88, Fifth Report and Order, 15 FCC Rcd 11939, 11941-44, paras. 3-9 (2000).</w:t>
      </w:r>
    </w:p>
  </w:footnote>
  <w:footnote w:id="9">
    <w:p w:rsidR="0098585D" w:rsidRDefault="0098585D" w:rsidP="00444220">
      <w:pPr>
        <w:pStyle w:val="FootnoteText"/>
      </w:pPr>
      <w:r>
        <w:rPr>
          <w:rStyle w:val="FootnoteReference"/>
        </w:rPr>
        <w:footnoteRef/>
      </w:r>
      <w:r>
        <w:t xml:space="preserve"> </w:t>
      </w:r>
      <w:r w:rsidRPr="00DD6916">
        <w:rPr>
          <w:i/>
        </w:rPr>
        <w:t>1997 Toll Free Order</w:t>
      </w:r>
      <w:r>
        <w:rPr>
          <w:i/>
        </w:rPr>
        <w:t xml:space="preserve">, </w:t>
      </w:r>
      <w:r w:rsidRPr="00982016">
        <w:t>12 FCC Rcd at 11163, para. 1</w:t>
      </w:r>
      <w:r>
        <w:t>;</w:t>
      </w:r>
      <w:r>
        <w:rPr>
          <w:i/>
        </w:rPr>
        <w:t xml:space="preserve"> see also </w:t>
      </w:r>
      <w:r w:rsidRPr="006C67DE">
        <w:rPr>
          <w:i/>
        </w:rPr>
        <w:t>Toll Free Service Access Codes</w:t>
      </w:r>
      <w:r>
        <w:t>, CC Docket No. 95-155, Fourth Report and Order and Memorandum Opinion and Order, 13 FCC Rcd 9058, 9059, para. 1 (1998) (</w:t>
      </w:r>
      <w:r w:rsidRPr="00A307E3">
        <w:rPr>
          <w:i/>
        </w:rPr>
        <w:t xml:space="preserve">1998 Toll Free Order); </w:t>
      </w:r>
      <w:r>
        <w:rPr>
          <w:i/>
        </w:rPr>
        <w:t xml:space="preserve">Toll Free Service Access Codes, </w:t>
      </w:r>
      <w:r>
        <w:t>CC Docket No. 95-155, Report and Order, 11 FCC Rcd 2496, 2497, para. 6 (1996) (</w:t>
      </w:r>
      <w:r w:rsidRPr="00C347D0">
        <w:rPr>
          <w:i/>
        </w:rPr>
        <w:t>1996 Toll Free Order</w:t>
      </w:r>
      <w:r>
        <w:t xml:space="preserve">).  </w:t>
      </w:r>
    </w:p>
  </w:footnote>
  <w:footnote w:id="10">
    <w:p w:rsidR="0098585D" w:rsidRDefault="0098585D" w:rsidP="00444220">
      <w:pPr>
        <w:pStyle w:val="FootnoteText"/>
      </w:pPr>
      <w:r>
        <w:rPr>
          <w:rStyle w:val="FootnoteReference"/>
        </w:rPr>
        <w:footnoteRef/>
      </w:r>
      <w:r>
        <w:t xml:space="preserve"> </w:t>
      </w:r>
      <w:r w:rsidRPr="00BB64A8">
        <w:rPr>
          <w:i/>
        </w:rPr>
        <w:t>1998 Toll Free Order</w:t>
      </w:r>
      <w:r>
        <w:t>, 13 FCC Rcd at 9065</w:t>
      </w:r>
      <w:r w:rsidRPr="008F43B9">
        <w:t>,</w:t>
      </w:r>
      <w:r>
        <w:t xml:space="preserve"> </w:t>
      </w:r>
      <w:r w:rsidRPr="008F43B9">
        <w:t xml:space="preserve">para. </w:t>
      </w:r>
      <w:r>
        <w:t>13, 9075, para. 39.</w:t>
      </w:r>
    </w:p>
  </w:footnote>
  <w:footnote w:id="11">
    <w:p w:rsidR="0098585D" w:rsidRDefault="0098585D" w:rsidP="00444220">
      <w:pPr>
        <w:pStyle w:val="FootnoteText"/>
      </w:pPr>
      <w:r>
        <w:rPr>
          <w:rStyle w:val="FootnoteReference"/>
        </w:rPr>
        <w:footnoteRef/>
      </w:r>
      <w:r>
        <w:t xml:space="preserve"> 47 CFR § 52.111 (“Toll free numbers shall be made available on a first-come, first-served basis unless otherwise directed by the Commission.”); </w:t>
      </w:r>
      <w:r w:rsidRPr="006968F3">
        <w:rPr>
          <w:i/>
        </w:rPr>
        <w:t>see also 1998 Toll Free Order</w:t>
      </w:r>
      <w:r>
        <w:t>, 13 FCC Rcd at 9078, Appx A.</w:t>
      </w:r>
    </w:p>
  </w:footnote>
  <w:footnote w:id="12">
    <w:p w:rsidR="0098585D" w:rsidRDefault="0098585D" w:rsidP="00444220">
      <w:pPr>
        <w:pStyle w:val="FootnoteText"/>
      </w:pPr>
      <w:r>
        <w:rPr>
          <w:rStyle w:val="FootnoteReference"/>
        </w:rPr>
        <w:footnoteRef/>
      </w:r>
      <w:r>
        <w:t xml:space="preserve"> </w:t>
      </w:r>
      <w:r w:rsidRPr="006968F3">
        <w:rPr>
          <w:i/>
        </w:rPr>
        <w:t>1998 Toll Free Order</w:t>
      </w:r>
      <w:r>
        <w:t xml:space="preserve">, 13 FCC Rcd </w:t>
      </w:r>
      <w:r w:rsidRPr="00656EF0">
        <w:t>at 90</w:t>
      </w:r>
      <w:r w:rsidRPr="00BA342D">
        <w:t>66</w:t>
      </w:r>
      <w:r w:rsidRPr="00656EF0">
        <w:t xml:space="preserve">, </w:t>
      </w:r>
      <w:r w:rsidRPr="00544BE8">
        <w:t>para.</w:t>
      </w:r>
      <w:r w:rsidRPr="008F43B9">
        <w:t xml:space="preserve"> </w:t>
      </w:r>
      <w:r>
        <w:t>16.</w:t>
      </w:r>
    </w:p>
  </w:footnote>
  <w:footnote w:id="13">
    <w:p w:rsidR="0098585D" w:rsidRDefault="0098585D" w:rsidP="00444220">
      <w:pPr>
        <w:pStyle w:val="FootnoteText"/>
      </w:pPr>
      <w:r>
        <w:rPr>
          <w:rStyle w:val="FootnoteReference"/>
        </w:rPr>
        <w:footnoteRef/>
      </w:r>
      <w:r>
        <w:t xml:space="preserve">  For the 855 and 844 code openings, as well as the release of valuable 800 numbers that had been disconnected, the Bureau </w:t>
      </w:r>
      <w:r w:rsidRPr="00277F67">
        <w:t>limited Resp</w:t>
      </w:r>
      <w:r>
        <w:t xml:space="preserve">onsible </w:t>
      </w:r>
      <w:r w:rsidRPr="00277F67">
        <w:t>Org</w:t>
      </w:r>
      <w:r>
        <w:t>anization</w:t>
      </w:r>
      <w:r w:rsidRPr="00277F67">
        <w:t>s to obtaining 100 numbers per day for the first 30 days of the code opening</w:t>
      </w:r>
      <w:r>
        <w:t xml:space="preserve"> to better</w:t>
      </w:r>
      <w:r w:rsidRPr="00277F67">
        <w:t xml:space="preserve"> ensure an efficient and equitable distribution of high value numbers in those two codes</w:t>
      </w:r>
      <w:r>
        <w:t xml:space="preserve">.  </w:t>
      </w:r>
      <w:r w:rsidRPr="003A3D79">
        <w:rPr>
          <w:i/>
        </w:rPr>
        <w:t>Toll Free Service Access Codes</w:t>
      </w:r>
      <w:r w:rsidRPr="003A3D79">
        <w:t xml:space="preserve">, </w:t>
      </w:r>
      <w:r>
        <w:t xml:space="preserve">CC Docket No. 95-155, </w:t>
      </w:r>
      <w:r w:rsidRPr="003A3D79">
        <w:t>Order, 25 FCC Rcd 13687, 1</w:t>
      </w:r>
      <w:r>
        <w:t>3688-90, paras. 3-6 (WCB 2010) (</w:t>
      </w:r>
      <w:r w:rsidRPr="001A545B">
        <w:rPr>
          <w:i/>
        </w:rPr>
        <w:t>855 Code Opening Order</w:t>
      </w:r>
      <w:r w:rsidRPr="00D47467">
        <w:t>);</w:t>
      </w:r>
      <w:r>
        <w:rPr>
          <w:i/>
        </w:rPr>
        <w:t xml:space="preserve"> see also</w:t>
      </w:r>
      <w:r w:rsidRPr="00D47467">
        <w:rPr>
          <w:i/>
        </w:rPr>
        <w:t xml:space="preserve"> </w:t>
      </w:r>
      <w:r w:rsidRPr="003A3D79">
        <w:rPr>
          <w:i/>
        </w:rPr>
        <w:t>Toll Free Service Access Codes</w:t>
      </w:r>
      <w:r w:rsidRPr="003A3D79">
        <w:t>,</w:t>
      </w:r>
      <w:r>
        <w:t xml:space="preserve"> CC Docket No. 95-155, </w:t>
      </w:r>
      <w:r w:rsidRPr="003A3D79">
        <w:t>Order, 28 FCC Rcd 16139, 16140-41, para. 3</w:t>
      </w:r>
      <w:r>
        <w:t>, 16142, paras. 6-7 (WCB 2013) (</w:t>
      </w:r>
      <w:r w:rsidRPr="001A545B">
        <w:rPr>
          <w:i/>
        </w:rPr>
        <w:t>844 Code Opening Order</w:t>
      </w:r>
      <w:r w:rsidRPr="00D47467">
        <w:t>)</w:t>
      </w:r>
      <w:r>
        <w:t xml:space="preserve">; </w:t>
      </w:r>
      <w:r w:rsidRPr="0077748C">
        <w:rPr>
          <w:i/>
        </w:rPr>
        <w:t>Toll Free Service Access Codes</w:t>
      </w:r>
      <w:r>
        <w:t>, CC Docket No. 95-155, Order, 31 FCC Rcd 6828, 6828-30, paras. 2-6 (WCB 2016).</w:t>
      </w:r>
    </w:p>
  </w:footnote>
  <w:footnote w:id="14">
    <w:p w:rsidR="0098585D" w:rsidRDefault="0098585D" w:rsidP="00444220">
      <w:pPr>
        <w:pStyle w:val="FootnoteText"/>
      </w:pPr>
      <w:r>
        <w:rPr>
          <w:rStyle w:val="FootnoteReference"/>
        </w:rPr>
        <w:footnoteRef/>
      </w:r>
      <w:r>
        <w:t xml:space="preserve"> </w:t>
      </w:r>
      <w:r>
        <w:rPr>
          <w:i/>
        </w:rPr>
        <w:t xml:space="preserve">See </w:t>
      </w:r>
      <w:r w:rsidRPr="00DD3040">
        <w:t xml:space="preserve">47 </w:t>
      </w:r>
      <w:r>
        <w:t>CFR</w:t>
      </w:r>
      <w:r>
        <w:rPr>
          <w:i/>
        </w:rPr>
        <w:t xml:space="preserve"> </w:t>
      </w:r>
      <w:r>
        <w:t>§§ 52.105, 52.107.</w:t>
      </w:r>
    </w:p>
  </w:footnote>
  <w:footnote w:id="15">
    <w:p w:rsidR="0098585D" w:rsidRDefault="0098585D" w:rsidP="00444220">
      <w:pPr>
        <w:pStyle w:val="FootnoteText"/>
      </w:pPr>
      <w:r>
        <w:rPr>
          <w:rStyle w:val="FootnoteReference"/>
        </w:rPr>
        <w:footnoteRef/>
      </w:r>
      <w:r>
        <w:t xml:space="preserve"> </w:t>
      </w:r>
      <w:r w:rsidRPr="00D64ADB">
        <w:t xml:space="preserve">A “RespOrg” is an “entity chosen by a toll free subscriber to manage and administer the appropriate records in the toll free Service Management System for the toll free subscriber.”  47 CFR § 52.101(b).  </w:t>
      </w:r>
    </w:p>
  </w:footnote>
  <w:footnote w:id="16">
    <w:p w:rsidR="0098585D" w:rsidRDefault="0098585D" w:rsidP="00444220">
      <w:pPr>
        <w:pStyle w:val="FootnoteText"/>
      </w:pPr>
      <w:r>
        <w:rPr>
          <w:rStyle w:val="FootnoteReference"/>
        </w:rPr>
        <w:footnoteRef/>
      </w:r>
      <w:r>
        <w:t xml:space="preserve"> </w:t>
      </w:r>
      <w:r>
        <w:rPr>
          <w:i/>
        </w:rPr>
        <w:t xml:space="preserve">See </w:t>
      </w:r>
      <w:r>
        <w:t>47 CFR</w:t>
      </w:r>
      <w:r>
        <w:rPr>
          <w:i/>
        </w:rPr>
        <w:t xml:space="preserve"> </w:t>
      </w:r>
      <w:r>
        <w:t xml:space="preserve">§ 52.105(a).  </w:t>
      </w:r>
    </w:p>
  </w:footnote>
  <w:footnote w:id="17">
    <w:p w:rsidR="0098585D" w:rsidRDefault="0098585D" w:rsidP="00444220">
      <w:pPr>
        <w:pStyle w:val="FootnoteText"/>
      </w:pPr>
      <w:r>
        <w:rPr>
          <w:rStyle w:val="FootnoteReference"/>
        </w:rPr>
        <w:footnoteRef/>
      </w:r>
      <w:r>
        <w:t xml:space="preserve"> </w:t>
      </w:r>
      <w:r>
        <w:rPr>
          <w:i/>
        </w:rPr>
        <w:t xml:space="preserve">See </w:t>
      </w:r>
      <w:r>
        <w:t xml:space="preserve">47 CFR § 52.107.  </w:t>
      </w:r>
    </w:p>
  </w:footnote>
  <w:footnote w:id="18">
    <w:p w:rsidR="0098585D" w:rsidRDefault="0098585D" w:rsidP="00444220">
      <w:pPr>
        <w:pStyle w:val="FootnoteText"/>
      </w:pPr>
      <w:r>
        <w:rPr>
          <w:rStyle w:val="FootnoteReference"/>
        </w:rPr>
        <w:footnoteRef/>
      </w:r>
      <w:r>
        <w:t xml:space="preserve"> 47 CFR § 52.107(a); </w:t>
      </w:r>
      <w:r>
        <w:rPr>
          <w:i/>
        </w:rPr>
        <w:t>see also id</w:t>
      </w:r>
      <w:r>
        <w:t>. § 52.10(a)(2) (“No person or entity shall acquire a toll free number for the purpose of selling the toll free number to another entity or to a person for a fee.”).</w:t>
      </w:r>
    </w:p>
  </w:footnote>
  <w:footnote w:id="19">
    <w:p w:rsidR="0098585D" w:rsidRDefault="0098585D" w:rsidP="00444220">
      <w:pPr>
        <w:pStyle w:val="FootnoteText"/>
      </w:pPr>
      <w:r>
        <w:rPr>
          <w:rStyle w:val="FootnoteReference"/>
        </w:rPr>
        <w:footnoteRef/>
      </w:r>
      <w:r>
        <w:t xml:space="preserve"> </w:t>
      </w:r>
      <w:r w:rsidRPr="00BB64A8">
        <w:rPr>
          <w:i/>
        </w:rPr>
        <w:t>1998 Toll Free Order</w:t>
      </w:r>
      <w:r>
        <w:t>, 13</w:t>
      </w:r>
      <w:r w:rsidRPr="009A7983">
        <w:t xml:space="preserve"> </w:t>
      </w:r>
      <w:r>
        <w:t>FCC R</w:t>
      </w:r>
      <w:r w:rsidRPr="00656EF0">
        <w:t>cd at 90</w:t>
      </w:r>
      <w:r w:rsidRPr="00BA342D">
        <w:t>66</w:t>
      </w:r>
      <w:r w:rsidRPr="00656EF0">
        <w:t xml:space="preserve">, </w:t>
      </w:r>
      <w:r w:rsidRPr="00544BE8">
        <w:t>para</w:t>
      </w:r>
      <w:r w:rsidRPr="008F43B9">
        <w:t xml:space="preserve">. </w:t>
      </w:r>
      <w:r>
        <w:t>16.</w:t>
      </w:r>
    </w:p>
  </w:footnote>
  <w:footnote w:id="20">
    <w:p w:rsidR="0098585D" w:rsidRDefault="0098585D" w:rsidP="00444220">
      <w:pPr>
        <w:pStyle w:val="FootnoteText"/>
      </w:pPr>
      <w:r>
        <w:rPr>
          <w:rStyle w:val="FootnoteReference"/>
        </w:rPr>
        <w:footnoteRef/>
      </w:r>
      <w:r>
        <w:t xml:space="preserve"> </w:t>
      </w:r>
      <w:r w:rsidRPr="00BF74A2">
        <w:rPr>
          <w:i/>
        </w:rPr>
        <w:t>1998 Toll Free Order</w:t>
      </w:r>
      <w:r>
        <w:t xml:space="preserve">, </w:t>
      </w:r>
      <w:r w:rsidRPr="004A0D76">
        <w:t>13 FCC Rcd</w:t>
      </w:r>
      <w:r>
        <w:t xml:space="preserve"> at 9066,</w:t>
      </w:r>
      <w:r w:rsidRPr="004A0D76">
        <w:t xml:space="preserve"> para. 16</w:t>
      </w:r>
      <w:r>
        <w:t>.</w:t>
      </w:r>
      <w:r w:rsidRPr="004A0D76">
        <w:t xml:space="preserve"> </w:t>
      </w:r>
      <w:r>
        <w:t xml:space="preserve"> The NANP is comprised of 20 North American countries that share numbering resources.  </w:t>
      </w:r>
      <w:r w:rsidRPr="0012413A">
        <w:rPr>
          <w:i/>
        </w:rPr>
        <w:t>See</w:t>
      </w:r>
      <w:r>
        <w:t xml:space="preserve"> N. Am. Numbering Plan Admin., </w:t>
      </w:r>
      <w:r w:rsidRPr="0012413A">
        <w:rPr>
          <w:i/>
        </w:rPr>
        <w:t>About the North American Numbering Plan</w:t>
      </w:r>
      <w:r>
        <w:t xml:space="preserve">, </w:t>
      </w:r>
      <w:hyperlink r:id="rId1" w:history="1">
        <w:r w:rsidRPr="007D5325">
          <w:rPr>
            <w:rStyle w:val="Hyperlink"/>
          </w:rPr>
          <w:t>https://www.nationalnanpa.com/about_us/abt_nanp.html</w:t>
        </w:r>
      </w:hyperlink>
      <w:r>
        <w:t xml:space="preserve"> (last visited Sept. 27, 2017).</w:t>
      </w:r>
    </w:p>
  </w:footnote>
  <w:footnote w:id="21">
    <w:p w:rsidR="0098585D" w:rsidRDefault="0098585D" w:rsidP="00444220">
      <w:pPr>
        <w:pStyle w:val="FootnoteText"/>
      </w:pPr>
      <w:r>
        <w:rPr>
          <w:rStyle w:val="FootnoteReference"/>
        </w:rPr>
        <w:footnoteRef/>
      </w:r>
      <w:r>
        <w:t xml:space="preserve"> </w:t>
      </w:r>
      <w:r w:rsidRPr="006F1918">
        <w:rPr>
          <w:i/>
        </w:rPr>
        <w:t>See</w:t>
      </w:r>
      <w:r>
        <w:t xml:space="preserve"> </w:t>
      </w:r>
      <w:r w:rsidRPr="006F1918">
        <w:rPr>
          <w:i/>
        </w:rPr>
        <w:t>833 Code Opening Order</w:t>
      </w:r>
      <w:r>
        <w:t>, 32 FCC Rcd at 3159, Attach.</w:t>
      </w:r>
    </w:p>
  </w:footnote>
  <w:footnote w:id="22">
    <w:p w:rsidR="0098585D" w:rsidRDefault="0098585D" w:rsidP="00444220">
      <w:pPr>
        <w:pStyle w:val="FootnoteText"/>
      </w:pPr>
      <w:r>
        <w:rPr>
          <w:rStyle w:val="FootnoteReference"/>
        </w:rPr>
        <w:footnoteRef/>
      </w:r>
      <w:r>
        <w:t xml:space="preserve"> </w:t>
      </w:r>
      <w:r w:rsidRPr="006F1918">
        <w:rPr>
          <w:i/>
        </w:rPr>
        <w:t>See</w:t>
      </w:r>
      <w:r>
        <w:t xml:space="preserve"> </w:t>
      </w:r>
      <w:r>
        <w:rPr>
          <w:i/>
        </w:rPr>
        <w:t>id.</w:t>
      </w:r>
      <w:r>
        <w:t xml:space="preserve"> at 3155, para. 6. (defining mutually exclusive numbers as toll free numbers “</w:t>
      </w:r>
      <w:r w:rsidRPr="007056BD">
        <w:t>for which there are multiple RespOrg Group reservation requests</w:t>
      </w:r>
      <w:r>
        <w:t>.”).</w:t>
      </w:r>
    </w:p>
  </w:footnote>
  <w:footnote w:id="23">
    <w:p w:rsidR="0098585D" w:rsidRPr="00FF224D" w:rsidRDefault="0098585D" w:rsidP="00444220">
      <w:pPr>
        <w:pStyle w:val="FootnoteText"/>
      </w:pPr>
      <w:r>
        <w:rPr>
          <w:rStyle w:val="FootnoteReference"/>
        </w:rPr>
        <w:footnoteRef/>
      </w:r>
      <w:r>
        <w:t xml:space="preserve"> </w:t>
      </w:r>
      <w:r w:rsidRPr="00904209">
        <w:rPr>
          <w:i/>
        </w:rPr>
        <w:t>See</w:t>
      </w:r>
      <w:r w:rsidRPr="00904209">
        <w:t xml:space="preserve"> Somos, Inc., </w:t>
      </w:r>
      <w:r w:rsidRPr="00904209">
        <w:rPr>
          <w:i/>
          <w:iCs/>
        </w:rPr>
        <w:t>Report of the Toll Free Neutral Administrator (TFNA) to the North American Numbering Council</w:t>
      </w:r>
      <w:r w:rsidRPr="00904209">
        <w:t xml:space="preserve"> 6 (June 2017), </w:t>
      </w:r>
      <w:hyperlink r:id="rId2" w:history="1">
        <w:r w:rsidRPr="00904209">
          <w:rPr>
            <w:rStyle w:val="Hyperlink"/>
          </w:rPr>
          <w:t>http://www.nanc-chair.org/docs/mtg_docs/Jun17_TFNA_Report.pdf</w:t>
        </w:r>
      </w:hyperlink>
      <w:r w:rsidRPr="00904209">
        <w:t xml:space="preserve">.  </w:t>
      </w:r>
      <w:r w:rsidRPr="00BE5CBD">
        <w:t>Unavailable status</w:t>
      </w:r>
      <w:r w:rsidRPr="00904209">
        <w:t xml:space="preserve"> means “[t]he toll free number is not available for assignment due to an unusual condition.” 47 CFR § 52.103(a)(8).</w:t>
      </w:r>
      <w:r>
        <w:t xml:space="preserve"> </w:t>
      </w:r>
    </w:p>
  </w:footnote>
  <w:footnote w:id="24">
    <w:p w:rsidR="0098585D" w:rsidRDefault="0098585D" w:rsidP="00444220">
      <w:pPr>
        <w:pStyle w:val="FootnoteText"/>
      </w:pPr>
      <w:r>
        <w:rPr>
          <w:rStyle w:val="FootnoteReference"/>
        </w:rPr>
        <w:footnoteRef/>
      </w:r>
      <w:r>
        <w:t xml:space="preserve"> </w:t>
      </w:r>
      <w:r w:rsidRPr="00BD6EB2">
        <w:rPr>
          <w:i/>
        </w:rPr>
        <w:t>See</w:t>
      </w:r>
      <w:r>
        <w:t xml:space="preserve"> Letter from Joel Bernstein, Vice President, Regulatory and Public Policy, Somos, Inc. to Marlene H. Dortch, Secretary, FCC, CC Docket No. 95-155 at 1 (filed Sept. 5, 2017).</w:t>
      </w:r>
    </w:p>
  </w:footnote>
  <w:footnote w:id="25">
    <w:p w:rsidR="0098585D" w:rsidRDefault="0098585D" w:rsidP="00444220">
      <w:pPr>
        <w:pStyle w:val="FootnoteText"/>
      </w:pPr>
      <w:r>
        <w:rPr>
          <w:rStyle w:val="FootnoteReference"/>
        </w:rPr>
        <w:footnoteRef/>
      </w:r>
      <w:r>
        <w:t xml:space="preserve"> </w:t>
      </w:r>
      <w:r w:rsidRPr="00BD6EB2">
        <w:rPr>
          <w:i/>
        </w:rPr>
        <w:t>See</w:t>
      </w:r>
      <w:r>
        <w:t xml:space="preserve"> Letter from Joel Bernstein, Vice President, Regulatory and Public Policy, Somos, Inc. to Marlene H. Dortch, Secretary, FCC, CC Docket No. 95-155 at 1 (filed Aug. 31, 2017) (Somos Aug. 31, 2017 </w:t>
      </w:r>
      <w:r w:rsidRPr="00050512">
        <w:rPr>
          <w:i/>
        </w:rPr>
        <w:t>Ex Parte</w:t>
      </w:r>
      <w:r>
        <w:t xml:space="preserve"> Letter).</w:t>
      </w:r>
    </w:p>
  </w:footnote>
  <w:footnote w:id="26">
    <w:p w:rsidR="0098585D" w:rsidRDefault="0098585D" w:rsidP="00444220">
      <w:pPr>
        <w:pStyle w:val="FootnoteText"/>
      </w:pPr>
      <w:r>
        <w:rPr>
          <w:rStyle w:val="FootnoteReference"/>
        </w:rPr>
        <w:footnoteRef/>
      </w:r>
      <w:r>
        <w:t xml:space="preserve"> </w:t>
      </w:r>
      <w:r w:rsidRPr="00904209">
        <w:rPr>
          <w:i/>
        </w:rPr>
        <w:t>See</w:t>
      </w:r>
      <w:r w:rsidRPr="00904209">
        <w:t xml:space="preserve"> </w:t>
      </w:r>
      <w:r>
        <w:rPr>
          <w:i/>
        </w:rPr>
        <w:t>833 Code Opening Order</w:t>
      </w:r>
      <w:r w:rsidRPr="00904209">
        <w:t>, 3</w:t>
      </w:r>
      <w:r>
        <w:t>2</w:t>
      </w:r>
      <w:r w:rsidRPr="00904209">
        <w:t xml:space="preserve"> FCC Rcd </w:t>
      </w:r>
      <w:r>
        <w:t>at</w:t>
      </w:r>
      <w:r w:rsidRPr="00904209">
        <w:t xml:space="preserve"> 3159, Attach.</w:t>
      </w:r>
    </w:p>
  </w:footnote>
  <w:footnote w:id="27">
    <w:p w:rsidR="0098585D" w:rsidRDefault="0098585D" w:rsidP="00444220">
      <w:pPr>
        <w:pStyle w:val="FootnoteText"/>
      </w:pPr>
      <w:r>
        <w:rPr>
          <w:rStyle w:val="FootnoteReference"/>
        </w:rPr>
        <w:footnoteRef/>
      </w:r>
      <w:r>
        <w:t xml:space="preserve"> 47 U.S.C. § 251 (e)(1) (“The Commission …shall make such numbers available on an equitable basis.”).</w:t>
      </w:r>
    </w:p>
  </w:footnote>
  <w:footnote w:id="28">
    <w:p w:rsidR="0098585D" w:rsidRDefault="0098585D" w:rsidP="00444220">
      <w:pPr>
        <w:pStyle w:val="FootnoteText"/>
      </w:pPr>
      <w:r>
        <w:rPr>
          <w:rStyle w:val="FootnoteReference"/>
        </w:rPr>
        <w:footnoteRef/>
      </w:r>
      <w:r>
        <w:t xml:space="preserve"> Somos Aug. 31, 2017 </w:t>
      </w:r>
      <w:r w:rsidRPr="005B539E">
        <w:rPr>
          <w:i/>
        </w:rPr>
        <w:t>Ex Parte</w:t>
      </w:r>
      <w:r>
        <w:t xml:space="preserve"> Letter at 1.</w:t>
      </w:r>
    </w:p>
  </w:footnote>
  <w:footnote w:id="29">
    <w:p w:rsidR="0098585D" w:rsidRDefault="0098585D" w:rsidP="00444220">
      <w:pPr>
        <w:pStyle w:val="FootnoteText"/>
      </w:pPr>
      <w:r>
        <w:rPr>
          <w:rStyle w:val="FootnoteReference"/>
        </w:rPr>
        <w:footnoteRef/>
      </w:r>
      <w:r>
        <w:t xml:space="preserve"> We note that although a first-come, first-served system may randomly assign mutually exclusive numbers, it may also less equitably reward actors that invest in systems to increase their chances that their choices are received first by the TFNA.</w:t>
      </w:r>
    </w:p>
  </w:footnote>
  <w:footnote w:id="30">
    <w:p w:rsidR="0098585D" w:rsidRDefault="0098585D" w:rsidP="00444220">
      <w:pPr>
        <w:pStyle w:val="FootnoteText"/>
      </w:pPr>
      <w:r>
        <w:rPr>
          <w:rStyle w:val="FootnoteReference"/>
        </w:rPr>
        <w:footnoteRef/>
      </w:r>
      <w:r>
        <w:t xml:space="preserve"> </w:t>
      </w:r>
      <w:r w:rsidRPr="00D928D1">
        <w:rPr>
          <w:i/>
        </w:rPr>
        <w:t>855 Code Opening Order</w:t>
      </w:r>
      <w:r w:rsidRPr="00D928D1">
        <w:t>, 25 FCC Rcd at 1368</w:t>
      </w:r>
      <w:r>
        <w:t>8-89</w:t>
      </w:r>
      <w:r w:rsidRPr="00D928D1">
        <w:t>, para</w:t>
      </w:r>
      <w:r>
        <w:t>s</w:t>
      </w:r>
      <w:r w:rsidRPr="00D928D1">
        <w:t xml:space="preserve">. </w:t>
      </w:r>
      <w:r>
        <w:t>3-5</w:t>
      </w:r>
      <w:r w:rsidRPr="00D928D1">
        <w:t xml:space="preserve">; </w:t>
      </w:r>
      <w:r w:rsidRPr="00D928D1">
        <w:rPr>
          <w:i/>
        </w:rPr>
        <w:t>844 Code Opening Order</w:t>
      </w:r>
      <w:r w:rsidRPr="00D928D1">
        <w:t>, 28 FCC Rcd at 16140-41, para. 3.</w:t>
      </w:r>
      <w:r w:rsidDel="001E1C2A">
        <w:t xml:space="preserve"> </w:t>
      </w:r>
    </w:p>
  </w:footnote>
  <w:footnote w:id="31">
    <w:p w:rsidR="0098585D" w:rsidRDefault="0098585D" w:rsidP="00444220">
      <w:pPr>
        <w:pStyle w:val="FootnoteText"/>
      </w:pPr>
      <w:r>
        <w:rPr>
          <w:rStyle w:val="FootnoteReference"/>
        </w:rPr>
        <w:footnoteRef/>
      </w:r>
      <w:r>
        <w:t xml:space="preserve"> </w:t>
      </w:r>
      <w:r w:rsidRPr="002709BB">
        <w:rPr>
          <w:i/>
        </w:rPr>
        <w:t>855 Code Opening Order</w:t>
      </w:r>
      <w:r>
        <w:t xml:space="preserve">, 25 FCC Rcd at 13687, 13688, paras. 1, 3; </w:t>
      </w:r>
      <w:r w:rsidRPr="00F952A1">
        <w:rPr>
          <w:i/>
        </w:rPr>
        <w:t>844 Code Opening Order</w:t>
      </w:r>
      <w:r>
        <w:t>, 28 FCC Rcd at 16139-41, paras. 1, 3.</w:t>
      </w:r>
    </w:p>
  </w:footnote>
  <w:footnote w:id="32">
    <w:p w:rsidR="0098585D" w:rsidRDefault="0098585D" w:rsidP="00444220">
      <w:pPr>
        <w:pStyle w:val="FootnoteText"/>
      </w:pPr>
      <w:r>
        <w:rPr>
          <w:rStyle w:val="FootnoteReference"/>
        </w:rPr>
        <w:footnoteRef/>
      </w:r>
      <w:r>
        <w:t xml:space="preserve"> </w:t>
      </w:r>
      <w:r w:rsidRPr="002709BB">
        <w:rPr>
          <w:i/>
        </w:rPr>
        <w:t>855 Code Opening Order</w:t>
      </w:r>
      <w:r>
        <w:t xml:space="preserve">, 25 FCC Rcd at 13688, para. 4; </w:t>
      </w:r>
      <w:r w:rsidRPr="00F952A1">
        <w:rPr>
          <w:i/>
        </w:rPr>
        <w:t>844 Code Opening Order</w:t>
      </w:r>
      <w:r>
        <w:t>, 28 FCC Rcd at 16140, para. 4.</w:t>
      </w:r>
    </w:p>
  </w:footnote>
  <w:footnote w:id="33">
    <w:p w:rsidR="0098585D" w:rsidRDefault="0098585D" w:rsidP="00444220">
      <w:pPr>
        <w:pStyle w:val="FootnoteText"/>
      </w:pPr>
      <w:r>
        <w:rPr>
          <w:rStyle w:val="FootnoteReference"/>
        </w:rPr>
        <w:footnoteRef/>
      </w:r>
      <w:r>
        <w:t xml:space="preserve"> </w:t>
      </w:r>
      <w:r w:rsidRPr="00C6594E">
        <w:rPr>
          <w:i/>
        </w:rPr>
        <w:t>See supra</w:t>
      </w:r>
      <w:r w:rsidRPr="00B24843">
        <w:rPr>
          <w:i/>
        </w:rPr>
        <w:t xml:space="preserve"> </w:t>
      </w:r>
      <w:r w:rsidRPr="005A4155">
        <w:t>para</w:t>
      </w:r>
      <w:r>
        <w:t>. 8.</w:t>
      </w:r>
    </w:p>
  </w:footnote>
  <w:footnote w:id="34">
    <w:p w:rsidR="0098585D" w:rsidRDefault="0098585D" w:rsidP="00444220">
      <w:pPr>
        <w:pStyle w:val="FootnoteText"/>
      </w:pPr>
      <w:r>
        <w:rPr>
          <w:rStyle w:val="FootnoteReference"/>
        </w:rPr>
        <w:footnoteRef/>
      </w:r>
      <w:r>
        <w:t xml:space="preserve"> </w:t>
      </w:r>
      <w:r w:rsidRPr="0012413A">
        <w:rPr>
          <w:i/>
        </w:rPr>
        <w:t>See</w:t>
      </w:r>
      <w:r w:rsidRPr="00F070EE">
        <w:t xml:space="preserve"> Aust</w:t>
      </w:r>
      <w:r>
        <w:t>l.</w:t>
      </w:r>
      <w:r w:rsidRPr="00F070EE">
        <w:t xml:space="preserve"> Commc</w:t>
      </w:r>
      <w:r>
        <w:t>’</w:t>
      </w:r>
      <w:r w:rsidRPr="00F070EE">
        <w:t xml:space="preserve">ns </w:t>
      </w:r>
      <w:r>
        <w:t>&amp;</w:t>
      </w:r>
      <w:r w:rsidRPr="00F070EE">
        <w:t xml:space="preserve"> Media Auth</w:t>
      </w:r>
      <w:r>
        <w:t xml:space="preserve">., </w:t>
      </w:r>
      <w:r>
        <w:rPr>
          <w:i/>
        </w:rPr>
        <w:t>Telecommunications Performance Report 2004-05</w:t>
      </w:r>
      <w:r>
        <w:t xml:space="preserve"> at 201-02 (Nov. 17, 2005), </w:t>
      </w:r>
      <w:hyperlink r:id="rId3" w:history="1">
        <w:r w:rsidRPr="00982740">
          <w:rPr>
            <w:rStyle w:val="Hyperlink"/>
          </w:rPr>
          <w:t>https://www.accc.gov.au/system/files/37%20-%20ACMA%20Telco%20Performance%20Report%202004-05.pdf</w:t>
        </w:r>
      </w:hyperlink>
      <w:r>
        <w:t>.</w:t>
      </w:r>
    </w:p>
  </w:footnote>
  <w:footnote w:id="35">
    <w:p w:rsidR="0098585D" w:rsidRDefault="0098585D" w:rsidP="00444220">
      <w:pPr>
        <w:pStyle w:val="FootnoteText"/>
      </w:pPr>
      <w:r>
        <w:rPr>
          <w:rStyle w:val="FootnoteReference"/>
        </w:rPr>
        <w:footnoteRef/>
      </w:r>
      <w:r>
        <w:t xml:space="preserve"> </w:t>
      </w:r>
      <w:r w:rsidRPr="00FA0056">
        <w:rPr>
          <w:i/>
        </w:rPr>
        <w:t>See</w:t>
      </w:r>
      <w:r>
        <w:t xml:space="preserve"> </w:t>
      </w:r>
      <w:r w:rsidRPr="0012413A">
        <w:rPr>
          <w:i/>
        </w:rPr>
        <w:t>generally</w:t>
      </w:r>
      <w:r>
        <w:t xml:space="preserve"> R. Preston McAfee &amp; John McMillan, </w:t>
      </w:r>
      <w:r w:rsidRPr="0012413A">
        <w:rPr>
          <w:i/>
        </w:rPr>
        <w:t>Auctions and Bidding</w:t>
      </w:r>
      <w:r>
        <w:t xml:space="preserve">, 25 </w:t>
      </w:r>
      <w:r w:rsidRPr="0012413A">
        <w:t>J</w:t>
      </w:r>
      <w:r>
        <w:t xml:space="preserve">. </w:t>
      </w:r>
      <w:r w:rsidRPr="0012413A">
        <w:t>Econ</w:t>
      </w:r>
      <w:r>
        <w:t xml:space="preserve">. </w:t>
      </w:r>
      <w:r w:rsidRPr="0012413A">
        <w:t>Literature</w:t>
      </w:r>
      <w:r>
        <w:t xml:space="preserve"> 699, 701-703 (1987), </w:t>
      </w:r>
      <w:hyperlink r:id="rId4" w:history="1">
        <w:r w:rsidRPr="001B5B19">
          <w:rPr>
            <w:rStyle w:val="Hyperlink"/>
          </w:rPr>
          <w:t>http://vita.mcafee.cc/PDF/JEL.pdf</w:t>
        </w:r>
      </w:hyperlink>
      <w:r>
        <w:t>.</w:t>
      </w:r>
    </w:p>
  </w:footnote>
  <w:footnote w:id="36">
    <w:p w:rsidR="0098585D" w:rsidRDefault="0098585D" w:rsidP="00444220">
      <w:pPr>
        <w:pStyle w:val="FootnoteText"/>
      </w:pPr>
      <w:r>
        <w:rPr>
          <w:rStyle w:val="FootnoteReference"/>
        </w:rPr>
        <w:footnoteRef/>
      </w:r>
      <w:r>
        <w:t xml:space="preserve"> </w:t>
      </w:r>
      <w:r w:rsidRPr="00A816D0">
        <w:t>Thus, if a bidder values one number at, say $10, and another at $20, and the two together at $50, the bidder cannot place three bids, one of $10 for the first number, a second of $20 for the second, and a third of $50 for both. Instead, only two bids can be placed, one for each of the two numbers, with no guarantee both numbers will be won.</w:t>
      </w:r>
    </w:p>
  </w:footnote>
  <w:footnote w:id="37">
    <w:p w:rsidR="0098585D" w:rsidRDefault="0098585D" w:rsidP="00444220">
      <w:pPr>
        <w:pStyle w:val="FootnoteText"/>
      </w:pPr>
      <w:r>
        <w:rPr>
          <w:rStyle w:val="FootnoteReference"/>
        </w:rPr>
        <w:footnoteRef/>
      </w:r>
      <w:r>
        <w:t xml:space="preserve"> This result rests on the assumption that bidder values are independent, i.e., a bidder’s payoff is only a function of that bidder’s estimates of value, and not a function of the opponents’ estimates of value.  With interdependent valuations, bidding one’s value is typically not optimal.  Independence implies bidders do not interact in a future circumstance, where any information gained by observing the auction’s outcomes (notably, if bid amounts are later made public) could be used.  The result also assumes the auction’s rules are enforced.</w:t>
      </w:r>
    </w:p>
  </w:footnote>
  <w:footnote w:id="38">
    <w:p w:rsidR="0098585D" w:rsidRDefault="0098585D" w:rsidP="00444220">
      <w:pPr>
        <w:pStyle w:val="FootnoteText"/>
      </w:pPr>
      <w:r>
        <w:rPr>
          <w:rStyle w:val="FootnoteReference"/>
        </w:rPr>
        <w:footnoteRef/>
      </w:r>
      <w:r>
        <w:t xml:space="preserve"> </w:t>
      </w:r>
      <w:r w:rsidRPr="0012413A">
        <w:rPr>
          <w:i/>
        </w:rPr>
        <w:t xml:space="preserve">See </w:t>
      </w:r>
      <w:r>
        <w:t xml:space="preserve">Laurence M. Ausubel &amp; Paul Milgrom, </w:t>
      </w:r>
      <w:r w:rsidRPr="00D579FC">
        <w:rPr>
          <w:i/>
        </w:rPr>
        <w:t>The Lovely but Lonely Vickrey Auction</w:t>
      </w:r>
      <w:r w:rsidRPr="00BD3135">
        <w:t>,</w:t>
      </w:r>
      <w:r>
        <w:t xml:space="preserve"> </w:t>
      </w:r>
      <w:r w:rsidRPr="00D579FC">
        <w:rPr>
          <w:i/>
        </w:rPr>
        <w:t>in</w:t>
      </w:r>
      <w:r>
        <w:t xml:space="preserve"> </w:t>
      </w:r>
      <w:r w:rsidRPr="00D579FC">
        <w:rPr>
          <w:i/>
        </w:rPr>
        <w:t>Combinatorial Auctions</w:t>
      </w:r>
      <w:r>
        <w:t xml:space="preserve"> 9 (Peter Cramton, Yoav Shoham, &amp; Richard Steinberg eds., MIT Press. 2006), </w:t>
      </w:r>
      <w:hyperlink r:id="rId5" w:history="1">
        <w:r w:rsidRPr="001B5B19">
          <w:rPr>
            <w:rStyle w:val="Hyperlink"/>
          </w:rPr>
          <w:t>http://cramton.umd.edu/ca-book/cramton-shoham-steinberg-combinatorial-auctions.pdf</w:t>
        </w:r>
      </w:hyperlink>
      <w:r>
        <w:t>.</w:t>
      </w:r>
    </w:p>
  </w:footnote>
  <w:footnote w:id="39">
    <w:p w:rsidR="0098585D" w:rsidRDefault="0098585D" w:rsidP="00444220">
      <w:pPr>
        <w:pStyle w:val="FootnoteText"/>
      </w:pPr>
      <w:r>
        <w:rPr>
          <w:rStyle w:val="FootnoteReference"/>
        </w:rPr>
        <w:footnoteRef/>
      </w:r>
      <w:r>
        <w:t xml:space="preserve"> </w:t>
      </w:r>
      <w:r>
        <w:rPr>
          <w:i/>
        </w:rPr>
        <w:t>Id</w:t>
      </w:r>
      <w:r>
        <w:t>.</w:t>
      </w:r>
    </w:p>
  </w:footnote>
  <w:footnote w:id="40">
    <w:p w:rsidR="0098585D" w:rsidRDefault="0098585D" w:rsidP="00444220">
      <w:pPr>
        <w:pStyle w:val="FootnoteText"/>
      </w:pPr>
      <w:r>
        <w:rPr>
          <w:rStyle w:val="FootnoteReference"/>
        </w:rPr>
        <w:footnoteRef/>
      </w:r>
      <w:r>
        <w:t xml:space="preserve"> </w:t>
      </w:r>
      <w:r w:rsidRPr="0012413A">
        <w:rPr>
          <w:i/>
        </w:rPr>
        <w:t>See</w:t>
      </w:r>
      <w:r>
        <w:rPr>
          <w:i/>
        </w:rPr>
        <w:t xml:space="preserve"> generally,</w:t>
      </w:r>
      <w:r w:rsidRPr="0012413A">
        <w:rPr>
          <w:i/>
        </w:rPr>
        <w:t xml:space="preserve"> e.g</w:t>
      </w:r>
      <w:r>
        <w:t xml:space="preserve">., Michael H. Rothkopf, Thomas J. Teisberg, &amp; Edward P. Kahn, </w:t>
      </w:r>
      <w:r w:rsidRPr="0012413A">
        <w:rPr>
          <w:i/>
        </w:rPr>
        <w:t>Why Are Vickrey Auctions Rare</w:t>
      </w:r>
      <w:r>
        <w:t>, 98 J.</w:t>
      </w:r>
      <w:r w:rsidRPr="0012413A">
        <w:t xml:space="preserve"> Pol</w:t>
      </w:r>
      <w:r>
        <w:t>.</w:t>
      </w:r>
      <w:r w:rsidRPr="0012413A">
        <w:t xml:space="preserve"> Eco</w:t>
      </w:r>
      <w:r>
        <w:t xml:space="preserve">n. 94, 94-109 (1990), </w:t>
      </w:r>
      <w:hyperlink r:id="rId6" w:history="1">
        <w:r w:rsidRPr="00CF657D">
          <w:rPr>
            <w:rStyle w:val="Hyperlink"/>
          </w:rPr>
          <w:t>http://www.jstor.org/stable/2937643</w:t>
        </w:r>
      </w:hyperlink>
      <w:r>
        <w:t xml:space="preserve"> (subscription required).</w:t>
      </w:r>
    </w:p>
  </w:footnote>
  <w:footnote w:id="41">
    <w:p w:rsidR="0098585D" w:rsidRDefault="0098585D" w:rsidP="00444220">
      <w:pPr>
        <w:pStyle w:val="FootnoteText"/>
      </w:pPr>
      <w:r w:rsidRPr="003B6DF7">
        <w:rPr>
          <w:rStyle w:val="FootnoteReference"/>
          <w:i/>
        </w:rPr>
        <w:footnoteRef/>
      </w:r>
      <w:r w:rsidRPr="607E6BE2">
        <w:t xml:space="preserve"> </w:t>
      </w:r>
      <w:r>
        <w:t xml:space="preserve"> R. Preston McAfee &amp; John McMillan, </w:t>
      </w:r>
      <w:r w:rsidRPr="0012413A">
        <w:rPr>
          <w:i/>
        </w:rPr>
        <w:t>Auctions and Bidding</w:t>
      </w:r>
      <w:r>
        <w:t xml:space="preserve">, 25 </w:t>
      </w:r>
      <w:r w:rsidRPr="0012413A">
        <w:t>J</w:t>
      </w:r>
      <w:r>
        <w:t xml:space="preserve">. </w:t>
      </w:r>
      <w:r w:rsidRPr="0012413A">
        <w:t>Econ</w:t>
      </w:r>
      <w:r>
        <w:t xml:space="preserve">. </w:t>
      </w:r>
      <w:r w:rsidRPr="0012413A">
        <w:t>Literature</w:t>
      </w:r>
      <w:r>
        <w:t xml:space="preserve"> 699, 713 (summarizing t</w:t>
      </w:r>
      <w:r w:rsidRPr="003B6DF7">
        <w:t>he tradeoffs associated with the imposition of a reserve prices</w:t>
      </w:r>
      <w:r>
        <w:t>).</w:t>
      </w:r>
    </w:p>
  </w:footnote>
  <w:footnote w:id="42">
    <w:p w:rsidR="0098585D" w:rsidRDefault="0098585D" w:rsidP="00444220">
      <w:pPr>
        <w:pStyle w:val="FootnoteText"/>
      </w:pPr>
      <w:r>
        <w:rPr>
          <w:rStyle w:val="FootnoteReference"/>
        </w:rPr>
        <w:footnoteRef/>
      </w:r>
      <w:r>
        <w:t xml:space="preserve"> Campbell </w:t>
      </w:r>
      <w:r w:rsidRPr="00FC5648">
        <w:rPr>
          <w:i/>
        </w:rPr>
        <w:t>et al.</w:t>
      </w:r>
      <w:r>
        <w:t xml:space="preserve"> show that the revenue ranking of a Vickrey and a pay-your-bid auction is affected by asymmetries between bidder demands.  </w:t>
      </w:r>
      <w:r w:rsidRPr="0012413A">
        <w:rPr>
          <w:i/>
        </w:rPr>
        <w:t xml:space="preserve">See </w:t>
      </w:r>
      <w:r>
        <w:t xml:space="preserve">Colin Campbell., Octavian Carare, &amp; Richard P. McLean, </w:t>
      </w:r>
      <w:r w:rsidRPr="0012413A">
        <w:rPr>
          <w:i/>
        </w:rPr>
        <w:t>Auction Form Preference and Inefficiency of Asymmetric Discriminatory Auctions</w:t>
      </w:r>
      <w:r>
        <w:t xml:space="preserve">, 86 </w:t>
      </w:r>
      <w:r w:rsidRPr="0012413A">
        <w:t>Econ. Letters</w:t>
      </w:r>
      <w:r w:rsidRPr="00EF1FCC">
        <w:t xml:space="preserve"> </w:t>
      </w:r>
      <w:r>
        <w:t xml:space="preserve">95, 95-100 (2005), </w:t>
      </w:r>
      <w:hyperlink r:id="rId7" w:history="1">
        <w:r w:rsidRPr="00CF657D">
          <w:rPr>
            <w:rStyle w:val="Hyperlink"/>
          </w:rPr>
          <w:t>http://www.sciencedirect.com/science/article/pii/S0165-1765(04)00231-9</w:t>
        </w:r>
      </w:hyperlink>
      <w:r>
        <w:t xml:space="preserve"> (subscription required).</w:t>
      </w:r>
    </w:p>
  </w:footnote>
  <w:footnote w:id="43">
    <w:p w:rsidR="0098585D" w:rsidRDefault="0098585D" w:rsidP="00444220">
      <w:pPr>
        <w:pStyle w:val="FootnoteText"/>
      </w:pPr>
      <w:r>
        <w:rPr>
          <w:rStyle w:val="FootnoteReference"/>
        </w:rPr>
        <w:footnoteRef/>
      </w:r>
      <w:r>
        <w:t xml:space="preserve"> Bidding one’s valuation in a pay-your-bid auction guarantees zero payoff:  the difference between value and bid (the bidder’s surplus) is equal to zero whether one wins or not.  As a result, to ensure a positive expected payoff, bidding below one’s value is optimal in the pay-your-bid auction</w:t>
      </w:r>
      <w:r w:rsidRPr="00571FC9">
        <w:t xml:space="preserve">. </w:t>
      </w:r>
      <w:r w:rsidRPr="008D5ECF">
        <w:rPr>
          <w:i/>
        </w:rPr>
        <w:t>See</w:t>
      </w:r>
      <w:r>
        <w:t xml:space="preserve"> Matthew O. Jackson &amp; Ilan Kremer, </w:t>
      </w:r>
      <w:r>
        <w:rPr>
          <w:i/>
          <w:iCs/>
        </w:rPr>
        <w:t>The Relevance of a Choice Auction Format in a Competitive Environment</w:t>
      </w:r>
      <w:r>
        <w:t xml:space="preserve">, 73 Rev. Econ. Stud. 961, 962-63 (2006), </w:t>
      </w:r>
      <w:hyperlink r:id="rId8" w:history="1">
        <w:r>
          <w:rPr>
            <w:rStyle w:val="Hyperlink"/>
          </w:rPr>
          <w:t>http://www.jstor.org/stable/4123255</w:t>
        </w:r>
      </w:hyperlink>
      <w:r>
        <w:t>.</w:t>
      </w:r>
    </w:p>
  </w:footnote>
  <w:footnote w:id="44">
    <w:p w:rsidR="0098585D" w:rsidRDefault="0098585D" w:rsidP="00444220">
      <w:pPr>
        <w:pStyle w:val="FootnoteText"/>
      </w:pPr>
      <w:r>
        <w:rPr>
          <w:rStyle w:val="FootnoteReference"/>
        </w:rPr>
        <w:footnoteRef/>
      </w:r>
      <w:r>
        <w:t xml:space="preserve"> </w:t>
      </w:r>
      <w:r w:rsidRPr="00041EB3">
        <w:rPr>
          <w:i/>
        </w:rPr>
        <w:t>See e.g</w:t>
      </w:r>
      <w:r>
        <w:t xml:space="preserve">., 47 </w:t>
      </w:r>
      <w:r w:rsidRPr="00F853B8">
        <w:t>CFR § 1.210</w:t>
      </w:r>
      <w:r>
        <w:t>4.</w:t>
      </w:r>
    </w:p>
  </w:footnote>
  <w:footnote w:id="45">
    <w:p w:rsidR="0098585D" w:rsidRDefault="0098585D" w:rsidP="00444220">
      <w:pPr>
        <w:pStyle w:val="FootnoteText"/>
      </w:pPr>
      <w:r>
        <w:rPr>
          <w:rStyle w:val="FootnoteReference"/>
        </w:rPr>
        <w:footnoteRef/>
      </w:r>
      <w:r>
        <w:t xml:space="preserve"> Idiosyncratic is a term of art.  An example of idiosyncratic valuations is where one person values a painting because it evokes certain memories, another values it because of the artist’s composition and technique, and a third values the painting because it fits well in a pre-selected space.  The valuation that each person attaches to the painting is not changed by knowing whether or why the other persons like it.</w:t>
      </w:r>
    </w:p>
  </w:footnote>
  <w:footnote w:id="46">
    <w:p w:rsidR="0098585D" w:rsidRDefault="0098585D" w:rsidP="00444220">
      <w:pPr>
        <w:pStyle w:val="FootnoteText"/>
      </w:pPr>
      <w:r>
        <w:rPr>
          <w:rStyle w:val="FootnoteReference"/>
        </w:rPr>
        <w:footnoteRef/>
      </w:r>
      <w:r>
        <w:t xml:space="preserve"> 47 CFR </w:t>
      </w:r>
      <w:r w:rsidRPr="00F853B8">
        <w:t>§</w:t>
      </w:r>
      <w:r>
        <w:t xml:space="preserve"> 52.101(b) (definition of a RespOrg).</w:t>
      </w:r>
    </w:p>
  </w:footnote>
  <w:footnote w:id="47">
    <w:p w:rsidR="0098585D" w:rsidRDefault="0098585D" w:rsidP="00444220">
      <w:pPr>
        <w:pStyle w:val="FootnoteText"/>
      </w:pPr>
      <w:r>
        <w:rPr>
          <w:rStyle w:val="FootnoteReference"/>
        </w:rPr>
        <w:footnoteRef/>
      </w:r>
      <w:r>
        <w:t xml:space="preserve"> </w:t>
      </w:r>
      <w:r w:rsidRPr="00FB7BED">
        <w:rPr>
          <w:i/>
        </w:rPr>
        <w:t xml:space="preserve">See </w:t>
      </w:r>
      <w:r>
        <w:t>47 CFR § 52.12 for NANP Billing and Collection Agent; 47 CFR § 52.32 for Local Number Portability administrator.</w:t>
      </w:r>
    </w:p>
  </w:footnote>
  <w:footnote w:id="48">
    <w:p w:rsidR="0098585D" w:rsidRPr="00653374" w:rsidRDefault="0098585D" w:rsidP="00444220">
      <w:pPr>
        <w:pStyle w:val="FootnoteText"/>
      </w:pPr>
      <w:r w:rsidRPr="00A60AF3">
        <w:rPr>
          <w:rStyle w:val="FootnoteReference"/>
        </w:rPr>
        <w:footnoteRef/>
      </w:r>
      <w:r w:rsidRPr="00A60AF3">
        <w:t xml:space="preserve"> 31 U.S.C. § 3302(b) (</w:t>
      </w:r>
      <w:r>
        <w:t xml:space="preserve">stating that </w:t>
      </w:r>
      <w:r w:rsidRPr="00263D7E">
        <w:t xml:space="preserve">“an official or agent of the Government receiving money for the Government from any source </w:t>
      </w:r>
      <w:r w:rsidRPr="00CF59F8">
        <w:t>shall deposit the money in the [U.S.] Treasury</w:t>
      </w:r>
      <w:r>
        <w:t xml:space="preserve"> . . . </w:t>
      </w:r>
      <w:r w:rsidRPr="00CF59F8">
        <w:t>without de</w:t>
      </w:r>
      <w:r>
        <w:t>duction for any charge or claim</w:t>
      </w:r>
      <w:r w:rsidRPr="00CF59F8">
        <w:t>”).  Congress sometimes uses the term “general fund” which, for deposit purposes, is synonymous with “miscellaneous receipts.” In the Act, for example, application fees paid to the Commission “shall be deposited in the general fund of the</w:t>
      </w:r>
      <w:r>
        <w:t xml:space="preserve"> Treasury.”  47 U.S.C. § 158(e);</w:t>
      </w:r>
      <w:r w:rsidRPr="00CF59F8">
        <w:t xml:space="preserve"> </w:t>
      </w:r>
      <w:r>
        <w:rPr>
          <w:i/>
        </w:rPr>
        <w:t>s</w:t>
      </w:r>
      <w:r w:rsidRPr="00CF59F8">
        <w:rPr>
          <w:i/>
        </w:rPr>
        <w:t>ee also</w:t>
      </w:r>
      <w:r w:rsidRPr="00CF59F8">
        <w:t xml:space="preserve"> 47 U.S.C. §§</w:t>
      </w:r>
      <w:r w:rsidRPr="00F106E4">
        <w:t xml:space="preserve"> 154(f), 309(j), 510(d), 928(d), 1441, 1452(d), 1457</w:t>
      </w:r>
      <w:r>
        <w:t>.</w:t>
      </w:r>
      <w:r w:rsidRPr="00F106E4" w:rsidDel="00D8096C">
        <w:t xml:space="preserve"> </w:t>
      </w:r>
    </w:p>
  </w:footnote>
  <w:footnote w:id="49">
    <w:p w:rsidR="0098585D" w:rsidRPr="00844389" w:rsidRDefault="0098585D" w:rsidP="00444220">
      <w:pPr>
        <w:pStyle w:val="FootnoteText"/>
      </w:pPr>
      <w:r w:rsidRPr="00287D9C">
        <w:rPr>
          <w:rStyle w:val="FootnoteReference"/>
        </w:rPr>
        <w:footnoteRef/>
      </w:r>
      <w:r w:rsidRPr="00287D9C">
        <w:t xml:space="preserve"> Somos, a non-profit membership corporation, is subject to </w:t>
      </w:r>
      <w:r>
        <w:t>s</w:t>
      </w:r>
      <w:r w:rsidRPr="00287D9C">
        <w:t>ection 61.38 of the Commission’s rules, 47 CFR</w:t>
      </w:r>
      <w:r w:rsidRPr="00844389">
        <w:t xml:space="preserve"> §</w:t>
      </w:r>
      <w:r>
        <w:t xml:space="preserve"> </w:t>
      </w:r>
      <w:r w:rsidRPr="00844389">
        <w:t xml:space="preserve">61.38, and must file annual tariff revisions pursuant to the applicable </w:t>
      </w:r>
      <w:r>
        <w:t>p</w:t>
      </w:r>
      <w:r w:rsidRPr="00844389">
        <w:t xml:space="preserve">art 61 rules for a dominant carrier, subject to the tariff requirements and enforcement provisions in the Act and the Commission’s rules.  </w:t>
      </w:r>
      <w:r w:rsidRPr="00844389">
        <w:rPr>
          <w:i/>
        </w:rPr>
        <w:t xml:space="preserve">Toll Free Service Access </w:t>
      </w:r>
      <w:r w:rsidRPr="00E21816">
        <w:rPr>
          <w:i/>
        </w:rPr>
        <w:t>Codes, Petition to Change the Composition of SMS/800, Inc.</w:t>
      </w:r>
      <w:r>
        <w:t xml:space="preserve">, </w:t>
      </w:r>
      <w:r w:rsidRPr="00E21816">
        <w:t xml:space="preserve">CC Docket No. 95-155 and WC Docket No. </w:t>
      </w:r>
      <w:r w:rsidRPr="000A7603">
        <w:t xml:space="preserve">12-260, </w:t>
      </w:r>
      <w:r>
        <w:t xml:space="preserve">Order, </w:t>
      </w:r>
      <w:r w:rsidRPr="000A7603">
        <w:t>28</w:t>
      </w:r>
      <w:r w:rsidRPr="00AC1F0F">
        <w:t xml:space="preserve"> FCC Rcd 15328, 15342, paras. 37-38 (2013)</w:t>
      </w:r>
      <w:r>
        <w:t xml:space="preserve"> (</w:t>
      </w:r>
      <w:r w:rsidRPr="00C67B99">
        <w:rPr>
          <w:i/>
        </w:rPr>
        <w:t>Toll Free Governance Order</w:t>
      </w:r>
      <w:r>
        <w:t>)</w:t>
      </w:r>
      <w:r w:rsidRPr="004D4CBB">
        <w:t xml:space="preserve">.  </w:t>
      </w:r>
      <w:r>
        <w:t xml:space="preserve">Tariff </w:t>
      </w:r>
      <w:r w:rsidRPr="004D4CBB">
        <w:t xml:space="preserve">modifications must be filed each January 31 (following the close of its fiscal year, </w:t>
      </w:r>
      <w:r w:rsidRPr="00925B80">
        <w:t xml:space="preserve">which is the calendar year) updating the rates for its services, effective in February.  Each such filing must contain an updated cost of service study pursuant to </w:t>
      </w:r>
      <w:r>
        <w:t>s</w:t>
      </w:r>
      <w:r w:rsidRPr="00C44BF9">
        <w:t xml:space="preserve">ection 61.38.  </w:t>
      </w:r>
      <w:r w:rsidRPr="00C44BF9">
        <w:rPr>
          <w:i/>
        </w:rPr>
        <w:t>Id</w:t>
      </w:r>
      <w:r w:rsidRPr="004D0BAA">
        <w:t>.</w:t>
      </w:r>
    </w:p>
  </w:footnote>
  <w:footnote w:id="50">
    <w:p w:rsidR="0098585D" w:rsidRPr="00844389" w:rsidRDefault="0098585D" w:rsidP="00444220">
      <w:pPr>
        <w:pStyle w:val="FootnoteText"/>
      </w:pPr>
      <w:r w:rsidRPr="00844389">
        <w:rPr>
          <w:rStyle w:val="FootnoteReference"/>
        </w:rPr>
        <w:footnoteRef/>
      </w:r>
      <w:r w:rsidRPr="00844389">
        <w:t xml:space="preserve"> The fiscal year of Somos</w:t>
      </w:r>
      <w:r>
        <w:t xml:space="preserve">, the TFNA, </w:t>
      </w:r>
      <w:r w:rsidRPr="00844389">
        <w:t>is the calendar year.</w:t>
      </w:r>
    </w:p>
  </w:footnote>
  <w:footnote w:id="51">
    <w:p w:rsidR="0098585D" w:rsidRDefault="0098585D" w:rsidP="00444220">
      <w:pPr>
        <w:pStyle w:val="FootnoteText"/>
      </w:pPr>
      <w:r>
        <w:rPr>
          <w:rStyle w:val="FootnoteReference"/>
        </w:rPr>
        <w:footnoteRef/>
      </w:r>
      <w:r>
        <w:t xml:space="preserve"> </w:t>
      </w:r>
      <w:r>
        <w:rPr>
          <w:i/>
        </w:rPr>
        <w:t xml:space="preserve"> See supra</w:t>
      </w:r>
      <w:r>
        <w:t xml:space="preserve"> note 19.</w:t>
      </w:r>
    </w:p>
  </w:footnote>
  <w:footnote w:id="52">
    <w:p w:rsidR="0098585D" w:rsidRDefault="0098585D" w:rsidP="00444220">
      <w:pPr>
        <w:pStyle w:val="FootnoteText"/>
      </w:pPr>
      <w:r>
        <w:rPr>
          <w:rStyle w:val="FootnoteReference"/>
        </w:rPr>
        <w:footnoteRef/>
      </w:r>
      <w:r>
        <w:t xml:space="preserve"> Under the Commission’s rules, RespOrgs are responsible for managing and administering toll free records on behalf of subscribers.  </w:t>
      </w:r>
      <w:r w:rsidRPr="003A513D">
        <w:rPr>
          <w:i/>
        </w:rPr>
        <w:t>See</w:t>
      </w:r>
      <w:r>
        <w:t xml:space="preserve"> 47 CFR § 52.101(b).</w:t>
      </w:r>
      <w:r w:rsidRPr="00950D4E">
        <w:t xml:space="preserve"> </w:t>
      </w:r>
      <w:r>
        <w:t xml:space="preserve"> We do not propose to change those responsibilities in this </w:t>
      </w:r>
      <w:r w:rsidRPr="00C03B90">
        <w:rPr>
          <w:i/>
        </w:rPr>
        <w:t>Notice</w:t>
      </w:r>
      <w:r>
        <w:t>.</w:t>
      </w:r>
    </w:p>
  </w:footnote>
  <w:footnote w:id="53">
    <w:p w:rsidR="0098585D" w:rsidRPr="00950D4E" w:rsidRDefault="0098585D" w:rsidP="00444220">
      <w:pPr>
        <w:pStyle w:val="FootnoteText"/>
      </w:pPr>
      <w:r w:rsidRPr="00092846">
        <w:rPr>
          <w:rStyle w:val="FootnoteReference"/>
        </w:rPr>
        <w:footnoteRef/>
      </w:r>
      <w:r w:rsidRPr="00092846">
        <w:t xml:space="preserve"> </w:t>
      </w:r>
      <w:r w:rsidRPr="00950D4E">
        <w:rPr>
          <w:i/>
        </w:rPr>
        <w:t xml:space="preserve">See </w:t>
      </w:r>
      <w:r w:rsidRPr="00950D4E">
        <w:t xml:space="preserve">47 U.S.C. § 251(e); </w:t>
      </w:r>
      <w:r w:rsidRPr="003A513D">
        <w:rPr>
          <w:i/>
        </w:rPr>
        <w:t>1998 Toll Free Order</w:t>
      </w:r>
      <w:r>
        <w:t xml:space="preserve">, </w:t>
      </w:r>
      <w:r w:rsidRPr="00950D4E">
        <w:rPr>
          <w:color w:val="000000"/>
        </w:rPr>
        <w:t xml:space="preserve">13 FCC Rcd </w:t>
      </w:r>
      <w:r>
        <w:rPr>
          <w:color w:val="000000"/>
        </w:rPr>
        <w:t>at</w:t>
      </w:r>
      <w:r w:rsidRPr="00950D4E">
        <w:rPr>
          <w:color w:val="000000"/>
        </w:rPr>
        <w:t xml:space="preserve"> 9061, para. 6, n.14; </w:t>
      </w:r>
      <w:r w:rsidRPr="00950D4E">
        <w:rPr>
          <w:i/>
          <w:color w:val="000000"/>
        </w:rPr>
        <w:t>Toll Free Service Access Codes</w:t>
      </w:r>
      <w:r w:rsidRPr="00950D4E">
        <w:rPr>
          <w:color w:val="000000"/>
        </w:rPr>
        <w:t xml:space="preserve">, CC Docket No. 95-155, Notice of Proposed Rulemaking, 10 FCC Rcd 13692, 13702, para. 36 (1995); </w:t>
      </w:r>
      <w:r w:rsidRPr="003A513D">
        <w:rPr>
          <w:i/>
          <w:color w:val="000000"/>
        </w:rPr>
        <w:t>1995 NANP Order</w:t>
      </w:r>
      <w:r>
        <w:rPr>
          <w:color w:val="000000"/>
        </w:rPr>
        <w:t xml:space="preserve">, </w:t>
      </w:r>
      <w:r w:rsidRPr="00950D4E">
        <w:rPr>
          <w:color w:val="000000"/>
        </w:rPr>
        <w:t>11 FCC Rcd</w:t>
      </w:r>
      <w:r>
        <w:rPr>
          <w:color w:val="000000"/>
        </w:rPr>
        <w:t xml:space="preserve"> at</w:t>
      </w:r>
      <w:r w:rsidRPr="00950D4E">
        <w:rPr>
          <w:color w:val="000000"/>
        </w:rPr>
        <w:t xml:space="preserve"> 2591, para. 4.  Federal courts have upheld the Commission’s determination that no person or entity has a property interest in a telephone number</w:t>
      </w:r>
      <w:r w:rsidRPr="00950D4E">
        <w:t xml:space="preserve">.  </w:t>
      </w:r>
      <w:r w:rsidRPr="00950D4E">
        <w:rPr>
          <w:i/>
        </w:rPr>
        <w:t>See, e.g.</w:t>
      </w:r>
      <w:r w:rsidRPr="00950D4E">
        <w:t>,</w:t>
      </w:r>
      <w:r w:rsidRPr="00950D4E">
        <w:rPr>
          <w:i/>
        </w:rPr>
        <w:t xml:space="preserve"> In re StarNet, Inc</w:t>
      </w:r>
      <w:r w:rsidRPr="00950D4E">
        <w:t>., 355 F.3d 634, 637 (7th Cir. 2004) (“No one has a property interest in a phone number.”).</w:t>
      </w:r>
    </w:p>
  </w:footnote>
  <w:footnote w:id="54">
    <w:p w:rsidR="0098585D" w:rsidRPr="001F332F" w:rsidRDefault="0098585D" w:rsidP="00444220">
      <w:pPr>
        <w:pStyle w:val="FootnoteText"/>
      </w:pPr>
      <w:r w:rsidRPr="00950D4E">
        <w:rPr>
          <w:rStyle w:val="FootnoteReference"/>
        </w:rPr>
        <w:footnoteRef/>
      </w:r>
      <w:r w:rsidRPr="00950D4E">
        <w:t xml:space="preserve"> </w:t>
      </w:r>
      <w:r w:rsidRPr="00950D4E">
        <w:rPr>
          <w:i/>
        </w:rPr>
        <w:t xml:space="preserve">See </w:t>
      </w:r>
      <w:r>
        <w:rPr>
          <w:i/>
        </w:rPr>
        <w:t>infra</w:t>
      </w:r>
      <w:r w:rsidRPr="001F332F">
        <w:t xml:space="preserve"> </w:t>
      </w:r>
      <w:r>
        <w:t>note</w:t>
      </w:r>
      <w:r w:rsidRPr="001F332F">
        <w:t xml:space="preserve"> </w:t>
      </w:r>
      <w:r>
        <w:t xml:space="preserve">55 </w:t>
      </w:r>
      <w:r w:rsidRPr="001F332F">
        <w:t>(</w:t>
      </w:r>
      <w:r>
        <w:t>providing examples</w:t>
      </w:r>
      <w:r w:rsidRPr="001F332F">
        <w:t xml:space="preserve"> </w:t>
      </w:r>
      <w:r>
        <w:t>of</w:t>
      </w:r>
      <w:r w:rsidRPr="001F332F">
        <w:t xml:space="preserve"> toll free numbers </w:t>
      </w:r>
      <w:r>
        <w:t>available for sale</w:t>
      </w:r>
      <w:r w:rsidRPr="001F332F">
        <w:t xml:space="preserve"> online).</w:t>
      </w:r>
    </w:p>
  </w:footnote>
  <w:footnote w:id="55">
    <w:p w:rsidR="0098585D" w:rsidRDefault="0098585D" w:rsidP="00444220">
      <w:pPr>
        <w:pStyle w:val="FootnoteText"/>
      </w:pPr>
      <w:r>
        <w:rPr>
          <w:rStyle w:val="FootnoteReference"/>
        </w:rPr>
        <w:footnoteRef/>
      </w:r>
      <w:r>
        <w:t xml:space="preserve"> </w:t>
      </w:r>
      <w:r w:rsidRPr="0070386C">
        <w:rPr>
          <w:i/>
        </w:rPr>
        <w:t xml:space="preserve">See </w:t>
      </w:r>
      <w:r>
        <w:rPr>
          <w:i/>
        </w:rPr>
        <w:t>1997 Toll Free Order,</w:t>
      </w:r>
      <w:r w:rsidRPr="0070386C">
        <w:t xml:space="preserve"> 12 FCC Rcd </w:t>
      </w:r>
      <w:r>
        <w:t xml:space="preserve">at </w:t>
      </w:r>
      <w:r w:rsidRPr="00A25CC7">
        <w:t>11178-79, para. 22</w:t>
      </w:r>
      <w:r>
        <w:t xml:space="preserve">; </w:t>
      </w:r>
      <w:r w:rsidRPr="00A25CC7">
        <w:rPr>
          <w:i/>
        </w:rPr>
        <w:t>see also Jahn v. 1-800-Flowers.com, Inc</w:t>
      </w:r>
      <w:r w:rsidRPr="00A25CC7">
        <w:t xml:space="preserve">., 284 F.3d 807 (7th Cir. 2002), rehearing and rehearing en banc </w:t>
      </w:r>
      <w:r>
        <w:t xml:space="preserve">denied (Apr. 23, 2002); </w:t>
      </w:r>
      <w:r w:rsidRPr="00434BD2">
        <w:rPr>
          <w:i/>
        </w:rPr>
        <w:t>1998 Toll Free Order</w:t>
      </w:r>
      <w:r>
        <w:t>,</w:t>
      </w:r>
      <w:r w:rsidRPr="00A25CC7">
        <w:t xml:space="preserve"> 13 </w:t>
      </w:r>
      <w:r>
        <w:t>FCC Rcd at 9061, n.14</w:t>
      </w:r>
      <w:r w:rsidRPr="00A25CC7">
        <w:t xml:space="preserve">; </w:t>
      </w:r>
      <w:r w:rsidRPr="00A25CC7">
        <w:rPr>
          <w:i/>
        </w:rPr>
        <w:t>Administration of the North American Numbering Plan</w:t>
      </w:r>
      <w:r w:rsidRPr="00A25CC7">
        <w:t>, CC Docket No. 92-237, Report and Order, 11 FCC</w:t>
      </w:r>
      <w:r>
        <w:t xml:space="preserve"> Rcd 2588, 2591, para. 4 (1995) (</w:t>
      </w:r>
      <w:r w:rsidRPr="003A513D">
        <w:rPr>
          <w:i/>
        </w:rPr>
        <w:t>1995 NANP Order</w:t>
      </w:r>
      <w:r>
        <w:t xml:space="preserve">). The buying and selling of numbers is a violation of the Commission’s brokering rule.  </w:t>
      </w:r>
      <w:r w:rsidRPr="00042B29">
        <w:rPr>
          <w:i/>
        </w:rPr>
        <w:t>See</w:t>
      </w:r>
      <w:r>
        <w:t xml:space="preserve"> 47 CFR § 52.107(a).</w:t>
      </w:r>
    </w:p>
  </w:footnote>
  <w:footnote w:id="56">
    <w:p w:rsidR="0098585D" w:rsidRDefault="0098585D" w:rsidP="00444220">
      <w:pPr>
        <w:pStyle w:val="FootnoteText"/>
      </w:pPr>
      <w:r>
        <w:rPr>
          <w:rStyle w:val="FootnoteReference"/>
        </w:rPr>
        <w:footnoteRef/>
      </w:r>
      <w:r>
        <w:t xml:space="preserve"> </w:t>
      </w:r>
      <w:r>
        <w:rPr>
          <w:i/>
        </w:rPr>
        <w:t>E</w:t>
      </w:r>
      <w:r w:rsidRPr="00AE271C">
        <w:rPr>
          <w:i/>
        </w:rPr>
        <w:t>.g</w:t>
      </w:r>
      <w:r>
        <w:t xml:space="preserve">., Internet Search for Vanity Toll Free Numbers for Sale, Bing.com,  </w:t>
      </w:r>
      <w:hyperlink r:id="rId9" w:history="1">
        <w:r w:rsidRPr="00E11555">
          <w:rPr>
            <w:rStyle w:val="Hyperlink"/>
          </w:rPr>
          <w:t>http://www.bing.com/search?q=vanity+toll+free+numbers+for+sale&amp;src=IE-SearchBox&amp;FORM=IESR02</w:t>
        </w:r>
      </w:hyperlink>
      <w:r>
        <w:t xml:space="preserve"> (last visited Sept. 27, 2017); Ebay.com, </w:t>
      </w:r>
      <w:hyperlink r:id="rId10" w:history="1">
        <w:r w:rsidRPr="00A977F9">
          <w:rPr>
            <w:rStyle w:val="Hyperlink"/>
          </w:rPr>
          <w:t>https://www.ebay.com/sch/i.html?_nkw=toll+free+number</w:t>
        </w:r>
      </w:hyperlink>
      <w:r>
        <w:t xml:space="preserve"> (last visited Sept. 27, 2017) (eBay site search to buy toll free numbers).</w:t>
      </w:r>
    </w:p>
  </w:footnote>
  <w:footnote w:id="57">
    <w:p w:rsidR="0098585D" w:rsidRDefault="0098585D" w:rsidP="00444220">
      <w:pPr>
        <w:pStyle w:val="FootnoteText"/>
      </w:pPr>
      <w:r>
        <w:rPr>
          <w:rStyle w:val="FootnoteReference"/>
        </w:rPr>
        <w:footnoteRef/>
      </w:r>
      <w:r>
        <w:t xml:space="preserve"> </w:t>
      </w:r>
      <w:r w:rsidRPr="006C4049">
        <w:rPr>
          <w:i/>
        </w:rPr>
        <w:t>Mr. Richard Jackowitz IT Connect</w:t>
      </w:r>
      <w:r>
        <w:t>, Notice of Apparent Liability for Forfeiture, 27 FCC Rcd 7896, 7896, para. 1 (2012).</w:t>
      </w:r>
    </w:p>
  </w:footnote>
  <w:footnote w:id="58">
    <w:p w:rsidR="0098585D" w:rsidRPr="0046012C" w:rsidRDefault="0098585D" w:rsidP="00444220">
      <w:pPr>
        <w:pStyle w:val="FootnoteText"/>
      </w:pPr>
      <w:r>
        <w:rPr>
          <w:rStyle w:val="FootnoteReference"/>
        </w:rPr>
        <w:footnoteRef/>
      </w:r>
      <w:r>
        <w:t xml:space="preserve"> </w:t>
      </w:r>
      <w:r w:rsidRPr="002A32B1">
        <w:rPr>
          <w:i/>
        </w:rPr>
        <w:t>See supra</w:t>
      </w:r>
      <w:r>
        <w:t xml:space="preserve"> paras. 25-27 (Treatment of Auction Funds).</w:t>
      </w:r>
    </w:p>
  </w:footnote>
  <w:footnote w:id="59">
    <w:p w:rsidR="0098585D" w:rsidRDefault="0098585D" w:rsidP="00444220">
      <w:pPr>
        <w:pStyle w:val="FootnoteText"/>
      </w:pPr>
      <w:r>
        <w:rPr>
          <w:rStyle w:val="FootnoteReference"/>
        </w:rPr>
        <w:footnoteRef/>
      </w:r>
      <w:r>
        <w:t xml:space="preserve"> </w:t>
      </w:r>
      <w:r w:rsidRPr="00E63988">
        <w:rPr>
          <w:i/>
        </w:rPr>
        <w:t>See supra</w:t>
      </w:r>
      <w:r>
        <w:t>, para. 22 (seeking comment on proposal that the TFNA include subscriber information in the toll free database as a means of encouraging participation in toll free number auctions).</w:t>
      </w:r>
    </w:p>
  </w:footnote>
  <w:footnote w:id="60">
    <w:p w:rsidR="0098585D" w:rsidRDefault="0098585D" w:rsidP="00444220">
      <w:pPr>
        <w:pStyle w:val="FootnoteText"/>
      </w:pPr>
      <w:r>
        <w:rPr>
          <w:rStyle w:val="FootnoteReference"/>
        </w:rPr>
        <w:footnoteRef/>
      </w:r>
      <w:r>
        <w:t xml:space="preserve"> 47 CFR § 52.111.</w:t>
      </w:r>
    </w:p>
  </w:footnote>
  <w:footnote w:id="61">
    <w:p w:rsidR="0098585D" w:rsidRDefault="0098585D" w:rsidP="00444220">
      <w:pPr>
        <w:pStyle w:val="FootnoteText"/>
      </w:pPr>
      <w:r>
        <w:rPr>
          <w:rStyle w:val="FootnoteReference"/>
        </w:rPr>
        <w:footnoteRef/>
      </w:r>
      <w:r>
        <w:t xml:space="preserve"> 47 CFR</w:t>
      </w:r>
      <w:r w:rsidRPr="001F332F">
        <w:t xml:space="preserve"> § 52.107(a), (a)(2).</w:t>
      </w:r>
    </w:p>
  </w:footnote>
  <w:footnote w:id="62">
    <w:p w:rsidR="0098585D" w:rsidRDefault="0098585D" w:rsidP="00444220">
      <w:pPr>
        <w:pStyle w:val="FootnoteText"/>
      </w:pPr>
      <w:r>
        <w:rPr>
          <w:rStyle w:val="FootnoteReference"/>
        </w:rPr>
        <w:footnoteRef/>
      </w:r>
      <w:r>
        <w:t xml:space="preserve"> 47 CFR</w:t>
      </w:r>
      <w:r w:rsidRPr="001F332F">
        <w:t xml:space="preserve"> §§</w:t>
      </w:r>
      <w:r>
        <w:t xml:space="preserve"> 52.105, 52.107.</w:t>
      </w:r>
    </w:p>
  </w:footnote>
  <w:footnote w:id="63">
    <w:p w:rsidR="0098585D" w:rsidRDefault="0098585D" w:rsidP="00444220">
      <w:pPr>
        <w:pStyle w:val="FootnoteText"/>
      </w:pPr>
      <w:r>
        <w:rPr>
          <w:rStyle w:val="FootnoteReference"/>
        </w:rPr>
        <w:footnoteRef/>
      </w:r>
      <w:r>
        <w:t xml:space="preserve"> 47 CFR § 52.111 (“Toll free numbers shall be made available on a first-come, first-served basis unless otherwise directed by the Commission”).</w:t>
      </w:r>
    </w:p>
  </w:footnote>
  <w:footnote w:id="64">
    <w:p w:rsidR="0098585D" w:rsidRPr="001F332F" w:rsidRDefault="0098585D" w:rsidP="00444220">
      <w:pPr>
        <w:pStyle w:val="FootnoteText"/>
      </w:pPr>
      <w:r w:rsidRPr="001F332F">
        <w:rPr>
          <w:rStyle w:val="FootnoteReference"/>
        </w:rPr>
        <w:footnoteRef/>
      </w:r>
      <w:r>
        <w:t xml:space="preserve"> 47 CFR</w:t>
      </w:r>
      <w:r w:rsidRPr="001F332F">
        <w:t xml:space="preserve"> § 52.107(a), (a)(2).</w:t>
      </w:r>
    </w:p>
  </w:footnote>
  <w:footnote w:id="65">
    <w:p w:rsidR="0098585D" w:rsidRPr="001F332F" w:rsidRDefault="0098585D" w:rsidP="00444220">
      <w:pPr>
        <w:pStyle w:val="FootnoteText"/>
      </w:pPr>
      <w:r w:rsidRPr="001F332F">
        <w:rPr>
          <w:rStyle w:val="FootnoteReference"/>
        </w:rPr>
        <w:footnoteRef/>
      </w:r>
      <w:r w:rsidRPr="001F332F">
        <w:t xml:space="preserve"> </w:t>
      </w:r>
      <w:r w:rsidRPr="00C540FD">
        <w:rPr>
          <w:i/>
        </w:rPr>
        <w:t>See 1997 Toll Free Order</w:t>
      </w:r>
      <w:r>
        <w:t>, 12 FCC Rcd at 11189-90, paras. 38-40.</w:t>
      </w:r>
    </w:p>
  </w:footnote>
  <w:footnote w:id="66">
    <w:p w:rsidR="0098585D" w:rsidRPr="00092846" w:rsidRDefault="0098585D" w:rsidP="00444220">
      <w:pPr>
        <w:pStyle w:val="FootnoteText"/>
      </w:pPr>
      <w:r w:rsidRPr="00092846">
        <w:rPr>
          <w:rStyle w:val="FootnoteReference"/>
        </w:rPr>
        <w:footnoteRef/>
      </w:r>
      <w:r w:rsidRPr="00092846">
        <w:t xml:space="preserve"> </w:t>
      </w:r>
      <w:r w:rsidRPr="00C540FD">
        <w:rPr>
          <w:i/>
        </w:rPr>
        <w:t xml:space="preserve">See </w:t>
      </w:r>
      <w:r>
        <w:rPr>
          <w:i/>
        </w:rPr>
        <w:t>id.</w:t>
      </w:r>
      <w:r>
        <w:t xml:space="preserve"> at 11189, para. 38; </w:t>
      </w:r>
      <w:r w:rsidRPr="00841FED">
        <w:rPr>
          <w:i/>
        </w:rPr>
        <w:t>see also</w:t>
      </w:r>
      <w:r>
        <w:t xml:space="preserve"> 47 CFR</w:t>
      </w:r>
      <w:r w:rsidRPr="00092846">
        <w:t xml:space="preserve"> §§</w:t>
      </w:r>
      <w:r>
        <w:t xml:space="preserve"> 52.105, 52.107</w:t>
      </w:r>
      <w:r w:rsidRPr="00092846">
        <w:t>.</w:t>
      </w:r>
    </w:p>
  </w:footnote>
  <w:footnote w:id="67">
    <w:p w:rsidR="0098585D" w:rsidRDefault="0098585D" w:rsidP="00444220">
      <w:pPr>
        <w:pStyle w:val="FootnoteText"/>
      </w:pPr>
      <w:r>
        <w:rPr>
          <w:rStyle w:val="FootnoteReference"/>
        </w:rPr>
        <w:footnoteRef/>
      </w:r>
      <w:r>
        <w:t xml:space="preserve"> </w:t>
      </w:r>
      <w:r w:rsidRPr="00C72291">
        <w:rPr>
          <w:i/>
        </w:rPr>
        <w:t>See supra</w:t>
      </w:r>
      <w:r>
        <w:t xml:space="preserve"> paras. 22, 33.</w:t>
      </w:r>
    </w:p>
  </w:footnote>
  <w:footnote w:id="68">
    <w:p w:rsidR="0098585D" w:rsidRDefault="0098585D" w:rsidP="00444220">
      <w:pPr>
        <w:pStyle w:val="FootnoteText"/>
      </w:pPr>
      <w:r>
        <w:rPr>
          <w:rStyle w:val="FootnoteReference"/>
        </w:rPr>
        <w:footnoteRef/>
      </w:r>
      <w:r>
        <w:t xml:space="preserve"> </w:t>
      </w:r>
      <w:r w:rsidRPr="00092846">
        <w:rPr>
          <w:i/>
        </w:rPr>
        <w:t>See</w:t>
      </w:r>
      <w:r>
        <w:t xml:space="preserve"> 47 CFR § 52.103</w:t>
      </w:r>
      <w:r w:rsidRPr="00092846">
        <w:t>.</w:t>
      </w:r>
      <w:r>
        <w:t xml:space="preserve"> </w:t>
      </w:r>
    </w:p>
  </w:footnote>
  <w:footnote w:id="69">
    <w:p w:rsidR="0098585D" w:rsidRDefault="0098585D" w:rsidP="00444220">
      <w:pPr>
        <w:pStyle w:val="FootnoteText"/>
      </w:pPr>
      <w:r>
        <w:rPr>
          <w:rStyle w:val="FootnoteReference"/>
        </w:rPr>
        <w:footnoteRef/>
      </w:r>
      <w:r>
        <w:t xml:space="preserve"> We refer to all such entities as “non-profit health, safety, education, and other non-profit public interest organizations,” regardless of whether they are government or non-profit.</w:t>
      </w:r>
    </w:p>
  </w:footnote>
  <w:footnote w:id="70">
    <w:p w:rsidR="0098585D" w:rsidRDefault="0098585D" w:rsidP="00444220">
      <w:pPr>
        <w:pStyle w:val="FootnoteText"/>
      </w:pPr>
      <w:r>
        <w:rPr>
          <w:rStyle w:val="FootnoteReference"/>
        </w:rPr>
        <w:footnoteRef/>
      </w:r>
      <w:r>
        <w:t xml:space="preserve"> </w:t>
      </w:r>
      <w:r>
        <w:rPr>
          <w:i/>
        </w:rPr>
        <w:t>See, e.g</w:t>
      </w:r>
      <w:r>
        <w:t xml:space="preserve">., </w:t>
      </w:r>
      <w:r>
        <w:rPr>
          <w:i/>
        </w:rPr>
        <w:t>U.S. Department of Health and Human Services Substance Abuse and Mental Health Services Administration Petition for Permanent Reassignment of Three Toll Free Suicide Prevention Hotline Numbers</w:t>
      </w:r>
      <w:r>
        <w:t>, Order, 27 FCC Rcd 2965, 2968, para. 7 (WCB 2012).</w:t>
      </w:r>
    </w:p>
  </w:footnote>
  <w:footnote w:id="71">
    <w:p w:rsidR="0098585D" w:rsidRDefault="0098585D" w:rsidP="00444220">
      <w:pPr>
        <w:pStyle w:val="FootnoteText"/>
      </w:pPr>
      <w:r>
        <w:rPr>
          <w:rStyle w:val="FootnoteReference"/>
        </w:rPr>
        <w:footnoteRef/>
      </w:r>
      <w:r>
        <w:t xml:space="preserve"> </w:t>
      </w:r>
      <w:r w:rsidRPr="00AC58FB">
        <w:rPr>
          <w:i/>
        </w:rPr>
        <w:t>See</w:t>
      </w:r>
      <w:r>
        <w:t xml:space="preserve">, </w:t>
      </w:r>
      <w:r w:rsidRPr="00AC58FB">
        <w:rPr>
          <w:i/>
        </w:rPr>
        <w:t>e.g.</w:t>
      </w:r>
      <w:r>
        <w:t xml:space="preserve">, the definition of “public safety services” in section 337(f) of the Act and the eligibility criteria for public safety licensees in section 90.20(a) of the Commission’s rules.  47 U.S.C. § 337(f); 47 CFR § 90.20(a).  </w:t>
      </w:r>
    </w:p>
  </w:footnote>
  <w:footnote w:id="72">
    <w:p w:rsidR="0098585D" w:rsidRDefault="0098585D" w:rsidP="00444220">
      <w:pPr>
        <w:pStyle w:val="FootnoteText"/>
      </w:pPr>
      <w:r>
        <w:rPr>
          <w:rStyle w:val="FootnoteReference"/>
        </w:rPr>
        <w:footnoteRef/>
      </w:r>
      <w:r>
        <w:t xml:space="preserve"> </w:t>
      </w:r>
      <w:r>
        <w:rPr>
          <w:i/>
        </w:rPr>
        <w:t xml:space="preserve">See </w:t>
      </w:r>
      <w:r w:rsidRPr="000D4155">
        <w:rPr>
          <w:i/>
        </w:rPr>
        <w:t>Toll Free Service Access Codes</w:t>
      </w:r>
      <w:r>
        <w:t>, Order,</w:t>
      </w:r>
      <w:r w:rsidRPr="00B91EAE">
        <w:rPr>
          <w:i/>
        </w:rPr>
        <w:t xml:space="preserve"> </w:t>
      </w:r>
      <w:r>
        <w:t xml:space="preserve">20 FCC Rcd 15089, </w:t>
      </w:r>
      <w:r w:rsidRPr="000D4155">
        <w:t>15090, para. 3</w:t>
      </w:r>
      <w:r>
        <w:t xml:space="preserve"> (2005).</w:t>
      </w:r>
    </w:p>
  </w:footnote>
  <w:footnote w:id="73">
    <w:p w:rsidR="0098585D" w:rsidRDefault="0098585D" w:rsidP="00444220">
      <w:pPr>
        <w:pStyle w:val="FootnoteText"/>
      </w:pPr>
      <w:r>
        <w:rPr>
          <w:rStyle w:val="FootnoteReference"/>
        </w:rPr>
        <w:footnoteRef/>
      </w:r>
      <w:r>
        <w:t xml:space="preserve"> </w:t>
      </w:r>
      <w:r w:rsidRPr="00940705">
        <w:rPr>
          <w:i/>
        </w:rPr>
        <w:t>Toll Free Governance Order</w:t>
      </w:r>
      <w:r>
        <w:t xml:space="preserve">, 28 FCC Rcd at 15331, para. 8 (citing </w:t>
      </w:r>
      <w:r w:rsidRPr="00CD61A5">
        <w:rPr>
          <w:i/>
        </w:rPr>
        <w:t>Toll Free Service Access Codes</w:t>
      </w:r>
      <w:r>
        <w:t>, Second Report and Order and Further Notice of Proposed Rulemaking, 12 FCC Rcd 11162, 11162 (1997)).</w:t>
      </w:r>
    </w:p>
  </w:footnote>
  <w:footnote w:id="74">
    <w:p w:rsidR="0098585D" w:rsidRDefault="0098585D" w:rsidP="00444220">
      <w:pPr>
        <w:pStyle w:val="FootnoteText"/>
      </w:pPr>
      <w:r>
        <w:rPr>
          <w:rStyle w:val="FootnoteReference"/>
        </w:rPr>
        <w:footnoteRef/>
      </w:r>
      <w:r>
        <w:t xml:space="preserve"> </w:t>
      </w:r>
      <w:r w:rsidRPr="002B277B">
        <w:t>As described in the SMS Tariff, the SMS is “an operations and administrative support system used for the creation and maintenance of call processing records for toll</w:t>
      </w:r>
      <w:r>
        <w:t xml:space="preserve"> </w:t>
      </w:r>
      <w:r w:rsidRPr="002B277B">
        <w:t>free telephone numbers”</w:t>
      </w:r>
      <w:r w:rsidRPr="00E42D0E">
        <w:t xml:space="preserve"> as well as “the source of toll </w:t>
      </w:r>
      <w:r w:rsidRPr="002B277B">
        <w:t>free number availability and reservation status information.”</w:t>
      </w:r>
      <w:r>
        <w:t xml:space="preserve"> </w:t>
      </w:r>
      <w:r w:rsidRPr="00EB23D7">
        <w:rPr>
          <w:i/>
        </w:rPr>
        <w:t>See</w:t>
      </w:r>
      <w:r>
        <w:t xml:space="preserve"> SMS Tariff § 2</w:t>
      </w:r>
      <w:r w:rsidRPr="00E42D0E">
        <w:t>.1</w:t>
      </w:r>
      <w:r>
        <w:t>.</w:t>
      </w:r>
    </w:p>
  </w:footnote>
  <w:footnote w:id="75">
    <w:p w:rsidR="0098585D" w:rsidRDefault="0098585D" w:rsidP="00444220">
      <w:pPr>
        <w:pStyle w:val="FootnoteText"/>
      </w:pPr>
      <w:r>
        <w:rPr>
          <w:rStyle w:val="FootnoteReference"/>
        </w:rPr>
        <w:footnoteRef/>
      </w:r>
      <w:r>
        <w:t xml:space="preserve"> </w:t>
      </w:r>
      <w:r w:rsidRPr="0024774E">
        <w:rPr>
          <w:i/>
        </w:rPr>
        <w:t>See</w:t>
      </w:r>
      <w:r w:rsidRPr="00E42D0E">
        <w:t xml:space="preserve"> SMS Tariff § 1.1.</w:t>
      </w:r>
      <w:r>
        <w:t xml:space="preserve"> </w:t>
      </w:r>
    </w:p>
  </w:footnote>
  <w:footnote w:id="76">
    <w:p w:rsidR="0098585D" w:rsidRDefault="0098585D" w:rsidP="00444220">
      <w:pPr>
        <w:pStyle w:val="FootnoteText"/>
      </w:pPr>
      <w:r>
        <w:rPr>
          <w:rStyle w:val="FootnoteReference"/>
        </w:rPr>
        <w:footnoteRef/>
      </w:r>
      <w:r>
        <w:t xml:space="preserve"> </w:t>
      </w:r>
      <w:r w:rsidRPr="00CD61A5">
        <w:rPr>
          <w:i/>
        </w:rPr>
        <w:t xml:space="preserve">Toll </w:t>
      </w:r>
      <w:r>
        <w:rPr>
          <w:i/>
        </w:rPr>
        <w:t xml:space="preserve">Free Governance Order, </w:t>
      </w:r>
      <w:r>
        <w:t>28 FCC Rcd at 15342, para. 38.</w:t>
      </w:r>
    </w:p>
  </w:footnote>
  <w:footnote w:id="77">
    <w:p w:rsidR="0098585D" w:rsidRDefault="0098585D" w:rsidP="00444220">
      <w:pPr>
        <w:pStyle w:val="FootnoteText"/>
      </w:pPr>
      <w:r w:rsidRPr="002B277B">
        <w:rPr>
          <w:rStyle w:val="FootnoteReference"/>
          <w:i/>
        </w:rPr>
        <w:footnoteRef/>
      </w:r>
      <w:r w:rsidRPr="002B277B">
        <w:rPr>
          <w:i/>
        </w:rPr>
        <w:t xml:space="preserve"> </w:t>
      </w:r>
      <w:r w:rsidRPr="001459D4">
        <w:rPr>
          <w:i/>
        </w:rPr>
        <w:t>See</w:t>
      </w:r>
      <w:r>
        <w:rPr>
          <w:i/>
        </w:rPr>
        <w:t xml:space="preserve"> </w:t>
      </w:r>
      <w:r w:rsidRPr="00CE7DA5">
        <w:rPr>
          <w:i/>
        </w:rPr>
        <w:t>generally</w:t>
      </w:r>
      <w:r>
        <w:t xml:space="preserve"> Somos Tariff.</w:t>
      </w:r>
    </w:p>
  </w:footnote>
  <w:footnote w:id="78">
    <w:p w:rsidR="0098585D" w:rsidRDefault="0098585D" w:rsidP="00444220">
      <w:pPr>
        <w:pStyle w:val="FootnoteText"/>
      </w:pPr>
      <w:r>
        <w:rPr>
          <w:rStyle w:val="FootnoteReference"/>
        </w:rPr>
        <w:footnoteRef/>
      </w:r>
      <w:r>
        <w:t xml:space="preserve"> </w:t>
      </w:r>
      <w:r w:rsidRPr="00811C60">
        <w:rPr>
          <w:i/>
        </w:rPr>
        <w:t>Provision of Access for 800 Service</w:t>
      </w:r>
      <w:r>
        <w:t>, Order, CC Docket No. 86-10, 8 FCC Rcd 1423, 1423, para. 1 (1993) (</w:t>
      </w:r>
      <w:r w:rsidRPr="00C60E59">
        <w:rPr>
          <w:i/>
        </w:rPr>
        <w:t>CompTel Declaratory Ruling</w:t>
      </w:r>
      <w:r>
        <w:t xml:space="preserve">); </w:t>
      </w:r>
      <w:r w:rsidRPr="00FA7F64">
        <w:rPr>
          <w:i/>
        </w:rPr>
        <w:t>see also id</w:t>
      </w:r>
      <w:r>
        <w:t xml:space="preserve">. at 1426, para. 27 (finding that “SMS access is </w:t>
      </w:r>
      <w:r w:rsidRPr="0043422A">
        <w:rPr>
          <w:i/>
        </w:rPr>
        <w:t>incidental</w:t>
      </w:r>
      <w:r>
        <w:t xml:space="preserve"> to the provision of 800 access services.” </w:t>
      </w:r>
      <w:r w:rsidRPr="008D3018">
        <w:rPr>
          <w:i/>
        </w:rPr>
        <w:t>Id</w:t>
      </w:r>
      <w:r>
        <w:t>. (emphasis added)).</w:t>
      </w:r>
    </w:p>
  </w:footnote>
  <w:footnote w:id="79">
    <w:p w:rsidR="0098585D" w:rsidRPr="007A24BD" w:rsidRDefault="0098585D" w:rsidP="00444220">
      <w:pPr>
        <w:pStyle w:val="FootnoteText"/>
        <w:rPr>
          <w:i/>
        </w:rPr>
      </w:pPr>
      <w:r>
        <w:rPr>
          <w:rStyle w:val="FootnoteReference"/>
        </w:rPr>
        <w:footnoteRef/>
      </w:r>
      <w:r>
        <w:t xml:space="preserve"> </w:t>
      </w:r>
      <w:r w:rsidRPr="00EB23D7">
        <w:rPr>
          <w:i/>
        </w:rPr>
        <w:t>See</w:t>
      </w:r>
      <w:r>
        <w:t xml:space="preserve"> 47 U.S.C. </w:t>
      </w:r>
      <w:r w:rsidRPr="00A857F5">
        <w:t>§</w:t>
      </w:r>
      <w:r>
        <w:t xml:space="preserve"> 251(c); </w:t>
      </w:r>
      <w:r w:rsidRPr="00A857F5">
        <w:rPr>
          <w:i/>
        </w:rPr>
        <w:t>see also</w:t>
      </w:r>
      <w:r>
        <w:t xml:space="preserve"> 47 CFR </w:t>
      </w:r>
      <w:r w:rsidRPr="00A857F5">
        <w:t>§</w:t>
      </w:r>
      <w:r>
        <w:t xml:space="preserve">52.12; </w:t>
      </w:r>
      <w:r w:rsidRPr="00DD6461">
        <w:rPr>
          <w:i/>
        </w:rPr>
        <w:t>see also Toll Free Governance Order</w:t>
      </w:r>
      <w:r w:rsidRPr="007A24BD">
        <w:t xml:space="preserve">, 28 FCC Rcd </w:t>
      </w:r>
      <w:r>
        <w:t>at</w:t>
      </w:r>
      <w:r w:rsidRPr="007A24BD">
        <w:t xml:space="preserve"> 15329, para. 2 (2013).</w:t>
      </w:r>
    </w:p>
  </w:footnote>
  <w:footnote w:id="80">
    <w:p w:rsidR="0098585D" w:rsidRDefault="0098585D" w:rsidP="00444220">
      <w:pPr>
        <w:pStyle w:val="FootnoteText"/>
      </w:pPr>
      <w:r>
        <w:rPr>
          <w:rStyle w:val="FootnoteReference"/>
        </w:rPr>
        <w:footnoteRef/>
      </w:r>
      <w:r>
        <w:t xml:space="preserve"> </w:t>
      </w:r>
      <w:r w:rsidRPr="00FA6E05">
        <w:rPr>
          <w:i/>
        </w:rPr>
        <w:t>See generally</w:t>
      </w:r>
      <w:r>
        <w:t xml:space="preserve"> Somos Tariff; </w:t>
      </w:r>
      <w:r w:rsidRPr="0059412D">
        <w:rPr>
          <w:i/>
        </w:rPr>
        <w:t>see also</w:t>
      </w:r>
      <w:r>
        <w:t xml:space="preserve"> Letter from Aaron M. Panner, Counsel for Somos, Inc., to Marlene H. Dortch, WC Docket No. 17-192, CC Docket No. 95-155 at 2 (filed Sept. 19, 2017) (Somos Sept. 19, 2017 </w:t>
      </w:r>
      <w:r w:rsidRPr="00350890">
        <w:rPr>
          <w:i/>
        </w:rPr>
        <w:t>Ex Parte</w:t>
      </w:r>
      <w:r>
        <w:t xml:space="preserve"> Letter) (stating that, “</w:t>
      </w:r>
      <w:r w:rsidRPr="0059412D">
        <w:t>financial information is submitted to the Commission each year to support proposed tariff filings. Although much of that information is part of the public tariff filing, some of it is provided to the Commission under confidential cover</w:t>
      </w:r>
      <w:r>
        <w:t>.”).</w:t>
      </w:r>
    </w:p>
  </w:footnote>
  <w:footnote w:id="81">
    <w:p w:rsidR="0098585D" w:rsidRDefault="0098585D" w:rsidP="00444220">
      <w:pPr>
        <w:pStyle w:val="FootnoteText"/>
      </w:pPr>
      <w:r>
        <w:rPr>
          <w:rStyle w:val="FootnoteReference"/>
        </w:rPr>
        <w:footnoteRef/>
      </w:r>
      <w:r>
        <w:t xml:space="preserve"> We recognize that Somos’s Tariff is limited to the provision of SMS/800 functions and support services.  </w:t>
      </w:r>
      <w:r w:rsidRPr="00092CA1">
        <w:rPr>
          <w:i/>
        </w:rPr>
        <w:t>See</w:t>
      </w:r>
      <w:r>
        <w:t xml:space="preserve"> Somos Tariff at 1; </w:t>
      </w:r>
      <w:r w:rsidRPr="007A690C">
        <w:rPr>
          <w:i/>
        </w:rPr>
        <w:t>see also</w:t>
      </w:r>
      <w:r>
        <w:t xml:space="preserve"> Somos Sept. 19, 2017 </w:t>
      </w:r>
      <w:r w:rsidRPr="00716882">
        <w:rPr>
          <w:i/>
        </w:rPr>
        <w:t>Ex Parte</w:t>
      </w:r>
      <w:r>
        <w:t xml:space="preserve"> Letter at 2.</w:t>
      </w:r>
    </w:p>
  </w:footnote>
  <w:footnote w:id="82">
    <w:p w:rsidR="0098585D" w:rsidRDefault="0098585D" w:rsidP="00444220">
      <w:pPr>
        <w:pStyle w:val="FootnoteText"/>
      </w:pPr>
      <w:r>
        <w:rPr>
          <w:rStyle w:val="FootnoteReference"/>
        </w:rPr>
        <w:footnoteRef/>
      </w:r>
      <w:r>
        <w:t xml:space="preserve"> </w:t>
      </w:r>
      <w:r>
        <w:rPr>
          <w:i/>
        </w:rPr>
        <w:t>Toll Free Governance Order</w:t>
      </w:r>
      <w:r>
        <w:t>, 28 FCC Rcd at 15329, para. 1.</w:t>
      </w:r>
    </w:p>
  </w:footnote>
  <w:footnote w:id="83">
    <w:p w:rsidR="0098585D" w:rsidRDefault="0098585D" w:rsidP="00444220">
      <w:pPr>
        <w:pStyle w:val="FootnoteText"/>
      </w:pPr>
      <w:r>
        <w:rPr>
          <w:rStyle w:val="FootnoteReference"/>
        </w:rPr>
        <w:footnoteRef/>
      </w:r>
      <w:r>
        <w:t xml:space="preserve"> </w:t>
      </w:r>
      <w:r w:rsidRPr="00017BAA">
        <w:rPr>
          <w:i/>
        </w:rPr>
        <w:t>See</w:t>
      </w:r>
      <w:r>
        <w:t xml:space="preserve">, </w:t>
      </w:r>
      <w:r w:rsidRPr="00017BAA">
        <w:rPr>
          <w:i/>
        </w:rPr>
        <w:t>e.g.</w:t>
      </w:r>
      <w:r>
        <w:t xml:space="preserve">, </w:t>
      </w:r>
      <w:r w:rsidRPr="00804026">
        <w:rPr>
          <w:i/>
        </w:rPr>
        <w:t>Toll Free Se</w:t>
      </w:r>
      <w:r>
        <w:rPr>
          <w:i/>
        </w:rPr>
        <w:t>rvice Access Codes, Petitions to Modify 888 Number Allocation Plan Filed by LCI International, Inc., UniDial, Inc., and Consolidated Communication Telecom Services Inc.</w:t>
      </w:r>
      <w:r w:rsidRPr="00804026">
        <w:t xml:space="preserve">, </w:t>
      </w:r>
      <w:r>
        <w:t xml:space="preserve">Second Report and Order and Further Notice of Proposed Rulemaking, CC Docket No. 95-155, </w:t>
      </w:r>
      <w:r w:rsidRPr="00804026">
        <w:t>12 FCC Rcd 11162, 11164</w:t>
      </w:r>
      <w:r>
        <w:t>, 11176,</w:t>
      </w:r>
      <w:r w:rsidRPr="00804026">
        <w:t xml:space="preserve"> para</w:t>
      </w:r>
      <w:r>
        <w:t>s</w:t>
      </w:r>
      <w:r w:rsidRPr="00804026">
        <w:t>. 2</w:t>
      </w:r>
      <w:r>
        <w:t>, 18</w:t>
      </w:r>
      <w:r w:rsidRPr="00804026">
        <w:t xml:space="preserve"> (1997)</w:t>
      </w:r>
      <w:r>
        <w:t xml:space="preserve"> (</w:t>
      </w:r>
      <w:r w:rsidRPr="00401815">
        <w:rPr>
          <w:i/>
        </w:rPr>
        <w:t>Toll Free Second Report and Order</w:t>
      </w:r>
      <w:r>
        <w:t xml:space="preserve">); </w:t>
      </w:r>
      <w:r w:rsidRPr="00824A9C">
        <w:rPr>
          <w:i/>
        </w:rPr>
        <w:t>see also</w:t>
      </w:r>
      <w:r>
        <w:t xml:space="preserve"> </w:t>
      </w:r>
      <w:r w:rsidRPr="00804026">
        <w:t>47 U.S.C. §</w:t>
      </w:r>
      <w:r>
        <w:t xml:space="preserve"> </w:t>
      </w:r>
      <w:r w:rsidRPr="00804026">
        <w:t>251(e)(1)</w:t>
      </w:r>
      <w:r>
        <w:t xml:space="preserve">.  </w:t>
      </w:r>
    </w:p>
  </w:footnote>
  <w:footnote w:id="84">
    <w:p w:rsidR="0098585D" w:rsidRPr="00205DD4" w:rsidRDefault="0098585D" w:rsidP="00444220">
      <w:pPr>
        <w:pStyle w:val="FootnoteText"/>
      </w:pPr>
      <w:r w:rsidRPr="00205DD4">
        <w:rPr>
          <w:rStyle w:val="FootnoteReference"/>
        </w:rPr>
        <w:footnoteRef/>
      </w:r>
      <w:r w:rsidRPr="00205DD4">
        <w:t xml:space="preserve"> 47 U.S.C. § 251(e)(1).  </w:t>
      </w:r>
    </w:p>
  </w:footnote>
  <w:footnote w:id="85">
    <w:p w:rsidR="0098585D" w:rsidRDefault="0098585D" w:rsidP="00444220">
      <w:pPr>
        <w:pStyle w:val="FootnoteText"/>
      </w:pPr>
      <w:r>
        <w:rPr>
          <w:rStyle w:val="FootnoteReference"/>
        </w:rPr>
        <w:footnoteRef/>
      </w:r>
      <w:r>
        <w:t xml:space="preserve"> </w:t>
      </w:r>
      <w:r w:rsidRPr="00205DD4">
        <w:rPr>
          <w:i/>
        </w:rPr>
        <w:t>Implementation of the Local Competition Provisions of the Telecommunications Act of 1996, Interconnection Between Local Exchange Carriers and Commercial Mobile Radio Service Providers, Area Code Relief Plan for Dallas and Houston, Ordered by the Public Utility Commission of Texas, Administration of the North American Numbering Plan, Proposed 708 Relief Plan and 630 Numbering Plan Area Code by Ameritech-Illinois</w:t>
      </w:r>
      <w:r w:rsidRPr="00205DD4">
        <w:t>, Second Report and Order and Memorandum Opinion and Order, 11 FCC Rcd 19392, 19512, para. 271 (1996)</w:t>
      </w:r>
      <w:r>
        <w:t xml:space="preserve"> (</w:t>
      </w:r>
      <w:r w:rsidRPr="00DC12CB">
        <w:rPr>
          <w:i/>
        </w:rPr>
        <w:t xml:space="preserve">Local Competition Second Report and </w:t>
      </w:r>
      <w:r w:rsidRPr="00E500C0">
        <w:rPr>
          <w:i/>
        </w:rPr>
        <w:t>Order</w:t>
      </w:r>
      <w:r>
        <w:t>).</w:t>
      </w:r>
    </w:p>
  </w:footnote>
  <w:footnote w:id="86">
    <w:p w:rsidR="0098585D" w:rsidRDefault="0098585D" w:rsidP="00444220">
      <w:pPr>
        <w:pStyle w:val="FootnoteText"/>
      </w:pPr>
      <w:r>
        <w:rPr>
          <w:rStyle w:val="FootnoteReference"/>
        </w:rPr>
        <w:footnoteRef/>
      </w:r>
      <w:r>
        <w:t xml:space="preserve"> </w:t>
      </w:r>
      <w:r w:rsidRPr="00401815">
        <w:rPr>
          <w:i/>
        </w:rPr>
        <w:t>Toll Free Second Report and Order</w:t>
      </w:r>
      <w:r w:rsidRPr="00BE6B6D">
        <w:t xml:space="preserve">, 12 FCC Rcd </w:t>
      </w:r>
      <w:r>
        <w:t>at</w:t>
      </w:r>
      <w:r w:rsidRPr="00BE6B6D">
        <w:t xml:space="preserve"> 11178-79, para. 22</w:t>
      </w:r>
      <w:r>
        <w:t xml:space="preserve">; </w:t>
      </w:r>
      <w:r w:rsidRPr="006929D1">
        <w:rPr>
          <w:i/>
        </w:rPr>
        <w:t>see also</w:t>
      </w:r>
      <w:r>
        <w:t xml:space="preserve"> 47 U.S.C. §§ 201(b), 251(e)(1).</w:t>
      </w:r>
    </w:p>
  </w:footnote>
  <w:footnote w:id="87">
    <w:p w:rsidR="0098585D" w:rsidRPr="00205DD4" w:rsidRDefault="0098585D" w:rsidP="00444220">
      <w:pPr>
        <w:pStyle w:val="FootnoteText"/>
      </w:pPr>
      <w:r w:rsidRPr="00205DD4">
        <w:rPr>
          <w:rStyle w:val="FootnoteReference"/>
        </w:rPr>
        <w:footnoteRef/>
      </w:r>
      <w:r w:rsidRPr="00205DD4">
        <w:t xml:space="preserve"> </w:t>
      </w:r>
      <w:r w:rsidRPr="007C3991">
        <w:rPr>
          <w:i/>
        </w:rPr>
        <w:t>Local Competition Second Report and Order</w:t>
      </w:r>
      <w:r w:rsidRPr="00205DD4">
        <w:t>, 11 FCC Rcd</w:t>
      </w:r>
      <w:r>
        <w:t xml:space="preserve"> at</w:t>
      </w:r>
      <w:r w:rsidRPr="00205DD4">
        <w:t xml:space="preserve"> 19512, para. 271</w:t>
      </w:r>
      <w:r>
        <w:t>.</w:t>
      </w:r>
    </w:p>
  </w:footnote>
  <w:footnote w:id="88">
    <w:p w:rsidR="0098585D" w:rsidRDefault="0098585D" w:rsidP="00444220">
      <w:pPr>
        <w:pStyle w:val="FootnoteText"/>
      </w:pPr>
      <w:r>
        <w:rPr>
          <w:rStyle w:val="FootnoteReference"/>
        </w:rPr>
        <w:footnoteRef/>
      </w:r>
      <w:r>
        <w:t xml:space="preserve"> 47 U.S.C. §§ 151, 154(i). </w:t>
      </w:r>
    </w:p>
  </w:footnote>
  <w:footnote w:id="89">
    <w:p w:rsidR="0098585D" w:rsidRDefault="0098585D" w:rsidP="00444220">
      <w:pPr>
        <w:pStyle w:val="FootnoteText"/>
      </w:pPr>
      <w:r>
        <w:rPr>
          <w:rStyle w:val="FootnoteReference"/>
        </w:rPr>
        <w:footnoteRef/>
      </w:r>
      <w:r>
        <w:t xml:space="preserve"> </w:t>
      </w:r>
      <w:r w:rsidRPr="00990289">
        <w:rPr>
          <w:i/>
        </w:rPr>
        <w:t xml:space="preserve">See e.g., Toll Free Second Report </w:t>
      </w:r>
      <w:r w:rsidRPr="000F4479">
        <w:rPr>
          <w:i/>
        </w:rPr>
        <w:t>and Order</w:t>
      </w:r>
      <w:r w:rsidRPr="000F4479">
        <w:t>, 12 FCC Rcd at 11176, para. 18 (</w:t>
      </w:r>
      <w:r w:rsidRPr="000F1CFD">
        <w:t>“</w:t>
      </w:r>
      <w:r w:rsidRPr="000F4479">
        <w:rPr>
          <w:color w:val="212121"/>
        </w:rPr>
        <w:t>We conclude that § 1 and Title II of the Communications Act require the Commission to ensure the efficient, fair, and orderly allocation of toll free numbers</w:t>
      </w:r>
      <w:r w:rsidRPr="00990289">
        <w:t>.</w:t>
      </w:r>
      <w:r w:rsidRPr="000F4479">
        <w:t>”)</w:t>
      </w:r>
      <w:r>
        <w:t xml:space="preserve">, </w:t>
      </w:r>
      <w:r w:rsidRPr="006B5ED2">
        <w:t>11226, para. 109 (citing 154(i)).</w:t>
      </w:r>
    </w:p>
  </w:footnote>
  <w:footnote w:id="90">
    <w:p w:rsidR="0098585D" w:rsidRDefault="0098585D" w:rsidP="00444220">
      <w:pPr>
        <w:pStyle w:val="FootnoteText"/>
      </w:pPr>
      <w:r>
        <w:rPr>
          <w:rStyle w:val="FootnoteReference"/>
        </w:rPr>
        <w:footnoteRef/>
      </w:r>
      <w:r>
        <w:t xml:space="preserve"> </w:t>
      </w:r>
      <w:r>
        <w:rPr>
          <w:i/>
        </w:rPr>
        <w:t>See</w:t>
      </w:r>
      <w:r w:rsidRPr="00321A86">
        <w:t xml:space="preserve"> </w:t>
      </w:r>
      <w:r>
        <w:t>47 CFR §§ 52.101 – 111.</w:t>
      </w:r>
    </w:p>
  </w:footnote>
  <w:footnote w:id="91">
    <w:p w:rsidR="0098585D" w:rsidRDefault="0098585D" w:rsidP="00444220">
      <w:pPr>
        <w:pStyle w:val="FootnoteText"/>
      </w:pPr>
      <w:r>
        <w:rPr>
          <w:rStyle w:val="FootnoteReference"/>
        </w:rPr>
        <w:footnoteRef/>
      </w:r>
      <w:r>
        <w:t xml:space="preserve"> </w:t>
      </w:r>
      <w:r w:rsidRPr="00BF74A2">
        <w:rPr>
          <w:i/>
        </w:rPr>
        <w:t>1998 Toll Free Order</w:t>
      </w:r>
      <w:r>
        <w:t xml:space="preserve">, </w:t>
      </w:r>
      <w:r w:rsidRPr="004A0D76">
        <w:t>13 FCC Rcd</w:t>
      </w:r>
      <w:r>
        <w:t xml:space="preserve"> at 9066,</w:t>
      </w:r>
      <w:r w:rsidRPr="004A0D76">
        <w:t xml:space="preserve"> para. 16</w:t>
      </w:r>
      <w:r>
        <w:t xml:space="preserve"> (stating that auctions “offer all participants an equal opportunity to obtain a particular vanity number”).</w:t>
      </w:r>
    </w:p>
  </w:footnote>
  <w:footnote w:id="92">
    <w:p w:rsidR="0098585D" w:rsidRPr="004A0D76" w:rsidRDefault="0098585D" w:rsidP="00444220">
      <w:pPr>
        <w:pStyle w:val="FootnoteText"/>
      </w:pPr>
      <w:r w:rsidRPr="004A0D76">
        <w:rPr>
          <w:rStyle w:val="FootnoteReference"/>
        </w:rPr>
        <w:footnoteRef/>
      </w:r>
      <w:r w:rsidRPr="004A0D76">
        <w:t xml:space="preserve"> </w:t>
      </w:r>
      <w:r w:rsidRPr="006E3156">
        <w:rPr>
          <w:i/>
        </w:rPr>
        <w:t>Id</w:t>
      </w:r>
      <w:r>
        <w:t>.</w:t>
      </w:r>
      <w:r w:rsidRPr="004A0D76">
        <w:t xml:space="preserve"> </w:t>
      </w:r>
      <w:r>
        <w:t xml:space="preserve"> </w:t>
      </w:r>
    </w:p>
  </w:footnote>
  <w:footnote w:id="93">
    <w:p w:rsidR="0098585D" w:rsidRDefault="0098585D" w:rsidP="00444220">
      <w:pPr>
        <w:pStyle w:val="FootnoteText"/>
      </w:pPr>
      <w:r>
        <w:rPr>
          <w:rStyle w:val="FootnoteReference"/>
        </w:rPr>
        <w:footnoteRef/>
      </w:r>
      <w:r>
        <w:t xml:space="preserve"> </w:t>
      </w:r>
      <w:r w:rsidRPr="00421BF2">
        <w:rPr>
          <w:i/>
        </w:rPr>
        <w:t>See</w:t>
      </w:r>
      <w:r>
        <w:t xml:space="preserve"> 47 U.S.C. § 251(e)(1).</w:t>
      </w:r>
    </w:p>
  </w:footnote>
  <w:footnote w:id="94">
    <w:p w:rsidR="0098585D" w:rsidRDefault="0098585D" w:rsidP="00444220">
      <w:pPr>
        <w:pStyle w:val="FootnoteText"/>
      </w:pPr>
      <w:r>
        <w:rPr>
          <w:rStyle w:val="FootnoteReference"/>
        </w:rPr>
        <w:footnoteRef/>
      </w:r>
      <w:r>
        <w:t xml:space="preserve"> </w:t>
      </w:r>
      <w:r w:rsidRPr="00DD699B">
        <w:rPr>
          <w:i/>
        </w:rPr>
        <w:t>See Electronic Filing of Documents in Rulemaking Proceedings</w:t>
      </w:r>
      <w:r>
        <w:t>, 63 Fed. Reg. 24121 (1998).</w:t>
      </w:r>
    </w:p>
  </w:footnote>
  <w:footnote w:id="95">
    <w:p w:rsidR="0098585D" w:rsidRPr="00E169D5" w:rsidRDefault="0098585D" w:rsidP="00444220">
      <w:pPr>
        <w:pStyle w:val="FootnoteText"/>
        <w:rPr>
          <w:i/>
          <w:iCs/>
        </w:rPr>
      </w:pPr>
      <w:r>
        <w:rPr>
          <w:rStyle w:val="FootnoteReference"/>
        </w:rPr>
        <w:footnoteRef/>
      </w:r>
      <w:r>
        <w:t xml:space="preserve"> 47 CFR §§ 1.1200 </w:t>
      </w:r>
      <w:r>
        <w:rPr>
          <w:i/>
          <w:iCs/>
        </w:rPr>
        <w:t>et seq.</w:t>
      </w:r>
    </w:p>
  </w:footnote>
  <w:footnote w:id="96">
    <w:p w:rsidR="0098585D" w:rsidRDefault="0098585D" w:rsidP="00444220">
      <w:pPr>
        <w:pStyle w:val="FootnoteText"/>
      </w:pPr>
      <w:r>
        <w:rPr>
          <w:rStyle w:val="FootnoteReference"/>
        </w:rPr>
        <w:footnoteRef/>
      </w:r>
      <w:r>
        <w:t xml:space="preserve"> </w:t>
      </w:r>
      <w:r w:rsidRPr="003F4642">
        <w:rPr>
          <w:i/>
          <w:iCs/>
        </w:rPr>
        <w:t xml:space="preserve">See </w:t>
      </w:r>
      <w:r w:rsidRPr="003F4642">
        <w:t>5 U.S.C. § 603.</w:t>
      </w:r>
    </w:p>
  </w:footnote>
  <w:footnote w:id="97">
    <w:p w:rsidR="0098585D" w:rsidRDefault="0098585D" w:rsidP="00444220">
      <w:pPr>
        <w:pStyle w:val="FootnoteText"/>
      </w:pPr>
      <w:r>
        <w:rPr>
          <w:rStyle w:val="FootnoteReference"/>
        </w:rPr>
        <w:footnoteRef/>
      </w:r>
      <w:r>
        <w:t xml:space="preserve"> </w:t>
      </w:r>
      <w:r w:rsidRPr="003F4642">
        <w:rPr>
          <w:i/>
          <w:iCs/>
        </w:rPr>
        <w:t xml:space="preserve">See </w:t>
      </w:r>
      <w:r>
        <w:t>5 U.S.C</w:t>
      </w:r>
      <w:r w:rsidRPr="006C488B">
        <w:rPr>
          <w:i/>
        </w:rPr>
        <w:t>.</w:t>
      </w:r>
      <w:r w:rsidRPr="003F4642">
        <w:t xml:space="preserve"> § 603(a).</w:t>
      </w:r>
    </w:p>
  </w:footnote>
  <w:footnote w:id="98">
    <w:p w:rsidR="0098585D" w:rsidRDefault="0098585D" w:rsidP="00444220">
      <w:pPr>
        <w:pStyle w:val="FootnoteText"/>
      </w:pPr>
      <w:r>
        <w:rPr>
          <w:rStyle w:val="FootnoteReference"/>
        </w:rPr>
        <w:footnoteRef/>
      </w:r>
      <w:r>
        <w:t xml:space="preserve"> </w:t>
      </w:r>
      <w:r w:rsidRPr="003F4642">
        <w:rPr>
          <w:i/>
          <w:iCs/>
        </w:rPr>
        <w:t xml:space="preserve">See </w:t>
      </w:r>
      <w:r w:rsidRPr="003F4642">
        <w:t>44 U.S.C. § 3506(c)(4).</w:t>
      </w:r>
    </w:p>
  </w:footnote>
  <w:footnote w:id="99">
    <w:p w:rsidR="0098585D" w:rsidRPr="00D0106D" w:rsidRDefault="0098585D" w:rsidP="00444220">
      <w:pPr>
        <w:pStyle w:val="FootnoteText"/>
      </w:pPr>
      <w:r w:rsidRPr="00D0106D">
        <w:rPr>
          <w:rStyle w:val="FootnoteReference"/>
        </w:rPr>
        <w:footnoteRef/>
      </w:r>
      <w:r w:rsidRPr="00D0106D">
        <w:t xml:space="preserve"> This assumes the rules of the auction are fully enforceable, and truth revelation in this auction would not be harmful to the bidders in other contexts. </w:t>
      </w:r>
    </w:p>
  </w:footnote>
  <w:footnote w:id="100">
    <w:p w:rsidR="0098585D" w:rsidRPr="00D0106D" w:rsidRDefault="0098585D" w:rsidP="00444220">
      <w:pPr>
        <w:pStyle w:val="FootnoteText"/>
      </w:pPr>
      <w:r w:rsidRPr="00D0106D">
        <w:rPr>
          <w:rStyle w:val="FootnoteReference"/>
        </w:rPr>
        <w:footnoteRef/>
      </w:r>
      <w:r w:rsidRPr="00D0106D">
        <w:t xml:space="preserve"> A different allocation would emerge, for example, if Bidder A valued both numbers at 37.  Then Bidder A would get both numbers.</w:t>
      </w:r>
    </w:p>
  </w:footnote>
  <w:footnote w:id="101">
    <w:p w:rsidR="0098585D" w:rsidRPr="00D0106D" w:rsidRDefault="0098585D" w:rsidP="00444220">
      <w:pPr>
        <w:pStyle w:val="FootnoteText"/>
      </w:pPr>
      <w:r w:rsidRPr="00D0106D">
        <w:rPr>
          <w:rStyle w:val="FootnoteReference"/>
        </w:rPr>
        <w:footnoteRef/>
      </w:r>
      <w:r w:rsidRPr="00D0106D">
        <w:t xml:space="preserve"> Subject to the caveats</w:t>
      </w:r>
      <w:r>
        <w:t xml:space="preserve"> discussed in note 2, </w:t>
      </w:r>
      <w:r w:rsidRPr="003572CC">
        <w:rPr>
          <w:i/>
        </w:rPr>
        <w:t>supra</w:t>
      </w:r>
      <w:r w:rsidRPr="00D0106D">
        <w:t>.</w:t>
      </w:r>
    </w:p>
  </w:footnote>
  <w:footnote w:id="102">
    <w:p w:rsidR="0098585D" w:rsidRDefault="0098585D" w:rsidP="00444220">
      <w:pPr>
        <w:pStyle w:val="FootnoteText"/>
      </w:pPr>
      <w:r>
        <w:rPr>
          <w:rStyle w:val="FootnoteReference"/>
        </w:rPr>
        <w:footnoteRef/>
      </w:r>
      <w:r>
        <w:t xml:space="preserve"> </w:t>
      </w:r>
      <w:r>
        <w:rPr>
          <w:i/>
          <w:spacing w:val="-2"/>
        </w:rPr>
        <w:t xml:space="preserve">See </w:t>
      </w:r>
      <w:r>
        <w:rPr>
          <w:spacing w:val="-2"/>
        </w:rPr>
        <w:t xml:space="preserve">5 U.S.C. § 603.  The RFA, </w:t>
      </w:r>
      <w:r>
        <w:rPr>
          <w:i/>
          <w:spacing w:val="-2"/>
        </w:rPr>
        <w:t>see</w:t>
      </w:r>
      <w:r>
        <w:rPr>
          <w:spacing w:val="-2"/>
        </w:rPr>
        <w:t xml:space="preserve"> 5 U.S.C. § 601–612, has been amended by the Small Business Regulatory Enforcement Fairness Act of 1996 (SBREFA), Pub. L. No. 104-121, Title II, 110 Stat. 845 (1996).</w:t>
      </w:r>
    </w:p>
  </w:footnote>
  <w:footnote w:id="103">
    <w:p w:rsidR="0098585D" w:rsidRDefault="0098585D" w:rsidP="00444220">
      <w:pPr>
        <w:pStyle w:val="FootnoteText"/>
      </w:pPr>
      <w:r>
        <w:rPr>
          <w:rStyle w:val="FootnoteReference"/>
        </w:rPr>
        <w:footnoteRef/>
      </w:r>
      <w:r>
        <w:t xml:space="preserve"> </w:t>
      </w:r>
      <w:r>
        <w:rPr>
          <w:i/>
        </w:rPr>
        <w:t xml:space="preserve">See </w:t>
      </w:r>
      <w:r>
        <w:t>5 U.S.C. § 603(a).</w:t>
      </w:r>
    </w:p>
  </w:footnote>
  <w:footnote w:id="104">
    <w:p w:rsidR="0098585D" w:rsidRDefault="0098585D" w:rsidP="00444220">
      <w:pPr>
        <w:pStyle w:val="FootnoteText"/>
      </w:pPr>
      <w:r>
        <w:rPr>
          <w:rStyle w:val="FootnoteReference"/>
        </w:rPr>
        <w:footnoteRef/>
      </w:r>
      <w:r>
        <w:t xml:space="preserve"> </w:t>
      </w:r>
      <w:r w:rsidRPr="00DC12CB">
        <w:rPr>
          <w:i/>
        </w:rPr>
        <w:t>See</w:t>
      </w:r>
      <w:r>
        <w:t xml:space="preserve"> </w:t>
      </w:r>
      <w:r>
        <w:rPr>
          <w:i/>
        </w:rPr>
        <w:t>id</w:t>
      </w:r>
      <w:r>
        <w:t>.</w:t>
      </w:r>
    </w:p>
  </w:footnote>
  <w:footnote w:id="105">
    <w:p w:rsidR="0098585D" w:rsidRDefault="0098585D" w:rsidP="00444220">
      <w:pPr>
        <w:pStyle w:val="FootnoteText"/>
      </w:pPr>
      <w:r>
        <w:rPr>
          <w:rStyle w:val="FootnoteReference"/>
        </w:rPr>
        <w:footnoteRef/>
      </w:r>
      <w:r>
        <w:t xml:space="preserve"> 47 CFR § 52.111.</w:t>
      </w:r>
    </w:p>
  </w:footnote>
  <w:footnote w:id="106">
    <w:p w:rsidR="0098585D" w:rsidRDefault="0098585D" w:rsidP="00444220">
      <w:pPr>
        <w:pStyle w:val="FootnoteText"/>
      </w:pPr>
      <w:r>
        <w:rPr>
          <w:rStyle w:val="FootnoteReference"/>
        </w:rPr>
        <w:footnoteRef/>
      </w:r>
      <w:r>
        <w:t xml:space="preserve"> </w:t>
      </w:r>
      <w:r>
        <w:rPr>
          <w:i/>
        </w:rPr>
        <w:t>See</w:t>
      </w:r>
      <w:r>
        <w:t xml:space="preserve"> 47 U.S.C. § 251(e)(1).</w:t>
      </w:r>
    </w:p>
  </w:footnote>
  <w:footnote w:id="107">
    <w:p w:rsidR="0098585D" w:rsidRDefault="0098585D" w:rsidP="00444220">
      <w:pPr>
        <w:pStyle w:val="FootnoteText"/>
      </w:pPr>
      <w:r>
        <w:rPr>
          <w:rStyle w:val="FootnoteReference"/>
        </w:rPr>
        <w:footnoteRef/>
      </w:r>
      <w:r>
        <w:t xml:space="preserve"> Mutually exclusive numbers are </w:t>
      </w:r>
      <w:r w:rsidRPr="114D192B">
        <w:t xml:space="preserve">those </w:t>
      </w:r>
      <w:r>
        <w:t xml:space="preserve">toll free </w:t>
      </w:r>
      <w:r w:rsidRPr="114D192B">
        <w:t>numbers for which there are two or more requests for assignment.</w:t>
      </w:r>
      <w:r>
        <w:t xml:space="preserve">  </w:t>
      </w:r>
      <w:r w:rsidRPr="006F1918">
        <w:rPr>
          <w:i/>
        </w:rPr>
        <w:t>See</w:t>
      </w:r>
      <w:r>
        <w:t xml:space="preserve"> </w:t>
      </w:r>
      <w:r w:rsidRPr="004A0D76">
        <w:rPr>
          <w:i/>
        </w:rPr>
        <w:t>Toll Free Service Access Codes</w:t>
      </w:r>
      <w:r>
        <w:t>, Order, 32 FCC Rcd 3153, 3155, para. 6 (WCB 2017) (</w:t>
      </w:r>
      <w:r w:rsidRPr="006F1918">
        <w:rPr>
          <w:i/>
        </w:rPr>
        <w:t>833 Code Opening Order</w:t>
      </w:r>
      <w:r>
        <w:t xml:space="preserve">). </w:t>
      </w:r>
    </w:p>
  </w:footnote>
  <w:footnote w:id="108">
    <w:p w:rsidR="0098585D" w:rsidRDefault="0098585D" w:rsidP="00444220">
      <w:pPr>
        <w:spacing w:after="120"/>
        <w:rPr>
          <w:sz w:val="20"/>
        </w:rPr>
      </w:pPr>
      <w:r>
        <w:rPr>
          <w:rStyle w:val="FootnoteReference"/>
        </w:rPr>
        <w:footnoteRef/>
      </w:r>
      <w:r>
        <w:rPr>
          <w:sz w:val="20"/>
        </w:rPr>
        <w:t xml:space="preserve"> </w:t>
      </w:r>
      <w:r>
        <w:rPr>
          <w:i/>
          <w:sz w:val="20"/>
        </w:rPr>
        <w:t>See</w:t>
      </w:r>
      <w:r>
        <w:rPr>
          <w:sz w:val="20"/>
        </w:rPr>
        <w:t xml:space="preserve"> 5 U.S.C. § 603(b)(3).</w:t>
      </w:r>
    </w:p>
  </w:footnote>
  <w:footnote w:id="109">
    <w:p w:rsidR="0098585D" w:rsidRDefault="0098585D" w:rsidP="00444220">
      <w:pPr>
        <w:spacing w:after="120"/>
        <w:rPr>
          <w:sz w:val="20"/>
        </w:rPr>
      </w:pPr>
      <w:r>
        <w:rPr>
          <w:rStyle w:val="FootnoteReference"/>
        </w:rPr>
        <w:footnoteRef/>
      </w:r>
      <w:r>
        <w:rPr>
          <w:sz w:val="20"/>
        </w:rPr>
        <w:t xml:space="preserve"> </w:t>
      </w:r>
      <w:r>
        <w:rPr>
          <w:i/>
          <w:sz w:val="20"/>
        </w:rPr>
        <w:t>See</w:t>
      </w:r>
      <w:r>
        <w:rPr>
          <w:sz w:val="20"/>
        </w:rPr>
        <w:t xml:space="preserve"> 5 U.S.C. § 601(6).</w:t>
      </w:r>
    </w:p>
  </w:footnote>
  <w:footnote w:id="110">
    <w:p w:rsidR="0098585D" w:rsidRDefault="0098585D" w:rsidP="00444220">
      <w:pPr>
        <w:spacing w:after="120"/>
        <w:rPr>
          <w:i/>
          <w:sz w:val="20"/>
        </w:rPr>
      </w:pPr>
      <w:r>
        <w:rPr>
          <w:rStyle w:val="FootnoteReference"/>
        </w:rPr>
        <w:footnoteRef/>
      </w:r>
      <w:r>
        <w:rPr>
          <w:sz w:val="20"/>
        </w:rPr>
        <w:t xml:space="preserve"> </w:t>
      </w:r>
      <w:r w:rsidRPr="00DC12CB">
        <w:rPr>
          <w:i/>
          <w:sz w:val="20"/>
        </w:rPr>
        <w:t>See</w:t>
      </w:r>
      <w:r>
        <w:rPr>
          <w:sz w:val="20"/>
        </w:rP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r>
        <w:rPr>
          <w:i/>
          <w:sz w:val="20"/>
        </w:rPr>
        <w:t>”</w:t>
      </w:r>
    </w:p>
  </w:footnote>
  <w:footnote w:id="111">
    <w:p w:rsidR="0098585D" w:rsidRDefault="0098585D" w:rsidP="00444220">
      <w:pPr>
        <w:spacing w:after="120"/>
        <w:rPr>
          <w:sz w:val="20"/>
        </w:rPr>
      </w:pPr>
      <w:r>
        <w:rPr>
          <w:rStyle w:val="FootnoteReference"/>
        </w:rPr>
        <w:footnoteRef/>
      </w:r>
      <w:r>
        <w:rPr>
          <w:sz w:val="20"/>
        </w:rPr>
        <w:t xml:space="preserve"> </w:t>
      </w:r>
      <w:r>
        <w:rPr>
          <w:i/>
          <w:sz w:val="20"/>
        </w:rPr>
        <w:t>See</w:t>
      </w:r>
      <w:r>
        <w:rPr>
          <w:sz w:val="20"/>
        </w:rPr>
        <w:t xml:space="preserve"> 15 U.S.C. § 632.</w:t>
      </w:r>
    </w:p>
  </w:footnote>
  <w:footnote w:id="112">
    <w:p w:rsidR="0098585D" w:rsidRDefault="0098585D" w:rsidP="00444220">
      <w:pPr>
        <w:pStyle w:val="FootnoteText"/>
      </w:pPr>
      <w:r>
        <w:rPr>
          <w:rStyle w:val="FootnoteReference"/>
        </w:rPr>
        <w:footnoteRef/>
      </w:r>
      <w:r>
        <w:t xml:space="preserve"> </w:t>
      </w:r>
      <w:r>
        <w:rPr>
          <w:i/>
        </w:rPr>
        <w:t>See</w:t>
      </w:r>
      <w:r>
        <w:t xml:space="preserve"> 5 U.S.C. § 601(3)-(6).</w:t>
      </w:r>
    </w:p>
  </w:footnote>
  <w:footnote w:id="113">
    <w:p w:rsidR="0098585D" w:rsidRDefault="0098585D" w:rsidP="00444220">
      <w:pPr>
        <w:pStyle w:val="FootnoteText"/>
      </w:pPr>
      <w:r>
        <w:rPr>
          <w:rStyle w:val="FootnoteReference"/>
        </w:rPr>
        <w:footnoteRef/>
      </w:r>
      <w:r>
        <w:t xml:space="preserve"> </w:t>
      </w:r>
      <w:r>
        <w:rPr>
          <w:i/>
        </w:rPr>
        <w:t>See</w:t>
      </w:r>
      <w:r>
        <w:t xml:space="preserve"> SBA, Office of Advocacy, “Frequently Asked Questions, Question 1 – What is a small business?” </w:t>
      </w:r>
      <w:hyperlink r:id="rId11" w:history="1">
        <w:r>
          <w:rPr>
            <w:rStyle w:val="Hyperlink"/>
          </w:rPr>
          <w:t>https://www.sba.gov/sites/default/files/advocacy/SB-FAQ-2016_WEB.pdf</w:t>
        </w:r>
      </w:hyperlink>
      <w:r>
        <w:t xml:space="preserve"> (June 2016).</w:t>
      </w:r>
    </w:p>
  </w:footnote>
  <w:footnote w:id="114">
    <w:p w:rsidR="0098585D" w:rsidRDefault="0098585D" w:rsidP="00444220">
      <w:pPr>
        <w:pStyle w:val="FootnoteText"/>
      </w:pPr>
      <w:r>
        <w:rPr>
          <w:rStyle w:val="FootnoteReference"/>
        </w:rPr>
        <w:footnoteRef/>
      </w:r>
      <w:r>
        <w:t xml:space="preserve"> </w:t>
      </w:r>
      <w:r>
        <w:rPr>
          <w:i/>
        </w:rPr>
        <w:t>See</w:t>
      </w:r>
      <w:r>
        <w:t xml:space="preserve"> SBA, Office of Advocacy, “Frequently Asked Questions, Question 2- How many small businesses are there in the U.S.?” </w:t>
      </w:r>
      <w:hyperlink r:id="rId12" w:history="1">
        <w:r>
          <w:rPr>
            <w:rStyle w:val="Hyperlink"/>
          </w:rPr>
          <w:t>https://www.sba.gov/sites/default/files/advocacy/SB-FAQ-2016_WEB.pdf</w:t>
        </w:r>
      </w:hyperlink>
      <w:r>
        <w:t xml:space="preserve"> (June 2016).</w:t>
      </w:r>
    </w:p>
  </w:footnote>
  <w:footnote w:id="115">
    <w:p w:rsidR="0098585D" w:rsidRDefault="0098585D" w:rsidP="00444220">
      <w:pPr>
        <w:pStyle w:val="FootnoteText"/>
      </w:pPr>
      <w:r>
        <w:rPr>
          <w:rStyle w:val="FootnoteReference"/>
        </w:rPr>
        <w:footnoteRef/>
      </w:r>
      <w:r>
        <w:t xml:space="preserve"> </w:t>
      </w:r>
      <w:r>
        <w:rPr>
          <w:spacing w:val="-2"/>
        </w:rPr>
        <w:t>5 U.S.C.</w:t>
      </w:r>
      <w:r>
        <w:t xml:space="preserve"> § 601(4).</w:t>
      </w:r>
    </w:p>
  </w:footnote>
  <w:footnote w:id="116">
    <w:p w:rsidR="0098585D" w:rsidRDefault="0098585D" w:rsidP="00444220">
      <w:pPr>
        <w:pStyle w:val="FootnoteText"/>
      </w:pPr>
      <w:r>
        <w:rPr>
          <w:rStyle w:val="FootnoteReference"/>
        </w:rPr>
        <w:footnoteRef/>
      </w:r>
      <w:r>
        <w:t xml:space="preserve"> Independent Sector, The New Nonprofit Almanac &amp; Desk Reference (2010).</w:t>
      </w:r>
    </w:p>
  </w:footnote>
  <w:footnote w:id="117">
    <w:p w:rsidR="0098585D" w:rsidRDefault="0098585D" w:rsidP="00444220">
      <w:pPr>
        <w:pStyle w:val="FootnoteText"/>
      </w:pPr>
      <w:r>
        <w:rPr>
          <w:rStyle w:val="FootnoteReference"/>
          <w:spacing w:val="-2"/>
        </w:rPr>
        <w:footnoteRef/>
      </w:r>
      <w:r>
        <w:t xml:space="preserve"> 5 U.S.C. § 601(5).</w:t>
      </w:r>
    </w:p>
  </w:footnote>
  <w:footnote w:id="118">
    <w:p w:rsidR="0098585D" w:rsidRDefault="0098585D" w:rsidP="00444220">
      <w:pPr>
        <w:pStyle w:val="FootnoteText"/>
      </w:pPr>
      <w:r>
        <w:rPr>
          <w:rStyle w:val="FootnoteReference"/>
          <w:spacing w:val="-2"/>
        </w:rPr>
        <w:footnoteRef/>
      </w:r>
      <w:r>
        <w:t xml:space="preserve"> U.S. Census Bureau, Statistical Abstract of the United States: 2012 at 267, Table 428 (2011), </w:t>
      </w:r>
      <w:hyperlink r:id="rId13" w:history="1">
        <w:r>
          <w:rPr>
            <w:rStyle w:val="Hyperlink"/>
          </w:rPr>
          <w:t>http://www2.census.gov/library/publications/2011/compendia/statab/131ed/2012-statab.pdf</w:t>
        </w:r>
      </w:hyperlink>
      <w:r>
        <w:t xml:space="preserve"> (citing data from 2007). </w:t>
      </w:r>
    </w:p>
  </w:footnote>
  <w:footnote w:id="119">
    <w:p w:rsidR="0098585D" w:rsidRDefault="0098585D" w:rsidP="00444220">
      <w:pPr>
        <w:pStyle w:val="FootnoteText"/>
      </w:pPr>
      <w:r>
        <w:rPr>
          <w:rStyle w:val="FootnoteReference"/>
        </w:rPr>
        <w:footnoteRef/>
      </w:r>
      <w:r>
        <w:t xml:space="preserve"> The 2012 U.S. Census Bureau data for small governmental organizations are not presented based on the size of the population in each organization.  There were 89,476 local governmental organizations in the Census Bureau data for 2012, which is based on 2007 data.  As a basis of estimating how many of these 89,476 local government organizations were small, we note that there were a total of 715 cities and towns (incorporated places and minor civil divisions) with populations over 50,000 in 2011.  </w:t>
      </w:r>
      <w:r>
        <w:rPr>
          <w:i/>
        </w:rPr>
        <w:t xml:space="preserve">See </w:t>
      </w:r>
      <w:r>
        <w:t xml:space="preserve">U.S. Census Bureau, City and Town Totals Vintage: 2011, </w:t>
      </w:r>
      <w:hyperlink r:id="rId14" w:history="1">
        <w:r>
          <w:rPr>
            <w:rStyle w:val="Hyperlink"/>
          </w:rPr>
          <w:t>http://www.census.gov/popest/data/cities/totals/2011/index.html</w:t>
        </w:r>
      </w:hyperlink>
      <w:r>
        <w:t xml:space="preserve">.  If we subtract the 715 cities and towns that meet or exceed the 50,000 population threshold, we conclude that approximately 88,761 are small.  </w:t>
      </w:r>
    </w:p>
  </w:footnote>
  <w:footnote w:id="120">
    <w:p w:rsidR="0098585D" w:rsidRDefault="0098585D" w:rsidP="00444220">
      <w:pPr>
        <w:pStyle w:val="FootnoteText"/>
      </w:pPr>
      <w:r>
        <w:rPr>
          <w:rStyle w:val="FootnoteReference"/>
        </w:rPr>
        <w:footnoteRef/>
      </w:r>
      <w:r>
        <w:t xml:space="preserve"> U.S. Census Bureau, </w:t>
      </w:r>
      <w:r>
        <w:rPr>
          <w:i/>
        </w:rPr>
        <w:t>NAICS Search</w:t>
      </w:r>
      <w:r>
        <w:t xml:space="preserve">, </w:t>
      </w:r>
      <w:hyperlink r:id="rId15" w:history="1">
        <w:r>
          <w:rPr>
            <w:rStyle w:val="Hyperlink"/>
          </w:rPr>
          <w:t>http://www.census.gov/cgi-bin/sssd/naics/naicsrch</w:t>
        </w:r>
      </w:hyperlink>
      <w:r>
        <w:t xml:space="preserve"> (last visited June 21, 2017).</w:t>
      </w:r>
    </w:p>
  </w:footnote>
  <w:footnote w:id="121">
    <w:p w:rsidR="0098585D" w:rsidRDefault="0098585D" w:rsidP="00444220">
      <w:pPr>
        <w:pStyle w:val="FootnoteText"/>
      </w:pPr>
      <w:r>
        <w:rPr>
          <w:rStyle w:val="FootnoteReference"/>
        </w:rPr>
        <w:footnoteRef/>
      </w:r>
      <w:r>
        <w:t xml:space="preserve"> 13 CFR </w:t>
      </w:r>
      <w:r>
        <w:rPr>
          <w:rStyle w:val="Footnote"/>
        </w:rPr>
        <w:t>§</w:t>
      </w:r>
      <w:r>
        <w:t xml:space="preserve"> 121.201 (NAICS Code 517110).</w:t>
      </w:r>
    </w:p>
  </w:footnote>
  <w:footnote w:id="122">
    <w:p w:rsidR="0098585D" w:rsidRDefault="0098585D" w:rsidP="00444220">
      <w:pPr>
        <w:pStyle w:val="FootnoteText"/>
      </w:pPr>
      <w:r>
        <w:rPr>
          <w:rStyle w:val="FootnoteReference"/>
        </w:rPr>
        <w:footnoteRef/>
      </w:r>
      <w:r>
        <w:t xml:space="preserve"> 13 CFR </w:t>
      </w:r>
      <w:r>
        <w:rPr>
          <w:rStyle w:val="Footnote"/>
        </w:rPr>
        <w:t>§</w:t>
      </w:r>
      <w:r>
        <w:t xml:space="preserve"> 121.201 (NAICS Code 517110).</w:t>
      </w:r>
    </w:p>
  </w:footnote>
  <w:footnote w:id="123">
    <w:p w:rsidR="0098585D" w:rsidRDefault="0098585D" w:rsidP="00444220">
      <w:pPr>
        <w:pStyle w:val="FootnoteText"/>
      </w:pPr>
      <w:r>
        <w:rPr>
          <w:rStyle w:val="FootnoteReference"/>
        </w:rPr>
        <w:footnoteRef/>
      </w:r>
      <w:r>
        <w:t xml:space="preserve"> </w:t>
      </w:r>
      <w:r>
        <w:rPr>
          <w:i/>
        </w:rPr>
        <w:t xml:space="preserve">See </w:t>
      </w:r>
      <w:r>
        <w:t xml:space="preserve">U.S. Census Bureau, </w:t>
      </w:r>
      <w:r>
        <w:rPr>
          <w:i/>
        </w:rPr>
        <w:t>American Fact Finder</w:t>
      </w:r>
      <w:r>
        <w:t xml:space="preserve"> (Jan. 08, 2016) </w:t>
      </w:r>
      <w:hyperlink r:id="rId16" w:history="1">
        <w:r>
          <w:rPr>
            <w:rStyle w:val="Hyperlink"/>
          </w:rPr>
          <w:t>http://factfinder.census.gov/faces/tableservices/jsf/pages/productview.xhtml?pid=ECN_2012_US_51SSSZ2&amp;prodType=table</w:t>
        </w:r>
      </w:hyperlink>
      <w:r>
        <w:t>.</w:t>
      </w:r>
    </w:p>
  </w:footnote>
  <w:footnote w:id="124">
    <w:p w:rsidR="0098585D" w:rsidRDefault="0098585D" w:rsidP="00444220">
      <w:pPr>
        <w:pStyle w:val="FootnoteText"/>
      </w:pPr>
      <w:r>
        <w:rPr>
          <w:rStyle w:val="FootnoteReference"/>
        </w:rPr>
        <w:footnoteRef/>
      </w:r>
      <w:r>
        <w:t xml:space="preserve"> 13 CFR </w:t>
      </w:r>
      <w:r>
        <w:rPr>
          <w:rStyle w:val="Footnote"/>
        </w:rPr>
        <w:t>§</w:t>
      </w:r>
      <w:r>
        <w:t xml:space="preserve"> 121.201 (NAICS Code 517110).</w:t>
      </w:r>
    </w:p>
  </w:footnote>
  <w:footnote w:id="125">
    <w:p w:rsidR="0098585D" w:rsidRDefault="0098585D" w:rsidP="00444220">
      <w:pPr>
        <w:pStyle w:val="FootnoteText"/>
      </w:pPr>
      <w:r>
        <w:rPr>
          <w:rStyle w:val="FootnoteReference"/>
        </w:rPr>
        <w:footnoteRef/>
      </w:r>
      <w:r>
        <w:t xml:space="preserve"> </w:t>
      </w:r>
      <w:r>
        <w:rPr>
          <w:i/>
        </w:rPr>
        <w:t xml:space="preserve">See </w:t>
      </w:r>
      <w:r>
        <w:t xml:space="preserve">U.S. Census Bureau, </w:t>
      </w:r>
      <w:r>
        <w:rPr>
          <w:i/>
        </w:rPr>
        <w:t>American Fact Finder</w:t>
      </w:r>
      <w:r>
        <w:t xml:space="preserve"> (Jan. 08, 2016) </w:t>
      </w:r>
      <w:hyperlink r:id="rId17" w:history="1">
        <w:r>
          <w:rPr>
            <w:rStyle w:val="Hyperlink"/>
          </w:rPr>
          <w:t>http://factfinder.census.gov/faces/tableservices/jsf/pages/productview.xhtml?pid=ECN_2012_US_51SSSZ2&amp;prodType=table</w:t>
        </w:r>
      </w:hyperlink>
      <w:r>
        <w:t>.</w:t>
      </w:r>
    </w:p>
  </w:footnote>
  <w:footnote w:id="126">
    <w:p w:rsidR="0098585D" w:rsidRDefault="0098585D" w:rsidP="00444220">
      <w:pPr>
        <w:pStyle w:val="FootnoteText"/>
      </w:pPr>
      <w:r>
        <w:rPr>
          <w:rStyle w:val="FootnoteReference"/>
        </w:rPr>
        <w:footnoteRef/>
      </w:r>
      <w:r>
        <w:t xml:space="preserve"> </w:t>
      </w:r>
      <w:r>
        <w:rPr>
          <w:i/>
        </w:rPr>
        <w:t xml:space="preserve">See </w:t>
      </w:r>
      <w:r>
        <w:t>Fed. Commc’ns Comm’n</w:t>
      </w:r>
      <w:r>
        <w:rPr>
          <w:i/>
        </w:rPr>
        <w:t>, Trends in Telephone Service</w:t>
      </w:r>
      <w:r>
        <w:t>, 5-5, tbl. 5.3 (Sept. 2010) (</w:t>
      </w:r>
      <w:r>
        <w:rPr>
          <w:i/>
        </w:rPr>
        <w:t>Trends in Telephone Service</w:t>
      </w:r>
      <w:r>
        <w:t xml:space="preserve">), </w:t>
      </w:r>
      <w:hyperlink r:id="rId18" w:history="1">
        <w:r>
          <w:rPr>
            <w:rStyle w:val="Hyperlink"/>
          </w:rPr>
          <w:t>http://hraunfoss.fcc.gov/edocs_public/attachmatch/DOC-301823A1.pdf</w:t>
        </w:r>
      </w:hyperlink>
      <w:r>
        <w:t xml:space="preserve">. </w:t>
      </w:r>
    </w:p>
  </w:footnote>
  <w:footnote w:id="127">
    <w:p w:rsidR="0098585D" w:rsidRDefault="0098585D" w:rsidP="00444220">
      <w:pPr>
        <w:pStyle w:val="FootnoteText"/>
      </w:pPr>
      <w:r>
        <w:rPr>
          <w:rStyle w:val="FootnoteReference"/>
        </w:rPr>
        <w:footnoteRef/>
      </w:r>
      <w:r>
        <w:t xml:space="preserve"> Fed. Commc’ns Comm’n</w:t>
      </w:r>
      <w:r>
        <w:rPr>
          <w:i/>
        </w:rPr>
        <w:t>, Trends in Telephone Service</w:t>
      </w:r>
      <w:r>
        <w:t>, 5-5, tbl. 5.3 (Sept. 2010) (</w:t>
      </w:r>
      <w:r>
        <w:rPr>
          <w:i/>
        </w:rPr>
        <w:t>Trends in Telephone Service</w:t>
      </w:r>
      <w:r>
        <w:t xml:space="preserve">), </w:t>
      </w:r>
      <w:hyperlink r:id="rId19" w:history="1">
        <w:r>
          <w:rPr>
            <w:rStyle w:val="Hyperlink"/>
          </w:rPr>
          <w:t>http://hraunfoss.fcc.gov/edocs_public/attachmatch/DOC-301823A1.pdf</w:t>
        </w:r>
      </w:hyperlink>
      <w:r>
        <w:t>.</w:t>
      </w:r>
    </w:p>
  </w:footnote>
  <w:footnote w:id="128">
    <w:p w:rsidR="0098585D" w:rsidRDefault="0098585D" w:rsidP="00444220">
      <w:pPr>
        <w:pStyle w:val="FootnoteText"/>
      </w:pPr>
      <w:r>
        <w:rPr>
          <w:rStyle w:val="FootnoteReference"/>
        </w:rPr>
        <w:footnoteRef/>
      </w:r>
      <w:r>
        <w:t xml:space="preserve"> 13 CFR </w:t>
      </w:r>
      <w:r>
        <w:rPr>
          <w:rStyle w:val="Footnote"/>
        </w:rPr>
        <w:t>§</w:t>
      </w:r>
      <w:r>
        <w:t xml:space="preserve"> 121.201 (NAICS Code 517110).</w:t>
      </w:r>
    </w:p>
  </w:footnote>
  <w:footnote w:id="129">
    <w:p w:rsidR="0098585D" w:rsidRDefault="0098585D" w:rsidP="00444220">
      <w:pPr>
        <w:pStyle w:val="FootnoteText"/>
      </w:pPr>
      <w:r>
        <w:rPr>
          <w:rStyle w:val="FootnoteReference"/>
        </w:rPr>
        <w:footnoteRef/>
      </w:r>
      <w:r>
        <w:t xml:space="preserve"> </w:t>
      </w:r>
      <w:r>
        <w:rPr>
          <w:i/>
        </w:rPr>
        <w:t xml:space="preserve">See </w:t>
      </w:r>
      <w:r>
        <w:t xml:space="preserve">U.S. Census Bureau, </w:t>
      </w:r>
      <w:r>
        <w:rPr>
          <w:i/>
        </w:rPr>
        <w:t>American Fact Finder</w:t>
      </w:r>
      <w:r>
        <w:t xml:space="preserve"> (Jan. 08, 2016) </w:t>
      </w:r>
      <w:hyperlink r:id="rId20" w:history="1">
        <w:r>
          <w:rPr>
            <w:rStyle w:val="Hyperlink"/>
          </w:rPr>
          <w:t>http://factfinder.census.gov/faces/tableservices/jsf/pages/productview.xhtml?pid=ECN_2012_US_51SSSZ2&amp;prodType=table</w:t>
        </w:r>
      </w:hyperlink>
      <w:r>
        <w:t>.</w:t>
      </w:r>
    </w:p>
  </w:footnote>
  <w:footnote w:id="130">
    <w:p w:rsidR="0098585D" w:rsidRDefault="0098585D" w:rsidP="00444220">
      <w:pPr>
        <w:pStyle w:val="FootnoteText"/>
      </w:pPr>
      <w:r>
        <w:rPr>
          <w:rStyle w:val="FootnoteReference"/>
        </w:rPr>
        <w:footnoteRef/>
      </w:r>
      <w:r>
        <w:t xml:space="preserve"> 5 U.S.C. § 601(3).</w:t>
      </w:r>
    </w:p>
  </w:footnote>
  <w:footnote w:id="131">
    <w:p w:rsidR="0098585D" w:rsidRDefault="0098585D" w:rsidP="00444220">
      <w:pPr>
        <w:pStyle w:val="FootnoteText"/>
      </w:pPr>
      <w:r>
        <w:rPr>
          <w:rStyle w:val="FootnoteReference"/>
        </w:rPr>
        <w:footnoteRef/>
      </w:r>
      <w:r>
        <w:t xml:space="preserve"> Letter from Jere W. Glover, Chief Counsel for Advocacy, SBA, to William E. Kennard, Chairman, FCC (filed May 27, 1999).  The Small Business Act contains a definition of “small business concern,” which the RFA incorporates into its own definition of “small business.”  15 U.S.C. § 632(a); 5 U.S.C. § 601(3).  SBA regulations interpret “small business concern” to include the concept of dominance on a national basis.  13 CFR § 121.102(b).</w:t>
      </w:r>
    </w:p>
  </w:footnote>
  <w:footnote w:id="132">
    <w:p w:rsidR="0098585D" w:rsidRDefault="0098585D" w:rsidP="00444220">
      <w:pPr>
        <w:pStyle w:val="FootnoteText"/>
      </w:pPr>
      <w:r>
        <w:rPr>
          <w:rStyle w:val="FootnoteReference"/>
        </w:rPr>
        <w:footnoteRef/>
      </w:r>
      <w:r>
        <w:t xml:space="preserve"> 13 CFR </w:t>
      </w:r>
      <w:r>
        <w:rPr>
          <w:rStyle w:val="Footnote"/>
        </w:rPr>
        <w:t>§</w:t>
      </w:r>
      <w:r>
        <w:t xml:space="preserve"> 121.201 (NAICS Code 517110).</w:t>
      </w:r>
    </w:p>
  </w:footnote>
  <w:footnote w:id="133">
    <w:p w:rsidR="0098585D" w:rsidRDefault="0098585D" w:rsidP="00444220">
      <w:pPr>
        <w:pStyle w:val="FootnoteText"/>
      </w:pPr>
      <w:r>
        <w:rPr>
          <w:rStyle w:val="FootnoteReference"/>
        </w:rPr>
        <w:footnoteRef/>
      </w:r>
      <w:r>
        <w:t xml:space="preserve"> </w:t>
      </w:r>
      <w:r>
        <w:rPr>
          <w:i/>
        </w:rPr>
        <w:t xml:space="preserve">See </w:t>
      </w:r>
      <w:r>
        <w:t xml:space="preserve">U.S. Census Bureau, American Fact Finder (Jan. 08, 2016), </w:t>
      </w:r>
      <w:hyperlink r:id="rId21" w:history="1">
        <w:r>
          <w:rPr>
            <w:rStyle w:val="Hyperlink"/>
          </w:rPr>
          <w:t>http://factfinder.census.gov/faces/tableservices/jsf/pages/productview.xhtml?pid=ECN_2012_US_51SSSZ2&amp;prodType=table</w:t>
        </w:r>
      </w:hyperlink>
      <w:r>
        <w:t>.</w:t>
      </w:r>
    </w:p>
  </w:footnote>
  <w:footnote w:id="134">
    <w:p w:rsidR="0098585D" w:rsidRDefault="0098585D" w:rsidP="00444220">
      <w:pPr>
        <w:pStyle w:val="FootnoteText"/>
      </w:pPr>
      <w:r>
        <w:rPr>
          <w:rStyle w:val="FootnoteReference"/>
        </w:rPr>
        <w:footnoteRef/>
      </w:r>
      <w:r>
        <w:t xml:space="preserve"> </w:t>
      </w:r>
      <w:r>
        <w:rPr>
          <w:i/>
        </w:rPr>
        <w:t xml:space="preserve">See </w:t>
      </w:r>
      <w:r w:rsidRPr="001B5DD6">
        <w:rPr>
          <w:i/>
        </w:rPr>
        <w:t>Trends in Telephone Service</w:t>
      </w:r>
      <w:r w:rsidRPr="00625A11">
        <w:t>,</w:t>
      </w:r>
      <w:r w:rsidRPr="004C421B">
        <w:t xml:space="preserve"> </w:t>
      </w:r>
      <w:r w:rsidRPr="001B5DD6">
        <w:t>at tbl. 5.3</w:t>
      </w:r>
      <w:r>
        <w:t>.</w:t>
      </w:r>
    </w:p>
  </w:footnote>
  <w:footnote w:id="135">
    <w:p w:rsidR="0098585D" w:rsidRDefault="0098585D" w:rsidP="00444220">
      <w:pPr>
        <w:pStyle w:val="FootnoteText"/>
      </w:pPr>
      <w:r>
        <w:rPr>
          <w:rStyle w:val="FootnoteReference"/>
        </w:rPr>
        <w:footnoteRef/>
      </w:r>
      <w:r>
        <w:t xml:space="preserve"> U.S. Census Bureau, </w:t>
      </w:r>
      <w:r>
        <w:rPr>
          <w:i/>
        </w:rPr>
        <w:t>2012 NAICS Definition</w:t>
      </w:r>
      <w:r>
        <w:t xml:space="preserve">, </w:t>
      </w:r>
      <w:hyperlink r:id="rId22" w:history="1">
        <w:r>
          <w:rPr>
            <w:rStyle w:val="Hyperlink"/>
          </w:rPr>
          <w:t>https://www.census.gov/cgi-bin/sssd/naics/naicsrch?input=517911&amp;search=2012+NAICS+Search&amp;search=2012</w:t>
        </w:r>
      </w:hyperlink>
      <w:r>
        <w:t xml:space="preserve"> (last visited June 20, 2017).</w:t>
      </w:r>
    </w:p>
  </w:footnote>
  <w:footnote w:id="136">
    <w:p w:rsidR="0098585D" w:rsidRDefault="0098585D" w:rsidP="00444220">
      <w:pPr>
        <w:pStyle w:val="FootnoteText"/>
      </w:pPr>
      <w:r>
        <w:rPr>
          <w:rStyle w:val="FootnoteReference"/>
        </w:rPr>
        <w:footnoteRef/>
      </w:r>
      <w:r>
        <w:t xml:space="preserve"> 13 CFR § 121.201 (NAICS code 517911).</w:t>
      </w:r>
    </w:p>
  </w:footnote>
  <w:footnote w:id="137">
    <w:p w:rsidR="0098585D" w:rsidRDefault="0098585D" w:rsidP="00444220">
      <w:pPr>
        <w:pStyle w:val="FootnoteText"/>
      </w:pPr>
      <w:r>
        <w:rPr>
          <w:rStyle w:val="FootnoteReference"/>
        </w:rPr>
        <w:footnoteRef/>
      </w:r>
      <w:r>
        <w:t xml:space="preserve"> U.S. Census Bureau, </w:t>
      </w:r>
      <w:r>
        <w:rPr>
          <w:i/>
        </w:rPr>
        <w:t>2012 NAICS Definition</w:t>
      </w:r>
      <w:r>
        <w:t xml:space="preserve">, </w:t>
      </w:r>
      <w:hyperlink r:id="rId23" w:history="1">
        <w:r>
          <w:rPr>
            <w:rStyle w:val="Hyperlink"/>
          </w:rPr>
          <w:t>https://www.census.gov/cgi-bin/sssd/naics/naicsrch?input=517911&amp;search=2012+NAICS+Search&amp;search=2012</w:t>
        </w:r>
      </w:hyperlink>
      <w:r>
        <w:t xml:space="preserve"> (last visited June 20, 2017) (NAICS 517911 Telecommunications Resellers).</w:t>
      </w:r>
    </w:p>
  </w:footnote>
  <w:footnote w:id="138">
    <w:p w:rsidR="0098585D" w:rsidRDefault="0098585D" w:rsidP="00444220">
      <w:pPr>
        <w:pStyle w:val="FootnoteText"/>
      </w:pPr>
      <w:r>
        <w:rPr>
          <w:rStyle w:val="FootnoteReference"/>
        </w:rPr>
        <w:footnoteRef/>
      </w:r>
      <w:r>
        <w:t xml:space="preserve"> </w:t>
      </w:r>
      <w:r>
        <w:rPr>
          <w:color w:val="000000"/>
        </w:rPr>
        <w:t>13 CFR § 121.201 (NAICS code 517911).</w:t>
      </w:r>
    </w:p>
  </w:footnote>
  <w:footnote w:id="139">
    <w:p w:rsidR="0098585D" w:rsidRDefault="0098585D" w:rsidP="00444220">
      <w:pPr>
        <w:pStyle w:val="FootnoteText"/>
      </w:pPr>
      <w:r>
        <w:rPr>
          <w:rStyle w:val="FootnoteReference"/>
        </w:rPr>
        <w:footnoteRef/>
      </w:r>
      <w:r>
        <w:t xml:space="preserve"> </w:t>
      </w:r>
      <w:r>
        <w:rPr>
          <w:i/>
        </w:rPr>
        <w:t xml:space="preserve">See </w:t>
      </w:r>
      <w:r>
        <w:t xml:space="preserve">U.S. Census Bureau, </w:t>
      </w:r>
      <w:r>
        <w:rPr>
          <w:i/>
        </w:rPr>
        <w:t>American Fact Finder</w:t>
      </w:r>
      <w:r>
        <w:t xml:space="preserve"> (Jan. 08, 2016), </w:t>
      </w:r>
      <w:hyperlink r:id="rId24" w:history="1">
        <w:r>
          <w:rPr>
            <w:rStyle w:val="Hyperlink"/>
          </w:rPr>
          <w:t>http://factfinder.census.gov/faces/tableservices/jsf/pages/productview.xhtml?pid=ECN_2012_US_51SSSZ2&amp;prodType=table</w:t>
        </w:r>
      </w:hyperlink>
      <w:r>
        <w:t>.</w:t>
      </w:r>
    </w:p>
  </w:footnote>
  <w:footnote w:id="140">
    <w:p w:rsidR="0098585D" w:rsidRDefault="0098585D" w:rsidP="00444220">
      <w:pPr>
        <w:pStyle w:val="FootnoteText"/>
      </w:pPr>
      <w:r>
        <w:rPr>
          <w:rStyle w:val="FootnoteReference"/>
        </w:rPr>
        <w:footnoteRef/>
      </w:r>
      <w:r>
        <w:t xml:space="preserve"> 13 CFR § 121.201 (NAICS code 517110).</w:t>
      </w:r>
    </w:p>
  </w:footnote>
  <w:footnote w:id="141">
    <w:p w:rsidR="0098585D" w:rsidRDefault="0098585D" w:rsidP="00444220">
      <w:pPr>
        <w:pStyle w:val="FootnoteText"/>
      </w:pPr>
      <w:r>
        <w:rPr>
          <w:rStyle w:val="FootnoteReference"/>
        </w:rPr>
        <w:footnoteRef/>
      </w:r>
      <w:r>
        <w:t xml:space="preserve"> </w:t>
      </w:r>
      <w:r>
        <w:rPr>
          <w:i/>
        </w:rPr>
        <w:t xml:space="preserve">See </w:t>
      </w:r>
      <w:r>
        <w:t xml:space="preserve">U.S. Census Bureau, </w:t>
      </w:r>
      <w:r>
        <w:rPr>
          <w:i/>
        </w:rPr>
        <w:t>American Fact Finder</w:t>
      </w:r>
      <w:r>
        <w:t xml:space="preserve"> (Jan. 08, 2016), </w:t>
      </w:r>
      <w:hyperlink r:id="rId25" w:history="1">
        <w:r>
          <w:rPr>
            <w:rStyle w:val="Hyperlink"/>
          </w:rPr>
          <w:t>http://factfinder.census.gov/faces/tableservices/jsf/pages/productview.xhtml?pid=ECN_2012_US_51SSSZ2&amp;prodType=table</w:t>
        </w:r>
      </w:hyperlink>
      <w:r>
        <w:t>.</w:t>
      </w:r>
    </w:p>
  </w:footnote>
  <w:footnote w:id="142">
    <w:p w:rsidR="0098585D" w:rsidRDefault="0098585D" w:rsidP="00444220">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r>
        <w:t>.</w:t>
      </w:r>
    </w:p>
  </w:footnote>
  <w:footnote w:id="143">
    <w:p w:rsidR="0098585D" w:rsidRDefault="0098585D" w:rsidP="00444220">
      <w:pPr>
        <w:pStyle w:val="FootnoteText"/>
      </w:pPr>
      <w:r>
        <w:rPr>
          <w:rStyle w:val="FootnoteReference"/>
          <w:color w:val="000000"/>
        </w:rPr>
        <w:footnoteRef/>
      </w:r>
      <w:r>
        <w:t xml:space="preserve"> 13 CFR § 121.201 (NAICS code 517110).</w:t>
      </w:r>
    </w:p>
  </w:footnote>
  <w:footnote w:id="144">
    <w:p w:rsidR="0098585D" w:rsidRDefault="0098585D" w:rsidP="00444220">
      <w:pPr>
        <w:pStyle w:val="FootnoteText"/>
      </w:pPr>
      <w:r>
        <w:rPr>
          <w:rStyle w:val="FootnoteReference"/>
          <w:color w:val="000000"/>
        </w:rPr>
        <w:footnoteRef/>
      </w:r>
      <w:r>
        <w:t xml:space="preserve">  </w:t>
      </w:r>
      <w:r>
        <w:rPr>
          <w:i/>
        </w:rPr>
        <w:t>See</w:t>
      </w:r>
      <w:r>
        <w:t xml:space="preserve"> Fed. Commc’ns Comm’n, </w:t>
      </w:r>
      <w:r>
        <w:rPr>
          <w:i/>
        </w:rPr>
        <w:t>FCC Form 499 Filer Database</w:t>
      </w:r>
      <w:r>
        <w:t xml:space="preserve">, </w:t>
      </w:r>
      <w:hyperlink r:id="rId26" w:history="1">
        <w:r>
          <w:rPr>
            <w:rStyle w:val="Hyperlink"/>
          </w:rPr>
          <w:t>http://apps.fcc.gov/cgb/form499/499a.cfm</w:t>
        </w:r>
      </w:hyperlink>
      <w:r>
        <w:t xml:space="preserve"> (last visited June 20, 2017).</w:t>
      </w:r>
    </w:p>
  </w:footnote>
  <w:footnote w:id="145">
    <w:p w:rsidR="0098585D" w:rsidRDefault="0098585D" w:rsidP="00444220">
      <w:pPr>
        <w:pStyle w:val="FootnoteText"/>
      </w:pPr>
      <w:r>
        <w:rPr>
          <w:rStyle w:val="FootnoteReference"/>
        </w:rPr>
        <w:footnoteRef/>
      </w:r>
      <w:r>
        <w:t xml:space="preserve"> </w:t>
      </w:r>
      <w:r w:rsidRPr="001B5DD6">
        <w:t xml:space="preserve">NAICS Code 517210.  </w:t>
      </w:r>
      <w:r>
        <w:rPr>
          <w:i/>
        </w:rPr>
        <w:t>See</w:t>
      </w:r>
      <w:r>
        <w:t xml:space="preserve"> U.S. Census Bureau, </w:t>
      </w:r>
      <w:r>
        <w:rPr>
          <w:i/>
        </w:rPr>
        <w:t>American Fact Finder—About the Data</w:t>
      </w:r>
      <w:r>
        <w:t xml:space="preserve">, </w:t>
      </w:r>
      <w:hyperlink r:id="rId27" w:history="1">
        <w:r>
          <w:rPr>
            <w:rStyle w:val="Hyperlink"/>
          </w:rPr>
          <w:t>https://factfinder.census.gov/faces/affhelp/jsf/pages/metadata.xhtml?lang=en&amp;type=</w:t>
        </w:r>
        <w:r>
          <w:rPr>
            <w:color w:val="0000FF"/>
            <w:u w:val="single"/>
          </w:rPr>
          <w:br/>
        </w:r>
        <w:r>
          <w:rPr>
            <w:rStyle w:val="Hyperlink"/>
          </w:rPr>
          <w:t>ib&amp;id=ib.en./ECN.NAICS2012.517210</w:t>
        </w:r>
      </w:hyperlink>
      <w:r>
        <w:t xml:space="preserve">. </w:t>
      </w:r>
    </w:p>
  </w:footnote>
  <w:footnote w:id="146">
    <w:p w:rsidR="0098585D" w:rsidRDefault="0098585D" w:rsidP="00444220">
      <w:pPr>
        <w:pStyle w:val="FootnoteText"/>
      </w:pPr>
      <w:r>
        <w:rPr>
          <w:rStyle w:val="FootnoteReference"/>
        </w:rPr>
        <w:footnoteRef/>
      </w:r>
      <w:r>
        <w:rPr>
          <w:lang w:val="fr-FR"/>
        </w:rPr>
        <w:t xml:space="preserve"> 13 CFR § 121.201 (NAICS code 517210).  </w:t>
      </w:r>
    </w:p>
  </w:footnote>
  <w:footnote w:id="147">
    <w:p w:rsidR="0098585D" w:rsidRDefault="0098585D" w:rsidP="00444220">
      <w:pPr>
        <w:pStyle w:val="FootnoteText"/>
      </w:pPr>
      <w:r>
        <w:rPr>
          <w:rStyle w:val="FootnoteReference"/>
        </w:rPr>
        <w:footnoteRef/>
      </w:r>
      <w:r>
        <w:t xml:space="preserve"> U.S. Census Bureau, </w:t>
      </w:r>
      <w:r>
        <w:rPr>
          <w:i/>
        </w:rPr>
        <w:t>American Fact Finder</w:t>
      </w:r>
      <w:r>
        <w:t xml:space="preserve"> (Jan 08, 2016), </w:t>
      </w:r>
      <w:hyperlink r:id="rId28" w:history="1">
        <w:r>
          <w:rPr>
            <w:rStyle w:val="Hyperlink"/>
          </w:rPr>
          <w:t>https://factfinder.census.gov/faces/tableservices/jsf/pages/productview.xhtml?pid=ECN_2012_US_51SSSZ2&amp;prodType=table</w:t>
        </w:r>
      </w:hyperlink>
      <w:r>
        <w:t xml:space="preserve"> (NAICS 51720, “Subject Series - Estab &amp; Firm Size: Employment Size of Establishments for the U.S.: 2012”).</w:t>
      </w:r>
    </w:p>
  </w:footnote>
  <w:footnote w:id="148">
    <w:p w:rsidR="0098585D" w:rsidRDefault="0098585D" w:rsidP="00444220">
      <w:pPr>
        <w:pStyle w:val="FootnoteText"/>
      </w:pPr>
      <w:r>
        <w:rPr>
          <w:rStyle w:val="FootnoteReference"/>
        </w:rPr>
        <w:footnoteRef/>
      </w:r>
      <w:r>
        <w:t xml:space="preserve"> Available census data do not provide a more precise estimate of the number of firms that have employment of 1,500 or fewer employees; the largest category provided is for firms with “1000 employees or more.”</w:t>
      </w:r>
    </w:p>
  </w:footnote>
  <w:footnote w:id="149">
    <w:p w:rsidR="0098585D" w:rsidRDefault="0098585D" w:rsidP="00444220">
      <w:pPr>
        <w:pStyle w:val="FootnoteText"/>
        <w:rPr>
          <w:b/>
        </w:rPr>
      </w:pPr>
      <w:r>
        <w:rPr>
          <w:rStyle w:val="FootnoteReference"/>
        </w:rPr>
        <w:footnoteRef/>
      </w:r>
      <w:r>
        <w:t xml:space="preserve"> </w:t>
      </w:r>
      <w:r>
        <w:rPr>
          <w:bCs/>
          <w:i/>
          <w:iCs/>
        </w:rPr>
        <w:t>See</w:t>
      </w:r>
      <w:r>
        <w:t xml:space="preserve"> Fed. Commc’ns Comm’n, </w:t>
      </w:r>
      <w:r>
        <w:rPr>
          <w:i/>
        </w:rPr>
        <w:t>Universal Licensing System</w:t>
      </w:r>
      <w:r>
        <w:t xml:space="preserve">, </w:t>
      </w:r>
      <w:hyperlink r:id="rId29" w:history="1">
        <w:r>
          <w:rPr>
            <w:rStyle w:val="Hyperlink"/>
          </w:rPr>
          <w:t>http://wireless.fcc.gov/uls</w:t>
        </w:r>
      </w:hyperlink>
      <w:r>
        <w:rPr>
          <w:bCs/>
        </w:rPr>
        <w:t xml:space="preserve"> (last visited June 20, 2017).</w:t>
      </w:r>
      <w:r>
        <w:t xml:space="preserve">  For the purposes of this FRFA, consistent with Commission practice for wireless services, the Commission estimates the number of licensees based on the number of unique FCC Registration Numbers.  </w:t>
      </w:r>
    </w:p>
  </w:footnote>
  <w:footnote w:id="150">
    <w:p w:rsidR="0098585D" w:rsidRDefault="0098585D" w:rsidP="00444220">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p>
  </w:footnote>
  <w:footnote w:id="151">
    <w:p w:rsidR="0098585D" w:rsidRDefault="0098585D" w:rsidP="00444220">
      <w:pPr>
        <w:pStyle w:val="FootnoteText"/>
      </w:pPr>
      <w:r>
        <w:rPr>
          <w:rStyle w:val="FootnoteReference"/>
        </w:rPr>
        <w:footnoteRef/>
      </w:r>
      <w:r>
        <w:t xml:space="preserve"> </w:t>
      </w:r>
      <w:r>
        <w:rPr>
          <w:rStyle w:val="Footnote"/>
          <w:i/>
        </w:rPr>
        <w:t>Amendment of the Commission’s Rules to Establish Part 27</w:t>
      </w:r>
      <w:r>
        <w:rPr>
          <w:rStyle w:val="Footnote"/>
        </w:rPr>
        <w:t>,</w:t>
      </w:r>
      <w:r>
        <w:rPr>
          <w:rStyle w:val="Footnote"/>
          <w:i/>
        </w:rPr>
        <w:t xml:space="preserve"> the Wireless Communications Service (WCS)</w:t>
      </w:r>
      <w:r>
        <w:rPr>
          <w:rStyle w:val="Footnote"/>
        </w:rPr>
        <w:t>, Report and Order, 12 FCC Rcd 10785, 10879, para. 194 (1997).</w:t>
      </w:r>
    </w:p>
  </w:footnote>
  <w:footnote w:id="152">
    <w:p w:rsidR="0098585D" w:rsidRDefault="0098585D" w:rsidP="00444220">
      <w:pPr>
        <w:pStyle w:val="FootnoteText"/>
      </w:pPr>
      <w:r>
        <w:rPr>
          <w:rStyle w:val="FootnoteReference"/>
        </w:rPr>
        <w:footnoteRef/>
      </w:r>
      <w:r>
        <w:t xml:space="preserve"> </w:t>
      </w:r>
      <w:r>
        <w:rPr>
          <w:rStyle w:val="Footnote"/>
          <w:i/>
        </w:rPr>
        <w:t>See</w:t>
      </w:r>
      <w:r>
        <w:rPr>
          <w:rStyle w:val="Footnote"/>
        </w:rPr>
        <w:t xml:space="preserve"> </w:t>
      </w:r>
      <w:r>
        <w:t>Letter</w:t>
      </w:r>
      <w:r>
        <w:rPr>
          <w:rStyle w:val="Footnote"/>
        </w:rPr>
        <w:t xml:space="preserve"> from Aida Alvarez, Administrator, SBA, to Amy Zoslov, Chief, Auctions and Industry Analysis Division, Wireless Telecommunications Bureau, FCC (filed Dec. 2, 1998).</w:t>
      </w:r>
    </w:p>
  </w:footnote>
  <w:footnote w:id="153">
    <w:p w:rsidR="0098585D" w:rsidRDefault="0098585D" w:rsidP="00444220">
      <w:pPr>
        <w:pStyle w:val="FootnoteText"/>
      </w:pPr>
      <w:r>
        <w:rPr>
          <w:rStyle w:val="Footnote"/>
          <w:vertAlign w:val="superscript"/>
        </w:rPr>
        <w:footnoteRef/>
      </w:r>
      <w:r>
        <w:rPr>
          <w:rStyle w:val="Footnote"/>
        </w:rPr>
        <w:t xml:space="preserve"> 13 </w:t>
      </w:r>
      <w:r>
        <w:t>CFR</w:t>
      </w:r>
      <w:r>
        <w:rPr>
          <w:rStyle w:val="Footnote"/>
        </w:rPr>
        <w:t xml:space="preserve"> § 121.201 (NAICS code 517210).</w:t>
      </w:r>
    </w:p>
  </w:footnote>
  <w:footnote w:id="154">
    <w:p w:rsidR="0098585D" w:rsidRDefault="0098585D" w:rsidP="00444220">
      <w:pPr>
        <w:pStyle w:val="FootnoteText"/>
      </w:pPr>
      <w:r>
        <w:rPr>
          <w:rStyle w:val="Footnote"/>
          <w:vertAlign w:val="superscript"/>
        </w:rPr>
        <w:footnoteRef/>
      </w:r>
      <w:r>
        <w:rPr>
          <w:rStyle w:val="Footnote"/>
          <w:vertAlign w:val="superscript"/>
        </w:rPr>
        <w:t xml:space="preserve">  </w:t>
      </w:r>
      <w:r w:rsidRPr="00DC12CB">
        <w:rPr>
          <w:rStyle w:val="Footnote"/>
          <w:i/>
        </w:rPr>
        <w:t>Id</w:t>
      </w:r>
      <w:r>
        <w:rPr>
          <w:rStyle w:val="Footnote"/>
        </w:rPr>
        <w:t>.</w:t>
      </w:r>
    </w:p>
  </w:footnote>
  <w:footnote w:id="155">
    <w:p w:rsidR="0098585D" w:rsidRDefault="0098585D" w:rsidP="00444220">
      <w:pPr>
        <w:pStyle w:val="FootnoteText"/>
      </w:pPr>
      <w:r>
        <w:rPr>
          <w:rStyle w:val="Footnote"/>
          <w:vertAlign w:val="superscript"/>
        </w:rPr>
        <w:footnoteRef/>
      </w:r>
      <w:r>
        <w:rPr>
          <w:rStyle w:val="Footnote"/>
        </w:rPr>
        <w:t xml:space="preserve"> </w:t>
      </w:r>
      <w:r w:rsidRPr="00CB2DF4">
        <w:rPr>
          <w:rFonts w:ascii="Times New Roman Italic" w:hAnsi="Times New Roman Italic"/>
          <w:i/>
        </w:rPr>
        <w:t>Trends in Telephone Service</w:t>
      </w:r>
      <w:r>
        <w:t>, at tbl.</w:t>
      </w:r>
      <w:r>
        <w:rPr>
          <w:color w:val="000000"/>
        </w:rPr>
        <w:t xml:space="preserve"> 5.3.</w:t>
      </w:r>
    </w:p>
  </w:footnote>
  <w:footnote w:id="156">
    <w:p w:rsidR="0098585D" w:rsidRDefault="0098585D" w:rsidP="00444220">
      <w:pPr>
        <w:pStyle w:val="FootnoteText"/>
      </w:pPr>
      <w:r>
        <w:rPr>
          <w:rStyle w:val="FootnoteReference"/>
        </w:rPr>
        <w:footnoteRef/>
      </w:r>
      <w:r>
        <w:t xml:space="preserve"> </w:t>
      </w:r>
      <w:r>
        <w:rPr>
          <w:i/>
        </w:rPr>
        <w:t>See</w:t>
      </w:r>
      <w:r>
        <w:t xml:space="preserve"> U.S. Census Bureau, 2012 NAIC Definition, </w:t>
      </w:r>
      <w:hyperlink r:id="rId30" w:history="1">
        <w:r>
          <w:rPr>
            <w:rStyle w:val="Hyperlink"/>
          </w:rPr>
          <w:t>https://www.census.gov/cgi-bin/sssd/naics/naicsrch?input=515210&amp;search=2012+NAICS+Search&amp;search=2012</w:t>
        </w:r>
      </w:hyperlink>
      <w:r>
        <w:t xml:space="preserve"> (last visited June 20, 2017) ( 2012 NAICS code, “515210 Cable and Other Subscription Programming”) .</w:t>
      </w:r>
    </w:p>
  </w:footnote>
  <w:footnote w:id="157">
    <w:p w:rsidR="0098585D" w:rsidRDefault="0098585D" w:rsidP="00444220">
      <w:pPr>
        <w:pStyle w:val="FootnoteText"/>
      </w:pPr>
      <w:r>
        <w:rPr>
          <w:rStyle w:val="FootnoteReference"/>
        </w:rPr>
        <w:footnoteRef/>
      </w:r>
      <w:r>
        <w:t xml:space="preserve"> 13 CFR § 121.201 (NAICSs Code 515210). </w:t>
      </w:r>
    </w:p>
  </w:footnote>
  <w:footnote w:id="158">
    <w:p w:rsidR="0098585D" w:rsidRDefault="0098585D" w:rsidP="00444220">
      <w:pPr>
        <w:pStyle w:val="FootnoteText"/>
      </w:pPr>
      <w:r>
        <w:rPr>
          <w:rStyle w:val="FootnoteReference"/>
        </w:rPr>
        <w:footnoteRef/>
      </w:r>
      <w:r>
        <w:t xml:space="preserve"> </w:t>
      </w:r>
      <w:r>
        <w:rPr>
          <w:i/>
        </w:rPr>
        <w:t xml:space="preserve">See </w:t>
      </w:r>
      <w:r>
        <w:t xml:space="preserve">U.S. Census Bureau, </w:t>
      </w:r>
      <w:r>
        <w:rPr>
          <w:i/>
        </w:rPr>
        <w:t>American Fact Finder</w:t>
      </w:r>
      <w:r>
        <w:t xml:space="preserve"> (Jan 08, 2016), </w:t>
      </w:r>
      <w:hyperlink r:id="rId31" w:history="1">
        <w:r>
          <w:rPr>
            <w:rStyle w:val="Hyperlink"/>
          </w:rPr>
          <w:t>https://factfinder.census.gov/faces/tableservices/jsf/pages/productview.xhtml?pid=ECN_2012_US_51SSSZ2&amp;prodType=table</w:t>
        </w:r>
      </w:hyperlink>
      <w:r>
        <w:t xml:space="preserve"> (NAICS code 51510, “Estab &amp; Firm Size: Employment Size of Establishments for the U.S.”). </w:t>
      </w:r>
    </w:p>
  </w:footnote>
  <w:footnote w:id="159">
    <w:p w:rsidR="0098585D" w:rsidRDefault="0098585D" w:rsidP="00444220">
      <w:pPr>
        <w:pStyle w:val="FootnoteText"/>
      </w:pPr>
      <w:r>
        <w:rPr>
          <w:rStyle w:val="FootnoteReference"/>
        </w:rPr>
        <w:footnoteRef/>
      </w:r>
      <w:r>
        <w:t xml:space="preserve"> 47 CFR § 76.901(e).</w:t>
      </w:r>
    </w:p>
  </w:footnote>
  <w:footnote w:id="160">
    <w:p w:rsidR="0098585D" w:rsidRDefault="0098585D" w:rsidP="00444220">
      <w:pPr>
        <w:pStyle w:val="FootnoteText"/>
      </w:pPr>
      <w:r>
        <w:rPr>
          <w:rStyle w:val="FootnoteReference"/>
        </w:rPr>
        <w:footnoteRef/>
      </w:r>
      <w:r>
        <w:t xml:space="preserve">This figure was derived from a August 15, 2015 report from the FCC Media Bureau, based on data contained in the Commission’s Cable Operations and Licensing System (COALS).  </w:t>
      </w:r>
      <w:r>
        <w:rPr>
          <w:i/>
        </w:rPr>
        <w:t>See</w:t>
      </w:r>
      <w:r>
        <w:t xml:space="preserve"> </w:t>
      </w:r>
      <w:hyperlink r:id="rId32" w:history="1">
        <w:r>
          <w:rPr>
            <w:rStyle w:val="Hyperlink"/>
          </w:rPr>
          <w:t>http://www.fcc.gov/coals</w:t>
        </w:r>
      </w:hyperlink>
      <w:r>
        <w:t>.</w:t>
      </w:r>
    </w:p>
  </w:footnote>
  <w:footnote w:id="161">
    <w:p w:rsidR="0098585D" w:rsidRDefault="0098585D" w:rsidP="00444220">
      <w:pPr>
        <w:pStyle w:val="FootnoteText"/>
      </w:pPr>
      <w:r>
        <w:rPr>
          <w:rStyle w:val="FootnoteReference"/>
        </w:rPr>
        <w:footnoteRef/>
      </w:r>
      <w:r>
        <w:t xml:space="preserve"> Data obtained from SNL Kagan database on April 19, 2017. </w:t>
      </w:r>
    </w:p>
  </w:footnote>
  <w:footnote w:id="162">
    <w:p w:rsidR="0098585D" w:rsidRDefault="0098585D" w:rsidP="00444220">
      <w:pPr>
        <w:pStyle w:val="FootnoteText"/>
      </w:pPr>
      <w:r>
        <w:rPr>
          <w:rStyle w:val="FootnoteReference"/>
        </w:rPr>
        <w:footnoteRef/>
      </w:r>
      <w:r>
        <w:t xml:space="preserve"> 47 CFR § 76.901(c).</w:t>
      </w:r>
    </w:p>
  </w:footnote>
  <w:footnote w:id="163">
    <w:p w:rsidR="0098585D" w:rsidRDefault="0098585D" w:rsidP="00444220">
      <w:pPr>
        <w:pStyle w:val="FootnoteText"/>
      </w:pPr>
      <w:r>
        <w:rPr>
          <w:rStyle w:val="FootnoteReference"/>
        </w:rPr>
        <w:footnoteRef/>
      </w:r>
      <w:r>
        <w:t xml:space="preserve"> August 5, 2015 report from the FCC Media Bureau based on its research in COALS.  </w:t>
      </w:r>
      <w:r>
        <w:rPr>
          <w:i/>
        </w:rPr>
        <w:t>See</w:t>
      </w:r>
      <w:r>
        <w:t xml:space="preserve"> </w:t>
      </w:r>
      <w:hyperlink r:id="rId33" w:history="1">
        <w:r>
          <w:rPr>
            <w:rStyle w:val="Hyperlink"/>
          </w:rPr>
          <w:t>http://www.fcc.gov/coals</w:t>
        </w:r>
      </w:hyperlink>
      <w:r>
        <w:t>.</w:t>
      </w:r>
    </w:p>
  </w:footnote>
  <w:footnote w:id="164">
    <w:p w:rsidR="0098585D" w:rsidRDefault="0098585D" w:rsidP="00444220">
      <w:pPr>
        <w:pStyle w:val="FootnoteText"/>
      </w:pPr>
      <w:r>
        <w:rPr>
          <w:rStyle w:val="FootnoteReference"/>
        </w:rPr>
        <w:footnoteRef/>
      </w:r>
      <w:r>
        <w:t xml:space="preserve"> </w:t>
      </w:r>
      <w:r w:rsidRPr="00DC12CB">
        <w:rPr>
          <w:i/>
        </w:rPr>
        <w:t>See</w:t>
      </w:r>
      <w:r>
        <w:t xml:space="preserve"> 47 CFR § 76.901(f) &amp; nn.1-3.</w:t>
      </w:r>
    </w:p>
  </w:footnote>
  <w:footnote w:id="165">
    <w:p w:rsidR="0098585D" w:rsidRDefault="0098585D" w:rsidP="00444220">
      <w:pPr>
        <w:pStyle w:val="FootnoteText"/>
      </w:pPr>
      <w:r>
        <w:rPr>
          <w:rStyle w:val="FootnoteReference"/>
        </w:rPr>
        <w:footnoteRef/>
      </w:r>
      <w:r>
        <w:t xml:space="preserve"> </w:t>
      </w:r>
      <w:r>
        <w:rPr>
          <w:i/>
        </w:rPr>
        <w:t>See</w:t>
      </w:r>
      <w:r>
        <w:t xml:space="preserve"> SNL Kagan at </w:t>
      </w:r>
      <w:hyperlink r:id="rId34" w:history="1">
        <w:r>
          <w:rPr>
            <w:rStyle w:val="Hyperlink"/>
          </w:rPr>
          <w:t>http://www.snl.com/interactivex/MultichannelIndustryBenchmarks.aspx</w:t>
        </w:r>
      </w:hyperlink>
      <w:r>
        <w:rPr>
          <w:rStyle w:val="Hyperlink"/>
        </w:rPr>
        <w:t xml:space="preserve"> </w:t>
      </w:r>
      <w:r>
        <w:t>(subscription required).</w:t>
      </w:r>
      <w:r>
        <w:rPr>
          <w:rStyle w:val="Hyperlink"/>
        </w:rPr>
        <w:t xml:space="preserve"> </w:t>
      </w:r>
    </w:p>
  </w:footnote>
  <w:footnote w:id="166">
    <w:p w:rsidR="0098585D" w:rsidRDefault="0098585D" w:rsidP="00444220">
      <w:pPr>
        <w:pStyle w:val="FootnoteText"/>
      </w:pPr>
      <w:r>
        <w:rPr>
          <w:rStyle w:val="FootnoteReference"/>
        </w:rPr>
        <w:footnoteRef/>
      </w:r>
      <w:r>
        <w:t xml:space="preserve"> 47 CFR § 76.901(f) &amp; nn.1-3.</w:t>
      </w:r>
    </w:p>
  </w:footnote>
  <w:footnote w:id="167">
    <w:p w:rsidR="0098585D" w:rsidRDefault="0098585D" w:rsidP="00444220">
      <w:pPr>
        <w:pStyle w:val="FootnoteText"/>
      </w:pPr>
      <w:r>
        <w:rPr>
          <w:rStyle w:val="FootnoteReference"/>
        </w:rPr>
        <w:footnoteRef/>
      </w:r>
      <w:r>
        <w:t xml:space="preserve"> </w:t>
      </w:r>
      <w:r>
        <w:rPr>
          <w:i/>
        </w:rPr>
        <w:t>See</w:t>
      </w:r>
      <w:r>
        <w:t xml:space="preserve"> SNL Kagan at </w:t>
      </w:r>
      <w:hyperlink r:id="rId35" w:history="1">
        <w:r>
          <w:rPr>
            <w:rStyle w:val="Hyperlink"/>
          </w:rPr>
          <w:t>http://www.snl.com/interactivex/TopCable MSOs.aspx</w:t>
        </w:r>
      </w:hyperlink>
      <w:r>
        <w:t xml:space="preserve"> (subscription required).</w:t>
      </w:r>
      <w:r>
        <w:rPr>
          <w:rStyle w:val="Hyperlink"/>
        </w:rPr>
        <w:t xml:space="preserve"> </w:t>
      </w:r>
    </w:p>
  </w:footnote>
  <w:footnote w:id="168">
    <w:p w:rsidR="0098585D" w:rsidRDefault="0098585D" w:rsidP="00444220">
      <w:pPr>
        <w:pStyle w:val="FootnoteText"/>
      </w:pPr>
      <w:r>
        <w:rPr>
          <w:rStyle w:val="FootnoteReference"/>
        </w:rPr>
        <w:footnoteRef/>
      </w:r>
      <w:r>
        <w:t xml:space="preserve"> The Commission does receive such information on a case-by-case basis if a cable operator appeals a local franchise authority’s finding that the operator does not qualify as a small cable operator pursuant to section 76.901(f) of the Commission’s rules.  </w:t>
      </w:r>
      <w:r>
        <w:rPr>
          <w:i/>
        </w:rPr>
        <w:t>See</w:t>
      </w:r>
      <w:r>
        <w:t xml:space="preserve"> 47 CFR § 76.901(f).</w:t>
      </w:r>
    </w:p>
  </w:footnote>
  <w:footnote w:id="169">
    <w:p w:rsidR="0098585D" w:rsidRDefault="0098585D" w:rsidP="00444220">
      <w:pPr>
        <w:pStyle w:val="FootnoteText"/>
      </w:pPr>
      <w:r>
        <w:rPr>
          <w:rStyle w:val="FootnoteReference"/>
        </w:rPr>
        <w:footnoteRef/>
      </w:r>
      <w:r>
        <w:t xml:space="preserve"> U.S. Census Bureau, </w:t>
      </w:r>
      <w:r>
        <w:rPr>
          <w:i/>
        </w:rPr>
        <w:t>NAICS Search</w:t>
      </w:r>
      <w:r>
        <w:t xml:space="preserve">, </w:t>
      </w:r>
      <w:hyperlink r:id="rId36" w:history="1">
        <w:r>
          <w:rPr>
            <w:rStyle w:val="Hyperlink"/>
          </w:rPr>
          <w:t>http://www.census.gov/cgi-bin/sssd/naics/naicsrch</w:t>
        </w:r>
      </w:hyperlink>
      <w:r>
        <w:t xml:space="preserve"> (last visited June 21, 2017) (enter 2012 NAICS code 517919).</w:t>
      </w:r>
    </w:p>
  </w:footnote>
  <w:footnote w:id="170">
    <w:p w:rsidR="0098585D" w:rsidRDefault="0098585D" w:rsidP="00444220">
      <w:pPr>
        <w:pStyle w:val="FootnoteText"/>
      </w:pPr>
      <w:r>
        <w:rPr>
          <w:rStyle w:val="FootnoteReference"/>
        </w:rPr>
        <w:footnoteRef/>
      </w:r>
      <w:r>
        <w:t xml:space="preserve"> 13 CFR § 121.201 (NAICS Code 517919).</w:t>
      </w:r>
    </w:p>
  </w:footnote>
  <w:footnote w:id="171">
    <w:p w:rsidR="0098585D" w:rsidRDefault="0098585D" w:rsidP="00444220">
      <w:pPr>
        <w:pStyle w:val="FootnoteText"/>
      </w:pPr>
      <w:r>
        <w:rPr>
          <w:rStyle w:val="FootnoteReference"/>
        </w:rPr>
        <w:footnoteRef/>
      </w:r>
      <w:r>
        <w:t xml:space="preserve"> U.S. Census Bureau, </w:t>
      </w:r>
      <w:r>
        <w:rPr>
          <w:i/>
        </w:rPr>
        <w:t>American Fact Finder</w:t>
      </w:r>
      <w:r>
        <w:t xml:space="preserve"> (Jan. 08, 2016), </w:t>
      </w:r>
      <w:hyperlink r:id="rId37" w:history="1">
        <w:r>
          <w:rPr>
            <w:rStyle w:val="Hyperlink"/>
          </w:rPr>
          <w:t>http://factfinder.census.gov/faces/tableservices/jsf/pages/productview.xhtml?pid=ECN_2012_US_51SSSZ4&amp;prodType=table</w:t>
        </w:r>
      </w:hyperlink>
      <w:r>
        <w:t xml:space="preserve"> (2012 NAICS Code 517919, “Estab &amp; Firm Size: Receipts Size of Firms for the U.S.”).</w:t>
      </w:r>
    </w:p>
  </w:footnote>
  <w:footnote w:id="172">
    <w:p w:rsidR="0098585D" w:rsidRDefault="0098585D" w:rsidP="00444220">
      <w:pPr>
        <w:pStyle w:val="FootnoteText"/>
      </w:pPr>
      <w:r>
        <w:rPr>
          <w:rStyle w:val="FootnoteReference"/>
        </w:rPr>
        <w:footnoteRef/>
      </w:r>
      <w:r>
        <w:t xml:space="preserve"> 5 U.S.C. § 603(c)(1)-(c)(4).</w:t>
      </w:r>
    </w:p>
  </w:footnote>
  <w:footnote w:id="173">
    <w:p w:rsidR="0098585D" w:rsidRDefault="0098585D" w:rsidP="00444220">
      <w:pPr>
        <w:pStyle w:val="FootnoteText"/>
      </w:pPr>
      <w:r>
        <w:rPr>
          <w:rStyle w:val="FootnoteReference"/>
        </w:rPr>
        <w:footnoteRef/>
      </w:r>
      <w:r>
        <w:t xml:space="preserve"> </w:t>
      </w:r>
      <w:r w:rsidRPr="002C7061">
        <w:rPr>
          <w:i/>
        </w:rPr>
        <w:t>See Notice</w:t>
      </w:r>
      <w:r>
        <w:t>, para. 41.</w:t>
      </w:r>
    </w:p>
  </w:footnote>
  <w:footnote w:id="174">
    <w:p w:rsidR="0098585D" w:rsidRDefault="0098585D" w:rsidP="00444220">
      <w:pPr>
        <w:pStyle w:val="FootnoteText"/>
      </w:pPr>
      <w:r>
        <w:rPr>
          <w:rStyle w:val="FootnoteReference"/>
        </w:rPr>
        <w:footnoteRef/>
      </w:r>
      <w:r>
        <w:t xml:space="preserve"> </w:t>
      </w:r>
      <w:r w:rsidRPr="002C7061">
        <w:rPr>
          <w:i/>
        </w:rPr>
        <w:t>Id</w:t>
      </w:r>
      <w:r>
        <w:t xml:space="preserve">.  </w:t>
      </w:r>
    </w:p>
  </w:footnote>
  <w:footnote w:id="175">
    <w:p w:rsidR="0098585D" w:rsidRDefault="0098585D" w:rsidP="00444220">
      <w:pPr>
        <w:pStyle w:val="FootnoteText"/>
      </w:pPr>
      <w:r>
        <w:rPr>
          <w:rStyle w:val="FootnoteReference"/>
        </w:rPr>
        <w:footnoteRef/>
      </w:r>
      <w:r>
        <w:t xml:space="preserve"> Ronald Coase, </w:t>
      </w:r>
      <w:r>
        <w:rPr>
          <w:i/>
        </w:rPr>
        <w:t>Comment on Thomas W. Hazlett: Assigning Property Rights to Radio Spectrum Users: Why Did FCC License Auctions Take 67 Years?</w:t>
      </w:r>
      <w:r>
        <w:t>, 41 J.L. &amp; Econ. 579 (1998).</w:t>
      </w:r>
    </w:p>
  </w:footnote>
  <w:footnote w:id="176">
    <w:p w:rsidR="0098585D" w:rsidRPr="002258CF" w:rsidRDefault="0098585D" w:rsidP="00444220">
      <w:pPr>
        <w:pStyle w:val="FootnoteText"/>
      </w:pPr>
      <w:r>
        <w:rPr>
          <w:rStyle w:val="FootnoteReference"/>
        </w:rPr>
        <w:footnoteRef/>
      </w:r>
      <w:r>
        <w:t xml:space="preserve"> </w:t>
      </w:r>
      <w:r w:rsidRPr="004142C1">
        <w:rPr>
          <w:i/>
        </w:rPr>
        <w:t>Id.</w:t>
      </w:r>
    </w:p>
  </w:footnote>
  <w:footnote w:id="177">
    <w:p w:rsidR="0098585D" w:rsidRDefault="0098585D" w:rsidP="00444220">
      <w:pPr>
        <w:pStyle w:val="FootnoteText"/>
      </w:pPr>
      <w:r>
        <w:rPr>
          <w:rStyle w:val="FootnoteReference"/>
        </w:rPr>
        <w:footnoteRef/>
      </w:r>
      <w:r>
        <w:t xml:space="preserve"> Ronald Coase, </w:t>
      </w:r>
      <w:r w:rsidRPr="00CE390D">
        <w:rPr>
          <w:i/>
        </w:rPr>
        <w:t>The Federal Communications Commission</w:t>
      </w:r>
      <w:r>
        <w:t>, 2 J.L. &amp; Econ. 1, 24 (1959).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5F" w:rsidRDefault="006D39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85D" w:rsidRDefault="00D67BAD" w:rsidP="00444220">
    <w:pPr>
      <w:pStyle w:val="Header"/>
      <w:rPr>
        <w:b w:val="0"/>
      </w:rPr>
    </w:pPr>
    <w:r>
      <w:rPr>
        <w:noProof/>
      </w:rPr>
      <w:pict>
        <v:rect id="_x0000_s2053"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w:r>
    <w:r w:rsidR="0098585D">
      <w:tab/>
      <w:t>Federal Communications Commission</w:t>
    </w:r>
    <w:r w:rsidR="0098585D">
      <w:tab/>
      <w:t>FCC 17-124</w:t>
    </w:r>
  </w:p>
  <w:p w:rsidR="0098585D" w:rsidRPr="0040162D" w:rsidRDefault="00D67BAD" w:rsidP="0098585D">
    <w:pPr>
      <w:tabs>
        <w:tab w:val="left" w:pos="-720"/>
      </w:tabs>
      <w:suppressAutoHyphens/>
      <w:spacing w:line="19" w:lineRule="exact"/>
      <w:rPr>
        <w:spacing w:val="-2"/>
      </w:rPr>
    </w:pPr>
    <w:r>
      <w:rPr>
        <w:noProof/>
      </w:rPr>
      <w:pict>
        <v:rect id="_x0000_s2052" style="position:absolute;margin-left:0;margin-top:0;width:468pt;height:.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sB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hjGbAe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85D" w:rsidRDefault="00D67BAD" w:rsidP="0098585D">
    <w:pPr>
      <w:pStyle w:val="Header"/>
      <w:rPr>
        <w:b w:val="0"/>
      </w:rPr>
    </w:pPr>
    <w:r>
      <w:rPr>
        <w:noProof/>
      </w:rPr>
      <w:pict>
        <v:rect id="Rectangle 3" o:spid="_x0000_s2051" style="position:absolute;margin-left:.6pt;margin-top:12.65pt;width:468pt;height:.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w:r>
    <w:r w:rsidR="0098585D">
      <w:tab/>
      <w:t>Federal Communications Commission</w:t>
    </w:r>
    <w:r w:rsidR="0098585D">
      <w:tab/>
      <w:t>FCC 17-124</w:t>
    </w:r>
  </w:p>
  <w:p w:rsidR="0098585D" w:rsidRDefault="0098585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85D" w:rsidRDefault="00D67BAD" w:rsidP="00444220">
    <w:pPr>
      <w:pStyle w:val="Header"/>
      <w:rPr>
        <w:b w:val="0"/>
      </w:rPr>
    </w:pPr>
    <w:r>
      <w:rPr>
        <w:noProof/>
      </w:rPr>
      <w:pict>
        <v:rect id="_x0000_s2055"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w:r>
    <w:r w:rsidR="0098585D">
      <w:tab/>
      <w:t>Federal Communications Commission</w:t>
    </w:r>
    <w:r w:rsidR="0098585D">
      <w:tab/>
      <w:t>FCC 17-124</w:t>
    </w:r>
  </w:p>
  <w:p w:rsidR="0098585D" w:rsidRDefault="00D67BAD">
    <w:pPr>
      <w:tabs>
        <w:tab w:val="left" w:pos="-720"/>
      </w:tabs>
      <w:suppressAutoHyphens/>
      <w:spacing w:line="19" w:lineRule="exact"/>
      <w:rPr>
        <w:spacing w:val="-2"/>
      </w:rPr>
    </w:pPr>
    <w:r>
      <w:rPr>
        <w:noProof/>
      </w:rPr>
      <w:pict>
        <v:rect id="Rectangle 1" o:spid="_x0000_s2050" style="position:absolute;margin-left:0;margin-top:0;width:468pt;height:.9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98585D" w:rsidRDefault="0098585D">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85D" w:rsidRDefault="00D67BAD" w:rsidP="00444220">
    <w:pPr>
      <w:pStyle w:val="Header"/>
      <w:rPr>
        <w:b w:val="0"/>
      </w:rPr>
    </w:pPr>
    <w:r>
      <w:rPr>
        <w:noProof/>
      </w:rPr>
      <w:pict>
        <v:rect id="_x0000_s2054"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w:r>
    <w:r w:rsidR="0098585D">
      <w:tab/>
      <w:t>Federal Communications Commission</w:t>
    </w:r>
    <w:r w:rsidR="0098585D">
      <w:tab/>
      <w:t>FCC 17-124</w:t>
    </w:r>
  </w:p>
  <w:p w:rsidR="0098585D" w:rsidRPr="00444220" w:rsidRDefault="0098585D" w:rsidP="0044422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85D" w:rsidRDefault="0098585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85D" w:rsidRDefault="00D67BAD" w:rsidP="00444220">
    <w:pPr>
      <w:pStyle w:val="Header"/>
      <w:rPr>
        <w:b w:val="0"/>
      </w:rPr>
    </w:pPr>
    <w:r>
      <w:rPr>
        <w:noProof/>
      </w:rPr>
      <w:pict>
        <v:rect id="_x0000_s205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w:r>
    <w:r w:rsidR="0098585D">
      <w:tab/>
      <w:t>Federal Communications Commission</w:t>
    </w:r>
    <w:r w:rsidR="0098585D">
      <w:tab/>
      <w:t>FCC 17-124</w:t>
    </w:r>
  </w:p>
  <w:p w:rsidR="0098585D" w:rsidRPr="00444220" w:rsidRDefault="0098585D" w:rsidP="0044422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85D" w:rsidRDefault="00D67BAD" w:rsidP="00444220">
    <w:pPr>
      <w:pStyle w:val="Header"/>
      <w:rPr>
        <w:b w:val="0"/>
      </w:rPr>
    </w:pPr>
    <w:r>
      <w:rPr>
        <w:noProof/>
      </w:rPr>
      <w:pict>
        <v:rect id="_x0000_s2057"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w:r>
    <w:r w:rsidR="0098585D">
      <w:tab/>
      <w:t>Federal Communications Commission</w:t>
    </w:r>
    <w:r w:rsidR="0098585D">
      <w:tab/>
      <w:t>FCC 17-124</w:t>
    </w:r>
  </w:p>
  <w:p w:rsidR="0098585D" w:rsidRPr="00444220" w:rsidRDefault="0098585D" w:rsidP="004442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2EF1BF3"/>
    <w:multiLevelType w:val="hybridMultilevel"/>
    <w:tmpl w:val="E9365CEA"/>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6C6BD7"/>
    <w:multiLevelType w:val="hybridMultilevel"/>
    <w:tmpl w:val="EFFE9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5561FD4"/>
    <w:multiLevelType w:val="multilevel"/>
    <w:tmpl w:val="5CCA4FEA"/>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9F951A7"/>
    <w:multiLevelType w:val="hybridMultilevel"/>
    <w:tmpl w:val="9848A99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470339F"/>
    <w:multiLevelType w:val="hybridMultilevel"/>
    <w:tmpl w:val="1754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C6055E"/>
    <w:multiLevelType w:val="hybridMultilevel"/>
    <w:tmpl w:val="4D9CD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05A2817"/>
    <w:multiLevelType w:val="hybridMultilevel"/>
    <w:tmpl w:val="5F42F486"/>
    <w:lvl w:ilvl="0" w:tplc="7808410C">
      <w:start w:val="1"/>
      <w:numFmt w:val="decimal"/>
      <w:lvlText w:val="%1."/>
      <w:lvlJc w:val="left"/>
      <w:pPr>
        <w:ind w:left="720" w:hanging="360"/>
      </w:pPr>
    </w:lvl>
    <w:lvl w:ilvl="1" w:tplc="BD22413A">
      <w:start w:val="1"/>
      <w:numFmt w:val="lowerLetter"/>
      <w:lvlText w:val="%2."/>
      <w:lvlJc w:val="left"/>
      <w:pPr>
        <w:ind w:left="1440" w:hanging="360"/>
      </w:pPr>
    </w:lvl>
    <w:lvl w:ilvl="2" w:tplc="E3E8EED6">
      <w:start w:val="1"/>
      <w:numFmt w:val="lowerRoman"/>
      <w:lvlText w:val="%3."/>
      <w:lvlJc w:val="right"/>
      <w:pPr>
        <w:ind w:left="2160" w:hanging="180"/>
      </w:pPr>
    </w:lvl>
    <w:lvl w:ilvl="3" w:tplc="4964FFA0">
      <w:start w:val="1"/>
      <w:numFmt w:val="decimal"/>
      <w:lvlText w:val="%4."/>
      <w:lvlJc w:val="left"/>
      <w:pPr>
        <w:ind w:left="2880" w:hanging="360"/>
      </w:pPr>
    </w:lvl>
    <w:lvl w:ilvl="4" w:tplc="33F0021E">
      <w:start w:val="1"/>
      <w:numFmt w:val="lowerLetter"/>
      <w:lvlText w:val="%5."/>
      <w:lvlJc w:val="left"/>
      <w:pPr>
        <w:ind w:left="3600" w:hanging="360"/>
      </w:pPr>
    </w:lvl>
    <w:lvl w:ilvl="5" w:tplc="B366BC88">
      <w:start w:val="1"/>
      <w:numFmt w:val="lowerRoman"/>
      <w:lvlText w:val="%6."/>
      <w:lvlJc w:val="right"/>
      <w:pPr>
        <w:ind w:left="4320" w:hanging="180"/>
      </w:pPr>
    </w:lvl>
    <w:lvl w:ilvl="6" w:tplc="2A8483C8">
      <w:start w:val="1"/>
      <w:numFmt w:val="decimal"/>
      <w:lvlText w:val="%7."/>
      <w:lvlJc w:val="left"/>
      <w:pPr>
        <w:ind w:left="5040" w:hanging="360"/>
      </w:pPr>
    </w:lvl>
    <w:lvl w:ilvl="7" w:tplc="00AAD6EC">
      <w:start w:val="1"/>
      <w:numFmt w:val="lowerLetter"/>
      <w:lvlText w:val="%8."/>
      <w:lvlJc w:val="left"/>
      <w:pPr>
        <w:ind w:left="5760" w:hanging="360"/>
      </w:pPr>
    </w:lvl>
    <w:lvl w:ilvl="8" w:tplc="D680848E">
      <w:start w:val="1"/>
      <w:numFmt w:val="lowerRoman"/>
      <w:lvlText w:val="%9."/>
      <w:lvlJc w:val="right"/>
      <w:pPr>
        <w:ind w:left="6480" w:hanging="180"/>
      </w:p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12"/>
  </w:num>
  <w:num w:numId="3">
    <w:abstractNumId w:val="6"/>
  </w:num>
  <w:num w:numId="4">
    <w:abstractNumId w:val="10"/>
  </w:num>
  <w:num w:numId="5">
    <w:abstractNumId w:val="4"/>
  </w:num>
  <w:num w:numId="6">
    <w:abstractNumId w:val="0"/>
  </w:num>
  <w:num w:numId="7">
    <w:abstractNumId w:val="12"/>
    <w:lvlOverride w:ilvl="0">
      <w:startOverride w:val="1"/>
    </w:lvlOverride>
  </w:num>
  <w:num w:numId="8">
    <w:abstractNumId w:val="7"/>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2"/>
    <w:lvlOverride w:ilvl="0">
      <w:startOverride w:val="1"/>
    </w:lvlOverride>
  </w:num>
  <w:num w:numId="13">
    <w:abstractNumId w:val="12"/>
    <w:lvlOverride w:ilvl="0">
      <w:startOverride w:val="1"/>
    </w:lvlOverride>
  </w:num>
  <w:num w:numId="14">
    <w:abstractNumId w:val="11"/>
  </w:num>
  <w:num w:numId="15">
    <w:abstractNumId w:val="12"/>
    <w:lvlOverride w:ilvl="0">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8"/>
  </w:num>
  <w:num w:numId="23">
    <w:abstractNumId w:val="9"/>
  </w:num>
  <w:num w:numId="2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8"/>
    <o:shapelayout v:ext="edit">
      <o:idmap v:ext="edit" data="2"/>
    </o:shapelayout>
  </w:hdrShapeDefaults>
  <w:footnotePr>
    <w:numRestart w:val="eachSect"/>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4220"/>
    <w:rsid w:val="00036039"/>
    <w:rsid w:val="00037F90"/>
    <w:rsid w:val="00074E4A"/>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10BE4"/>
    <w:rsid w:val="00343749"/>
    <w:rsid w:val="003660ED"/>
    <w:rsid w:val="003B0550"/>
    <w:rsid w:val="003B694F"/>
    <w:rsid w:val="003F171C"/>
    <w:rsid w:val="00412FC5"/>
    <w:rsid w:val="00422276"/>
    <w:rsid w:val="004242F1"/>
    <w:rsid w:val="00444220"/>
    <w:rsid w:val="00445A00"/>
    <w:rsid w:val="00451B0F"/>
    <w:rsid w:val="004C2EE3"/>
    <w:rsid w:val="004E4A22"/>
    <w:rsid w:val="00511968"/>
    <w:rsid w:val="0055614C"/>
    <w:rsid w:val="005E14C2"/>
    <w:rsid w:val="00607BA5"/>
    <w:rsid w:val="0061180A"/>
    <w:rsid w:val="00626EB6"/>
    <w:rsid w:val="00655D03"/>
    <w:rsid w:val="00683388"/>
    <w:rsid w:val="00683F84"/>
    <w:rsid w:val="006A6A81"/>
    <w:rsid w:val="006D395F"/>
    <w:rsid w:val="006F7393"/>
    <w:rsid w:val="0070224F"/>
    <w:rsid w:val="007115F7"/>
    <w:rsid w:val="0072390A"/>
    <w:rsid w:val="00763896"/>
    <w:rsid w:val="00785689"/>
    <w:rsid w:val="0079754B"/>
    <w:rsid w:val="007A1E6D"/>
    <w:rsid w:val="007B0EB2"/>
    <w:rsid w:val="007B3EF6"/>
    <w:rsid w:val="00810B6F"/>
    <w:rsid w:val="00822CE0"/>
    <w:rsid w:val="00841AB1"/>
    <w:rsid w:val="008C68F1"/>
    <w:rsid w:val="008F4D0C"/>
    <w:rsid w:val="00905900"/>
    <w:rsid w:val="00921803"/>
    <w:rsid w:val="00926503"/>
    <w:rsid w:val="009726D8"/>
    <w:rsid w:val="0098585D"/>
    <w:rsid w:val="009B0E31"/>
    <w:rsid w:val="009F76DB"/>
    <w:rsid w:val="00A32C3B"/>
    <w:rsid w:val="00A42CC9"/>
    <w:rsid w:val="00A45F4F"/>
    <w:rsid w:val="00A600A9"/>
    <w:rsid w:val="00AA55B7"/>
    <w:rsid w:val="00AA5B9E"/>
    <w:rsid w:val="00AB2407"/>
    <w:rsid w:val="00AB53DF"/>
    <w:rsid w:val="00B07E5C"/>
    <w:rsid w:val="00B41C25"/>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67BAD"/>
    <w:rsid w:val="00DA2529"/>
    <w:rsid w:val="00DB130A"/>
    <w:rsid w:val="00DB2EBB"/>
    <w:rsid w:val="00DC10A1"/>
    <w:rsid w:val="00DC4BEE"/>
    <w:rsid w:val="00DC655F"/>
    <w:rsid w:val="00DD0B59"/>
    <w:rsid w:val="00DD7EBD"/>
    <w:rsid w:val="00DF62B6"/>
    <w:rsid w:val="00E07225"/>
    <w:rsid w:val="00E403E3"/>
    <w:rsid w:val="00E40B9A"/>
    <w:rsid w:val="00E5409F"/>
    <w:rsid w:val="00EE6488"/>
    <w:rsid w:val="00F021FA"/>
    <w:rsid w:val="00F40411"/>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BAD"/>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link w:val="Heading1Char"/>
    <w:qFormat/>
    <w:rsid w:val="00D67BA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Char"/>
    <w:basedOn w:val="Normal"/>
    <w:next w:val="ParaNum"/>
    <w:link w:val="Heading2Char"/>
    <w:autoRedefine/>
    <w:qFormat/>
    <w:rsid w:val="00D67BAD"/>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link w:val="Heading3Char"/>
    <w:qFormat/>
    <w:rsid w:val="00D67BAD"/>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ar"/>
    <w:basedOn w:val="Normal"/>
    <w:next w:val="ParaNum"/>
    <w:link w:val="Heading4Char"/>
    <w:qFormat/>
    <w:rsid w:val="00D67BAD"/>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D67BAD"/>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D67BAD"/>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D67BAD"/>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D67BAD"/>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D67BA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67BA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67BAD"/>
  </w:style>
  <w:style w:type="paragraph" w:customStyle="1" w:styleId="ParaNum">
    <w:name w:val="ParaNum"/>
    <w:basedOn w:val="Normal"/>
    <w:link w:val="ParaNumCharChar1"/>
    <w:rsid w:val="00D67BAD"/>
    <w:pPr>
      <w:numPr>
        <w:numId w:val="2"/>
      </w:numPr>
      <w:tabs>
        <w:tab w:val="clear" w:pos="1080"/>
        <w:tab w:val="num" w:pos="1440"/>
      </w:tabs>
      <w:spacing w:after="120"/>
    </w:pPr>
  </w:style>
  <w:style w:type="paragraph" w:styleId="EndnoteText">
    <w:name w:val="endnote text"/>
    <w:basedOn w:val="Normal"/>
    <w:link w:val="EndnoteTextChar"/>
    <w:semiHidden/>
    <w:rsid w:val="00D67BAD"/>
    <w:rPr>
      <w:sz w:val="20"/>
    </w:rPr>
  </w:style>
  <w:style w:type="character" w:styleId="EndnoteReference">
    <w:name w:val="endnote reference"/>
    <w:semiHidden/>
    <w:rsid w:val="00D67BAD"/>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fn "/>
    <w:link w:val="FootnoteTextChar"/>
    <w:rsid w:val="00D67BAD"/>
    <w:pPr>
      <w:spacing w:after="120"/>
    </w:pPr>
  </w:style>
  <w:style w:type="character" w:styleId="FootnoteReference">
    <w:name w:val="footnote reference"/>
    <w:aliases w:val="Style 12,(NECG) Footnote Reference,Style 13,Appel note de bas de p,Style 124,fr,o,Style 3,FR,Style 17,Footnote Reference/,Style 6,Style 7,Style 4,Footnote Reference1,Style 34,Style 9,Style 20,callout,-E Funotenzeichen,A"/>
    <w:rsid w:val="00D67BAD"/>
    <w:rPr>
      <w:rFonts w:ascii="Times New Roman" w:hAnsi="Times New Roman"/>
      <w:dstrike w:val="0"/>
      <w:color w:val="auto"/>
      <w:sz w:val="20"/>
      <w:vertAlign w:val="superscript"/>
    </w:rPr>
  </w:style>
  <w:style w:type="paragraph" w:styleId="TOC1">
    <w:name w:val="toc 1"/>
    <w:basedOn w:val="Normal"/>
    <w:next w:val="Normal"/>
    <w:rsid w:val="00D67BAD"/>
    <w:pPr>
      <w:tabs>
        <w:tab w:val="left" w:pos="360"/>
        <w:tab w:val="right" w:leader="dot" w:pos="9360"/>
      </w:tabs>
      <w:suppressAutoHyphens/>
      <w:ind w:left="360" w:right="720" w:hanging="360"/>
    </w:pPr>
    <w:rPr>
      <w:caps/>
      <w:noProof/>
    </w:rPr>
  </w:style>
  <w:style w:type="paragraph" w:styleId="TOC2">
    <w:name w:val="toc 2"/>
    <w:basedOn w:val="Normal"/>
    <w:next w:val="Normal"/>
    <w:rsid w:val="00D67BAD"/>
    <w:pPr>
      <w:tabs>
        <w:tab w:val="left" w:pos="720"/>
        <w:tab w:val="right" w:leader="dot" w:pos="9360"/>
      </w:tabs>
      <w:suppressAutoHyphens/>
      <w:ind w:left="720" w:right="720" w:hanging="360"/>
    </w:pPr>
    <w:rPr>
      <w:noProof/>
    </w:rPr>
  </w:style>
  <w:style w:type="paragraph" w:styleId="TOC3">
    <w:name w:val="toc 3"/>
    <w:basedOn w:val="Normal"/>
    <w:next w:val="Normal"/>
    <w:rsid w:val="00D67BA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D67BA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67BA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67BA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67BA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67BA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67BA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67BAD"/>
    <w:pPr>
      <w:tabs>
        <w:tab w:val="right" w:pos="9360"/>
      </w:tabs>
      <w:suppressAutoHyphens/>
    </w:pPr>
  </w:style>
  <w:style w:type="character" w:customStyle="1" w:styleId="EquationCaption">
    <w:name w:val="_Equation Caption"/>
    <w:rsid w:val="00D67BAD"/>
  </w:style>
  <w:style w:type="paragraph" w:styleId="Header">
    <w:name w:val="header"/>
    <w:basedOn w:val="Normal"/>
    <w:link w:val="HeaderChar"/>
    <w:autoRedefine/>
    <w:rsid w:val="00D67BAD"/>
    <w:pPr>
      <w:tabs>
        <w:tab w:val="center" w:pos="4680"/>
        <w:tab w:val="right" w:pos="9360"/>
      </w:tabs>
    </w:pPr>
    <w:rPr>
      <w:b/>
    </w:rPr>
  </w:style>
  <w:style w:type="paragraph" w:styleId="Footer">
    <w:name w:val="footer"/>
    <w:basedOn w:val="Normal"/>
    <w:link w:val="FooterChar"/>
    <w:rsid w:val="00D67BAD"/>
    <w:pPr>
      <w:tabs>
        <w:tab w:val="center" w:pos="4320"/>
        <w:tab w:val="right" w:pos="8640"/>
      </w:tabs>
    </w:pPr>
  </w:style>
  <w:style w:type="character" w:styleId="PageNumber">
    <w:name w:val="page number"/>
    <w:basedOn w:val="DefaultParagraphFont"/>
    <w:rsid w:val="00D67BAD"/>
  </w:style>
  <w:style w:type="paragraph" w:styleId="BlockText">
    <w:name w:val="Block Text"/>
    <w:basedOn w:val="Normal"/>
    <w:rsid w:val="00D67BAD"/>
    <w:pPr>
      <w:spacing w:after="240"/>
      <w:ind w:left="1440" w:right="1440"/>
    </w:pPr>
  </w:style>
  <w:style w:type="paragraph" w:customStyle="1" w:styleId="Paratitle">
    <w:name w:val="Para title"/>
    <w:basedOn w:val="Normal"/>
    <w:rsid w:val="00D67BAD"/>
    <w:pPr>
      <w:tabs>
        <w:tab w:val="center" w:pos="9270"/>
      </w:tabs>
      <w:spacing w:after="240"/>
    </w:pPr>
    <w:rPr>
      <w:spacing w:val="-2"/>
    </w:rPr>
  </w:style>
  <w:style w:type="paragraph" w:customStyle="1" w:styleId="Bullet">
    <w:name w:val="Bullet"/>
    <w:basedOn w:val="Normal"/>
    <w:rsid w:val="00D67BAD"/>
    <w:pPr>
      <w:tabs>
        <w:tab w:val="left" w:pos="2160"/>
      </w:tabs>
      <w:spacing w:after="220"/>
      <w:ind w:left="2160" w:hanging="720"/>
    </w:pPr>
  </w:style>
  <w:style w:type="paragraph" w:customStyle="1" w:styleId="TableFormat">
    <w:name w:val="TableFormat"/>
    <w:basedOn w:val="Bullet"/>
    <w:rsid w:val="00D67BAD"/>
    <w:pPr>
      <w:tabs>
        <w:tab w:val="clear" w:pos="2160"/>
        <w:tab w:val="left" w:pos="5040"/>
      </w:tabs>
      <w:ind w:left="5040" w:hanging="3600"/>
    </w:pPr>
  </w:style>
  <w:style w:type="paragraph" w:customStyle="1" w:styleId="TOCTitle">
    <w:name w:val="TOC Title"/>
    <w:basedOn w:val="Normal"/>
    <w:rsid w:val="00D67BA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67BAD"/>
    <w:pPr>
      <w:jc w:val="center"/>
    </w:pPr>
    <w:rPr>
      <w:rFonts w:ascii="Times New Roman Bold" w:hAnsi="Times New Roman Bold"/>
      <w:b/>
      <w:bCs/>
      <w:caps/>
      <w:szCs w:val="22"/>
    </w:rPr>
  </w:style>
  <w:style w:type="character" w:styleId="Hyperlink">
    <w:name w:val="Hyperlink"/>
    <w:rsid w:val="00D67BAD"/>
    <w:rPr>
      <w:color w:val="0000FF"/>
      <w:u w:val="single"/>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rsid w:val="00444220"/>
    <w:rPr>
      <w:rFonts w:ascii="Times New Roman Bold" w:hAnsi="Times New Roman Bold"/>
      <w:b/>
      <w:caps/>
      <w:snapToGrid w:val="0"/>
      <w:kern w:val="28"/>
      <w:sz w:val="22"/>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Char Char"/>
    <w:link w:val="Heading2"/>
    <w:rsid w:val="00444220"/>
    <w:rPr>
      <w:b/>
      <w:snapToGrid w:val="0"/>
      <w:kern w:val="28"/>
      <w:sz w:val="22"/>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link w:val="Heading3"/>
    <w:rsid w:val="00444220"/>
    <w:rPr>
      <w:b/>
      <w:snapToGrid w:val="0"/>
      <w:kern w:val="28"/>
      <w:sz w:val="22"/>
    </w:rPr>
  </w:style>
  <w:style w:type="character" w:customStyle="1" w:styleId="Heading4Char">
    <w:name w:val="Heading 4 Char"/>
    <w:aliases w:val="Heading 4 Char2 Char,Heading 4 Char1 Char Char,Heading 4 Char Char Char Char,Heading 4 Char Char1 Char,Heading 4 Char1 Char1,Heading 4 Char Char Char1,Heading 4 Char2 Char Char Char,Heading 4 Char1 Char1 Char Char Char"/>
    <w:link w:val="Heading4"/>
    <w:rsid w:val="00444220"/>
    <w:rPr>
      <w:b/>
      <w:snapToGrid w:val="0"/>
      <w:kern w:val="28"/>
      <w:sz w:val="22"/>
    </w:rPr>
  </w:style>
  <w:style w:type="character" w:customStyle="1" w:styleId="Heading5Char">
    <w:name w:val="Heading 5 Char"/>
    <w:link w:val="Heading5"/>
    <w:rsid w:val="00444220"/>
    <w:rPr>
      <w:b/>
      <w:snapToGrid w:val="0"/>
      <w:kern w:val="28"/>
      <w:sz w:val="22"/>
    </w:rPr>
  </w:style>
  <w:style w:type="character" w:customStyle="1" w:styleId="Heading6Char">
    <w:name w:val="Heading 6 Char"/>
    <w:aliases w:val="h6 Char"/>
    <w:link w:val="Heading6"/>
    <w:rsid w:val="00444220"/>
    <w:rPr>
      <w:b/>
      <w:snapToGrid w:val="0"/>
      <w:kern w:val="28"/>
      <w:sz w:val="22"/>
    </w:rPr>
  </w:style>
  <w:style w:type="character" w:customStyle="1" w:styleId="Heading7Char">
    <w:name w:val="Heading 7 Char"/>
    <w:link w:val="Heading7"/>
    <w:rsid w:val="00444220"/>
    <w:rPr>
      <w:b/>
      <w:snapToGrid w:val="0"/>
      <w:kern w:val="28"/>
      <w:sz w:val="22"/>
    </w:rPr>
  </w:style>
  <w:style w:type="character" w:customStyle="1" w:styleId="Heading8Char">
    <w:name w:val="Heading 8 Char"/>
    <w:link w:val="Heading8"/>
    <w:rsid w:val="00444220"/>
    <w:rPr>
      <w:b/>
      <w:snapToGrid w:val="0"/>
      <w:kern w:val="28"/>
      <w:sz w:val="22"/>
    </w:rPr>
  </w:style>
  <w:style w:type="character" w:customStyle="1" w:styleId="Heading9Char">
    <w:name w:val="Heading 9 Char"/>
    <w:aliases w:val="Topic Char,table Char,t Char,9 Char,Heading 9.table Char,Titre 9 Char"/>
    <w:link w:val="Heading9"/>
    <w:rsid w:val="00444220"/>
    <w:rPr>
      <w:b/>
      <w:snapToGrid w:val="0"/>
      <w:kern w:val="28"/>
      <w:sz w:val="22"/>
    </w:rPr>
  </w:style>
  <w:style w:type="character" w:customStyle="1" w:styleId="EndnoteTextChar">
    <w:name w:val="Endnote Text Char"/>
    <w:link w:val="EndnoteText"/>
    <w:semiHidden/>
    <w:rsid w:val="00444220"/>
    <w:rPr>
      <w:snapToGrid w:val="0"/>
      <w:kern w:val="28"/>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rsid w:val="00444220"/>
  </w:style>
  <w:style w:type="character" w:customStyle="1" w:styleId="HeaderChar">
    <w:name w:val="Header Char"/>
    <w:link w:val="Header"/>
    <w:rsid w:val="00444220"/>
    <w:rPr>
      <w:b/>
      <w:snapToGrid w:val="0"/>
      <w:kern w:val="28"/>
      <w:sz w:val="22"/>
    </w:rPr>
  </w:style>
  <w:style w:type="character" w:customStyle="1" w:styleId="FooterChar">
    <w:name w:val="Footer Char"/>
    <w:link w:val="Footer"/>
    <w:rsid w:val="00444220"/>
    <w:rPr>
      <w:snapToGrid w:val="0"/>
      <w:kern w:val="28"/>
      <w:sz w:val="22"/>
    </w:rPr>
  </w:style>
  <w:style w:type="character" w:customStyle="1" w:styleId="ParaNumCharChar1">
    <w:name w:val="ParaNum Char Char1"/>
    <w:link w:val="ParaNum"/>
    <w:locked/>
    <w:rsid w:val="00444220"/>
    <w:rPr>
      <w:snapToGrid w:val="0"/>
      <w:kern w:val="28"/>
      <w:sz w:val="22"/>
    </w:rPr>
  </w:style>
  <w:style w:type="character" w:styleId="CommentReference">
    <w:name w:val="annotation reference"/>
    <w:uiPriority w:val="99"/>
    <w:rsid w:val="00444220"/>
    <w:rPr>
      <w:sz w:val="16"/>
      <w:szCs w:val="16"/>
    </w:rPr>
  </w:style>
  <w:style w:type="paragraph" w:styleId="CommentText">
    <w:name w:val="annotation text"/>
    <w:basedOn w:val="Normal"/>
    <w:link w:val="CommentTextChar"/>
    <w:uiPriority w:val="99"/>
    <w:rsid w:val="00444220"/>
    <w:rPr>
      <w:sz w:val="20"/>
    </w:rPr>
  </w:style>
  <w:style w:type="character" w:customStyle="1" w:styleId="CommentTextChar">
    <w:name w:val="Comment Text Char"/>
    <w:link w:val="CommentText"/>
    <w:uiPriority w:val="99"/>
    <w:rsid w:val="00444220"/>
    <w:rPr>
      <w:snapToGrid w:val="0"/>
      <w:kern w:val="28"/>
    </w:rPr>
  </w:style>
  <w:style w:type="paragraph" w:styleId="BalloonText">
    <w:name w:val="Balloon Text"/>
    <w:basedOn w:val="Normal"/>
    <w:link w:val="BalloonTextChar"/>
    <w:rsid w:val="00444220"/>
    <w:rPr>
      <w:rFonts w:ascii="Segoe UI" w:hAnsi="Segoe UI" w:cs="Segoe UI"/>
      <w:sz w:val="18"/>
      <w:szCs w:val="18"/>
    </w:rPr>
  </w:style>
  <w:style w:type="character" w:customStyle="1" w:styleId="BalloonTextChar">
    <w:name w:val="Balloon Text Char"/>
    <w:link w:val="BalloonText"/>
    <w:rsid w:val="00444220"/>
    <w:rPr>
      <w:rFonts w:ascii="Segoe UI" w:hAnsi="Segoe UI" w:cs="Segoe UI"/>
      <w:snapToGrid w:val="0"/>
      <w:kern w:val="28"/>
      <w:sz w:val="18"/>
      <w:szCs w:val="18"/>
    </w:rPr>
  </w:style>
  <w:style w:type="character" w:customStyle="1" w:styleId="ParaNumChar">
    <w:name w:val="ParaNum Char"/>
    <w:locked/>
    <w:rsid w:val="00444220"/>
    <w:rPr>
      <w:snapToGrid w:val="0"/>
      <w:kern w:val="28"/>
      <w:sz w:val="22"/>
    </w:rPr>
  </w:style>
  <w:style w:type="character" w:customStyle="1" w:styleId="Footnote">
    <w:name w:val="Footnote"/>
    <w:rsid w:val="00444220"/>
    <w:rPr>
      <w:rFonts w:cs="Times New Roman"/>
    </w:rPr>
  </w:style>
  <w:style w:type="paragraph" w:styleId="ListParagraph">
    <w:name w:val="List Paragraph"/>
    <w:basedOn w:val="Normal"/>
    <w:uiPriority w:val="34"/>
    <w:qFormat/>
    <w:rsid w:val="00444220"/>
    <w:pPr>
      <w:widowControl/>
      <w:spacing w:after="160" w:line="259" w:lineRule="auto"/>
      <w:ind w:left="720"/>
      <w:contextualSpacing/>
    </w:pPr>
    <w:rPr>
      <w:rFonts w:ascii="Calibri" w:eastAsia="Calibri" w:hAnsi="Calibri"/>
      <w:snapToGrid/>
      <w:kern w:val="0"/>
      <w:szCs w:val="22"/>
    </w:rPr>
  </w:style>
  <w:style w:type="paragraph" w:styleId="CommentSubject">
    <w:name w:val="annotation subject"/>
    <w:basedOn w:val="CommentText"/>
    <w:next w:val="CommentText"/>
    <w:link w:val="CommentSubjectChar"/>
    <w:rsid w:val="00444220"/>
    <w:rPr>
      <w:b/>
      <w:bCs/>
    </w:rPr>
  </w:style>
  <w:style w:type="character" w:customStyle="1" w:styleId="CommentSubjectChar">
    <w:name w:val="Comment Subject Char"/>
    <w:link w:val="CommentSubject"/>
    <w:rsid w:val="00444220"/>
    <w:rPr>
      <w:b/>
      <w:bCs/>
      <w:snapToGrid w:val="0"/>
      <w:kern w:val="28"/>
    </w:rPr>
  </w:style>
  <w:style w:type="character" w:customStyle="1" w:styleId="Mention1">
    <w:name w:val="Mention1"/>
    <w:uiPriority w:val="99"/>
    <w:semiHidden/>
    <w:unhideWhenUsed/>
    <w:rsid w:val="00444220"/>
    <w:rPr>
      <w:color w:val="2B579A"/>
      <w:shd w:val="clear" w:color="auto" w:fill="E6E6E6"/>
    </w:rPr>
  </w:style>
  <w:style w:type="paragraph" w:styleId="BodyText">
    <w:name w:val="Body Text"/>
    <w:basedOn w:val="Normal"/>
    <w:link w:val="BodyTextChar"/>
    <w:rsid w:val="00444220"/>
    <w:pPr>
      <w:jc w:val="both"/>
    </w:pPr>
    <w:rPr>
      <w:snapToGrid/>
    </w:rPr>
  </w:style>
  <w:style w:type="character" w:customStyle="1" w:styleId="BodyTextChar">
    <w:name w:val="Body Text Char"/>
    <w:link w:val="BodyText"/>
    <w:rsid w:val="00444220"/>
    <w:rPr>
      <w:kern w:val="28"/>
      <w:sz w:val="22"/>
    </w:rPr>
  </w:style>
  <w:style w:type="character" w:customStyle="1" w:styleId="Mention2">
    <w:name w:val="Mention2"/>
    <w:uiPriority w:val="99"/>
    <w:semiHidden/>
    <w:unhideWhenUsed/>
    <w:rsid w:val="00444220"/>
    <w:rPr>
      <w:color w:val="2B579A"/>
      <w:shd w:val="clear" w:color="auto" w:fill="E6E6E6"/>
    </w:rPr>
  </w:style>
  <w:style w:type="table" w:styleId="TableGrid">
    <w:name w:val="Table Grid"/>
    <w:basedOn w:val="TableNormal"/>
    <w:uiPriority w:val="59"/>
    <w:rsid w:val="0044422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44220"/>
    <w:rPr>
      <w:snapToGrid w:val="0"/>
      <w:kern w:val="28"/>
      <w:sz w:val="22"/>
    </w:rPr>
  </w:style>
  <w:style w:type="character" w:styleId="FollowedHyperlink">
    <w:name w:val="FollowedHyperlink"/>
    <w:rsid w:val="00444220"/>
    <w:rPr>
      <w:color w:val="800080"/>
      <w:u w:val="single"/>
    </w:rPr>
  </w:style>
  <w:style w:type="character" w:customStyle="1" w:styleId="Mention3">
    <w:name w:val="Mention3"/>
    <w:uiPriority w:val="99"/>
    <w:semiHidden/>
    <w:unhideWhenUsed/>
    <w:rsid w:val="00444220"/>
    <w:rPr>
      <w:color w:val="2B579A"/>
      <w:shd w:val="clear" w:color="auto" w:fill="E6E6E6"/>
    </w:rPr>
  </w:style>
  <w:style w:type="paragraph" w:styleId="TOCHeading">
    <w:name w:val="TOC Heading"/>
    <w:basedOn w:val="Heading1"/>
    <w:next w:val="Normal"/>
    <w:uiPriority w:val="39"/>
    <w:unhideWhenUsed/>
    <w:qFormat/>
    <w:rsid w:val="00444220"/>
    <w:pPr>
      <w:keepLines/>
      <w:widowControl/>
      <w:numPr>
        <w:numId w:val="0"/>
      </w:numPr>
      <w:tabs>
        <w:tab w:val="left" w:pos="720"/>
      </w:tabs>
      <w:suppressAutoHyphens w:val="0"/>
      <w:spacing w:before="240" w:after="0" w:line="259" w:lineRule="auto"/>
      <w:outlineLvl w:val="9"/>
    </w:pPr>
    <w:rPr>
      <w:rFonts w:ascii="Cambria" w:hAnsi="Cambria"/>
      <w:b w:val="0"/>
      <w:caps w:val="0"/>
      <w:snapToGrid/>
      <w:color w:val="365F91"/>
      <w:kern w:val="0"/>
      <w:sz w:val="32"/>
      <w:szCs w:val="32"/>
    </w:rPr>
  </w:style>
  <w:style w:type="character" w:customStyle="1" w:styleId="Mention4">
    <w:name w:val="Mention4"/>
    <w:uiPriority w:val="99"/>
    <w:semiHidden/>
    <w:unhideWhenUsed/>
    <w:rsid w:val="00444220"/>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0.xml"/><Relationship Id="rId10" Type="http://schemas.openxmlformats.org/officeDocument/2006/relationships/hyperlink" Target="mailto:Alex.Espinoza@fcc.gov"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jstor.org/stable/4123255" TargetMode="External"/><Relationship Id="rId13" Type="http://schemas.openxmlformats.org/officeDocument/2006/relationships/hyperlink" Target="http://www2.census.gov/library/publications/2011/compendia/statab/131ed/2012-statab.pdf" TargetMode="External"/><Relationship Id="rId18" Type="http://schemas.openxmlformats.org/officeDocument/2006/relationships/hyperlink" Target="http://hraunfoss.fcc.gov/edocs_public/attachmatch/DOC-301823A1.pdf" TargetMode="External"/><Relationship Id="rId26" Type="http://schemas.openxmlformats.org/officeDocument/2006/relationships/hyperlink" Target="http://apps.fcc.gov/cgb/form499/499a.cfm" TargetMode="External"/><Relationship Id="rId3" Type="http://schemas.openxmlformats.org/officeDocument/2006/relationships/hyperlink" Target="https://www.accc.gov.au/system/files/37%20-%20ACMA%20Telco%20Performance%20Report%202004-05.pdf" TargetMode="External"/><Relationship Id="rId21" Type="http://schemas.openxmlformats.org/officeDocument/2006/relationships/hyperlink" Target="http://factfinder.census.gov/faces/tableservices/jsf/pages/productview.xhtml?pid=ECN_2012_US_51SSSZ2&amp;prodType=table" TargetMode="External"/><Relationship Id="rId34" Type="http://schemas.openxmlformats.org/officeDocument/2006/relationships/hyperlink" Target="http://www.snl.com/interactivex/MultichannelIndustryBenchmarks.aspx" TargetMode="External"/><Relationship Id="rId7" Type="http://schemas.openxmlformats.org/officeDocument/2006/relationships/hyperlink" Target="http://www.sciencedirect.com/science/article/pii/S0165-1765(04)00231-9" TargetMode="External"/><Relationship Id="rId12" Type="http://schemas.openxmlformats.org/officeDocument/2006/relationships/hyperlink" Target="https://www.sba.gov/sites/default/files/advocacy/SB-FAQ-2016_WEB.pdf" TargetMode="External"/><Relationship Id="rId17" Type="http://schemas.openxmlformats.org/officeDocument/2006/relationships/hyperlink" Target="http://factfinder.census.gov/faces/tableservices/jsf/pages/productview.xhtml?pid=ECN_2012_US_51SSSZ2&amp;prodType=table" TargetMode="External"/><Relationship Id="rId25" Type="http://schemas.openxmlformats.org/officeDocument/2006/relationships/hyperlink" Target="http://factfinder.census.gov/faces/tableservices/jsf/pages/productview.xhtml?pid=ECN_2012_US_51SSSZ2&amp;prodType=table" TargetMode="External"/><Relationship Id="rId33" Type="http://schemas.openxmlformats.org/officeDocument/2006/relationships/hyperlink" Target="http://www.fcc.gov/coals" TargetMode="External"/><Relationship Id="rId2" Type="http://schemas.openxmlformats.org/officeDocument/2006/relationships/hyperlink" Target="http://www.nanc-chair.org/docs/mtg_docs/Jun17_TFNA_Report.pdf" TargetMode="External"/><Relationship Id="rId16" Type="http://schemas.openxmlformats.org/officeDocument/2006/relationships/hyperlink" Target="http://factfinder.census.gov/faces/tableservices/jsf/pages/productview.xhtml?pid=ECN_2012_US_51SSSZ2&amp;prodType=table" TargetMode="External"/><Relationship Id="rId20" Type="http://schemas.openxmlformats.org/officeDocument/2006/relationships/hyperlink" Target="http://factfinder.census.gov/faces/tableservices/jsf/pages/productview.xhtml?pid=ECN_2012_US_51SSSZ2&amp;prodType=table" TargetMode="External"/><Relationship Id="rId29" Type="http://schemas.openxmlformats.org/officeDocument/2006/relationships/hyperlink" Target="http://wireless.fcc.gov/uls" TargetMode="External"/><Relationship Id="rId1" Type="http://schemas.openxmlformats.org/officeDocument/2006/relationships/hyperlink" Target="https://www.nationalnanpa.com/about_us/abt_nanp.html" TargetMode="External"/><Relationship Id="rId6" Type="http://schemas.openxmlformats.org/officeDocument/2006/relationships/hyperlink" Target="http://www.jstor.org/stable/2937643" TargetMode="External"/><Relationship Id="rId11" Type="http://schemas.openxmlformats.org/officeDocument/2006/relationships/hyperlink" Target="https://www.sba.gov/sites/default/files/advocacy/SB-FAQ-2016_WEB.pdf" TargetMode="External"/><Relationship Id="rId24" Type="http://schemas.openxmlformats.org/officeDocument/2006/relationships/hyperlink" Target="http://factfinder.census.gov/faces/tableservices/jsf/pages/productview.xhtml?pid=ECN_2012_US_51SSSZ2&amp;prodType=table" TargetMode="External"/><Relationship Id="rId32" Type="http://schemas.openxmlformats.org/officeDocument/2006/relationships/hyperlink" Target="http://www.fcc.gov/coals" TargetMode="External"/><Relationship Id="rId37" Type="http://schemas.openxmlformats.org/officeDocument/2006/relationships/hyperlink" Target="http://factfinder.census.gov/faces/tableservices/jsf/pages/productview.xhtml?pid=ECN_2012_US_51SSSZ4&amp;prodType=table" TargetMode="External"/><Relationship Id="rId5" Type="http://schemas.openxmlformats.org/officeDocument/2006/relationships/hyperlink" Target="http://cramton.umd.edu/ca-book/cramton-shoham-steinberg-combinatorial-auctions.pdf" TargetMode="External"/><Relationship Id="rId15" Type="http://schemas.openxmlformats.org/officeDocument/2006/relationships/hyperlink" Target="http://www.census.gov/cgi-bin/sssd/naics/naicsrch" TargetMode="External"/><Relationship Id="rId23" Type="http://schemas.openxmlformats.org/officeDocument/2006/relationships/hyperlink" Target="https://www.census.gov/cgi-bin/sssd/naics/naicsrch?input=517911&amp;search=2012+NAICS+Search&amp;search=2012" TargetMode="External"/><Relationship Id="rId28" Type="http://schemas.openxmlformats.org/officeDocument/2006/relationships/hyperlink" Target="https://factfinder.census.gov/faces/tableservices/jsf/pages/productview.xhtml?pid=ECN_2012_US_51SSSZ2&amp;prodType=table" TargetMode="External"/><Relationship Id="rId36" Type="http://schemas.openxmlformats.org/officeDocument/2006/relationships/hyperlink" Target="http://www.census.gov/cgi-bin/sssd/naics/naicsrch" TargetMode="External"/><Relationship Id="rId10" Type="http://schemas.openxmlformats.org/officeDocument/2006/relationships/hyperlink" Target="https://www.ebay.com/sch/i.html?_nkw=toll+free+number" TargetMode="External"/><Relationship Id="rId19" Type="http://schemas.openxmlformats.org/officeDocument/2006/relationships/hyperlink" Target="http://hraunfoss.fcc.gov/edocs_public/attachmatch/DOC-301823A1.pdf" TargetMode="External"/><Relationship Id="rId31" Type="http://schemas.openxmlformats.org/officeDocument/2006/relationships/hyperlink" Target="https://factfinder.census.gov/faces/tableservices/jsf/pages/productview.xhtml?pid=ECN_2012_US_51SSSZ2&amp;prodType=table" TargetMode="External"/><Relationship Id="rId4" Type="http://schemas.openxmlformats.org/officeDocument/2006/relationships/hyperlink" Target="http://vita.mcafee.cc/PDF/JEL.pdf" TargetMode="External"/><Relationship Id="rId9" Type="http://schemas.openxmlformats.org/officeDocument/2006/relationships/hyperlink" Target="http://www.bing.com/search?q=vanity+toll+free+numbers+for+sale&amp;src=IE-SearchBox&amp;FORM=IESR02" TargetMode="External"/><Relationship Id="rId14" Type="http://schemas.openxmlformats.org/officeDocument/2006/relationships/hyperlink" Target="http://www.census.gov/popest/data/cities/totals/2011/index.html" TargetMode="External"/><Relationship Id="rId22" Type="http://schemas.openxmlformats.org/officeDocument/2006/relationships/hyperlink" Target="https://www.census.gov/cgi-bin/sssd/naics/naicsrch?input=517911&amp;search=2012+NAICS+Search&amp;search=2012" TargetMode="External"/><Relationship Id="rId27" Type="http://schemas.openxmlformats.org/officeDocument/2006/relationships/hyperlink" Target="https://factfinder.census.gov/faces/affhelp/jsf/pages/metadata.xhtml?lang=en&amp;type=ib&amp;id=ib.en./ECN.NAICS2012.517210" TargetMode="External"/><Relationship Id="rId30" Type="http://schemas.openxmlformats.org/officeDocument/2006/relationships/hyperlink" Target="https://www.census.gov/cgi-bin/sssd/naics/naicsrch?input=515210&amp;search=2012+NAICS+Search&amp;search=2012" TargetMode="External"/><Relationship Id="rId35" Type="http://schemas.openxmlformats.org/officeDocument/2006/relationships/hyperlink" Target="http://www.snl.com/interactivex/TopCable%20MSO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15794</Words>
  <Characters>85446</Characters>
  <Application>Microsoft Office Word</Application>
  <DocSecurity>0</DocSecurity>
  <Lines>1211</Lines>
  <Paragraphs>242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101597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2017-09-28T17:13:00Z</dcterms:created>
  <dcterms:modified xsi:type="dcterms:W3CDTF">2017-09-28T17:13:00Z</dcterms:modified>
  <cp:category> </cp:category>
  <cp:contentStatus> </cp:contentStatus>
</cp:coreProperties>
</file>