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77" w:rsidRDefault="00445B77" w:rsidP="00445B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445B77" w:rsidRDefault="00445B77" w:rsidP="00445B77">
      <w:pPr>
        <w:pStyle w:val="StyleBoldCentered"/>
      </w:pPr>
      <w:r>
        <w:t>F</w:t>
      </w:r>
      <w:r>
        <w:rPr>
          <w:caps w:val="0"/>
        </w:rPr>
        <w:t>ederal Communications Commission</w:t>
      </w:r>
    </w:p>
    <w:p w:rsidR="00445B77" w:rsidRDefault="00445B77" w:rsidP="00445B77">
      <w:pPr>
        <w:pStyle w:val="StyleBoldCentered"/>
        <w:rPr>
          <w:caps w:val="0"/>
        </w:rPr>
      </w:pPr>
      <w:r>
        <w:rPr>
          <w:caps w:val="0"/>
        </w:rPr>
        <w:t>Washington, D.C. 20554</w:t>
      </w:r>
    </w:p>
    <w:p w:rsidR="00445B77" w:rsidRDefault="00445B77" w:rsidP="00445B77">
      <w:pPr>
        <w:pStyle w:val="StyleBoldCentered"/>
      </w:pPr>
    </w:p>
    <w:tbl>
      <w:tblPr>
        <w:tblW w:w="0" w:type="auto"/>
        <w:tblLayout w:type="fixed"/>
        <w:tblLook w:val="0000" w:firstRow="0" w:lastRow="0" w:firstColumn="0" w:lastColumn="0" w:noHBand="0" w:noVBand="0"/>
      </w:tblPr>
      <w:tblGrid>
        <w:gridCol w:w="4698"/>
        <w:gridCol w:w="630"/>
        <w:gridCol w:w="4248"/>
      </w:tblGrid>
      <w:tr w:rsidR="00445B77" w:rsidTr="006E63E7">
        <w:tc>
          <w:tcPr>
            <w:tcW w:w="4698" w:type="dxa"/>
          </w:tcPr>
          <w:p w:rsidR="00445B77" w:rsidRDefault="00445B77" w:rsidP="006E63E7">
            <w:pPr>
              <w:tabs>
                <w:tab w:val="center" w:pos="4680"/>
              </w:tabs>
              <w:suppressAutoHyphens/>
              <w:rPr>
                <w:spacing w:val="-2"/>
              </w:rPr>
            </w:pPr>
            <w:r>
              <w:rPr>
                <w:spacing w:val="-2"/>
              </w:rPr>
              <w:t>In the Matter of</w:t>
            </w:r>
          </w:p>
          <w:p w:rsidR="00445B77" w:rsidRDefault="00445B77" w:rsidP="006E63E7">
            <w:pPr>
              <w:tabs>
                <w:tab w:val="center" w:pos="4680"/>
              </w:tabs>
              <w:suppressAutoHyphens/>
              <w:rPr>
                <w:spacing w:val="-2"/>
              </w:rPr>
            </w:pPr>
          </w:p>
          <w:p w:rsidR="00445B77" w:rsidRDefault="00445B77" w:rsidP="006E63E7">
            <w:pPr>
              <w:tabs>
                <w:tab w:val="center" w:pos="4680"/>
              </w:tabs>
              <w:suppressAutoHyphens/>
              <w:rPr>
                <w:spacing w:val="-2"/>
              </w:rPr>
            </w:pPr>
            <w:r>
              <w:rPr>
                <w:spacing w:val="-2"/>
              </w:rPr>
              <w:t>R&amp;F Broadcasting, Inc.</w:t>
            </w:r>
          </w:p>
          <w:p w:rsidR="00445B77" w:rsidRDefault="00445B77" w:rsidP="006E63E7">
            <w:pPr>
              <w:tabs>
                <w:tab w:val="center" w:pos="4680"/>
              </w:tabs>
              <w:suppressAutoHyphens/>
              <w:rPr>
                <w:spacing w:val="-2"/>
              </w:rPr>
            </w:pPr>
            <w:r>
              <w:rPr>
                <w:spacing w:val="-2"/>
              </w:rPr>
              <w:t>Licensee of Station WRFB(TV)</w:t>
            </w:r>
            <w:r w:rsidR="006C7D6E">
              <w:rPr>
                <w:spacing w:val="-2"/>
              </w:rPr>
              <w:t>,</w:t>
            </w:r>
          </w:p>
          <w:p w:rsidR="00445B77" w:rsidRPr="007115F7" w:rsidRDefault="00445B77" w:rsidP="006E63E7">
            <w:pPr>
              <w:tabs>
                <w:tab w:val="center" w:pos="4680"/>
              </w:tabs>
              <w:suppressAutoHyphens/>
              <w:rPr>
                <w:spacing w:val="-2"/>
              </w:rPr>
            </w:pPr>
            <w:r>
              <w:rPr>
                <w:spacing w:val="-2"/>
              </w:rPr>
              <w:t>Carolina, Puerto Rico</w:t>
            </w:r>
          </w:p>
        </w:tc>
        <w:tc>
          <w:tcPr>
            <w:tcW w:w="630" w:type="dxa"/>
          </w:tcPr>
          <w:p w:rsidR="00445B77" w:rsidRDefault="00445B77" w:rsidP="006E63E7">
            <w:pPr>
              <w:tabs>
                <w:tab w:val="center" w:pos="4680"/>
              </w:tabs>
              <w:suppressAutoHyphens/>
              <w:rPr>
                <w:b/>
                <w:spacing w:val="-2"/>
              </w:rPr>
            </w:pPr>
            <w:r>
              <w:rPr>
                <w:b/>
                <w:spacing w:val="-2"/>
              </w:rPr>
              <w:t>)</w:t>
            </w:r>
          </w:p>
          <w:p w:rsidR="00445B77" w:rsidRDefault="00445B77" w:rsidP="006E63E7">
            <w:pPr>
              <w:tabs>
                <w:tab w:val="center" w:pos="4680"/>
              </w:tabs>
              <w:suppressAutoHyphens/>
              <w:rPr>
                <w:b/>
                <w:spacing w:val="-2"/>
              </w:rPr>
            </w:pPr>
            <w:r>
              <w:rPr>
                <w:b/>
                <w:spacing w:val="-2"/>
              </w:rPr>
              <w:t>)</w:t>
            </w:r>
          </w:p>
          <w:p w:rsidR="00445B77" w:rsidRDefault="00445B77" w:rsidP="006E63E7">
            <w:pPr>
              <w:tabs>
                <w:tab w:val="center" w:pos="4680"/>
              </w:tabs>
              <w:suppressAutoHyphens/>
              <w:rPr>
                <w:b/>
                <w:spacing w:val="-2"/>
              </w:rPr>
            </w:pPr>
            <w:r>
              <w:rPr>
                <w:b/>
                <w:spacing w:val="-2"/>
              </w:rPr>
              <w:t>)</w:t>
            </w:r>
          </w:p>
          <w:p w:rsidR="00445B77" w:rsidRDefault="00445B77" w:rsidP="006E63E7">
            <w:pPr>
              <w:tabs>
                <w:tab w:val="center" w:pos="4680"/>
              </w:tabs>
              <w:suppressAutoHyphens/>
              <w:rPr>
                <w:b/>
                <w:spacing w:val="-2"/>
              </w:rPr>
            </w:pPr>
            <w:r>
              <w:rPr>
                <w:b/>
                <w:spacing w:val="-2"/>
              </w:rPr>
              <w:t>)</w:t>
            </w:r>
          </w:p>
          <w:p w:rsidR="00445B77" w:rsidRDefault="00445B77" w:rsidP="006E63E7">
            <w:pPr>
              <w:tabs>
                <w:tab w:val="center" w:pos="4680"/>
              </w:tabs>
              <w:suppressAutoHyphens/>
              <w:rPr>
                <w:b/>
                <w:spacing w:val="-2"/>
              </w:rPr>
            </w:pPr>
            <w:r>
              <w:rPr>
                <w:b/>
                <w:spacing w:val="-2"/>
              </w:rPr>
              <w:t>)</w:t>
            </w:r>
          </w:p>
          <w:p w:rsidR="00445B77" w:rsidRPr="000D6142" w:rsidRDefault="00445B77" w:rsidP="006E63E7">
            <w:pPr>
              <w:tabs>
                <w:tab w:val="center" w:pos="4680"/>
              </w:tabs>
              <w:suppressAutoHyphens/>
              <w:rPr>
                <w:b/>
                <w:spacing w:val="-2"/>
              </w:rPr>
            </w:pPr>
            <w:r>
              <w:rPr>
                <w:b/>
                <w:spacing w:val="-2"/>
              </w:rPr>
              <w:t>)</w:t>
            </w:r>
          </w:p>
        </w:tc>
        <w:tc>
          <w:tcPr>
            <w:tcW w:w="4248" w:type="dxa"/>
          </w:tcPr>
          <w:p w:rsidR="00445B77" w:rsidRDefault="00445B77" w:rsidP="006E63E7">
            <w:pPr>
              <w:tabs>
                <w:tab w:val="center" w:pos="4680"/>
              </w:tabs>
              <w:suppressAutoHyphens/>
              <w:rPr>
                <w:spacing w:val="-2"/>
              </w:rPr>
            </w:pPr>
          </w:p>
          <w:p w:rsidR="00445B77" w:rsidRDefault="00445B77" w:rsidP="006E63E7">
            <w:pPr>
              <w:pStyle w:val="TOAHeading"/>
              <w:tabs>
                <w:tab w:val="clear" w:pos="9360"/>
                <w:tab w:val="center" w:pos="4680"/>
              </w:tabs>
              <w:rPr>
                <w:spacing w:val="-2"/>
              </w:rPr>
            </w:pPr>
          </w:p>
          <w:p w:rsidR="00851D0D" w:rsidRDefault="00851D0D" w:rsidP="00851D0D">
            <w:pPr>
              <w:tabs>
                <w:tab w:val="center" w:pos="4680"/>
              </w:tabs>
              <w:suppressAutoHyphens/>
              <w:rPr>
                <w:spacing w:val="-2"/>
              </w:rPr>
            </w:pPr>
            <w:r>
              <w:t xml:space="preserve">File No. </w:t>
            </w:r>
            <w:r>
              <w:rPr>
                <w:szCs w:val="22"/>
              </w:rPr>
              <w:t>BRCDT-20121001AGN</w:t>
            </w:r>
          </w:p>
          <w:p w:rsidR="00851D0D" w:rsidRDefault="00851D0D" w:rsidP="00851D0D">
            <w:pPr>
              <w:tabs>
                <w:tab w:val="center" w:pos="4680"/>
              </w:tabs>
              <w:suppressAutoHyphens/>
              <w:rPr>
                <w:spacing w:val="-2"/>
              </w:rPr>
            </w:pPr>
            <w:r>
              <w:rPr>
                <w:spacing w:val="-2"/>
              </w:rPr>
              <w:t>Facility ID No. 54443</w:t>
            </w:r>
          </w:p>
          <w:p w:rsidR="00445B77" w:rsidRDefault="00445B77" w:rsidP="00445B77">
            <w:pPr>
              <w:tabs>
                <w:tab w:val="center" w:pos="4680"/>
              </w:tabs>
              <w:suppressAutoHyphens/>
              <w:rPr>
                <w:spacing w:val="-2"/>
              </w:rPr>
            </w:pPr>
            <w:r>
              <w:rPr>
                <w:spacing w:val="-2"/>
              </w:rPr>
              <w:t xml:space="preserve">Acct. No.:  </w:t>
            </w:r>
            <w:r w:rsidR="00A82960" w:rsidRPr="00887245">
              <w:rPr>
                <w:spacing w:val="-2"/>
              </w:rPr>
              <w:t>201641420012</w:t>
            </w:r>
          </w:p>
          <w:p w:rsidR="00445B77" w:rsidRDefault="00445B77" w:rsidP="006E63E7">
            <w:pPr>
              <w:tabs>
                <w:tab w:val="center" w:pos="4680"/>
              </w:tabs>
              <w:suppressAutoHyphens/>
              <w:rPr>
                <w:spacing w:val="-2"/>
              </w:rPr>
            </w:pPr>
            <w:r>
              <w:rPr>
                <w:spacing w:val="-2"/>
              </w:rPr>
              <w:t>FRN:  0001726447</w:t>
            </w:r>
          </w:p>
          <w:p w:rsidR="00445B77" w:rsidRDefault="00445B77" w:rsidP="00445B77">
            <w:pPr>
              <w:tabs>
                <w:tab w:val="center" w:pos="4680"/>
              </w:tabs>
              <w:suppressAutoHyphens/>
              <w:rPr>
                <w:spacing w:val="-2"/>
              </w:rPr>
            </w:pPr>
          </w:p>
        </w:tc>
      </w:tr>
    </w:tbl>
    <w:p w:rsidR="000979B4" w:rsidRDefault="008138F4" w:rsidP="000979B4">
      <w:pPr>
        <w:pStyle w:val="StyleBoldCentered"/>
      </w:pPr>
      <w:r>
        <w:t>order</w:t>
      </w:r>
    </w:p>
    <w:p w:rsidR="00445B77" w:rsidRDefault="00445B77" w:rsidP="000979B4">
      <w:pPr>
        <w:pStyle w:val="StyleBoldCentered"/>
      </w:pPr>
    </w:p>
    <w:p w:rsidR="00445B77" w:rsidRDefault="00445B77" w:rsidP="00445B77">
      <w:pPr>
        <w:tabs>
          <w:tab w:val="left" w:pos="720"/>
          <w:tab w:val="right" w:pos="9360"/>
        </w:tabs>
        <w:suppressAutoHyphens/>
        <w:spacing w:line="227" w:lineRule="auto"/>
        <w:rPr>
          <w:spacing w:val="-2"/>
        </w:rPr>
      </w:pPr>
      <w:r>
        <w:rPr>
          <w:b/>
          <w:spacing w:val="-2"/>
        </w:rPr>
        <w:t xml:space="preserve">Adopted:  </w:t>
      </w:r>
      <w:r w:rsidR="00865249">
        <w:rPr>
          <w:b/>
          <w:spacing w:val="-2"/>
        </w:rPr>
        <w:t>June 17, 2016</w:t>
      </w:r>
      <w:r>
        <w:rPr>
          <w:b/>
          <w:spacing w:val="-2"/>
        </w:rPr>
        <w:tab/>
        <w:t xml:space="preserve">Released:  </w:t>
      </w:r>
      <w:r w:rsidR="00865249">
        <w:rPr>
          <w:b/>
          <w:spacing w:val="-2"/>
        </w:rPr>
        <w:t>June 20, 2016</w:t>
      </w:r>
    </w:p>
    <w:p w:rsidR="000979B4" w:rsidRDefault="000979B4" w:rsidP="000979B4">
      <w:pPr>
        <w:jc w:val="both"/>
        <w:rPr>
          <w:szCs w:val="22"/>
        </w:rPr>
      </w:pPr>
    </w:p>
    <w:p w:rsidR="000979B4" w:rsidRDefault="000979B4" w:rsidP="000979B4">
      <w:pPr>
        <w:jc w:val="both"/>
        <w:rPr>
          <w:szCs w:val="22"/>
        </w:rPr>
      </w:pPr>
      <w:r>
        <w:rPr>
          <w:szCs w:val="22"/>
        </w:rPr>
        <w:t xml:space="preserve">By the </w:t>
      </w:r>
      <w:r w:rsidR="008934BE">
        <w:rPr>
          <w:szCs w:val="22"/>
        </w:rPr>
        <w:t>Commission</w:t>
      </w:r>
      <w:r>
        <w:rPr>
          <w:szCs w:val="22"/>
        </w:rPr>
        <w:t xml:space="preserve">: </w:t>
      </w:r>
    </w:p>
    <w:p w:rsidR="000979B4" w:rsidRDefault="000979B4" w:rsidP="000979B4">
      <w:pPr>
        <w:jc w:val="both"/>
        <w:rPr>
          <w:szCs w:val="22"/>
        </w:rPr>
      </w:pPr>
    </w:p>
    <w:p w:rsidR="00851D0D" w:rsidRDefault="000979B4" w:rsidP="00865249">
      <w:pPr>
        <w:pStyle w:val="ParaNum"/>
      </w:pPr>
      <w:r>
        <w:t xml:space="preserve">In this </w:t>
      </w:r>
      <w:r w:rsidR="008138F4">
        <w:t>Order</w:t>
      </w:r>
      <w:r>
        <w:t xml:space="preserve">, we adopt the attached Consent Decree entered into between </w:t>
      </w:r>
      <w:r w:rsidR="00851D0D">
        <w:t xml:space="preserve">the Commission and </w:t>
      </w:r>
      <w:r w:rsidR="00590035">
        <w:t>R&amp;F Broadcasting, Inc</w:t>
      </w:r>
      <w:r w:rsidR="00E34368">
        <w:t>.</w:t>
      </w:r>
      <w:r w:rsidR="00590035">
        <w:t xml:space="preserve"> (R&amp;F)</w:t>
      </w:r>
      <w:r w:rsidR="00851D0D">
        <w:t xml:space="preserve">.  </w:t>
      </w:r>
      <w:r w:rsidR="00634563" w:rsidRPr="00C31EEF">
        <w:t xml:space="preserve">The Consent Decree </w:t>
      </w:r>
      <w:r w:rsidR="00851D0D">
        <w:t>resolves</w:t>
      </w:r>
      <w:r w:rsidR="00634563" w:rsidRPr="00C31EEF">
        <w:t xml:space="preserve"> </w:t>
      </w:r>
      <w:r w:rsidR="00851D0D">
        <w:t>issues raised in our review of the above</w:t>
      </w:r>
      <w:r w:rsidR="006C7D6E">
        <w:t>-</w:t>
      </w:r>
      <w:r w:rsidR="00851D0D">
        <w:t xml:space="preserve">captioned application for license renewal for station </w:t>
      </w:r>
      <w:r w:rsidR="00590035">
        <w:t>WRFB(TV), Carolina, Puerto Rico</w:t>
      </w:r>
      <w:r w:rsidR="00E34368">
        <w:t xml:space="preserve"> </w:t>
      </w:r>
      <w:r w:rsidR="00851D0D">
        <w:t>(Station), specifically compliance with:  (1) the children’s programming requirements set forth in Section 73.671 of the Commission’s Rules (Rules),</w:t>
      </w:r>
      <w:r w:rsidR="00851D0D">
        <w:rPr>
          <w:rStyle w:val="FootnoteReference"/>
        </w:rPr>
        <w:footnoteReference w:id="2"/>
      </w:r>
      <w:r w:rsidR="00851D0D">
        <w:t xml:space="preserve"> which implements the Children’s Television Act of 1990</w:t>
      </w:r>
      <w:r w:rsidR="00C8254A">
        <w:t xml:space="preserve"> (CTA)</w:t>
      </w:r>
      <w:r w:rsidR="00851D0D">
        <w:t>;</w:t>
      </w:r>
      <w:r w:rsidR="00851D0D">
        <w:rPr>
          <w:rStyle w:val="FootnoteReference"/>
        </w:rPr>
        <w:footnoteReference w:id="3"/>
      </w:r>
      <w:r w:rsidR="00851D0D">
        <w:t xml:space="preserve"> (2) </w:t>
      </w:r>
      <w:r w:rsidR="00851D0D" w:rsidRPr="00E27F52">
        <w:t>Section 73.3526</w:t>
      </w:r>
      <w:r w:rsidR="005B252F">
        <w:t>(e)(11)</w:t>
      </w:r>
      <w:r w:rsidR="00A53732">
        <w:t>(i</w:t>
      </w:r>
      <w:r w:rsidR="00242DE5">
        <w:t>)</w:t>
      </w:r>
      <w:r w:rsidR="00851D0D" w:rsidRPr="00E27F52">
        <w:t xml:space="preserve"> of the Rules,</w:t>
      </w:r>
      <w:r w:rsidR="00590035">
        <w:rPr>
          <w:rStyle w:val="FootnoteReference"/>
        </w:rPr>
        <w:footnoteReference w:id="4"/>
      </w:r>
      <w:r w:rsidR="00851D0D">
        <w:t xml:space="preserve"> which</w:t>
      </w:r>
      <w:r w:rsidR="00676490">
        <w:t xml:space="preserve"> requires broadcast stations to prepare and place on a quarterly basis in their local public inspection file TV issues/programs lists</w:t>
      </w:r>
      <w:r w:rsidR="00851D0D">
        <w:t xml:space="preserve">; </w:t>
      </w:r>
      <w:r w:rsidR="009A57DD">
        <w:t>(3) Section 73.</w:t>
      </w:r>
      <w:r w:rsidR="00DB7407">
        <w:t>3</w:t>
      </w:r>
      <w:r w:rsidR="009A57DD">
        <w:t xml:space="preserve">526(b)(2) of the Rules, which requires television licensees to upload certain portions of their physical public files to an on-line Commission-hosted website; </w:t>
      </w:r>
      <w:r w:rsidR="00851D0D">
        <w:t>and (</w:t>
      </w:r>
      <w:r w:rsidR="009A57DD">
        <w:t>4</w:t>
      </w:r>
      <w:r w:rsidR="00851D0D">
        <w:t xml:space="preserve">) Section 73.624(g) of the Rules, which requires the </w:t>
      </w:r>
      <w:r w:rsidR="00857F86">
        <w:t>l</w:t>
      </w:r>
      <w:r w:rsidR="00851D0D">
        <w:t xml:space="preserve">icensee to </w:t>
      </w:r>
      <w:r w:rsidR="00C8254A">
        <w:t xml:space="preserve">annually </w:t>
      </w:r>
      <w:r w:rsidR="00851D0D">
        <w:t xml:space="preserve">file </w:t>
      </w:r>
      <w:r w:rsidR="00E34368">
        <w:t xml:space="preserve">with the Commission </w:t>
      </w:r>
      <w:r w:rsidR="00851D0D">
        <w:t xml:space="preserve">an Ancillary </w:t>
      </w:r>
      <w:r w:rsidR="00C8254A">
        <w:t xml:space="preserve">and Supplementary </w:t>
      </w:r>
      <w:r w:rsidR="00851D0D">
        <w:t>Services Report</w:t>
      </w:r>
      <w:r w:rsidR="00E34368">
        <w:t xml:space="preserve"> and pay any required fee</w:t>
      </w:r>
      <w:r w:rsidR="00851D0D">
        <w:t>.</w:t>
      </w:r>
      <w:r w:rsidR="00851D0D">
        <w:rPr>
          <w:rStyle w:val="FootnoteReference"/>
        </w:rPr>
        <w:footnoteReference w:id="5"/>
      </w:r>
      <w:r w:rsidR="00851D0D">
        <w:t xml:space="preserve">  </w:t>
      </w:r>
      <w:r w:rsidR="00851D0D" w:rsidRPr="003027B2">
        <w:t>A copy of the Consent Decree is attached hereto and incorporated by reference.</w:t>
      </w:r>
    </w:p>
    <w:p w:rsidR="00851D0D" w:rsidRPr="00457CD4" w:rsidRDefault="00851D0D" w:rsidP="00865249">
      <w:pPr>
        <w:pStyle w:val="ParaNum"/>
      </w:pPr>
      <w:r w:rsidRPr="00370EC0">
        <w:t xml:space="preserve">After reviewing its terms, we find that the public interest would be served by adopting the Consent Decree.  We conclude that there are no substantial or material questions of fact regarding </w:t>
      </w:r>
      <w:r>
        <w:t xml:space="preserve">R&amp;F’s </w:t>
      </w:r>
      <w:r w:rsidRPr="00370EC0">
        <w:t>qualifications</w:t>
      </w:r>
      <w:r>
        <w:t xml:space="preserve"> </w:t>
      </w:r>
      <w:r w:rsidRPr="00370EC0">
        <w:t>t</w:t>
      </w:r>
      <w:r>
        <w:t>o remain a Commission licensee</w:t>
      </w:r>
      <w:r w:rsidR="00801EC0">
        <w:t xml:space="preserve">.  </w:t>
      </w:r>
      <w:r w:rsidR="00E34368">
        <w:t>Although</w:t>
      </w:r>
      <w:r w:rsidR="00801EC0">
        <w:t xml:space="preserve"> we conclude that</w:t>
      </w:r>
      <w:r>
        <w:t xml:space="preserve"> the Consent Decree</w:t>
      </w:r>
      <w:r w:rsidR="008B03D3">
        <w:t xml:space="preserve"> </w:t>
      </w:r>
      <w:r w:rsidR="00E34368">
        <w:t>contains</w:t>
      </w:r>
      <w:r>
        <w:t xml:space="preserve"> appropriate terms and conditions</w:t>
      </w:r>
      <w:r w:rsidR="00801EC0">
        <w:t>,</w:t>
      </w:r>
      <w:r>
        <w:t xml:space="preserve"> </w:t>
      </w:r>
      <w:r w:rsidR="00E34368">
        <w:t xml:space="preserve">after reviewing the record before us, we believe that the grant of a </w:t>
      </w:r>
      <w:r w:rsidR="00E34368">
        <w:rPr>
          <w:szCs w:val="22"/>
        </w:rPr>
        <w:t xml:space="preserve">short-term renewal is appropriate in order to better ensure the </w:t>
      </w:r>
      <w:r w:rsidR="00AC76B2">
        <w:rPr>
          <w:szCs w:val="22"/>
        </w:rPr>
        <w:t>Licensee</w:t>
      </w:r>
      <w:r w:rsidR="00E34368">
        <w:rPr>
          <w:szCs w:val="22"/>
        </w:rPr>
        <w:t xml:space="preserve">’s ongoing compliance with </w:t>
      </w:r>
      <w:r w:rsidR="00C8254A">
        <w:rPr>
          <w:szCs w:val="22"/>
        </w:rPr>
        <w:t xml:space="preserve">the CTA and with </w:t>
      </w:r>
      <w:r w:rsidR="00E34368">
        <w:rPr>
          <w:szCs w:val="22"/>
        </w:rPr>
        <w:t>Section</w:t>
      </w:r>
      <w:r w:rsidR="00AC76B2">
        <w:rPr>
          <w:szCs w:val="22"/>
        </w:rPr>
        <w:t>s</w:t>
      </w:r>
      <w:r w:rsidR="00E34368">
        <w:rPr>
          <w:szCs w:val="22"/>
        </w:rPr>
        <w:t xml:space="preserve"> 73.3526(e)(11)(i)</w:t>
      </w:r>
      <w:r w:rsidR="00AC76B2">
        <w:rPr>
          <w:szCs w:val="22"/>
        </w:rPr>
        <w:t>,</w:t>
      </w:r>
      <w:r w:rsidR="00E34368">
        <w:rPr>
          <w:szCs w:val="22"/>
        </w:rPr>
        <w:t xml:space="preserve"> 73.3526(b)(2)</w:t>
      </w:r>
      <w:r w:rsidR="00AC76B2">
        <w:rPr>
          <w:szCs w:val="22"/>
        </w:rPr>
        <w:t xml:space="preserve"> and 73.624(g)</w:t>
      </w:r>
      <w:r w:rsidR="00E34368" w:rsidRPr="00370EC0">
        <w:rPr>
          <w:szCs w:val="22"/>
        </w:rPr>
        <w:t>.</w:t>
      </w:r>
      <w:r w:rsidR="00E34368">
        <w:rPr>
          <w:rStyle w:val="FootnoteReference"/>
          <w:szCs w:val="22"/>
        </w:rPr>
        <w:footnoteReference w:id="6"/>
      </w:r>
      <w:r w:rsidR="00E34368">
        <w:rPr>
          <w:szCs w:val="22"/>
        </w:rPr>
        <w:t xml:space="preserve">  Accordingly, we grant the renewal application and renew the Station license for a period of two years</w:t>
      </w:r>
      <w:r w:rsidR="00C1394A">
        <w:rPr>
          <w:szCs w:val="22"/>
        </w:rPr>
        <w:t xml:space="preserve"> pursuant </w:t>
      </w:r>
      <w:r w:rsidR="00E34368">
        <w:rPr>
          <w:szCs w:val="22"/>
        </w:rPr>
        <w:t xml:space="preserve">to </w:t>
      </w:r>
      <w:r w:rsidRPr="00370EC0">
        <w:rPr>
          <w:szCs w:val="22"/>
        </w:rPr>
        <w:t xml:space="preserve">Section 309(k)(2) </w:t>
      </w:r>
      <w:r w:rsidRPr="00370EC0">
        <w:rPr>
          <w:szCs w:val="22"/>
        </w:rPr>
        <w:lastRenderedPageBreak/>
        <w:t>of the Communications Act of 1934, as amended</w:t>
      </w:r>
      <w:r w:rsidR="006C7D6E">
        <w:rPr>
          <w:szCs w:val="22"/>
        </w:rPr>
        <w:t xml:space="preserve"> (Act)</w:t>
      </w:r>
      <w:r w:rsidR="00C1394A">
        <w:rPr>
          <w:szCs w:val="22"/>
        </w:rPr>
        <w:t>.</w:t>
      </w:r>
      <w:r w:rsidRPr="003B6789">
        <w:rPr>
          <w:szCs w:val="22"/>
        </w:rPr>
        <w:t xml:space="preserve">As a result, we need not determine whether </w:t>
      </w:r>
      <w:r>
        <w:rPr>
          <w:szCs w:val="22"/>
        </w:rPr>
        <w:t>R&amp;F</w:t>
      </w:r>
      <w:r w:rsidRPr="003B6789">
        <w:rPr>
          <w:szCs w:val="22"/>
        </w:rPr>
        <w:t xml:space="preserve"> committed “serious violations” of our rules or violations that constituted a “pattern of abuse” for purposes of Section 309(k)(1).</w:t>
      </w:r>
      <w:r>
        <w:rPr>
          <w:rStyle w:val="FootnoteReference"/>
          <w:szCs w:val="22"/>
        </w:rPr>
        <w:footnoteReference w:id="7"/>
      </w:r>
      <w:r w:rsidRPr="003B6789">
        <w:rPr>
          <w:szCs w:val="22"/>
        </w:rPr>
        <w:t xml:space="preserve">  </w:t>
      </w:r>
    </w:p>
    <w:p w:rsidR="000979B4" w:rsidRPr="00C31EEF" w:rsidRDefault="000979B4" w:rsidP="00865249">
      <w:pPr>
        <w:pStyle w:val="ParaNum"/>
      </w:pPr>
      <w:r w:rsidRPr="00C31EEF">
        <w:t xml:space="preserve">Accordingly, </w:t>
      </w:r>
      <w:r w:rsidRPr="00C31EEF">
        <w:rPr>
          <w:b/>
        </w:rPr>
        <w:t>IT IS ORDERED</w:t>
      </w:r>
      <w:r w:rsidRPr="00C31EEF">
        <w:t xml:space="preserve"> that, pursuant to Sections</w:t>
      </w:r>
      <w:r w:rsidRPr="00C31EEF">
        <w:rPr>
          <w:b/>
        </w:rPr>
        <w:t xml:space="preserve"> </w:t>
      </w:r>
      <w:r w:rsidR="00851D0D">
        <w:t xml:space="preserve">4(i) </w:t>
      </w:r>
      <w:r w:rsidRPr="00C31EEF">
        <w:t xml:space="preserve">of the </w:t>
      </w:r>
      <w:r w:rsidR="00851D0D">
        <w:t>Act</w:t>
      </w:r>
      <w:r w:rsidRPr="00C31EEF">
        <w:t>,</w:t>
      </w:r>
      <w:r>
        <w:rPr>
          <w:rStyle w:val="FootnoteReference"/>
          <w:sz w:val="22"/>
          <w:szCs w:val="22"/>
        </w:rPr>
        <w:footnoteReference w:id="8"/>
      </w:r>
      <w:r w:rsidRPr="00C31EEF">
        <w:t xml:space="preserve"> the Consent Decree attached to this Order </w:t>
      </w:r>
      <w:r w:rsidRPr="00C31EEF">
        <w:rPr>
          <w:b/>
        </w:rPr>
        <w:t>IS ADOPTED</w:t>
      </w:r>
      <w:r w:rsidRPr="00C31EEF">
        <w:t>.</w:t>
      </w:r>
    </w:p>
    <w:p w:rsidR="000979B4" w:rsidRPr="00857F86" w:rsidRDefault="000979B4" w:rsidP="00865249">
      <w:pPr>
        <w:pStyle w:val="ParaNum"/>
      </w:pPr>
      <w:r>
        <w:rPr>
          <w:b/>
        </w:rPr>
        <w:t xml:space="preserve">IT IS FURTHER ORDERED </w:t>
      </w:r>
      <w:r>
        <w:t xml:space="preserve">that, pursuant to Section 309(k)(2) of the </w:t>
      </w:r>
      <w:r w:rsidR="00851D0D">
        <w:t>Act</w:t>
      </w:r>
      <w:r>
        <w:t>,</w:t>
      </w:r>
      <w:r>
        <w:rPr>
          <w:rStyle w:val="FootnoteReference"/>
          <w:szCs w:val="22"/>
        </w:rPr>
        <w:footnoteReference w:id="9"/>
      </w:r>
      <w:r>
        <w:t xml:space="preserve"> the application to renew the broadcast license of</w:t>
      </w:r>
      <w:r w:rsidR="00B1784E">
        <w:t xml:space="preserve"> </w:t>
      </w:r>
      <w:r w:rsidR="00851D0D">
        <w:t>s</w:t>
      </w:r>
      <w:r w:rsidR="00B1784E">
        <w:t>tatio</w:t>
      </w:r>
      <w:r w:rsidR="006052E9">
        <w:t>n</w:t>
      </w:r>
      <w:r w:rsidR="00B1784E">
        <w:t xml:space="preserve"> </w:t>
      </w:r>
      <w:r w:rsidR="00851D0D">
        <w:t xml:space="preserve">WRFB(TV), Carolina, Puerto Rico, </w:t>
      </w:r>
      <w:r>
        <w:t xml:space="preserve">File No. </w:t>
      </w:r>
      <w:r w:rsidR="00B1784E">
        <w:rPr>
          <w:szCs w:val="22"/>
        </w:rPr>
        <w:t>BRCDT-20121001AGN</w:t>
      </w:r>
      <w:r w:rsidR="00851D0D">
        <w:rPr>
          <w:szCs w:val="22"/>
        </w:rPr>
        <w:t>,</w:t>
      </w:r>
      <w:r w:rsidR="00B1784E">
        <w:t xml:space="preserve"> </w:t>
      </w:r>
      <w:r w:rsidR="00B1784E">
        <w:rPr>
          <w:b/>
        </w:rPr>
        <w:t>IS</w:t>
      </w:r>
      <w:r>
        <w:rPr>
          <w:b/>
          <w:spacing w:val="-2"/>
        </w:rPr>
        <w:t xml:space="preserve"> </w:t>
      </w:r>
      <w:r w:rsidRPr="00885DE5">
        <w:t>GRANTED</w:t>
      </w:r>
      <w:r w:rsidR="00AC76B2" w:rsidRPr="00885DE5">
        <w:t xml:space="preserve"> and that license is renewed</w:t>
      </w:r>
      <w:r w:rsidR="0009250E">
        <w:rPr>
          <w:b/>
          <w:spacing w:val="-2"/>
        </w:rPr>
        <w:t xml:space="preserve"> </w:t>
      </w:r>
      <w:r w:rsidR="00851D0D">
        <w:rPr>
          <w:spacing w:val="-2"/>
        </w:rPr>
        <w:t xml:space="preserve">for a period of two years following </w:t>
      </w:r>
      <w:r w:rsidR="00963E36">
        <w:rPr>
          <w:spacing w:val="-2"/>
        </w:rPr>
        <w:t>release</w:t>
      </w:r>
      <w:r w:rsidR="00851D0D">
        <w:rPr>
          <w:spacing w:val="-2"/>
        </w:rPr>
        <w:t xml:space="preserve"> of this Order.</w:t>
      </w:r>
    </w:p>
    <w:p w:rsidR="006C7D6E" w:rsidRPr="0068280D" w:rsidRDefault="006C7D6E" w:rsidP="00865249">
      <w:pPr>
        <w:pStyle w:val="ParaNum"/>
        <w:tabs>
          <w:tab w:val="clear" w:pos="1440"/>
          <w:tab w:val="num" w:pos="1080"/>
        </w:tabs>
      </w:pPr>
      <w:r w:rsidRPr="00BE0DCE">
        <w:rPr>
          <w:b/>
        </w:rPr>
        <w:t xml:space="preserve">IT IS FURTHER ORDERED </w:t>
      </w:r>
      <w:r w:rsidRPr="0068280D">
        <w:t xml:space="preserve">that the investigation by the </w:t>
      </w:r>
      <w:r>
        <w:t>Commission</w:t>
      </w:r>
      <w:r w:rsidRPr="0068280D">
        <w:t xml:space="preserve"> into the matters discussed </w:t>
      </w:r>
      <w:r>
        <w:t>above and in connection with this station</w:t>
      </w:r>
      <w:r w:rsidRPr="0068280D">
        <w:t xml:space="preserve"> </w:t>
      </w:r>
      <w:r w:rsidRPr="0068280D">
        <w:rPr>
          <w:b/>
        </w:rPr>
        <w:t>IS TERMINATED</w:t>
      </w:r>
      <w:r w:rsidRPr="0068280D">
        <w:t>.</w:t>
      </w:r>
    </w:p>
    <w:p w:rsidR="000979B4" w:rsidRDefault="000979B4" w:rsidP="00865249">
      <w:pPr>
        <w:pStyle w:val="ParaNum"/>
      </w:pPr>
      <w:r>
        <w:rPr>
          <w:b/>
        </w:rPr>
        <w:t xml:space="preserve">IT IS FURTHER ORDERED </w:t>
      </w:r>
      <w:r>
        <w:t xml:space="preserve">that a copy of this Order and Consent Decree shall be sent by both First Class </w:t>
      </w:r>
      <w:r w:rsidR="00E31C3F">
        <w:t>M</w:t>
      </w:r>
      <w:r>
        <w:t xml:space="preserve">ail and Certified Mail, Return Receipt Requested, to </w:t>
      </w:r>
      <w:r w:rsidR="00857F86">
        <w:t xml:space="preserve">R&amp;F’s </w:t>
      </w:r>
      <w:r>
        <w:t xml:space="preserve">counsel, Davina Sashkin, Esq., </w:t>
      </w:r>
      <w:r>
        <w:rPr>
          <w:szCs w:val="22"/>
        </w:rPr>
        <w:t>Fletcher, Heald &amp; Hildreth, 1300 N. 17</w:t>
      </w:r>
      <w:r>
        <w:rPr>
          <w:szCs w:val="22"/>
          <w:vertAlign w:val="superscript"/>
        </w:rPr>
        <w:t>th</w:t>
      </w:r>
      <w:r>
        <w:rPr>
          <w:szCs w:val="22"/>
        </w:rPr>
        <w:t xml:space="preserve"> Street, Suite 1100, Arlington, Virginia 22209.</w:t>
      </w:r>
    </w:p>
    <w:p w:rsidR="00851D0D" w:rsidRDefault="00851D0D" w:rsidP="00865249">
      <w:pPr>
        <w:rPr>
          <w:szCs w:val="22"/>
        </w:rPr>
      </w:pPr>
    </w:p>
    <w:p w:rsidR="00BF2030" w:rsidRDefault="00BF2030" w:rsidP="00865249">
      <w:r>
        <w:tab/>
      </w:r>
      <w:r>
        <w:tab/>
      </w:r>
      <w:r>
        <w:tab/>
      </w:r>
      <w:r>
        <w:tab/>
      </w:r>
      <w:r>
        <w:tab/>
      </w:r>
      <w:r>
        <w:tab/>
        <w:t>FEDERAL COMMUNICATIONS COMMISSION</w:t>
      </w:r>
    </w:p>
    <w:p w:rsidR="00BF2030" w:rsidRDefault="00BF2030" w:rsidP="00865249"/>
    <w:p w:rsidR="00BF2030" w:rsidRDefault="00BF2030" w:rsidP="00865249"/>
    <w:p w:rsidR="00BF2030" w:rsidRDefault="00BF2030" w:rsidP="00865249"/>
    <w:p w:rsidR="00BF2030" w:rsidRDefault="00BF2030" w:rsidP="00865249"/>
    <w:p w:rsidR="00BF2030" w:rsidRDefault="00BF2030" w:rsidP="00865249">
      <w:r>
        <w:tab/>
      </w:r>
      <w:r>
        <w:tab/>
      </w:r>
      <w:r>
        <w:tab/>
      </w:r>
      <w:r>
        <w:tab/>
      </w:r>
      <w:r>
        <w:tab/>
      </w:r>
      <w:r>
        <w:tab/>
        <w:t>Marlene H. Dortch</w:t>
      </w:r>
    </w:p>
    <w:p w:rsidR="00BF2030" w:rsidRDefault="00BF2030" w:rsidP="00865249">
      <w:r>
        <w:tab/>
      </w:r>
      <w:r>
        <w:tab/>
      </w:r>
      <w:r>
        <w:tab/>
      </w:r>
      <w:r>
        <w:tab/>
      </w:r>
      <w:r>
        <w:tab/>
      </w:r>
      <w:r>
        <w:tab/>
        <w:t>Secretary</w:t>
      </w:r>
    </w:p>
    <w:p w:rsidR="00BF2030" w:rsidRDefault="00BF2030" w:rsidP="00865249">
      <w:pPr>
        <w:rPr>
          <w:szCs w:val="22"/>
        </w:rPr>
        <w:sectPr w:rsidR="00BF2030" w:rsidSect="00160FA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851D0D" w:rsidRDefault="00851D0D" w:rsidP="00851D0D">
      <w:pPr>
        <w:jc w:val="center"/>
        <w:rPr>
          <w:b/>
        </w:rPr>
      </w:pPr>
      <w:r w:rsidRPr="0070224F">
        <w:rPr>
          <w:rFonts w:ascii="Times New Roman Bold" w:hAnsi="Times New Roman Bold"/>
          <w:b/>
          <w:kern w:val="0"/>
          <w:szCs w:val="22"/>
        </w:rPr>
        <w:lastRenderedPageBreak/>
        <w:t>Before</w:t>
      </w:r>
      <w:r>
        <w:rPr>
          <w:b/>
        </w:rPr>
        <w:t xml:space="preserve"> the</w:t>
      </w:r>
    </w:p>
    <w:p w:rsidR="00851D0D" w:rsidRDefault="00851D0D" w:rsidP="00851D0D">
      <w:pPr>
        <w:pStyle w:val="StyleBoldCentered"/>
      </w:pPr>
      <w:r>
        <w:t>F</w:t>
      </w:r>
      <w:r>
        <w:rPr>
          <w:caps w:val="0"/>
        </w:rPr>
        <w:t>ederal Communications Commission</w:t>
      </w:r>
    </w:p>
    <w:p w:rsidR="00851D0D" w:rsidRDefault="00851D0D" w:rsidP="00851D0D">
      <w:pPr>
        <w:pStyle w:val="StyleBoldCentered"/>
      </w:pPr>
      <w:r>
        <w:rPr>
          <w:caps w:val="0"/>
        </w:rPr>
        <w:t>Washington, D.C. 20554</w:t>
      </w:r>
    </w:p>
    <w:p w:rsidR="00851D0D" w:rsidRDefault="00851D0D" w:rsidP="001D5E74">
      <w:pPr>
        <w:pStyle w:val="StyleBoldCentered"/>
        <w:rPr>
          <w:caps w:val="0"/>
        </w:rPr>
      </w:pPr>
    </w:p>
    <w:tbl>
      <w:tblPr>
        <w:tblW w:w="0" w:type="auto"/>
        <w:tblLayout w:type="fixed"/>
        <w:tblLook w:val="0000" w:firstRow="0" w:lastRow="0" w:firstColumn="0" w:lastColumn="0" w:noHBand="0" w:noVBand="0"/>
      </w:tblPr>
      <w:tblGrid>
        <w:gridCol w:w="4698"/>
        <w:gridCol w:w="630"/>
        <w:gridCol w:w="4248"/>
      </w:tblGrid>
      <w:tr w:rsidR="00445B77" w:rsidTr="006E63E7">
        <w:tc>
          <w:tcPr>
            <w:tcW w:w="4698" w:type="dxa"/>
          </w:tcPr>
          <w:p w:rsidR="00445B77" w:rsidRDefault="00445B77" w:rsidP="006E63E7">
            <w:pPr>
              <w:tabs>
                <w:tab w:val="center" w:pos="4680"/>
              </w:tabs>
              <w:suppressAutoHyphens/>
              <w:rPr>
                <w:spacing w:val="-2"/>
              </w:rPr>
            </w:pPr>
            <w:r>
              <w:rPr>
                <w:spacing w:val="-2"/>
              </w:rPr>
              <w:t>In the Matter of</w:t>
            </w:r>
          </w:p>
          <w:p w:rsidR="00445B77" w:rsidRDefault="00445B77" w:rsidP="006E63E7">
            <w:pPr>
              <w:tabs>
                <w:tab w:val="center" w:pos="4680"/>
              </w:tabs>
              <w:suppressAutoHyphens/>
              <w:rPr>
                <w:spacing w:val="-2"/>
              </w:rPr>
            </w:pPr>
          </w:p>
          <w:p w:rsidR="00445B77" w:rsidRDefault="00445B77" w:rsidP="006E63E7">
            <w:pPr>
              <w:tabs>
                <w:tab w:val="center" w:pos="4680"/>
              </w:tabs>
              <w:suppressAutoHyphens/>
              <w:rPr>
                <w:spacing w:val="-2"/>
              </w:rPr>
            </w:pPr>
            <w:r>
              <w:rPr>
                <w:spacing w:val="-2"/>
              </w:rPr>
              <w:t>R&amp;F Broadcasting, Inc.</w:t>
            </w:r>
          </w:p>
          <w:p w:rsidR="00445B77" w:rsidRDefault="00445B77" w:rsidP="006E63E7">
            <w:pPr>
              <w:tabs>
                <w:tab w:val="center" w:pos="4680"/>
              </w:tabs>
              <w:suppressAutoHyphens/>
              <w:rPr>
                <w:spacing w:val="-2"/>
              </w:rPr>
            </w:pPr>
            <w:r>
              <w:rPr>
                <w:spacing w:val="-2"/>
              </w:rPr>
              <w:t>Licensee of Station WRFB(TV)</w:t>
            </w:r>
          </w:p>
          <w:p w:rsidR="00445B77" w:rsidRPr="007115F7" w:rsidRDefault="00445B77" w:rsidP="006E63E7">
            <w:pPr>
              <w:tabs>
                <w:tab w:val="center" w:pos="4680"/>
              </w:tabs>
              <w:suppressAutoHyphens/>
              <w:rPr>
                <w:spacing w:val="-2"/>
              </w:rPr>
            </w:pPr>
            <w:r>
              <w:rPr>
                <w:spacing w:val="-2"/>
              </w:rPr>
              <w:t>Carolina, Puerto Rico</w:t>
            </w:r>
          </w:p>
        </w:tc>
        <w:tc>
          <w:tcPr>
            <w:tcW w:w="630" w:type="dxa"/>
          </w:tcPr>
          <w:p w:rsidR="00445B77" w:rsidRDefault="00445B77" w:rsidP="006E63E7">
            <w:pPr>
              <w:tabs>
                <w:tab w:val="center" w:pos="4680"/>
              </w:tabs>
              <w:suppressAutoHyphens/>
              <w:rPr>
                <w:b/>
                <w:spacing w:val="-2"/>
              </w:rPr>
            </w:pPr>
            <w:r>
              <w:rPr>
                <w:b/>
                <w:spacing w:val="-2"/>
              </w:rPr>
              <w:t>)</w:t>
            </w:r>
          </w:p>
          <w:p w:rsidR="00445B77" w:rsidRDefault="00445B77" w:rsidP="006E63E7">
            <w:pPr>
              <w:tabs>
                <w:tab w:val="center" w:pos="4680"/>
              </w:tabs>
              <w:suppressAutoHyphens/>
              <w:rPr>
                <w:b/>
                <w:spacing w:val="-2"/>
              </w:rPr>
            </w:pPr>
            <w:r>
              <w:rPr>
                <w:b/>
                <w:spacing w:val="-2"/>
              </w:rPr>
              <w:t>)</w:t>
            </w:r>
          </w:p>
          <w:p w:rsidR="00445B77" w:rsidRDefault="00445B77" w:rsidP="006E63E7">
            <w:pPr>
              <w:tabs>
                <w:tab w:val="center" w:pos="4680"/>
              </w:tabs>
              <w:suppressAutoHyphens/>
              <w:rPr>
                <w:b/>
                <w:spacing w:val="-2"/>
              </w:rPr>
            </w:pPr>
            <w:r>
              <w:rPr>
                <w:b/>
                <w:spacing w:val="-2"/>
              </w:rPr>
              <w:t>)</w:t>
            </w:r>
          </w:p>
          <w:p w:rsidR="00445B77" w:rsidRDefault="00445B77" w:rsidP="006E63E7">
            <w:pPr>
              <w:tabs>
                <w:tab w:val="center" w:pos="4680"/>
              </w:tabs>
              <w:suppressAutoHyphens/>
              <w:rPr>
                <w:b/>
                <w:spacing w:val="-2"/>
              </w:rPr>
            </w:pPr>
            <w:r>
              <w:rPr>
                <w:b/>
                <w:spacing w:val="-2"/>
              </w:rPr>
              <w:t>)</w:t>
            </w:r>
          </w:p>
          <w:p w:rsidR="00445B77" w:rsidRDefault="00445B77" w:rsidP="006E63E7">
            <w:pPr>
              <w:tabs>
                <w:tab w:val="center" w:pos="4680"/>
              </w:tabs>
              <w:suppressAutoHyphens/>
              <w:rPr>
                <w:b/>
                <w:spacing w:val="-2"/>
              </w:rPr>
            </w:pPr>
            <w:r>
              <w:rPr>
                <w:b/>
                <w:spacing w:val="-2"/>
              </w:rPr>
              <w:t>)</w:t>
            </w:r>
          </w:p>
          <w:p w:rsidR="00445B77" w:rsidRPr="000D6142" w:rsidRDefault="00445B77" w:rsidP="006E63E7">
            <w:pPr>
              <w:tabs>
                <w:tab w:val="center" w:pos="4680"/>
              </w:tabs>
              <w:suppressAutoHyphens/>
              <w:rPr>
                <w:b/>
                <w:spacing w:val="-2"/>
              </w:rPr>
            </w:pPr>
            <w:r>
              <w:rPr>
                <w:b/>
                <w:spacing w:val="-2"/>
              </w:rPr>
              <w:t>)</w:t>
            </w:r>
          </w:p>
        </w:tc>
        <w:tc>
          <w:tcPr>
            <w:tcW w:w="4248" w:type="dxa"/>
          </w:tcPr>
          <w:p w:rsidR="00445B77" w:rsidRDefault="00445B77" w:rsidP="006E63E7">
            <w:pPr>
              <w:tabs>
                <w:tab w:val="center" w:pos="4680"/>
              </w:tabs>
              <w:suppressAutoHyphens/>
              <w:rPr>
                <w:spacing w:val="-2"/>
              </w:rPr>
            </w:pPr>
          </w:p>
          <w:p w:rsidR="0012717C" w:rsidRDefault="0012717C" w:rsidP="006E63E7">
            <w:pPr>
              <w:tabs>
                <w:tab w:val="center" w:pos="4680"/>
              </w:tabs>
              <w:suppressAutoHyphens/>
            </w:pPr>
          </w:p>
          <w:p w:rsidR="00445B77" w:rsidRDefault="0012717C" w:rsidP="006E63E7">
            <w:pPr>
              <w:tabs>
                <w:tab w:val="center" w:pos="4680"/>
              </w:tabs>
              <w:suppressAutoHyphens/>
              <w:rPr>
                <w:spacing w:val="-2"/>
              </w:rPr>
            </w:pPr>
            <w:r>
              <w:t xml:space="preserve">File No. </w:t>
            </w:r>
            <w:r>
              <w:rPr>
                <w:szCs w:val="22"/>
              </w:rPr>
              <w:t>BRCDT-20121001AGN</w:t>
            </w:r>
          </w:p>
          <w:p w:rsidR="0012717C" w:rsidRDefault="0012717C" w:rsidP="006E63E7">
            <w:pPr>
              <w:tabs>
                <w:tab w:val="center" w:pos="4680"/>
              </w:tabs>
              <w:suppressAutoHyphens/>
              <w:rPr>
                <w:spacing w:val="-2"/>
              </w:rPr>
            </w:pPr>
            <w:r w:rsidRPr="0012717C">
              <w:rPr>
                <w:spacing w:val="-2"/>
              </w:rPr>
              <w:t>Facility ID No. 54443</w:t>
            </w:r>
          </w:p>
          <w:p w:rsidR="0012717C" w:rsidRDefault="0012717C" w:rsidP="006E63E7">
            <w:pPr>
              <w:tabs>
                <w:tab w:val="center" w:pos="4680"/>
              </w:tabs>
              <w:suppressAutoHyphens/>
              <w:rPr>
                <w:spacing w:val="-2"/>
              </w:rPr>
            </w:pPr>
            <w:r w:rsidRPr="0012717C">
              <w:rPr>
                <w:spacing w:val="-2"/>
              </w:rPr>
              <w:t xml:space="preserve">Acct. No.:  </w:t>
            </w:r>
            <w:r w:rsidR="00A82960" w:rsidRPr="00887245">
              <w:rPr>
                <w:spacing w:val="-2"/>
              </w:rPr>
              <w:t>201641420012</w:t>
            </w:r>
          </w:p>
          <w:p w:rsidR="00445B77" w:rsidRDefault="00445B77" w:rsidP="006E63E7">
            <w:pPr>
              <w:tabs>
                <w:tab w:val="center" w:pos="4680"/>
              </w:tabs>
              <w:suppressAutoHyphens/>
              <w:rPr>
                <w:spacing w:val="-2"/>
              </w:rPr>
            </w:pPr>
            <w:r>
              <w:rPr>
                <w:spacing w:val="-2"/>
              </w:rPr>
              <w:t>FRN:  0001726447</w:t>
            </w:r>
          </w:p>
          <w:p w:rsidR="00445B77" w:rsidRDefault="00445B77" w:rsidP="006E63E7">
            <w:pPr>
              <w:tabs>
                <w:tab w:val="center" w:pos="4680"/>
              </w:tabs>
              <w:suppressAutoHyphens/>
              <w:rPr>
                <w:spacing w:val="-2"/>
              </w:rPr>
            </w:pPr>
          </w:p>
        </w:tc>
      </w:tr>
    </w:tbl>
    <w:p w:rsidR="00884214" w:rsidRDefault="00884214">
      <w:pPr>
        <w:keepNext/>
        <w:jc w:val="center"/>
        <w:rPr>
          <w:b/>
          <w:szCs w:val="22"/>
        </w:rPr>
      </w:pPr>
      <w:r>
        <w:rPr>
          <w:b/>
          <w:szCs w:val="22"/>
        </w:rPr>
        <w:t>CONSENT DECREE</w:t>
      </w:r>
    </w:p>
    <w:p w:rsidR="00884214" w:rsidRDefault="00884214">
      <w:pPr>
        <w:keepNext/>
        <w:jc w:val="center"/>
        <w:rPr>
          <w:b/>
          <w:szCs w:val="22"/>
        </w:rPr>
      </w:pPr>
    </w:p>
    <w:p w:rsidR="00B177AE" w:rsidRDefault="00884214" w:rsidP="00865249">
      <w:pPr>
        <w:pStyle w:val="ParaNum"/>
        <w:numPr>
          <w:ilvl w:val="0"/>
          <w:numId w:val="34"/>
        </w:numPr>
        <w:tabs>
          <w:tab w:val="clear" w:pos="1080"/>
        </w:tabs>
      </w:pPr>
      <w:r>
        <w:t>The Federal Communications Commission</w:t>
      </w:r>
      <w:r w:rsidR="00851D0D">
        <w:t xml:space="preserve"> </w:t>
      </w:r>
      <w:r w:rsidR="00963E36">
        <w:t xml:space="preserve">(Commission) </w:t>
      </w:r>
      <w:r>
        <w:t xml:space="preserve">and </w:t>
      </w:r>
      <w:r w:rsidR="00851D0D">
        <w:t>R&amp;F Broadcasting, Inc.</w:t>
      </w:r>
      <w:r w:rsidR="00963E36">
        <w:t xml:space="preserve"> (R&amp;F</w:t>
      </w:r>
      <w:r w:rsidR="00705477">
        <w:t xml:space="preserve"> or Licensee</w:t>
      </w:r>
      <w:r w:rsidR="00963E36">
        <w:t>)</w:t>
      </w:r>
      <w:r w:rsidR="00851D0D">
        <w:t xml:space="preserve">, licensee of station WRFB(TV), Carolina, Puerto Rico, </w:t>
      </w:r>
      <w:r>
        <w:t>hereby enter into this Consent Decree for the purpose of</w:t>
      </w:r>
      <w:r w:rsidR="000D37D5">
        <w:t xml:space="preserve"> </w:t>
      </w:r>
      <w:r w:rsidR="00963E36">
        <w:t>resolving  (i)</w:t>
      </w:r>
      <w:r>
        <w:t xml:space="preserve"> the </w:t>
      </w:r>
      <w:r w:rsidR="00963E36">
        <w:t xml:space="preserve">Commission’s </w:t>
      </w:r>
      <w:r>
        <w:t xml:space="preserve">investigation </w:t>
      </w:r>
      <w:r w:rsidR="00963E36">
        <w:t xml:space="preserve">of R&amp;F’s compliance </w:t>
      </w:r>
      <w:r w:rsidR="00963E36" w:rsidRPr="00457355">
        <w:rPr>
          <w:color w:val="000000"/>
          <w:szCs w:val="22"/>
        </w:rPr>
        <w:t>with the Children’s Television Act of 1990 (CTA)</w:t>
      </w:r>
      <w:r w:rsidR="00963E36" w:rsidRPr="00457355">
        <w:rPr>
          <w:rStyle w:val="FootnoteReference"/>
          <w:szCs w:val="22"/>
        </w:rPr>
        <w:footnoteReference w:id="10"/>
      </w:r>
      <w:r w:rsidR="00963E36" w:rsidRPr="00457355">
        <w:rPr>
          <w:color w:val="000000"/>
          <w:szCs w:val="22"/>
        </w:rPr>
        <w:t xml:space="preserve"> and Section</w:t>
      </w:r>
      <w:r w:rsidR="00963E36">
        <w:rPr>
          <w:color w:val="000000"/>
          <w:szCs w:val="22"/>
        </w:rPr>
        <w:t xml:space="preserve">s 73.671, </w:t>
      </w:r>
      <w:r w:rsidR="00963E36" w:rsidRPr="00457355">
        <w:rPr>
          <w:color w:val="000000"/>
          <w:szCs w:val="22"/>
        </w:rPr>
        <w:t xml:space="preserve">73.3526 </w:t>
      </w:r>
      <w:r w:rsidR="00963E36">
        <w:rPr>
          <w:color w:val="000000"/>
          <w:szCs w:val="22"/>
        </w:rPr>
        <w:t xml:space="preserve">and 73.624(g) </w:t>
      </w:r>
      <w:r w:rsidR="00963E36" w:rsidRPr="00457355">
        <w:rPr>
          <w:color w:val="000000"/>
          <w:szCs w:val="22"/>
        </w:rPr>
        <w:t>of the Commission’s rules</w:t>
      </w:r>
      <w:r w:rsidR="0012717C">
        <w:rPr>
          <w:rStyle w:val="FootnoteReference"/>
          <w:szCs w:val="22"/>
        </w:rPr>
        <w:footnoteReference w:id="11"/>
      </w:r>
      <w:r w:rsidR="00963E36">
        <w:rPr>
          <w:color w:val="000000"/>
          <w:szCs w:val="22"/>
        </w:rPr>
        <w:t xml:space="preserve"> and (ii) </w:t>
      </w:r>
      <w:r w:rsidR="00963E36">
        <w:t xml:space="preserve">R&amp;F’s pending license renewal application, File No. </w:t>
      </w:r>
      <w:r w:rsidR="00963E36">
        <w:rPr>
          <w:szCs w:val="22"/>
        </w:rPr>
        <w:t>BRCDT-20121001AGN.</w:t>
      </w:r>
      <w:r>
        <w:t xml:space="preserve">     </w:t>
      </w:r>
    </w:p>
    <w:p w:rsidR="00884214" w:rsidRPr="00B177AE" w:rsidRDefault="00884214" w:rsidP="00865249">
      <w:pPr>
        <w:pStyle w:val="Heading1"/>
        <w:keepNext w:val="0"/>
        <w:numPr>
          <w:ilvl w:val="0"/>
          <w:numId w:val="46"/>
        </w:numPr>
        <w:suppressAutoHyphens w:val="0"/>
      </w:pPr>
      <w:r w:rsidRPr="00B177AE">
        <w:t>DEFINITIONS</w:t>
      </w:r>
    </w:p>
    <w:p w:rsidR="00884214" w:rsidRDefault="00884214" w:rsidP="00865249">
      <w:pPr>
        <w:pStyle w:val="ParaNum"/>
      </w:pPr>
      <w:r>
        <w:t>For the purposes of this Consent Decree</w:t>
      </w:r>
      <w:r w:rsidR="006C7D6E">
        <w:t xml:space="preserve"> and Compliance Plan</w:t>
      </w:r>
      <w:r>
        <w:t>, the following definitions shall apply:</w:t>
      </w:r>
    </w:p>
    <w:p w:rsidR="00884214" w:rsidRDefault="00884214" w:rsidP="00865249">
      <w:pPr>
        <w:pStyle w:val="par1"/>
        <w:numPr>
          <w:ilvl w:val="0"/>
          <w:numId w:val="3"/>
        </w:numPr>
        <w:tabs>
          <w:tab w:val="clear" w:pos="1224"/>
        </w:tabs>
        <w:spacing w:after="120"/>
        <w:ind w:left="1440" w:hanging="540"/>
        <w:rPr>
          <w:szCs w:val="22"/>
        </w:rPr>
      </w:pPr>
      <w:r>
        <w:rPr>
          <w:szCs w:val="22"/>
        </w:rPr>
        <w:t>“Act”</w:t>
      </w:r>
      <w:r w:rsidRPr="002E712B">
        <w:rPr>
          <w:szCs w:val="22"/>
        </w:rPr>
        <w:t xml:space="preserve"> </w:t>
      </w:r>
      <w:r>
        <w:rPr>
          <w:szCs w:val="22"/>
        </w:rPr>
        <w:t xml:space="preserve">means the Communications Act of 1934, as amended, 47 U.S.C. § 151 </w:t>
      </w:r>
      <w:r w:rsidR="008D49DD" w:rsidRPr="000030A2">
        <w:rPr>
          <w:i/>
          <w:szCs w:val="22"/>
        </w:rPr>
        <w:t xml:space="preserve">et </w:t>
      </w:r>
      <w:r w:rsidRPr="000030A2">
        <w:rPr>
          <w:i/>
          <w:szCs w:val="22"/>
        </w:rPr>
        <w:t>seq.</w:t>
      </w:r>
    </w:p>
    <w:p w:rsidR="00FD7A3A" w:rsidRPr="006D2E49" w:rsidRDefault="00884214" w:rsidP="00865249">
      <w:pPr>
        <w:pStyle w:val="par1"/>
        <w:numPr>
          <w:ilvl w:val="0"/>
          <w:numId w:val="3"/>
        </w:numPr>
        <w:tabs>
          <w:tab w:val="clear" w:pos="1224"/>
        </w:tabs>
        <w:spacing w:after="120"/>
        <w:ind w:left="1440" w:hanging="540"/>
        <w:rPr>
          <w:szCs w:val="22"/>
        </w:rPr>
      </w:pPr>
      <w:r>
        <w:rPr>
          <w:szCs w:val="22"/>
        </w:rPr>
        <w:t xml:space="preserve">“Adopting Order” means the Order of the </w:t>
      </w:r>
      <w:r w:rsidR="00963E36">
        <w:rPr>
          <w:szCs w:val="22"/>
        </w:rPr>
        <w:t>Commission</w:t>
      </w:r>
      <w:r w:rsidR="002E712B">
        <w:rPr>
          <w:szCs w:val="22"/>
        </w:rPr>
        <w:t xml:space="preserve"> adopting the terms of this </w:t>
      </w:r>
      <w:r>
        <w:rPr>
          <w:szCs w:val="22"/>
        </w:rPr>
        <w:t>Consent Decree without change, addition, deletion, or modification.</w:t>
      </w:r>
      <w:r w:rsidR="000F0B29" w:rsidRPr="006D2E49">
        <w:rPr>
          <w:szCs w:val="22"/>
        </w:rPr>
        <w:t xml:space="preserve"> </w:t>
      </w:r>
    </w:p>
    <w:p w:rsidR="002E712B" w:rsidRDefault="00884214" w:rsidP="00865249">
      <w:pPr>
        <w:pStyle w:val="par1"/>
        <w:numPr>
          <w:ilvl w:val="0"/>
          <w:numId w:val="3"/>
        </w:numPr>
        <w:tabs>
          <w:tab w:val="clear" w:pos="1224"/>
        </w:tabs>
        <w:spacing w:after="120"/>
        <w:ind w:left="1440" w:hanging="540"/>
        <w:rPr>
          <w:szCs w:val="22"/>
        </w:rPr>
      </w:pPr>
      <w:r>
        <w:rPr>
          <w:szCs w:val="22"/>
        </w:rPr>
        <w:t>“Bureau” means the Media Burea</w:t>
      </w:r>
      <w:r w:rsidR="002E712B">
        <w:rPr>
          <w:szCs w:val="22"/>
        </w:rPr>
        <w:t xml:space="preserve">u of the Federal Communication </w:t>
      </w:r>
      <w:r>
        <w:rPr>
          <w:szCs w:val="22"/>
        </w:rPr>
        <w:t>Commission.</w:t>
      </w:r>
    </w:p>
    <w:p w:rsidR="006D2E49" w:rsidRDefault="00884214" w:rsidP="00865249">
      <w:pPr>
        <w:pStyle w:val="par1"/>
        <w:numPr>
          <w:ilvl w:val="0"/>
          <w:numId w:val="3"/>
        </w:numPr>
        <w:tabs>
          <w:tab w:val="clear" w:pos="1224"/>
        </w:tabs>
        <w:spacing w:after="120"/>
        <w:ind w:left="1440" w:hanging="540"/>
        <w:rPr>
          <w:szCs w:val="22"/>
        </w:rPr>
      </w:pPr>
      <w:r>
        <w:rPr>
          <w:szCs w:val="22"/>
        </w:rPr>
        <w:t xml:space="preserve">“Commission” </w:t>
      </w:r>
      <w:r w:rsidR="00963E36">
        <w:rPr>
          <w:szCs w:val="22"/>
        </w:rPr>
        <w:t>or</w:t>
      </w:r>
      <w:r>
        <w:rPr>
          <w:szCs w:val="22"/>
        </w:rPr>
        <w:t xml:space="preserve"> “FCC” mean the Federal</w:t>
      </w:r>
      <w:r w:rsidR="008D49DD">
        <w:rPr>
          <w:szCs w:val="22"/>
        </w:rPr>
        <w:t xml:space="preserve"> Communications Commission and </w:t>
      </w:r>
      <w:r>
        <w:rPr>
          <w:szCs w:val="22"/>
        </w:rPr>
        <w:t xml:space="preserve">all of its bureaus and offices.  </w:t>
      </w:r>
    </w:p>
    <w:p w:rsidR="00884214" w:rsidRDefault="00884214" w:rsidP="00865249">
      <w:pPr>
        <w:pStyle w:val="par1"/>
        <w:numPr>
          <w:ilvl w:val="0"/>
          <w:numId w:val="3"/>
        </w:numPr>
        <w:tabs>
          <w:tab w:val="clear" w:pos="1224"/>
        </w:tabs>
        <w:spacing w:after="120"/>
        <w:ind w:left="1440" w:hanging="540"/>
        <w:rPr>
          <w:szCs w:val="22"/>
        </w:rPr>
      </w:pPr>
      <w:r>
        <w:rPr>
          <w:szCs w:val="22"/>
        </w:rPr>
        <w:t xml:space="preserve">“Communications Laws” means, collectively, the Act, the Rules, and the published and promulgated orders and decisions of the Commission to which </w:t>
      </w:r>
      <w:r w:rsidR="006D2E49">
        <w:rPr>
          <w:szCs w:val="22"/>
        </w:rPr>
        <w:t>R&amp;F Broadcasting, Inc.</w:t>
      </w:r>
      <w:r w:rsidR="008A137C">
        <w:rPr>
          <w:szCs w:val="22"/>
        </w:rPr>
        <w:t xml:space="preserve"> </w:t>
      </w:r>
      <w:r w:rsidR="006D2E49">
        <w:rPr>
          <w:szCs w:val="22"/>
        </w:rPr>
        <w:t>is</w:t>
      </w:r>
      <w:r>
        <w:rPr>
          <w:szCs w:val="22"/>
        </w:rPr>
        <w:t xml:space="preserve"> subject by virtue of being a Commission licensee,</w:t>
      </w:r>
      <w:r w:rsidR="008A137C">
        <w:rPr>
          <w:szCs w:val="22"/>
        </w:rPr>
        <w:t xml:space="preserve"> and/or controlling party of a Commission licensee,</w:t>
      </w:r>
      <w:r>
        <w:rPr>
          <w:szCs w:val="22"/>
        </w:rPr>
        <w:t xml:space="preserve"> including but not limited to 47 C.F.R. §§ 73</w:t>
      </w:r>
      <w:r w:rsidR="00345BDB">
        <w:rPr>
          <w:szCs w:val="22"/>
        </w:rPr>
        <w:t>.3526</w:t>
      </w:r>
      <w:r w:rsidR="000D37D5">
        <w:rPr>
          <w:szCs w:val="22"/>
        </w:rPr>
        <w:t xml:space="preserve">, </w:t>
      </w:r>
      <w:r w:rsidR="002E712B">
        <w:rPr>
          <w:szCs w:val="22"/>
        </w:rPr>
        <w:t>73.</w:t>
      </w:r>
      <w:r w:rsidR="006D2E49">
        <w:rPr>
          <w:szCs w:val="22"/>
        </w:rPr>
        <w:t>624(e), 73.671 and the CTA</w:t>
      </w:r>
      <w:r w:rsidR="002E712B" w:rsidRPr="00A03A9A">
        <w:rPr>
          <w:szCs w:val="22"/>
        </w:rPr>
        <w:t>.</w:t>
      </w:r>
    </w:p>
    <w:p w:rsidR="00012E47" w:rsidRPr="00012E47" w:rsidRDefault="00012E47" w:rsidP="00865249">
      <w:pPr>
        <w:pStyle w:val="par1"/>
        <w:numPr>
          <w:ilvl w:val="0"/>
          <w:numId w:val="3"/>
        </w:numPr>
        <w:tabs>
          <w:tab w:val="clear" w:pos="1224"/>
        </w:tabs>
        <w:spacing w:after="120"/>
        <w:ind w:left="1440" w:hanging="540"/>
        <w:rPr>
          <w:szCs w:val="22"/>
        </w:rPr>
      </w:pPr>
      <w:r w:rsidRPr="006D2E49">
        <w:rPr>
          <w:szCs w:val="22"/>
        </w:rPr>
        <w:t>“CTA” means the Children’s Television Act</w:t>
      </w:r>
      <w:r>
        <w:rPr>
          <w:szCs w:val="22"/>
        </w:rPr>
        <w:t xml:space="preserve"> of 1990</w:t>
      </w:r>
      <w:r w:rsidRPr="006D2E49">
        <w:rPr>
          <w:szCs w:val="22"/>
        </w:rPr>
        <w:t>, Pub L. No. 101-437, 104 Stat. 996-1000, codified at 47 U.S.C. §§ 303a, 303b, and 394.</w:t>
      </w:r>
    </w:p>
    <w:p w:rsidR="00546BF5" w:rsidRPr="00546BF5" w:rsidRDefault="00884214" w:rsidP="00865249">
      <w:pPr>
        <w:pStyle w:val="par1"/>
        <w:numPr>
          <w:ilvl w:val="0"/>
          <w:numId w:val="3"/>
        </w:numPr>
        <w:tabs>
          <w:tab w:val="clear" w:pos="1224"/>
        </w:tabs>
        <w:spacing w:after="120"/>
        <w:ind w:left="1440" w:hanging="540"/>
        <w:rPr>
          <w:szCs w:val="22"/>
        </w:rPr>
      </w:pPr>
      <w:r>
        <w:rPr>
          <w:szCs w:val="22"/>
        </w:rPr>
        <w:t>“Effective Date” means the date on which th</w:t>
      </w:r>
      <w:r w:rsidR="002E712B">
        <w:rPr>
          <w:szCs w:val="22"/>
        </w:rPr>
        <w:t xml:space="preserve">e Bureau releases the Adopting </w:t>
      </w:r>
      <w:r>
        <w:rPr>
          <w:szCs w:val="22"/>
        </w:rPr>
        <w:t>Order.</w:t>
      </w:r>
    </w:p>
    <w:p w:rsidR="002E712B" w:rsidRPr="0023077B" w:rsidRDefault="00884214" w:rsidP="00865249">
      <w:pPr>
        <w:pStyle w:val="par1"/>
        <w:numPr>
          <w:ilvl w:val="0"/>
          <w:numId w:val="3"/>
        </w:numPr>
        <w:tabs>
          <w:tab w:val="clear" w:pos="1224"/>
        </w:tabs>
        <w:spacing w:after="120"/>
        <w:ind w:left="1440" w:hanging="540"/>
        <w:rPr>
          <w:szCs w:val="22"/>
        </w:rPr>
      </w:pPr>
      <w:r w:rsidRPr="002E712B">
        <w:rPr>
          <w:szCs w:val="22"/>
        </w:rPr>
        <w:t>“Investigation”</w:t>
      </w:r>
      <w:r w:rsidR="002E712B" w:rsidRPr="002E712B">
        <w:rPr>
          <w:szCs w:val="22"/>
        </w:rPr>
        <w:t xml:space="preserve"> means the </w:t>
      </w:r>
      <w:r w:rsidR="00F07FB5">
        <w:rPr>
          <w:szCs w:val="22"/>
        </w:rPr>
        <w:t>Media Bureau’s investigation of R&amp;F’s</w:t>
      </w:r>
      <w:r w:rsidR="002E712B">
        <w:t xml:space="preserve"> potential violations of </w:t>
      </w:r>
      <w:r w:rsidR="006D2E49">
        <w:t>the CTA</w:t>
      </w:r>
      <w:r w:rsidR="006225BA">
        <w:t xml:space="preserve"> and </w:t>
      </w:r>
      <w:r w:rsidR="00963E36">
        <w:rPr>
          <w:szCs w:val="22"/>
        </w:rPr>
        <w:t>47 C.F.R. §§ 73.3526</w:t>
      </w:r>
      <w:r w:rsidR="0000541A">
        <w:rPr>
          <w:szCs w:val="22"/>
        </w:rPr>
        <w:t>(e)(11)(iii)</w:t>
      </w:r>
      <w:r w:rsidR="00963E36">
        <w:rPr>
          <w:szCs w:val="22"/>
        </w:rPr>
        <w:t>, 73.624(e), 73.671</w:t>
      </w:r>
      <w:r w:rsidR="006225BA">
        <w:t>.</w:t>
      </w:r>
      <w:r w:rsidR="006D2E49">
        <w:t xml:space="preserve">  </w:t>
      </w:r>
    </w:p>
    <w:p w:rsidR="002E712B" w:rsidRPr="002E712B" w:rsidRDefault="002E712B" w:rsidP="00865249">
      <w:pPr>
        <w:pStyle w:val="par1"/>
        <w:numPr>
          <w:ilvl w:val="0"/>
          <w:numId w:val="3"/>
        </w:numPr>
        <w:tabs>
          <w:tab w:val="clear" w:pos="1224"/>
        </w:tabs>
        <w:spacing w:after="120"/>
        <w:ind w:left="1454" w:hanging="547"/>
        <w:rPr>
          <w:szCs w:val="22"/>
        </w:rPr>
      </w:pPr>
      <w:r w:rsidRPr="002E712B">
        <w:rPr>
          <w:szCs w:val="22"/>
        </w:rPr>
        <w:t xml:space="preserve">“License Renewal Application” means </w:t>
      </w:r>
      <w:r w:rsidR="00963E36">
        <w:rPr>
          <w:szCs w:val="22"/>
        </w:rPr>
        <w:t xml:space="preserve">the license renewal application of station WRFB(TV), Carolina, Puerto Rico, </w:t>
      </w:r>
      <w:r w:rsidRPr="002E712B">
        <w:rPr>
          <w:szCs w:val="22"/>
        </w:rPr>
        <w:t>File No.</w:t>
      </w:r>
      <w:r w:rsidR="006D2E49">
        <w:rPr>
          <w:szCs w:val="22"/>
        </w:rPr>
        <w:t xml:space="preserve"> BRCDT-20121001AGN</w:t>
      </w:r>
      <w:r w:rsidR="009A0F10">
        <w:rPr>
          <w:szCs w:val="22"/>
        </w:rPr>
        <w:t>.</w:t>
      </w:r>
      <w:r w:rsidRPr="002E712B">
        <w:rPr>
          <w:szCs w:val="22"/>
        </w:rPr>
        <w:t xml:space="preserve"> </w:t>
      </w:r>
    </w:p>
    <w:p w:rsidR="00012E47" w:rsidRDefault="00884214" w:rsidP="00865249">
      <w:pPr>
        <w:pStyle w:val="par1"/>
        <w:numPr>
          <w:ilvl w:val="0"/>
          <w:numId w:val="3"/>
        </w:numPr>
        <w:tabs>
          <w:tab w:val="clear" w:pos="1224"/>
        </w:tabs>
        <w:spacing w:after="120"/>
        <w:ind w:left="1440" w:hanging="540"/>
        <w:rPr>
          <w:szCs w:val="22"/>
        </w:rPr>
      </w:pPr>
      <w:r w:rsidRPr="002E712B">
        <w:rPr>
          <w:szCs w:val="22"/>
        </w:rPr>
        <w:t xml:space="preserve">“Parties” means </w:t>
      </w:r>
      <w:r w:rsidR="006D2E49">
        <w:rPr>
          <w:szCs w:val="22"/>
        </w:rPr>
        <w:t>R&amp;F</w:t>
      </w:r>
      <w:r w:rsidRPr="002E712B">
        <w:rPr>
          <w:szCs w:val="22"/>
        </w:rPr>
        <w:t xml:space="preserve"> and the </w:t>
      </w:r>
      <w:r w:rsidR="00963E36">
        <w:rPr>
          <w:szCs w:val="22"/>
        </w:rPr>
        <w:t>Commission</w:t>
      </w:r>
      <w:r w:rsidRPr="002E712B">
        <w:rPr>
          <w:szCs w:val="22"/>
        </w:rPr>
        <w:t>, each of which is a “Party.”</w:t>
      </w:r>
    </w:p>
    <w:p w:rsidR="00012E47" w:rsidRDefault="00012E47" w:rsidP="00865249">
      <w:pPr>
        <w:pStyle w:val="par1"/>
        <w:numPr>
          <w:ilvl w:val="0"/>
          <w:numId w:val="3"/>
        </w:numPr>
        <w:tabs>
          <w:tab w:val="clear" w:pos="1224"/>
        </w:tabs>
        <w:spacing w:after="120"/>
        <w:ind w:left="1440" w:hanging="540"/>
        <w:rPr>
          <w:szCs w:val="22"/>
        </w:rPr>
      </w:pPr>
      <w:r w:rsidRPr="00012E47">
        <w:rPr>
          <w:szCs w:val="22"/>
        </w:rPr>
        <w:t xml:space="preserve">“R&amp;F” means R&amp;F Broadcasting, Inc. and its subsidiaries, </w:t>
      </w:r>
      <w:r w:rsidR="006C7D6E">
        <w:rPr>
          <w:szCs w:val="22"/>
        </w:rPr>
        <w:t xml:space="preserve">affiliates, </w:t>
      </w:r>
      <w:r w:rsidRPr="00012E47">
        <w:rPr>
          <w:szCs w:val="22"/>
        </w:rPr>
        <w:t>successors, assigns, and/or transferees.</w:t>
      </w:r>
    </w:p>
    <w:p w:rsidR="00012E47" w:rsidRDefault="00884214" w:rsidP="00865249">
      <w:pPr>
        <w:pStyle w:val="par1"/>
        <w:numPr>
          <w:ilvl w:val="0"/>
          <w:numId w:val="3"/>
        </w:numPr>
        <w:tabs>
          <w:tab w:val="clear" w:pos="1224"/>
        </w:tabs>
        <w:spacing w:after="120"/>
        <w:ind w:left="1440" w:hanging="540"/>
        <w:rPr>
          <w:szCs w:val="22"/>
        </w:rPr>
      </w:pPr>
      <w:r w:rsidRPr="00012E47">
        <w:rPr>
          <w:szCs w:val="22"/>
        </w:rPr>
        <w:t>“Rules” means the Commission’s regulations fo</w:t>
      </w:r>
      <w:r w:rsidR="002E712B" w:rsidRPr="00012E47">
        <w:rPr>
          <w:szCs w:val="22"/>
        </w:rPr>
        <w:t xml:space="preserve">und in Title 47 of the Code of </w:t>
      </w:r>
      <w:r w:rsidRPr="00012E47">
        <w:rPr>
          <w:szCs w:val="22"/>
        </w:rPr>
        <w:t>Federal Regulations.</w:t>
      </w:r>
    </w:p>
    <w:p w:rsidR="006D2E49" w:rsidRPr="00012E47" w:rsidRDefault="006D2E49" w:rsidP="00865249">
      <w:pPr>
        <w:pStyle w:val="par1"/>
        <w:numPr>
          <w:ilvl w:val="0"/>
          <w:numId w:val="3"/>
        </w:numPr>
        <w:tabs>
          <w:tab w:val="clear" w:pos="1224"/>
        </w:tabs>
        <w:spacing w:after="120"/>
        <w:ind w:left="1440" w:hanging="540"/>
        <w:rPr>
          <w:szCs w:val="22"/>
        </w:rPr>
      </w:pPr>
      <w:r w:rsidRPr="00012E47">
        <w:rPr>
          <w:color w:val="000000"/>
          <w:szCs w:val="22"/>
        </w:rPr>
        <w:t>“Station” means the</w:t>
      </w:r>
      <w:r w:rsidR="00963E36">
        <w:rPr>
          <w:color w:val="000000"/>
          <w:szCs w:val="22"/>
        </w:rPr>
        <w:t xml:space="preserve"> broadcast television station</w:t>
      </w:r>
      <w:r w:rsidRPr="00012E47">
        <w:rPr>
          <w:color w:val="000000"/>
          <w:szCs w:val="22"/>
        </w:rPr>
        <w:t xml:space="preserve"> </w:t>
      </w:r>
      <w:r w:rsidR="00963E36">
        <w:rPr>
          <w:color w:val="000000"/>
          <w:szCs w:val="22"/>
        </w:rPr>
        <w:t>WRFB(TV), Carolina, Puerto Rico</w:t>
      </w:r>
      <w:r w:rsidRPr="00012E47">
        <w:rPr>
          <w:color w:val="000000"/>
          <w:szCs w:val="22"/>
        </w:rPr>
        <w:t>.</w:t>
      </w:r>
    </w:p>
    <w:p w:rsidR="00884214" w:rsidRDefault="00CD7197" w:rsidP="00865249">
      <w:pPr>
        <w:pStyle w:val="Heading1"/>
        <w:keepNext w:val="0"/>
        <w:suppressAutoHyphens w:val="0"/>
      </w:pPr>
      <w:r>
        <w:t>Background</w:t>
      </w:r>
    </w:p>
    <w:p w:rsidR="00445B77" w:rsidRDefault="006D2E49" w:rsidP="00865249">
      <w:pPr>
        <w:pStyle w:val="ParaNum"/>
      </w:pPr>
      <w:r w:rsidRPr="006535D7">
        <w:t xml:space="preserve">On October 1, 2012, the Licensee </w:t>
      </w:r>
      <w:r w:rsidR="00963E36">
        <w:t xml:space="preserve">timely </w:t>
      </w:r>
      <w:r w:rsidRPr="006535D7">
        <w:t>filed its license renewal application (FCC Form 303-S) for the Station.</w:t>
      </w:r>
      <w:r w:rsidRPr="0023115F">
        <w:rPr>
          <w:rStyle w:val="FootnoteReference"/>
          <w:szCs w:val="22"/>
        </w:rPr>
        <w:footnoteReference w:id="12"/>
      </w:r>
      <w:r w:rsidRPr="006535D7">
        <w:t xml:space="preserve">  Following a series of </w:t>
      </w:r>
      <w:r>
        <w:t xml:space="preserve">informal </w:t>
      </w:r>
      <w:r w:rsidRPr="006535D7">
        <w:t>inquiries from staff</w:t>
      </w:r>
      <w:r w:rsidR="00C23B1A">
        <w:t>,</w:t>
      </w:r>
      <w:r w:rsidRPr="006535D7">
        <w:t xml:space="preserve"> </w:t>
      </w:r>
      <w:r w:rsidR="00B07D25">
        <w:t xml:space="preserve">the </w:t>
      </w:r>
      <w:r>
        <w:t xml:space="preserve">Licensee </w:t>
      </w:r>
      <w:r w:rsidR="00B07D25">
        <w:t xml:space="preserve">has since amended </w:t>
      </w:r>
      <w:r>
        <w:t>its application on four separate occasions</w:t>
      </w:r>
      <w:r w:rsidR="00D43D58">
        <w:t>, most recently on July 31, 2013, in order</w:t>
      </w:r>
      <w:r>
        <w:t xml:space="preserve"> to address requests by staff</w:t>
      </w:r>
      <w:r w:rsidR="00445B77">
        <w:t xml:space="preserve"> related to </w:t>
      </w:r>
      <w:r w:rsidR="00705477">
        <w:t xml:space="preserve">R&amp;F’s </w:t>
      </w:r>
      <w:r w:rsidR="00B07D25">
        <w:t xml:space="preserve">compliance with </w:t>
      </w:r>
      <w:r w:rsidR="00B07D25" w:rsidRPr="00B07D25">
        <w:rPr>
          <w:color w:val="000000"/>
          <w:szCs w:val="22"/>
        </w:rPr>
        <w:t xml:space="preserve">the CTA and Sections 73.671, 73.3526 and 73.624(g) of the </w:t>
      </w:r>
      <w:r w:rsidR="00B07D25">
        <w:rPr>
          <w:color w:val="000000"/>
          <w:szCs w:val="22"/>
        </w:rPr>
        <w:t>R</w:t>
      </w:r>
      <w:r w:rsidR="00B07D25" w:rsidRPr="00B07D25">
        <w:rPr>
          <w:color w:val="000000"/>
          <w:szCs w:val="22"/>
        </w:rPr>
        <w:t>ules</w:t>
      </w:r>
      <w:r w:rsidR="00B07D25">
        <w:t>.  Specifically, i</w:t>
      </w:r>
      <w:r w:rsidR="00B07D25" w:rsidRPr="006E4750">
        <w:t xml:space="preserve">n Exhibit 24 of the </w:t>
      </w:r>
      <w:r w:rsidR="00B07D25">
        <w:t>License</w:t>
      </w:r>
      <w:r w:rsidR="00B07D25" w:rsidRPr="006E4750">
        <w:t xml:space="preserve"> </w:t>
      </w:r>
      <w:r w:rsidR="00B07D25">
        <w:t>Renewal A</w:t>
      </w:r>
      <w:r w:rsidR="00B07D25" w:rsidRPr="006E4750">
        <w:t>pplication</w:t>
      </w:r>
      <w:r w:rsidR="003379DE">
        <w:t>,</w:t>
      </w:r>
      <w:r w:rsidR="00B07D25" w:rsidRPr="006E4750">
        <w:t xml:space="preserve"> the Licensee states that</w:t>
      </w:r>
      <w:r w:rsidR="003379DE">
        <w:t>,</w:t>
      </w:r>
      <w:r w:rsidR="00B07D25" w:rsidRPr="006E4750">
        <w:t xml:space="preserve"> between </w:t>
      </w:r>
      <w:r w:rsidR="00C23B1A">
        <w:t xml:space="preserve">the </w:t>
      </w:r>
      <w:r w:rsidR="00B07D25" w:rsidRPr="006E4750">
        <w:t xml:space="preserve">third quarter </w:t>
      </w:r>
      <w:r w:rsidR="00C23B1A">
        <w:t xml:space="preserve">of </w:t>
      </w:r>
      <w:r w:rsidR="00B07D25" w:rsidRPr="006E4750">
        <w:t>2009 and “early 2011</w:t>
      </w:r>
      <w:r w:rsidR="003379DE">
        <w:t>,</w:t>
      </w:r>
      <w:r w:rsidR="00B07D25" w:rsidRPr="006E4750">
        <w:t>” the Station aired its children’s</w:t>
      </w:r>
      <w:r w:rsidR="00B07D25">
        <w:t xml:space="preserve"> programming beginning at 6:00</w:t>
      </w:r>
      <w:r w:rsidR="00705477">
        <w:t xml:space="preserve"> </w:t>
      </w:r>
      <w:r w:rsidR="00B07D25">
        <w:t>a</w:t>
      </w:r>
      <w:r w:rsidR="00705477">
        <w:t>.</w:t>
      </w:r>
      <w:r w:rsidR="00B07D25">
        <w:t>m</w:t>
      </w:r>
      <w:r w:rsidR="00705477">
        <w:t>.</w:t>
      </w:r>
      <w:r w:rsidR="00B07D25" w:rsidRPr="006E4750">
        <w:t xml:space="preserve"> instead of 7</w:t>
      </w:r>
      <w:r w:rsidR="00B07D25">
        <w:t>:00</w:t>
      </w:r>
      <w:r w:rsidR="00705477">
        <w:t xml:space="preserve"> </w:t>
      </w:r>
      <w:r w:rsidR="00B07D25" w:rsidRPr="006E4750">
        <w:t>a</w:t>
      </w:r>
      <w:r w:rsidR="00705477">
        <w:t>.</w:t>
      </w:r>
      <w:r w:rsidR="00B07D25" w:rsidRPr="006E4750">
        <w:t>m.</w:t>
      </w:r>
      <w:r w:rsidR="001E03CD">
        <w:rPr>
          <w:rStyle w:val="FootnoteReference"/>
        </w:rPr>
        <w:footnoteReference w:id="13"/>
      </w:r>
      <w:r w:rsidR="00B07D25">
        <w:t xml:space="preserve">  </w:t>
      </w:r>
      <w:r w:rsidR="00B07D25" w:rsidRPr="0086179D">
        <w:t xml:space="preserve">While the Licensee admits </w:t>
      </w:r>
      <w:r w:rsidR="00C23B1A">
        <w:t xml:space="preserve">to airing only two hours of Core Programming </w:t>
      </w:r>
      <w:r w:rsidR="00857F86">
        <w:t>from</w:t>
      </w:r>
      <w:r w:rsidR="00C23B1A" w:rsidRPr="0086179D">
        <w:t xml:space="preserve"> </w:t>
      </w:r>
      <w:r w:rsidR="00AC76B2">
        <w:t xml:space="preserve">the </w:t>
      </w:r>
      <w:r w:rsidR="00B07D25" w:rsidRPr="0086179D">
        <w:t xml:space="preserve">third quarter </w:t>
      </w:r>
      <w:r w:rsidR="00C23B1A">
        <w:t xml:space="preserve">of </w:t>
      </w:r>
      <w:r w:rsidR="00B07D25" w:rsidRPr="0086179D">
        <w:t xml:space="preserve">2009 </w:t>
      </w:r>
      <w:r w:rsidR="00857F86">
        <w:t>through</w:t>
      </w:r>
      <w:r w:rsidR="00857F86" w:rsidRPr="0086179D">
        <w:t xml:space="preserve"> </w:t>
      </w:r>
      <w:r w:rsidR="001E03CD">
        <w:t>fourth quarter of 2011</w:t>
      </w:r>
      <w:r w:rsidR="00C23B1A">
        <w:t>,</w:t>
      </w:r>
      <w:r w:rsidR="00B07D25" w:rsidRPr="0086179D">
        <w:t xml:space="preserve"> </w:t>
      </w:r>
      <w:r w:rsidR="00C8254A">
        <w:t>during</w:t>
      </w:r>
      <w:r w:rsidR="00AC76B2">
        <w:t xml:space="preserve"> those </w:t>
      </w:r>
      <w:r w:rsidR="001E03CD">
        <w:t>six</w:t>
      </w:r>
      <w:r w:rsidR="00AC76B2">
        <w:t xml:space="preserve"> calendar quarters, </w:t>
      </w:r>
      <w:r w:rsidR="00B07D25">
        <w:t>it contends that it has aired a package of programming that is at least equivalent to airing three hours of children’s programming</w:t>
      </w:r>
      <w:r w:rsidR="00C23B1A">
        <w:t xml:space="preserve"> per week</w:t>
      </w:r>
      <w:r w:rsidR="00AC76B2">
        <w:t xml:space="preserve">, albeit not within the time </w:t>
      </w:r>
      <w:r w:rsidR="00197F13">
        <w:t>period specified in Section 73.</w:t>
      </w:r>
      <w:r w:rsidR="00AC76B2">
        <w:t>671</w:t>
      </w:r>
      <w:r w:rsidR="00197F13">
        <w:t>(c)(2)</w:t>
      </w:r>
      <w:r w:rsidR="00B07D25">
        <w:t>.</w:t>
      </w:r>
      <w:r w:rsidR="00B07D25">
        <w:rPr>
          <w:rStyle w:val="FootnoteReference"/>
        </w:rPr>
        <w:footnoteReference w:id="14"/>
      </w:r>
      <w:r w:rsidR="00B07D25">
        <w:t xml:space="preserve">  In addition, the Licensee states that since early 2011 it has been airing a total of four hours of </w:t>
      </w:r>
      <w:r w:rsidR="00C23B1A">
        <w:t>C</w:t>
      </w:r>
      <w:r w:rsidR="00B07D25">
        <w:t xml:space="preserve">ore </w:t>
      </w:r>
      <w:r w:rsidR="00C23B1A">
        <w:t>P</w:t>
      </w:r>
      <w:r w:rsidR="00B07D25">
        <w:t xml:space="preserve">rogramming per week, which is in excess of the minimum </w:t>
      </w:r>
      <w:r w:rsidR="00C23B1A">
        <w:t>C</w:t>
      </w:r>
      <w:r w:rsidR="00B07D25">
        <w:t xml:space="preserve">ore </w:t>
      </w:r>
      <w:r w:rsidR="00AC76B2">
        <w:t xml:space="preserve">Programming </w:t>
      </w:r>
      <w:r w:rsidR="00B07D25">
        <w:t>obligation.</w:t>
      </w:r>
      <w:r w:rsidR="00B07D25">
        <w:rPr>
          <w:szCs w:val="22"/>
        </w:rPr>
        <w:t xml:space="preserve">  </w:t>
      </w:r>
    </w:p>
    <w:p w:rsidR="00B07D25" w:rsidRPr="0068280D" w:rsidRDefault="00B07D25" w:rsidP="00865249">
      <w:pPr>
        <w:pStyle w:val="ParaNum"/>
        <w:tabs>
          <w:tab w:val="clear" w:pos="1440"/>
          <w:tab w:val="num" w:pos="1080"/>
        </w:tabs>
        <w:rPr>
          <w:szCs w:val="22"/>
        </w:rPr>
      </w:pPr>
      <w:r w:rsidRPr="0068280D">
        <w:rPr>
          <w:szCs w:val="22"/>
        </w:rPr>
        <w:t>Under the CTA</w:t>
      </w:r>
      <w:r>
        <w:rPr>
          <w:szCs w:val="22"/>
        </w:rPr>
        <w:t>,</w:t>
      </w:r>
      <w:r w:rsidRPr="0068280D">
        <w:rPr>
          <w:szCs w:val="22"/>
        </w:rPr>
        <w:t xml:space="preserve"> as implemented by Section 73.671 of the Rules, </w:t>
      </w:r>
      <w:r>
        <w:rPr>
          <w:szCs w:val="22"/>
        </w:rPr>
        <w:t xml:space="preserve">a </w:t>
      </w:r>
      <w:r w:rsidRPr="0068280D">
        <w:rPr>
          <w:szCs w:val="22"/>
        </w:rPr>
        <w:t xml:space="preserve">broadcast television licensee </w:t>
      </w:r>
      <w:r>
        <w:rPr>
          <w:szCs w:val="22"/>
        </w:rPr>
        <w:t>is</w:t>
      </w:r>
      <w:r w:rsidRPr="0068280D">
        <w:rPr>
          <w:szCs w:val="22"/>
        </w:rPr>
        <w:t xml:space="preserve"> required </w:t>
      </w:r>
      <w:r w:rsidR="00E912F9">
        <w:rPr>
          <w:szCs w:val="22"/>
        </w:rPr>
        <w:t>“</w:t>
      </w:r>
      <w:r w:rsidRPr="0068280D">
        <w:rPr>
          <w:szCs w:val="22"/>
        </w:rPr>
        <w:t xml:space="preserve">to </w:t>
      </w:r>
      <w:r>
        <w:rPr>
          <w:szCs w:val="22"/>
        </w:rPr>
        <w:t>serve, over the term of its license, the educational and informational needs of children through both the licensee’s overall programming and programming specifically designed to serve such needs.”</w:t>
      </w:r>
      <w:r>
        <w:rPr>
          <w:rStyle w:val="FootnoteReference"/>
          <w:szCs w:val="22"/>
        </w:rPr>
        <w:footnoteReference w:id="15"/>
      </w:r>
      <w:r>
        <w:rPr>
          <w:szCs w:val="22"/>
        </w:rPr>
        <w:t xml:space="preserve">  Programming </w:t>
      </w:r>
      <w:r w:rsidRPr="0068280D">
        <w:rPr>
          <w:szCs w:val="22"/>
        </w:rPr>
        <w:t>specifically designed to serve the educational and informational needs of children</w:t>
      </w:r>
      <w:r>
        <w:rPr>
          <w:szCs w:val="22"/>
        </w:rPr>
        <w:t xml:space="preserve"> is defined by the Rule</w:t>
      </w:r>
      <w:r w:rsidR="00E912F9">
        <w:rPr>
          <w:szCs w:val="22"/>
        </w:rPr>
        <w:t>s</w:t>
      </w:r>
      <w:r>
        <w:rPr>
          <w:szCs w:val="22"/>
        </w:rPr>
        <w:t xml:space="preserve"> as “Core</w:t>
      </w:r>
      <w:r w:rsidRPr="0068280D">
        <w:rPr>
          <w:szCs w:val="22"/>
        </w:rPr>
        <w:t xml:space="preserve"> </w:t>
      </w:r>
      <w:r>
        <w:rPr>
          <w:szCs w:val="22"/>
        </w:rPr>
        <w:t>P</w:t>
      </w:r>
      <w:r w:rsidRPr="0068280D">
        <w:rPr>
          <w:szCs w:val="22"/>
        </w:rPr>
        <w:t>rogramming</w:t>
      </w:r>
      <w:r>
        <w:rPr>
          <w:szCs w:val="22"/>
        </w:rPr>
        <w:t>.”</w:t>
      </w:r>
      <w:r>
        <w:rPr>
          <w:rStyle w:val="FootnoteReference"/>
          <w:szCs w:val="22"/>
        </w:rPr>
        <w:footnoteReference w:id="16"/>
      </w:r>
      <w:r w:rsidRPr="0068280D">
        <w:rPr>
          <w:szCs w:val="22"/>
        </w:rPr>
        <w:t xml:space="preserve">  </w:t>
      </w:r>
      <w:r w:rsidRPr="0068280D">
        <w:rPr>
          <w:color w:val="000000"/>
          <w:szCs w:val="22"/>
        </w:rPr>
        <w:t xml:space="preserve">In the </w:t>
      </w:r>
      <w:r w:rsidRPr="0068280D">
        <w:rPr>
          <w:i/>
          <w:iCs/>
          <w:color w:val="000000"/>
          <w:szCs w:val="22"/>
        </w:rPr>
        <w:t>1996 Children's Television Order</w:t>
      </w:r>
      <w:r w:rsidRPr="0068280D">
        <w:rPr>
          <w:color w:val="000000"/>
          <w:szCs w:val="22"/>
        </w:rPr>
        <w:t xml:space="preserve"> revising our rules and policies governing children's programming, the Commission established a license renewal application processing guideline of </w:t>
      </w:r>
      <w:r>
        <w:rPr>
          <w:color w:val="000000"/>
          <w:szCs w:val="22"/>
        </w:rPr>
        <w:t xml:space="preserve">at least </w:t>
      </w:r>
      <w:r w:rsidRPr="0068280D">
        <w:rPr>
          <w:color w:val="000000"/>
          <w:szCs w:val="22"/>
        </w:rPr>
        <w:t xml:space="preserve">three hours of </w:t>
      </w:r>
      <w:r>
        <w:rPr>
          <w:color w:val="000000"/>
          <w:szCs w:val="22"/>
        </w:rPr>
        <w:t>Core</w:t>
      </w:r>
      <w:r w:rsidRPr="0068280D">
        <w:rPr>
          <w:color w:val="000000"/>
          <w:szCs w:val="22"/>
        </w:rPr>
        <w:t xml:space="preserve"> </w:t>
      </w:r>
      <w:r>
        <w:rPr>
          <w:color w:val="000000"/>
          <w:szCs w:val="22"/>
        </w:rPr>
        <w:t>P</w:t>
      </w:r>
      <w:r w:rsidRPr="0068280D">
        <w:rPr>
          <w:color w:val="000000"/>
          <w:szCs w:val="22"/>
        </w:rPr>
        <w:t>rogramming per week.</w:t>
      </w:r>
      <w:r w:rsidRPr="0068280D">
        <w:rPr>
          <w:rStyle w:val="FootnoteReference"/>
          <w:color w:val="000000"/>
          <w:szCs w:val="22"/>
        </w:rPr>
        <w:footnoteReference w:id="17"/>
      </w:r>
      <w:r w:rsidRPr="0068280D">
        <w:rPr>
          <w:color w:val="000000"/>
          <w:szCs w:val="22"/>
        </w:rPr>
        <w:t xml:space="preserve">  The </w:t>
      </w:r>
      <w:r>
        <w:rPr>
          <w:color w:val="000000"/>
          <w:szCs w:val="22"/>
        </w:rPr>
        <w:t>R</w:t>
      </w:r>
      <w:r w:rsidRPr="0068280D">
        <w:rPr>
          <w:color w:val="000000"/>
          <w:szCs w:val="22"/>
        </w:rPr>
        <w:t xml:space="preserve">ules provide that the Media Bureau staff shall approve </w:t>
      </w:r>
      <w:r w:rsidRPr="0068280D">
        <w:rPr>
          <w:szCs w:val="22"/>
        </w:rPr>
        <w:t xml:space="preserve">the CTA portion of any license renewal application </w:t>
      </w:r>
      <w:r w:rsidRPr="0068280D">
        <w:rPr>
          <w:color w:val="000000"/>
          <w:szCs w:val="22"/>
        </w:rPr>
        <w:t xml:space="preserve">where the licensee demonstrates that it </w:t>
      </w:r>
      <w:r w:rsidRPr="0068280D">
        <w:rPr>
          <w:szCs w:val="22"/>
        </w:rPr>
        <w:t xml:space="preserve">has aired an average of </w:t>
      </w:r>
      <w:r>
        <w:rPr>
          <w:szCs w:val="22"/>
        </w:rPr>
        <w:t xml:space="preserve">at least </w:t>
      </w:r>
      <w:r w:rsidRPr="0068280D">
        <w:rPr>
          <w:szCs w:val="22"/>
        </w:rPr>
        <w:t xml:space="preserve">three hours per week of </w:t>
      </w:r>
      <w:r>
        <w:rPr>
          <w:szCs w:val="22"/>
        </w:rPr>
        <w:t>Core</w:t>
      </w:r>
      <w:r w:rsidRPr="0068280D">
        <w:rPr>
          <w:szCs w:val="22"/>
        </w:rPr>
        <w:t xml:space="preserve"> </w:t>
      </w:r>
      <w:r>
        <w:rPr>
          <w:szCs w:val="22"/>
        </w:rPr>
        <w:t>P</w:t>
      </w:r>
      <w:r w:rsidRPr="0068280D">
        <w:rPr>
          <w:szCs w:val="22"/>
        </w:rPr>
        <w:t>rogramming</w:t>
      </w:r>
      <w:r>
        <w:rPr>
          <w:szCs w:val="22"/>
        </w:rPr>
        <w:t>, as averaged over a six-month period</w:t>
      </w:r>
      <w:r w:rsidRPr="0068280D">
        <w:rPr>
          <w:szCs w:val="22"/>
        </w:rPr>
        <w:t>.</w:t>
      </w:r>
      <w:r w:rsidRPr="0068280D">
        <w:rPr>
          <w:rStyle w:val="FootnoteReference"/>
          <w:szCs w:val="22"/>
        </w:rPr>
        <w:footnoteReference w:id="18"/>
      </w:r>
      <w:r w:rsidRPr="0068280D">
        <w:rPr>
          <w:szCs w:val="22"/>
        </w:rPr>
        <w:t xml:space="preserve">  A licensee will also be deemed to have satisfied this obligation and be eligible for staff approval if it demonstrates that it has aired a package of different types of educational and informational programming that, while containing somewhat less than three hours per week of </w:t>
      </w:r>
      <w:r>
        <w:rPr>
          <w:szCs w:val="22"/>
        </w:rPr>
        <w:t>Core</w:t>
      </w:r>
      <w:r w:rsidRPr="0068280D">
        <w:rPr>
          <w:szCs w:val="22"/>
        </w:rPr>
        <w:t xml:space="preserve"> Programming, demonstrates a level of commitment to educating and informing children at least equivalent to airing three hours per week of </w:t>
      </w:r>
      <w:r>
        <w:rPr>
          <w:szCs w:val="22"/>
        </w:rPr>
        <w:t>Core</w:t>
      </w:r>
      <w:r w:rsidRPr="0068280D">
        <w:rPr>
          <w:szCs w:val="22"/>
        </w:rPr>
        <w:t xml:space="preserve"> Programming.</w:t>
      </w:r>
      <w:r w:rsidRPr="0068280D">
        <w:rPr>
          <w:rStyle w:val="FootnoteReference"/>
          <w:szCs w:val="22"/>
        </w:rPr>
        <w:footnoteReference w:id="19"/>
      </w:r>
      <w:r w:rsidRPr="0068280D">
        <w:rPr>
          <w:szCs w:val="22"/>
        </w:rPr>
        <w:t xml:space="preserve"> </w:t>
      </w:r>
      <w:r>
        <w:rPr>
          <w:szCs w:val="22"/>
        </w:rPr>
        <w:t xml:space="preserve"> </w:t>
      </w:r>
      <w:r w:rsidRPr="0068280D">
        <w:rPr>
          <w:szCs w:val="22"/>
        </w:rPr>
        <w:t>The renewal applications of licensees that do not meet these processing guidelines are referred to the Commission, where the licensees have a full opportunity to demonstrate compliance with the CTA.</w:t>
      </w:r>
      <w:r w:rsidRPr="0068280D">
        <w:rPr>
          <w:rStyle w:val="FootnoteReference"/>
          <w:szCs w:val="22"/>
        </w:rPr>
        <w:footnoteReference w:id="20"/>
      </w:r>
    </w:p>
    <w:p w:rsidR="006D2E49" w:rsidRDefault="00E912F9" w:rsidP="00865249">
      <w:pPr>
        <w:pStyle w:val="ParaNum"/>
      </w:pPr>
      <w:r>
        <w:t>In addition, t</w:t>
      </w:r>
      <w:r w:rsidR="006D2E49" w:rsidRPr="006535D7">
        <w:t>he Licensee</w:t>
      </w:r>
      <w:r w:rsidR="0086179D">
        <w:t xml:space="preserve"> states that it</w:t>
      </w:r>
      <w:r w:rsidR="00936CED">
        <w:t>:  (1)</w:t>
      </w:r>
      <w:r w:rsidR="006D2E49" w:rsidRPr="006535D7">
        <w:t xml:space="preserve"> failed to </w:t>
      </w:r>
      <w:r w:rsidR="00000854">
        <w:t xml:space="preserve">prepare and/or place </w:t>
      </w:r>
      <w:r w:rsidR="00000854" w:rsidRPr="006535D7">
        <w:t>into the Station’s</w:t>
      </w:r>
      <w:r w:rsidR="00000854">
        <w:t xml:space="preserve"> </w:t>
      </w:r>
      <w:r w:rsidR="00936CED">
        <w:t xml:space="preserve">physical </w:t>
      </w:r>
      <w:r w:rsidR="00000854">
        <w:t xml:space="preserve">local </w:t>
      </w:r>
      <w:r w:rsidR="00000854" w:rsidRPr="006535D7">
        <w:t>public</w:t>
      </w:r>
      <w:r w:rsidR="00000854">
        <w:t xml:space="preserve"> inspection</w:t>
      </w:r>
      <w:r w:rsidR="00000854" w:rsidRPr="006535D7">
        <w:t xml:space="preserve"> file</w:t>
      </w:r>
      <w:r w:rsidR="00000854">
        <w:t xml:space="preserve"> (public file)</w:t>
      </w:r>
      <w:r w:rsidR="00936CED">
        <w:t xml:space="preserve"> and online electronic public file (e-pif)</w:t>
      </w:r>
      <w:r w:rsidR="00000854">
        <w:t xml:space="preserve"> at appropriate times numerous</w:t>
      </w:r>
      <w:r w:rsidR="00000854" w:rsidRPr="006535D7">
        <w:t xml:space="preserve"> </w:t>
      </w:r>
      <w:r w:rsidR="00000854">
        <w:t xml:space="preserve">TV issues/programs lists, as </w:t>
      </w:r>
      <w:r w:rsidR="006D2E49" w:rsidRPr="006535D7">
        <w:t>required by Section 73.3526</w:t>
      </w:r>
      <w:r w:rsidR="00000854">
        <w:t>(e)(11)(i)</w:t>
      </w:r>
      <w:r w:rsidR="006D2E49" w:rsidRPr="006535D7">
        <w:t xml:space="preserve"> </w:t>
      </w:r>
      <w:r w:rsidR="00936CED">
        <w:t xml:space="preserve">and 73.3526(b)(2) </w:t>
      </w:r>
      <w:r w:rsidR="006D2E49" w:rsidRPr="006535D7">
        <w:t xml:space="preserve">of the </w:t>
      </w:r>
      <w:r w:rsidR="00000854">
        <w:t>Rules</w:t>
      </w:r>
      <w:r w:rsidR="00936CED">
        <w:t>;</w:t>
      </w:r>
      <w:r w:rsidR="00AC76B2">
        <w:rPr>
          <w:rStyle w:val="FootnoteReference"/>
        </w:rPr>
        <w:footnoteReference w:id="21"/>
      </w:r>
      <w:r w:rsidR="00000854">
        <w:t xml:space="preserve"> and </w:t>
      </w:r>
      <w:r w:rsidR="00936CED">
        <w:t xml:space="preserve">(2) </w:t>
      </w:r>
      <w:r w:rsidR="00000854">
        <w:t xml:space="preserve">on three occasions failed to </w:t>
      </w:r>
      <w:r w:rsidR="00777F41">
        <w:t xml:space="preserve">timely </w:t>
      </w:r>
      <w:r w:rsidR="00000854">
        <w:t>file</w:t>
      </w:r>
      <w:r w:rsidR="00722730">
        <w:t xml:space="preserve"> </w:t>
      </w:r>
      <w:r w:rsidR="00000854">
        <w:t>its Ancillary and Supplementary Services Report</w:t>
      </w:r>
      <w:r w:rsidR="009A57DD">
        <w:t>s</w:t>
      </w:r>
      <w:r w:rsidR="006D2E49" w:rsidRPr="006535D7">
        <w:t>.</w:t>
      </w:r>
      <w:r w:rsidR="00000854">
        <w:rPr>
          <w:rStyle w:val="FootnoteReference"/>
        </w:rPr>
        <w:footnoteReference w:id="22"/>
      </w:r>
      <w:r w:rsidR="006D2E49" w:rsidRPr="006535D7">
        <w:t xml:space="preserve">  In particular, the Licensee admits </w:t>
      </w:r>
      <w:r>
        <w:t xml:space="preserve">in Exhibit 20 of the License Renewal Application </w:t>
      </w:r>
      <w:r w:rsidR="006D2E49" w:rsidRPr="006535D7">
        <w:t xml:space="preserve">that its TV issues/programs lists for </w:t>
      </w:r>
      <w:r w:rsidR="006D2E49">
        <w:t xml:space="preserve">fifteen </w:t>
      </w:r>
      <w:r w:rsidR="006D2E49" w:rsidRPr="006535D7">
        <w:t>quarters were</w:t>
      </w:r>
      <w:r>
        <w:t xml:space="preserve"> “not found</w:t>
      </w:r>
      <w:r w:rsidR="0030132A">
        <w:t>.</w:t>
      </w:r>
      <w:r w:rsidR="00242DE5">
        <w:t>”</w:t>
      </w:r>
      <w:r w:rsidR="006D2E49">
        <w:rPr>
          <w:rStyle w:val="FootnoteReference"/>
        </w:rPr>
        <w:footnoteReference w:id="23"/>
      </w:r>
      <w:r w:rsidR="006D2E49">
        <w:t xml:space="preserve">  The Licensee </w:t>
      </w:r>
      <w:r w:rsidR="00242DE5">
        <w:t xml:space="preserve">further </w:t>
      </w:r>
      <w:r>
        <w:t>disclose</w:t>
      </w:r>
      <w:r w:rsidR="00242DE5">
        <w:t>s</w:t>
      </w:r>
      <w:r w:rsidR="006D2E49">
        <w:t xml:space="preserve"> that</w:t>
      </w:r>
      <w:r w:rsidR="00242DE5">
        <w:t>,</w:t>
      </w:r>
      <w:r w:rsidR="006D2E49">
        <w:t xml:space="preserve"> </w:t>
      </w:r>
      <w:r>
        <w:t xml:space="preserve">with the exception of </w:t>
      </w:r>
      <w:r w:rsidR="00A056F5">
        <w:t xml:space="preserve">the </w:t>
      </w:r>
      <w:r>
        <w:t xml:space="preserve">third and fourth quarters </w:t>
      </w:r>
      <w:r w:rsidR="00A056F5">
        <w:t xml:space="preserve">of </w:t>
      </w:r>
      <w:r>
        <w:t>2012</w:t>
      </w:r>
      <w:r w:rsidR="00242DE5">
        <w:t>,</w:t>
      </w:r>
      <w:r>
        <w:t xml:space="preserve"> all</w:t>
      </w:r>
      <w:r w:rsidR="006D2E49">
        <w:t xml:space="preserve"> TV issues/programs lists </w:t>
      </w:r>
      <w:r>
        <w:t>that were prepared were not p</w:t>
      </w:r>
      <w:r w:rsidR="006D2E49">
        <w:t xml:space="preserve">laced into the </w:t>
      </w:r>
      <w:r w:rsidR="006D2E49" w:rsidRPr="006535D7">
        <w:t>Station’s</w:t>
      </w:r>
      <w:r>
        <w:t xml:space="preserve"> e-pif </w:t>
      </w:r>
      <w:r w:rsidR="006D2E49" w:rsidRPr="006535D7">
        <w:t>in a timely manner.</w:t>
      </w:r>
      <w:r w:rsidR="0086179D">
        <w:t xml:space="preserve">  </w:t>
      </w:r>
    </w:p>
    <w:p w:rsidR="0086179D" w:rsidRDefault="0086179D" w:rsidP="00865249">
      <w:pPr>
        <w:pStyle w:val="ParaNum"/>
      </w:pPr>
      <w:r w:rsidRPr="0023115F">
        <w:t xml:space="preserve">Section 73.3526 of the </w:t>
      </w:r>
      <w:r>
        <w:t>R</w:t>
      </w:r>
      <w:r w:rsidRPr="0023115F">
        <w:t>ules requires each commercial broadcast licensee to maintain a public fil</w:t>
      </w:r>
      <w:r>
        <w:t>e containing information related to a</w:t>
      </w:r>
      <w:r w:rsidRPr="0023115F">
        <w:t xml:space="preserve"> station</w:t>
      </w:r>
      <w:r>
        <w:t>’s</w:t>
      </w:r>
      <w:r w:rsidRPr="0023115F">
        <w:t xml:space="preserve"> operations. </w:t>
      </w:r>
      <w:r w:rsidR="00A53732" w:rsidRPr="00A53732">
        <w:t>Section 73.3526(e)(11)(i) requires every commercial television licensee to place in its public file, on a quarterly basis, a TV issues/programs list which details programs that have provided the station’s most significant treatment of community is</w:t>
      </w:r>
      <w:r w:rsidR="00A53732">
        <w:t>sues during the preceding three-</w:t>
      </w:r>
      <w:r w:rsidR="00A53732" w:rsidRPr="00A53732">
        <w:t>month period and must include a brief narrative of the issue addressed, as well as the time, date, duration, and title of each program that addressed the issue.  Copies must be retained until final action on the station’s nex</w:t>
      </w:r>
      <w:r w:rsidR="00A53732">
        <w:t>t license renewal application.</w:t>
      </w:r>
      <w:r w:rsidRPr="00127F9D">
        <w:t xml:space="preserve"> The Commission intended </w:t>
      </w:r>
      <w:r>
        <w:t xml:space="preserve">TV issues/programs lists </w:t>
      </w:r>
      <w:r w:rsidRPr="00127F9D">
        <w:t xml:space="preserve">to be </w:t>
      </w:r>
      <w:r>
        <w:t>a</w:t>
      </w:r>
      <w:r w:rsidRPr="00127F9D">
        <w:t xml:space="preserve"> </w:t>
      </w:r>
      <w:r>
        <w:t>“</w:t>
      </w:r>
      <w:r w:rsidRPr="00127F9D">
        <w:t>significant source of issue-responsive information</w:t>
      </w:r>
      <w:r>
        <w:t>”</w:t>
      </w:r>
      <w:r w:rsidRPr="0023115F">
        <w:rPr>
          <w:rStyle w:val="FootnoteReference"/>
          <w:szCs w:val="22"/>
        </w:rPr>
        <w:footnoteReference w:id="24"/>
      </w:r>
      <w:r w:rsidRPr="00127F9D">
        <w:t xml:space="preserve"> for </w:t>
      </w:r>
      <w:r>
        <w:t>use by the</w:t>
      </w:r>
      <w:r w:rsidRPr="00127F9D">
        <w:t xml:space="preserve"> public, competitors, or the Commission when renewal of the station's license</w:t>
      </w:r>
      <w:r w:rsidR="004E3981">
        <w:t xml:space="preserve"> </w:t>
      </w:r>
      <w:r w:rsidRPr="00127F9D">
        <w:t>is at issue.</w:t>
      </w:r>
      <w:r w:rsidRPr="0023115F">
        <w:rPr>
          <w:rStyle w:val="FootnoteReference"/>
          <w:szCs w:val="22"/>
        </w:rPr>
        <w:footnoteReference w:id="25"/>
      </w:r>
      <w:r w:rsidRPr="00127F9D">
        <w:t xml:space="preserve">    The Commission also noted that in the context of a license renewal proceeding “the existence of the issues/programs list in the station’s public file will give the Commission sufficient assurance that the station has met its issue-responsive programming responsibility during the past license term….”</w:t>
      </w:r>
      <w:r>
        <w:rPr>
          <w:rStyle w:val="FootnoteReference"/>
          <w:szCs w:val="22"/>
        </w:rPr>
        <w:footnoteReference w:id="26"/>
      </w:r>
      <w:r>
        <w:t xml:space="preserve">  </w:t>
      </w:r>
    </w:p>
    <w:p w:rsidR="0086179D" w:rsidRDefault="0086179D" w:rsidP="00865249">
      <w:pPr>
        <w:pStyle w:val="ParaNum"/>
      </w:pPr>
      <w:r>
        <w:t>I</w:t>
      </w:r>
      <w:r w:rsidRPr="006B127E">
        <w:t>n 2012 the Commission adopted Section 73.3526</w:t>
      </w:r>
      <w:r>
        <w:t>(b) of the Rules, which requires</w:t>
      </w:r>
      <w:r w:rsidRPr="006B127E">
        <w:t xml:space="preserve"> licensees to upload elements of Stations’ physical public file to an on-line Commission hosted website (</w:t>
      </w:r>
      <w:r w:rsidRPr="006B127E">
        <w:rPr>
          <w:i/>
        </w:rPr>
        <w:t>i.e.,</w:t>
      </w:r>
      <w:r w:rsidRPr="006B127E">
        <w:t xml:space="preserve"> a Station’s e-pif).</w:t>
      </w:r>
      <w:r w:rsidRPr="0023115F">
        <w:rPr>
          <w:rStyle w:val="FootnoteReference"/>
          <w:szCs w:val="22"/>
        </w:rPr>
        <w:footnoteReference w:id="27"/>
      </w:r>
      <w:r w:rsidRPr="006B127E">
        <w:t xml:space="preserve">  The Commission’s e-pif requirement was implemented as a means to moderniz</w:t>
      </w:r>
      <w:r w:rsidR="001B2D3F">
        <w:t>e</w:t>
      </w:r>
      <w:r w:rsidRPr="006B127E">
        <w:t xml:space="preserve"> the way that television broadcasters “inform the public about how they are serving their communities….”</w:t>
      </w:r>
      <w:r w:rsidRPr="0023115F">
        <w:rPr>
          <w:rStyle w:val="FootnoteReference"/>
          <w:szCs w:val="22"/>
        </w:rPr>
        <w:footnoteReference w:id="28"/>
      </w:r>
      <w:r w:rsidRPr="006B127E">
        <w:t xml:space="preserve">    </w:t>
      </w:r>
      <w:r>
        <w:rPr>
          <w:szCs w:val="22"/>
        </w:rPr>
        <w:t xml:space="preserve">Broadcasters’ </w:t>
      </w:r>
      <w:r w:rsidRPr="00BC30DA">
        <w:rPr>
          <w:szCs w:val="22"/>
        </w:rPr>
        <w:t xml:space="preserve">e-pif requirements were phased in between August 2012 and February 2013.  Beginning August 2, 2012, stations were required to post </w:t>
      </w:r>
      <w:r w:rsidRPr="00BC30DA">
        <w:rPr>
          <w:color w:val="010101"/>
          <w:szCs w:val="22"/>
        </w:rPr>
        <w:t xml:space="preserve">any document that would otherwise be placed in a station’s public file, with limited exception, to their e-pif on a </w:t>
      </w:r>
      <w:r w:rsidR="004E3981">
        <w:rPr>
          <w:color w:val="010101"/>
          <w:szCs w:val="22"/>
        </w:rPr>
        <w:t>going-</w:t>
      </w:r>
      <w:r w:rsidRPr="00BC30DA">
        <w:rPr>
          <w:color w:val="010101"/>
          <w:szCs w:val="22"/>
        </w:rPr>
        <w:t xml:space="preserve">forward basis.  </w:t>
      </w:r>
      <w:r>
        <w:rPr>
          <w:color w:val="010101"/>
          <w:szCs w:val="22"/>
        </w:rPr>
        <w:t xml:space="preserve">By February 4, 2013, stations were required to upload to their e-pif those </w:t>
      </w:r>
      <w:r w:rsidRPr="00BC30DA">
        <w:rPr>
          <w:color w:val="010101"/>
          <w:szCs w:val="22"/>
        </w:rPr>
        <w:t>public file</w:t>
      </w:r>
      <w:r>
        <w:rPr>
          <w:color w:val="010101"/>
          <w:szCs w:val="22"/>
        </w:rPr>
        <w:t>, with limited exceptions,</w:t>
      </w:r>
      <w:r w:rsidRPr="00BC30DA">
        <w:rPr>
          <w:color w:val="010101"/>
          <w:szCs w:val="22"/>
        </w:rPr>
        <w:t xml:space="preserve"> documents that were already in </w:t>
      </w:r>
      <w:r>
        <w:rPr>
          <w:color w:val="010101"/>
          <w:szCs w:val="22"/>
        </w:rPr>
        <w:t>their</w:t>
      </w:r>
      <w:r w:rsidRPr="00BC30DA">
        <w:rPr>
          <w:color w:val="010101"/>
          <w:szCs w:val="22"/>
        </w:rPr>
        <w:t xml:space="preserve"> physical publi</w:t>
      </w:r>
      <w:r>
        <w:rPr>
          <w:color w:val="010101"/>
          <w:szCs w:val="22"/>
        </w:rPr>
        <w:t>c file prior to August 2, 2012</w:t>
      </w:r>
      <w:r w:rsidRPr="00BC30DA">
        <w:rPr>
          <w:color w:val="010101"/>
          <w:szCs w:val="22"/>
        </w:rPr>
        <w:t>.</w:t>
      </w:r>
      <w:r w:rsidRPr="00BC30DA">
        <w:rPr>
          <w:rStyle w:val="FootnoteReference"/>
          <w:sz w:val="22"/>
          <w:szCs w:val="22"/>
        </w:rPr>
        <w:footnoteReference w:id="29"/>
      </w:r>
      <w:r w:rsidRPr="00BC30DA">
        <w:rPr>
          <w:color w:val="010101"/>
          <w:szCs w:val="22"/>
        </w:rPr>
        <w:t xml:space="preserve">  </w:t>
      </w:r>
      <w:r w:rsidRPr="00127F9D">
        <w:t xml:space="preserve">Under Section 73.3526(b)(2) of the </w:t>
      </w:r>
      <w:r>
        <w:t>R</w:t>
      </w:r>
      <w:r w:rsidRPr="00127F9D">
        <w:t>ules</w:t>
      </w:r>
      <w:r w:rsidR="004E3981">
        <w:t>,</w:t>
      </w:r>
      <w:r>
        <w:t xml:space="preserve"> copies of </w:t>
      </w:r>
      <w:r w:rsidRPr="00127F9D">
        <w:t xml:space="preserve">TV issues/programs lists must be placed in a station’s e-pif.  </w:t>
      </w:r>
    </w:p>
    <w:p w:rsidR="0086179D" w:rsidRDefault="00936CED" w:rsidP="00865249">
      <w:pPr>
        <w:pStyle w:val="ParaNum"/>
      </w:pPr>
      <w:r>
        <w:t>The Licensee also states that it failed to file in a timely manner the Ancillary and Supplementary Services Report</w:t>
      </w:r>
      <w:r w:rsidR="00C8254A">
        <w:t>s</w:t>
      </w:r>
      <w:r>
        <w:t xml:space="preserve"> in 2009, 2011 and 2013.  </w:t>
      </w:r>
      <w:r w:rsidR="0086179D">
        <w:t xml:space="preserve">Section 73.624(g) of the </w:t>
      </w:r>
      <w:r w:rsidR="00777F41">
        <w:t>R</w:t>
      </w:r>
      <w:r w:rsidR="0086179D">
        <w:t>ules requires commercial and noncommercial full power television licensees transmitting digitally to annually remit a fee of five percent of the gross revenues derived from all ancillary or supplementary services that are “feeable,” as defined therein.   It also requires that digital licensees file a report, no later than each December 1, stating whether or not they provided ancillary or supplementary services in the twelve months ending on the preceding September 30.   According to the rule, a licensee’s “[f]ailure to file regardless of revenues from ancillary or supplementary services or provision of such services may result in appropriate sanctions.”</w:t>
      </w:r>
      <w:r>
        <w:t xml:space="preserve">  </w:t>
      </w:r>
    </w:p>
    <w:p w:rsidR="00851D0D" w:rsidRDefault="00851D0D" w:rsidP="00865249">
      <w:pPr>
        <w:pStyle w:val="ParaNum"/>
      </w:pPr>
      <w:r>
        <w:t>T</w:t>
      </w:r>
      <w:r w:rsidRPr="00C31EEF">
        <w:t xml:space="preserve">he </w:t>
      </w:r>
      <w:r>
        <w:t>Commission</w:t>
      </w:r>
      <w:r w:rsidRPr="00C31EEF">
        <w:t xml:space="preserve"> and </w:t>
      </w:r>
      <w:r>
        <w:t>R&amp;F</w:t>
      </w:r>
      <w:r w:rsidRPr="00C31EEF">
        <w:t xml:space="preserve"> have negotiated the terms of the Consent Decree that terminates all investigations into the matters</w:t>
      </w:r>
      <w:r>
        <w:t xml:space="preserve"> raised in this proceeding.  As part of the</w:t>
      </w:r>
      <w:bookmarkStart w:id="1" w:name="SR;8213"/>
      <w:bookmarkStart w:id="2" w:name="SR;8214"/>
      <w:bookmarkStart w:id="3" w:name="SR;8215"/>
      <w:bookmarkEnd w:id="1"/>
      <w:bookmarkEnd w:id="2"/>
      <w:bookmarkEnd w:id="3"/>
      <w:r>
        <w:t xml:space="preserve"> Consent Decree, R&amp;F has agreed to make a </w:t>
      </w:r>
      <w:r w:rsidR="00777F41">
        <w:t>settlement payment</w:t>
      </w:r>
      <w:r>
        <w:t xml:space="preserve"> of $14,500 to the U.S. Treasury</w:t>
      </w:r>
      <w:r w:rsidR="00777F41">
        <w:t xml:space="preserve">, </w:t>
      </w:r>
      <w:r w:rsidR="00777F41">
        <w:rPr>
          <w:color w:val="000000"/>
          <w:szCs w:val="22"/>
        </w:rPr>
        <w:t>and to implement and maintain a Compliance Plan designed to ensure its future compliance with the children’s programming requirements</w:t>
      </w:r>
      <w:r w:rsidR="00DD2C49">
        <w:rPr>
          <w:color w:val="000000"/>
          <w:szCs w:val="22"/>
        </w:rPr>
        <w:t>,</w:t>
      </w:r>
      <w:r w:rsidR="00197F13">
        <w:rPr>
          <w:color w:val="000000"/>
          <w:szCs w:val="22"/>
        </w:rPr>
        <w:t xml:space="preserve"> and the Commission’s public file and Ancillary </w:t>
      </w:r>
      <w:r w:rsidR="00C8254A">
        <w:rPr>
          <w:color w:val="000000"/>
          <w:szCs w:val="22"/>
        </w:rPr>
        <w:t xml:space="preserve">and Supplementary </w:t>
      </w:r>
      <w:r w:rsidR="00197F13">
        <w:rPr>
          <w:color w:val="000000"/>
          <w:szCs w:val="22"/>
        </w:rPr>
        <w:t xml:space="preserve">Services Report and fee payment requirements, contained in the provisions </w:t>
      </w:r>
      <w:r w:rsidR="00777F41">
        <w:rPr>
          <w:color w:val="000000"/>
          <w:szCs w:val="22"/>
        </w:rPr>
        <w:t>of the Act and Rules noted above</w:t>
      </w:r>
      <w:r>
        <w:t xml:space="preserve">.  </w:t>
      </w:r>
    </w:p>
    <w:p w:rsidR="00722730" w:rsidRPr="0068280D" w:rsidRDefault="00722730" w:rsidP="00865249">
      <w:pPr>
        <w:pStyle w:val="Heading1"/>
        <w:keepNext w:val="0"/>
        <w:suppressAutoHyphens w:val="0"/>
      </w:pPr>
      <w:r w:rsidRPr="0068280D">
        <w:t>Terms of agreement</w:t>
      </w:r>
    </w:p>
    <w:p w:rsidR="00722730" w:rsidRPr="0068280D" w:rsidRDefault="00722730" w:rsidP="00865249">
      <w:pPr>
        <w:pStyle w:val="ParaNum"/>
      </w:pPr>
      <w:r w:rsidRPr="0068280D">
        <w:rPr>
          <w:u w:val="single"/>
        </w:rPr>
        <w:t>Adopting Order</w:t>
      </w:r>
      <w:r w:rsidRPr="0068280D">
        <w:t>.  The Parties agree that the provisions of this Consent Decree shall be subject to final approval by the Commission, which approval shall be evidenced by incorporation of the Consent Decree by reference in the Adopting Order.</w:t>
      </w:r>
    </w:p>
    <w:p w:rsidR="00722730" w:rsidRPr="0068280D" w:rsidRDefault="00722730" w:rsidP="00865249">
      <w:pPr>
        <w:pStyle w:val="ParaNum"/>
      </w:pPr>
      <w:r w:rsidRPr="0068280D">
        <w:rPr>
          <w:u w:val="single"/>
        </w:rPr>
        <w:t>Jurisdiction</w:t>
      </w:r>
      <w:r w:rsidRPr="0068280D">
        <w:t xml:space="preserve">.  </w:t>
      </w:r>
      <w:r>
        <w:t>R&amp;F</w:t>
      </w:r>
      <w:r w:rsidRPr="0068280D">
        <w:t xml:space="preserve"> agree</w:t>
      </w:r>
      <w:r>
        <w:t>s</w:t>
      </w:r>
      <w:r w:rsidRPr="0068280D">
        <w:t xml:space="preserve"> that the Commission has jurisdiction over </w:t>
      </w:r>
      <w:r>
        <w:t>it</w:t>
      </w:r>
      <w:r w:rsidRPr="0068280D">
        <w:t xml:space="preserve"> and the matters contained in this Consent Decree and that the Commission has the authority to enter into and adopt this Consent Decree.</w:t>
      </w:r>
    </w:p>
    <w:p w:rsidR="00722730" w:rsidRDefault="00722730" w:rsidP="00865249">
      <w:pPr>
        <w:pStyle w:val="ParaNum"/>
        <w:widowControl/>
      </w:pPr>
      <w:r w:rsidRPr="0068280D">
        <w:rPr>
          <w:u w:val="single"/>
        </w:rPr>
        <w:t>Effective Date</w:t>
      </w:r>
      <w:r w:rsidRPr="0068280D">
        <w:t xml:space="preserve">.  The Parties agree that this Consent Decree shall become effective on the Effective Date as defined herein.  As of the Effective Date, the Adopting Order and this Consent Decree shall have the same force and effect as any other order of the Commission.  </w:t>
      </w:r>
    </w:p>
    <w:p w:rsidR="00722730" w:rsidRPr="0068280D" w:rsidRDefault="00722730" w:rsidP="00865249">
      <w:pPr>
        <w:pStyle w:val="ParaNum"/>
      </w:pPr>
      <w:r w:rsidRPr="001D1735">
        <w:rPr>
          <w:u w:val="single"/>
        </w:rPr>
        <w:t>Violations</w:t>
      </w:r>
      <w:r w:rsidRPr="001D1735">
        <w:t xml:space="preserve">.  </w:t>
      </w:r>
      <w:r>
        <w:t>The Parties agree that any</w:t>
      </w:r>
      <w:r w:rsidRPr="0068280D">
        <w:t xml:space="preserve"> violation of the Adopting Order or of the terms of this Consent Decree shall constitute a separate violation of a Commission order, entitling the Commission to exercise any rights and remedies attendant to the enforcement of a Commission order.</w:t>
      </w:r>
    </w:p>
    <w:p w:rsidR="00722730" w:rsidRPr="0068280D" w:rsidRDefault="00722730" w:rsidP="00865249">
      <w:pPr>
        <w:pStyle w:val="ParaNum"/>
      </w:pPr>
      <w:r w:rsidRPr="0068280D">
        <w:rPr>
          <w:u w:val="single"/>
        </w:rPr>
        <w:t xml:space="preserve">Termination of Investigation; Grant of </w:t>
      </w:r>
      <w:r w:rsidR="009F396B">
        <w:rPr>
          <w:u w:val="single"/>
        </w:rPr>
        <w:t xml:space="preserve">Short-Term </w:t>
      </w:r>
      <w:r w:rsidRPr="0068280D">
        <w:rPr>
          <w:u w:val="single"/>
        </w:rPr>
        <w:t>Renewal Application</w:t>
      </w:r>
      <w:r w:rsidRPr="0068280D">
        <w:t xml:space="preserve">.  In express reliance on the covenants and representations in this Consent Decree and to avoid further expenditure of public resources, the Commission agrees to terminate the Investigation.  In consideration for the termination of the Investigation, </w:t>
      </w:r>
      <w:r>
        <w:t>R&amp;F</w:t>
      </w:r>
      <w:r w:rsidRPr="0068280D">
        <w:t xml:space="preserve"> agrees to the terms and conditions contained herein.  The Commission further agrees to grant absent any other restrictions, in conjunction and simultaneously with the adoption of this Consent Decree, the License Renewal Applica</w:t>
      </w:r>
      <w:r>
        <w:t xml:space="preserve">tion for a period of two years </w:t>
      </w:r>
      <w:r w:rsidR="00155367">
        <w:t>from</w:t>
      </w:r>
      <w:r>
        <w:t xml:space="preserve"> the Effective Date.</w:t>
      </w:r>
      <w:r w:rsidRPr="0068280D">
        <w:t xml:space="preserve"> </w:t>
      </w:r>
      <w:r>
        <w:t xml:space="preserve"> In exchange, R&amp;F agrees to implement and maintain the Compliance Plan, outlined below. </w:t>
      </w:r>
      <w:r w:rsidRPr="0068280D">
        <w:t xml:space="preserve"> The Commission further agrees that in the absence of new material evidence it will not use the facts developed, in whole or in part, from the Investigation through the Effective Date, or the existence of this Consent Decree to institute on its own motion or in response to any petition to deny or other third-party complaint or objection, any inquiries, investigations, forfeiture proceedings, hearings, or other sanctions or actions against </w:t>
      </w:r>
      <w:r>
        <w:t>R&amp;F</w:t>
      </w:r>
      <w:r w:rsidRPr="0068280D">
        <w:t xml:space="preserve"> concerning the matters that were the subject of the Investigation.  The Commission also agrees that in the absence of new material evidence it will not</w:t>
      </w:r>
      <w:r w:rsidR="00CF19D4">
        <w:t xml:space="preserve"> </w:t>
      </w:r>
      <w:r w:rsidRPr="0068280D">
        <w:t xml:space="preserve">use the facts developed in the Investigation through </w:t>
      </w:r>
      <w:r w:rsidR="00CF19D4">
        <w:t>the Effective Date</w:t>
      </w:r>
      <w:r w:rsidRPr="0068280D">
        <w:t xml:space="preserve">, or the existence of this Consent Decree, to institute on its own motion any proceeding, formal or informal, or take any action on its own motion against </w:t>
      </w:r>
      <w:r>
        <w:t>R&amp;F</w:t>
      </w:r>
      <w:r w:rsidRPr="0068280D">
        <w:t xml:space="preserve"> with respect to </w:t>
      </w:r>
      <w:r>
        <w:t>R&amp;F’s</w:t>
      </w:r>
      <w:r w:rsidR="00CF19D4">
        <w:t xml:space="preserve"> </w:t>
      </w:r>
      <w:r w:rsidRPr="0068280D">
        <w:t>basic qualifications, including its character qualifications, to be a Commission licensee or to hold Commission licenses or authorizations.</w:t>
      </w:r>
    </w:p>
    <w:p w:rsidR="00722730" w:rsidRPr="00A82FA1" w:rsidRDefault="00722730" w:rsidP="00865249">
      <w:pPr>
        <w:pStyle w:val="ParaNum"/>
        <w:rPr>
          <w:rFonts w:eastAsia="MS Mincho" w:cs="Arial"/>
        </w:rPr>
      </w:pPr>
      <w:r w:rsidRPr="0068280D">
        <w:rPr>
          <w:szCs w:val="22"/>
          <w:u w:val="single"/>
        </w:rPr>
        <w:t>Subsequent Investigations</w:t>
      </w:r>
      <w:r w:rsidRPr="0068280D">
        <w:rPr>
          <w:szCs w:val="22"/>
        </w:rPr>
        <w:t xml:space="preserve">.   </w:t>
      </w:r>
      <w:r w:rsidRPr="00892813">
        <w:t xml:space="preserve">Except as expressly provided in this Consent Decree, this Consent Decree shall not prevent the Commission from investigating new evidence of noncompliance by </w:t>
      </w:r>
      <w:r>
        <w:t>R&amp;F</w:t>
      </w:r>
      <w:r w:rsidRPr="00892813">
        <w:t xml:space="preserve"> with the Communications Laws.</w:t>
      </w:r>
      <w:r>
        <w:t xml:space="preserve">  </w:t>
      </w:r>
      <w:r w:rsidRPr="00892813">
        <w:t xml:space="preserve">Nothing in this Consent Decree shall prevent the Commission or its delegated authority from adjudicating complaints or other adjudicatory pleadings filed against </w:t>
      </w:r>
      <w:r>
        <w:t>R&amp;F</w:t>
      </w:r>
      <w:r w:rsidRPr="00892813">
        <w:t xml:space="preserve"> for alleged violations of the Act or the Commission’s rules or for any other type of alleged misconduct, regardless of when such misconduct took place.  The Commission’s adjudication of any such complaints </w:t>
      </w:r>
      <w:r>
        <w:t xml:space="preserve">or pleadings </w:t>
      </w:r>
      <w:r w:rsidRPr="00892813">
        <w:t xml:space="preserve">will be based solely on the record developed in that proceeding.  </w:t>
      </w:r>
    </w:p>
    <w:p w:rsidR="00722730" w:rsidRPr="0068280D" w:rsidRDefault="00722730" w:rsidP="00865249">
      <w:pPr>
        <w:pStyle w:val="ParaNum"/>
        <w:widowControl/>
      </w:pPr>
      <w:r>
        <w:rPr>
          <w:u w:val="single"/>
        </w:rPr>
        <w:t>Settlement Payment</w:t>
      </w:r>
      <w:r w:rsidRPr="0068280D">
        <w:t xml:space="preserve">.  </w:t>
      </w:r>
      <w:r w:rsidR="006D7E9B">
        <w:t>R&amp;F</w:t>
      </w:r>
      <w:r w:rsidRPr="006D4216">
        <w:t xml:space="preserve"> </w:t>
      </w:r>
      <w:r>
        <w:t>will make a settlement payment</w:t>
      </w:r>
      <w:r w:rsidRPr="006D4216">
        <w:t xml:space="preserve"> to the United States Treasury in the amount of </w:t>
      </w:r>
      <w:r w:rsidR="009F396B">
        <w:t xml:space="preserve">Fourteen </w:t>
      </w:r>
      <w:r w:rsidRPr="006D4216">
        <w:t>Thousand</w:t>
      </w:r>
      <w:r w:rsidR="009F396B">
        <w:t>, Five Hundred</w:t>
      </w:r>
      <w:r w:rsidRPr="006D4216">
        <w:t xml:space="preserve"> Dollars ($</w:t>
      </w:r>
      <w:r w:rsidR="009F396B">
        <w:t>14</w:t>
      </w:r>
      <w:r w:rsidRPr="006D4216">
        <w:t>,</w:t>
      </w:r>
      <w:r w:rsidR="009F396B">
        <w:t>5</w:t>
      </w:r>
      <w:r w:rsidRPr="006D4216">
        <w:t>00)</w:t>
      </w:r>
      <w:r w:rsidRPr="006D4216">
        <w:rPr>
          <w:rFonts w:eastAsia="MS Mincho"/>
        </w:rPr>
        <w:t xml:space="preserve"> within </w:t>
      </w:r>
      <w:r w:rsidR="006D7E9B">
        <w:rPr>
          <w:rFonts w:eastAsia="MS Mincho"/>
        </w:rPr>
        <w:t>thirty</w:t>
      </w:r>
      <w:r>
        <w:rPr>
          <w:rFonts w:eastAsia="MS Mincho"/>
        </w:rPr>
        <w:t xml:space="preserve"> (3</w:t>
      </w:r>
      <w:r w:rsidRPr="006D4216">
        <w:rPr>
          <w:rFonts w:eastAsia="MS Mincho"/>
        </w:rPr>
        <w:t>0) calendar days after the Effective Date</w:t>
      </w:r>
      <w:r>
        <w:rPr>
          <w:rFonts w:eastAsia="MS Mincho"/>
        </w:rPr>
        <w:t xml:space="preserve"> (Settlement Payment)</w:t>
      </w:r>
      <w:r w:rsidRPr="006D4216">
        <w:t xml:space="preserve">.  </w:t>
      </w:r>
      <w:r>
        <w:t>R&amp;F acknowledges and agrees that upon execution of this Consent Decree, the Settlement Payment shall become a “Claim” or “Debt” as defined in 31 U.S.C. § 3701(b)(1).</w:t>
      </w:r>
      <w:r>
        <w:rPr>
          <w:rStyle w:val="FootnoteReference"/>
          <w:szCs w:val="22"/>
        </w:rPr>
        <w:footnoteReference w:id="30"/>
      </w:r>
      <w:r>
        <w:t xml:space="preserve">  R&amp;F</w:t>
      </w:r>
      <w:r w:rsidRPr="006D4216">
        <w:t xml:space="preserve"> shall send electronic notification of payment to </w:t>
      </w:r>
      <w:r>
        <w:t xml:space="preserve">Evan </w:t>
      </w:r>
      <w:r w:rsidRPr="00722730">
        <w:t xml:space="preserve">Morris at </w:t>
      </w:r>
      <w:hyperlink r:id="rId14" w:history="1">
        <w:r w:rsidRPr="00722730">
          <w:rPr>
            <w:rStyle w:val="Hyperlink"/>
            <w:color w:val="auto"/>
            <w:szCs w:val="22"/>
          </w:rPr>
          <w:t>evan.morris@fcc.gov</w:t>
        </w:r>
      </w:hyperlink>
      <w:r w:rsidRPr="00722730">
        <w:t xml:space="preserve"> on the date said</w:t>
      </w:r>
      <w:r w:rsidRPr="006D4216">
        <w:t xml:space="preserve"> payment is made.  The </w:t>
      </w:r>
      <w:r>
        <w:t>payment</w:t>
      </w:r>
      <w:r w:rsidRPr="0068280D">
        <w:t xml:space="preserve"> must be made by check or similar instrument, wire transfer, or credit card, and must include the FRN </w:t>
      </w:r>
      <w:r>
        <w:t>captioned</w:t>
      </w:r>
      <w:r w:rsidRPr="0068280D">
        <w:t xml:space="preserve"> </w:t>
      </w:r>
      <w:r>
        <w:t>above.</w:t>
      </w:r>
      <w:r w:rsidRPr="0068280D">
        <w:rPr>
          <w:rStyle w:val="FootnoteReference"/>
          <w:szCs w:val="22"/>
        </w:rPr>
        <w:footnoteReference w:id="31"/>
      </w:r>
      <w:r>
        <w:t xml:space="preserve">  An FCC Form 159 (Remittance Advice) must be submitted with payment unless payment is made online at the Commission’s Fee Filer website.  </w:t>
      </w:r>
      <w:r w:rsidRPr="0068280D">
        <w:t xml:space="preserve">When completing the FCC Form 159, enter the Account Number in block number 23A (call sign/other ID) and enter the letters “FORF” in block number 24A (payment type code).   Below are additional instructions </w:t>
      </w:r>
      <w:r>
        <w:t xml:space="preserve">that </w:t>
      </w:r>
      <w:r w:rsidR="006D7E9B">
        <w:t>R&amp;F</w:t>
      </w:r>
      <w:r>
        <w:t xml:space="preserve"> </w:t>
      </w:r>
      <w:r w:rsidRPr="0068280D">
        <w:t xml:space="preserve">should follow based on the form of payment </w:t>
      </w:r>
      <w:r>
        <w:t>it</w:t>
      </w:r>
      <w:r w:rsidRPr="0068280D">
        <w:t xml:space="preserve"> select</w:t>
      </w:r>
      <w:r>
        <w:t>s</w:t>
      </w:r>
      <w:r w:rsidRPr="0068280D">
        <w:t>:</w:t>
      </w:r>
      <w:r w:rsidRPr="0068280D">
        <w:rPr>
          <w:rStyle w:val="FootnoteReference"/>
          <w:szCs w:val="22"/>
        </w:rPr>
        <w:footnoteReference w:id="32"/>
      </w:r>
      <w:r w:rsidRPr="0068280D">
        <w:t xml:space="preserve"> </w:t>
      </w:r>
    </w:p>
    <w:p w:rsidR="00722730" w:rsidRPr="0068280D" w:rsidRDefault="00722730" w:rsidP="00865249">
      <w:pPr>
        <w:pStyle w:val="ParaNum"/>
        <w:numPr>
          <w:ilvl w:val="0"/>
          <w:numId w:val="49"/>
        </w:numPr>
        <w:rPr>
          <w:szCs w:val="22"/>
        </w:rPr>
      </w:pPr>
      <w:r w:rsidRPr="0068280D">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722730" w:rsidRPr="0068280D" w:rsidRDefault="00722730" w:rsidP="00865249">
      <w:pPr>
        <w:pStyle w:val="ParaNum"/>
        <w:numPr>
          <w:ilvl w:val="0"/>
          <w:numId w:val="49"/>
        </w:numPr>
        <w:rPr>
          <w:szCs w:val="22"/>
        </w:rPr>
      </w:pPr>
      <w:r w:rsidRPr="0068280D">
        <w:rPr>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722730" w:rsidRPr="0068280D" w:rsidRDefault="00722730" w:rsidP="00865249">
      <w:pPr>
        <w:pStyle w:val="ParaNum"/>
        <w:numPr>
          <w:ilvl w:val="0"/>
          <w:numId w:val="49"/>
        </w:numPr>
        <w:rPr>
          <w:szCs w:val="22"/>
        </w:rPr>
      </w:pPr>
      <w:r w:rsidRPr="0068280D">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722730" w:rsidRPr="00F51F07" w:rsidRDefault="00722730" w:rsidP="00865249">
      <w:pPr>
        <w:pStyle w:val="ParaNum"/>
      </w:pPr>
      <w:r w:rsidRPr="0068280D">
        <w:rPr>
          <w:u w:val="single"/>
        </w:rPr>
        <w:t>Waivers</w:t>
      </w:r>
      <w:r w:rsidRPr="0068280D">
        <w:t xml:space="preserve">.  </w:t>
      </w:r>
      <w:r>
        <w:t>R&amp;F</w:t>
      </w:r>
      <w:r w:rsidRPr="0068280D">
        <w:t xml:space="preserve"> waives any and all rights it may have to seek administrative or judicial reconsideration, review, appeal or stay, or to otherwise challenge or contest the validity of this Consent Decree and the Adopting Order, provided the Commission issues an Adopting Order as defined herein. </w:t>
      </w:r>
      <w:r>
        <w:t xml:space="preserve"> R&amp;F</w:t>
      </w:r>
      <w:r w:rsidRPr="00892813">
        <w:t xml:space="preserve"> shall retain the right to challenge Commission interpretation of the Consent Decree or any terms contained herein.  </w:t>
      </w:r>
      <w:r w:rsidRPr="0068280D">
        <w:t xml:space="preserve">If any Party (or the United States on behalf of the Commission) brings a judicial action to enforce the terms of the Adopting Order, neither </w:t>
      </w:r>
      <w:r>
        <w:t>R&amp;F</w:t>
      </w:r>
      <w:r w:rsidRPr="0068280D">
        <w:t xml:space="preserve"> nor the Commission shall contest the validity of the Consent Decree or the Adopting Order, and </w:t>
      </w:r>
      <w:r>
        <w:t>R&amp;F</w:t>
      </w:r>
      <w:r w:rsidRPr="0068280D">
        <w:t xml:space="preserve"> shall waive any statutory right to a trial </w:t>
      </w:r>
      <w:r w:rsidRPr="00A82FA1">
        <w:rPr>
          <w:i/>
        </w:rPr>
        <w:t>de novo</w:t>
      </w:r>
      <w:r w:rsidRPr="0068280D">
        <w:t>.</w:t>
      </w:r>
      <w:r w:rsidRPr="00C8460B">
        <w:t xml:space="preserve">  </w:t>
      </w:r>
      <w:r>
        <w:t>R&amp;F</w:t>
      </w:r>
      <w:r w:rsidRPr="00C8460B">
        <w:t xml:space="preserve"> hereby agrees to waive any claims it </w:t>
      </w:r>
      <w:r w:rsidRPr="00251AFB">
        <w:t xml:space="preserve">may have under the Equal Access to Justice Act, 5 U.S.C. § 504 and 47 C.F.R. § 1.1501 </w:t>
      </w:r>
      <w:r w:rsidRPr="00F51F07">
        <w:rPr>
          <w:i/>
        </w:rPr>
        <w:t>et seq.</w:t>
      </w:r>
      <w:r w:rsidRPr="00F51F07">
        <w:t>, relating to the matters addressed in this Consent Decree.</w:t>
      </w:r>
    </w:p>
    <w:p w:rsidR="001C35F4" w:rsidRDefault="00722730" w:rsidP="00865249">
      <w:pPr>
        <w:pStyle w:val="ParaNum"/>
      </w:pPr>
      <w:r w:rsidRPr="00F51F07">
        <w:rPr>
          <w:u w:val="single"/>
        </w:rPr>
        <w:t xml:space="preserve">Admission </w:t>
      </w:r>
      <w:r>
        <w:rPr>
          <w:u w:val="single"/>
        </w:rPr>
        <w:t xml:space="preserve">of </w:t>
      </w:r>
      <w:r w:rsidRPr="0068280D">
        <w:rPr>
          <w:u w:val="single"/>
        </w:rPr>
        <w:t>Liability</w:t>
      </w:r>
      <w:r w:rsidRPr="0068280D">
        <w:t xml:space="preserve">.  </w:t>
      </w:r>
      <w:r>
        <w:t>R&amp;F</w:t>
      </w:r>
      <w:r w:rsidRPr="0068280D">
        <w:t xml:space="preserve"> </w:t>
      </w:r>
      <w:r>
        <w:t xml:space="preserve">admits to the facts discussed in </w:t>
      </w:r>
      <w:r w:rsidRPr="00E663A8">
        <w:t>paragraphs 3-</w:t>
      </w:r>
      <w:r>
        <w:t>9</w:t>
      </w:r>
      <w:r w:rsidRPr="00C8460B">
        <w:t xml:space="preserve"> regarding its failure to provide</w:t>
      </w:r>
      <w:r>
        <w:t xml:space="preserve"> sufficient</w:t>
      </w:r>
      <w:r w:rsidRPr="00C8460B">
        <w:t xml:space="preserve"> Core Programming, as defined in Section 73.671, </w:t>
      </w:r>
      <w:r>
        <w:t xml:space="preserve">from </w:t>
      </w:r>
      <w:r w:rsidR="00714ED7">
        <w:t xml:space="preserve">the </w:t>
      </w:r>
      <w:r>
        <w:t xml:space="preserve">third </w:t>
      </w:r>
      <w:r w:rsidR="00714ED7">
        <w:t>quarter of</w:t>
      </w:r>
      <w:r>
        <w:t xml:space="preserve"> 2009 through early 2011</w:t>
      </w:r>
      <w:r w:rsidRPr="00F51F07">
        <w:t xml:space="preserve">, and </w:t>
      </w:r>
      <w:r>
        <w:t xml:space="preserve">to </w:t>
      </w:r>
      <w:r w:rsidRPr="00F51F07">
        <w:t>meet the requirements of Section</w:t>
      </w:r>
      <w:r>
        <w:t>s</w:t>
      </w:r>
      <w:r w:rsidRPr="00F51F07">
        <w:t xml:space="preserve"> 73.3526</w:t>
      </w:r>
      <w:r>
        <w:t>(e)(11)(i), 73.3526(b)(2) and 73.624(g)</w:t>
      </w:r>
      <w:r w:rsidRPr="00F51F07">
        <w:t xml:space="preserve"> of the Rules.  By entering into this Consent Decree, </w:t>
      </w:r>
      <w:r>
        <w:t>R&amp;F</w:t>
      </w:r>
      <w:r w:rsidRPr="00966976">
        <w:t xml:space="preserve"> makes no other admission of liability or violation of any law, regulation </w:t>
      </w:r>
      <w:r w:rsidRPr="00F70ED0">
        <w:t>or policy, and the Commission makes no finding of any such liability or violation.</w:t>
      </w:r>
      <w:r>
        <w:t xml:space="preserve">  </w:t>
      </w:r>
      <w:r w:rsidRPr="00892813">
        <w:t xml:space="preserve">Notwithstanding any other provision of this Consent Decree, it is expressly agreed and understood that if this Consent Decree, or paragraph </w:t>
      </w:r>
      <w:r>
        <w:t>1</w:t>
      </w:r>
      <w:r w:rsidR="00265D9C">
        <w:t>4</w:t>
      </w:r>
      <w:r>
        <w:t xml:space="preserve"> </w:t>
      </w:r>
      <w:r w:rsidRPr="00892813">
        <w:t xml:space="preserve">hereof, </w:t>
      </w:r>
      <w:r w:rsidRPr="006F4932">
        <w:t>or both, are breached by the Commission, or are invalidated or modified to the signatories’</w:t>
      </w:r>
      <w:r w:rsidRPr="0080245B">
        <w:t xml:space="preserve"> prejudice by the Commission or any court, then and in that event the provisions of the immediately</w:t>
      </w:r>
      <w:r w:rsidR="00265D9C">
        <w:t xml:space="preserve"> </w:t>
      </w:r>
      <w:r w:rsidRPr="0080245B">
        <w:t>preceding sentences s</w:t>
      </w:r>
      <w:r w:rsidR="001C35F4">
        <w:t>hall be of no force or effect.</w:t>
      </w:r>
    </w:p>
    <w:p w:rsidR="001C35F4" w:rsidRDefault="00722730" w:rsidP="00865249">
      <w:pPr>
        <w:pStyle w:val="ParaNum"/>
        <w:widowControl/>
      </w:pPr>
      <w:r w:rsidRPr="001C35F4">
        <w:rPr>
          <w:u w:val="single"/>
        </w:rPr>
        <w:t>Compliance Plan</w:t>
      </w:r>
      <w:r w:rsidRPr="00480906">
        <w:t xml:space="preserve">. In recognition that </w:t>
      </w:r>
      <w:r>
        <w:t>R&amp;F’s</w:t>
      </w:r>
      <w:r w:rsidRPr="00480906">
        <w:t xml:space="preserve"> policies and practices regarding compliance with the CTA and Section</w:t>
      </w:r>
      <w:r>
        <w:t xml:space="preserve">s 73.671, </w:t>
      </w:r>
      <w:r w:rsidRPr="00F51F07">
        <w:t>73.3526</w:t>
      </w:r>
      <w:r>
        <w:t>(e)(11)(iii), 73.3526(b)(2) and 73.624(g)</w:t>
      </w:r>
      <w:r w:rsidRPr="00F51F07">
        <w:t xml:space="preserve"> of the Rules</w:t>
      </w:r>
      <w:r w:rsidRPr="00480906">
        <w:t xml:space="preserve"> can be enhanced to ensure compliance in the future, </w:t>
      </w:r>
      <w:r>
        <w:t>R&amp;F</w:t>
      </w:r>
      <w:r w:rsidRPr="00480906">
        <w:t xml:space="preserve"> represents that it will adopt and implement a compliance plan at the Station, and at any station acquired by </w:t>
      </w:r>
      <w:r>
        <w:t>R&amp;F</w:t>
      </w:r>
      <w:r w:rsidRPr="00480906">
        <w:t xml:space="preserve"> as well as any station licensed to </w:t>
      </w:r>
      <w:r>
        <w:t>R&amp;F</w:t>
      </w:r>
      <w:r w:rsidRPr="00480906">
        <w:t xml:space="preserve"> that becomes newly subject to the requirements of the CTA or Section</w:t>
      </w:r>
      <w:r>
        <w:t xml:space="preserve">s 73.671m </w:t>
      </w:r>
      <w:r w:rsidRPr="00F51F07">
        <w:t>73.3526</w:t>
      </w:r>
      <w:r>
        <w:t>(e)(11)(iii), 73.3526(b)(2) and 73.624(g)</w:t>
      </w:r>
      <w:r w:rsidRPr="00F51F07">
        <w:t xml:space="preserve"> </w:t>
      </w:r>
      <w:r w:rsidRPr="00480906">
        <w:t xml:space="preserve">of the Rules while the Compliance Plan remains in effect.  A copy of the plan is set forth below.  </w:t>
      </w:r>
      <w:r w:rsidR="001C35F4">
        <w:t>R&amp;F</w:t>
      </w:r>
      <w:r w:rsidRPr="00480906">
        <w:t xml:space="preserve"> agrees, to the extent that it has not already done so, to implement the Compliance Plan upon issuance of the Adopting Order and to keep such Compliance Plan in effect </w:t>
      </w:r>
      <w:r w:rsidR="001C35F4">
        <w:t>until Commission action is taken on the Station’s next license renewal application.</w:t>
      </w:r>
    </w:p>
    <w:p w:rsidR="00722730" w:rsidRPr="0068280D" w:rsidRDefault="00722730" w:rsidP="00865249">
      <w:pPr>
        <w:pStyle w:val="ParaNum"/>
      </w:pPr>
      <w:r w:rsidRPr="001C35F4">
        <w:rPr>
          <w:u w:val="single"/>
        </w:rPr>
        <w:t>Invalidity</w:t>
      </w:r>
      <w:r w:rsidRPr="0068280D">
        <w:t xml:space="preserve">.  In the event that this Consent Decree in its entirety is rendered invalid by any court of competent jurisdiction, it shall become null and void and may not be used in any manner in any legal proceeding.  </w:t>
      </w:r>
    </w:p>
    <w:p w:rsidR="00722730" w:rsidRPr="0068280D" w:rsidRDefault="00722730" w:rsidP="00865249">
      <w:pPr>
        <w:pStyle w:val="ParaNum"/>
      </w:pPr>
      <w:r w:rsidRPr="0068280D">
        <w:rPr>
          <w:u w:val="single"/>
        </w:rPr>
        <w:t>Subsequent Rule or Order</w:t>
      </w:r>
      <w:r w:rsidRPr="0068280D">
        <w:t xml:space="preserve">.  The Parties agree that if any provision of the Consent Decree conflicts with any subsequent rule or order adopted by the Commission (except a rule or order specifically intended to revise the terms of this Consent Decree to which </w:t>
      </w:r>
      <w:r w:rsidR="001C35F4">
        <w:t>R&amp;F</w:t>
      </w:r>
      <w:r w:rsidRPr="0068280D">
        <w:t xml:space="preserve"> expressly consents) that provision will not be superseded by such rule or Commission order.</w:t>
      </w:r>
    </w:p>
    <w:p w:rsidR="00722730" w:rsidRDefault="00722730" w:rsidP="00865249">
      <w:pPr>
        <w:pStyle w:val="ParaNum"/>
      </w:pPr>
      <w:r w:rsidRPr="0068280D">
        <w:rPr>
          <w:u w:val="single"/>
        </w:rPr>
        <w:t>Successors and Assigns</w:t>
      </w:r>
      <w:r w:rsidRPr="0068280D">
        <w:t xml:space="preserve">.  </w:t>
      </w:r>
      <w:r w:rsidR="001C35F4">
        <w:t>R&amp;F</w:t>
      </w:r>
      <w:r w:rsidRPr="0068280D">
        <w:t xml:space="preserve"> agrees that the provisions of this Consent Decree shall be binding on its </w:t>
      </w:r>
      <w:r>
        <w:t xml:space="preserve">subsidiaries, affiliates, successors, assigns, and/or </w:t>
      </w:r>
      <w:r w:rsidRPr="0068280D">
        <w:t xml:space="preserve">transferees.  </w:t>
      </w:r>
    </w:p>
    <w:p w:rsidR="00722730" w:rsidRPr="00960DB8" w:rsidRDefault="00722730" w:rsidP="00865249">
      <w:pPr>
        <w:pStyle w:val="ParaNum"/>
        <w:rPr>
          <w:color w:val="000000"/>
        </w:rPr>
      </w:pPr>
      <w:r w:rsidRPr="00892813">
        <w:rPr>
          <w:u w:val="single"/>
        </w:rPr>
        <w:t>Final Settlement</w:t>
      </w:r>
      <w:r w:rsidRPr="00892813">
        <w:t>.  The Parties agree and acknowledge that this Consent Decree shall constitute a final settlement between the Parties with respect to the Investigation.</w:t>
      </w:r>
    </w:p>
    <w:p w:rsidR="00722730" w:rsidRPr="0068280D" w:rsidRDefault="00722730" w:rsidP="00865249">
      <w:pPr>
        <w:pStyle w:val="ParaNum"/>
      </w:pPr>
      <w:r w:rsidRPr="0068280D">
        <w:rPr>
          <w:u w:val="single"/>
        </w:rPr>
        <w:t>Modifications</w:t>
      </w:r>
      <w:r w:rsidRPr="0068280D">
        <w:t>.  This Consent Decree cannot be modified without the advance written consent of all Parties.</w:t>
      </w:r>
    </w:p>
    <w:p w:rsidR="00722730" w:rsidRPr="0068280D" w:rsidRDefault="00722730" w:rsidP="00865249">
      <w:pPr>
        <w:pStyle w:val="ParaNum"/>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rsidR="00722730" w:rsidRPr="0068280D" w:rsidRDefault="00722730" w:rsidP="00865249">
      <w:pPr>
        <w:pStyle w:val="ParaNum"/>
      </w:pPr>
      <w:r w:rsidRPr="0068280D">
        <w:rPr>
          <w:u w:val="single"/>
        </w:rPr>
        <w:t>Authorized Representative</w:t>
      </w:r>
      <w:r w:rsidRPr="0068280D">
        <w:t xml:space="preserve">.  The individual signing this Consent Decree on behalf of </w:t>
      </w:r>
      <w:r w:rsidR="006D7E9B">
        <w:t>R&amp;F</w:t>
      </w:r>
      <w:r w:rsidRPr="0068280D">
        <w:t xml:space="preserve"> represents and warrants that he is authorized by </w:t>
      </w:r>
      <w:r w:rsidR="001C35F4">
        <w:t>R&amp;F</w:t>
      </w:r>
      <w:r w:rsidRPr="0068280D">
        <w:t xml:space="preserve"> to execute this Consent Decree and</w:t>
      </w:r>
      <w:r>
        <w:t xml:space="preserve"> to bind </w:t>
      </w:r>
      <w:r w:rsidR="006D7E9B">
        <w:t>R&amp;F</w:t>
      </w:r>
      <w:r w:rsidRPr="0068280D">
        <w:t xml:space="preserve"> to the obligations set forth herein.  The FCC signatory represents that she is signing this Consent Decree in her official capacity and that she is authorized to execute this Consent Decree.</w:t>
      </w:r>
    </w:p>
    <w:p w:rsidR="00722730" w:rsidRPr="0068280D" w:rsidRDefault="00722730" w:rsidP="00865249">
      <w:pPr>
        <w:pStyle w:val="ParaNum"/>
      </w:pPr>
      <w:r w:rsidRPr="0068280D">
        <w:rPr>
          <w:u w:val="single"/>
        </w:rPr>
        <w:t>Counterparts</w:t>
      </w:r>
      <w:r w:rsidRPr="0068280D">
        <w:t>.  This Consent Decree may be signed in any number of counterparts, each of which, when executed and delivered (including by pdf or facsimile), shall be an original, and all of which counterparts together shall constitute one and the same fully executed instrument.</w:t>
      </w:r>
    </w:p>
    <w:tbl>
      <w:tblPr>
        <w:tblW w:w="0" w:type="auto"/>
        <w:tblLook w:val="0000" w:firstRow="0" w:lastRow="0" w:firstColumn="0" w:lastColumn="0" w:noHBand="0" w:noVBand="0"/>
      </w:tblPr>
      <w:tblGrid>
        <w:gridCol w:w="4788"/>
        <w:gridCol w:w="4788"/>
      </w:tblGrid>
      <w:tr w:rsidR="00884214">
        <w:tc>
          <w:tcPr>
            <w:tcW w:w="4788" w:type="dxa"/>
          </w:tcPr>
          <w:p w:rsidR="00F70B69" w:rsidRDefault="00F70B69">
            <w:pPr>
              <w:keepNext/>
              <w:rPr>
                <w:b/>
                <w:szCs w:val="22"/>
              </w:rPr>
            </w:pPr>
          </w:p>
          <w:p w:rsidR="00F70B69" w:rsidRDefault="00F70B69">
            <w:pPr>
              <w:keepNext/>
              <w:rPr>
                <w:b/>
                <w:szCs w:val="22"/>
              </w:rPr>
            </w:pPr>
          </w:p>
          <w:p w:rsidR="00F70B69" w:rsidRDefault="00F70B69">
            <w:pPr>
              <w:keepNext/>
              <w:rPr>
                <w:b/>
                <w:szCs w:val="22"/>
              </w:rPr>
            </w:pPr>
          </w:p>
          <w:p w:rsidR="00884214" w:rsidRDefault="00884214">
            <w:pPr>
              <w:keepNext/>
              <w:rPr>
                <w:b/>
                <w:szCs w:val="22"/>
              </w:rPr>
            </w:pPr>
            <w:r>
              <w:rPr>
                <w:b/>
                <w:szCs w:val="22"/>
              </w:rPr>
              <w:t>Federal Communications Commission</w:t>
            </w:r>
          </w:p>
          <w:p w:rsidR="00884214" w:rsidRDefault="00884214">
            <w:pPr>
              <w:keepNext/>
              <w:rPr>
                <w:szCs w:val="22"/>
              </w:rPr>
            </w:pPr>
          </w:p>
          <w:p w:rsidR="00884214" w:rsidRDefault="00884214">
            <w:pPr>
              <w:keepNext/>
              <w:rPr>
                <w:szCs w:val="22"/>
              </w:rPr>
            </w:pPr>
            <w:r>
              <w:rPr>
                <w:szCs w:val="22"/>
              </w:rPr>
              <w:t>By:</w:t>
            </w:r>
          </w:p>
          <w:p w:rsidR="00884214" w:rsidRDefault="00884214">
            <w:pPr>
              <w:keepNext/>
              <w:rPr>
                <w:szCs w:val="22"/>
              </w:rPr>
            </w:pPr>
          </w:p>
          <w:p w:rsidR="00A82960" w:rsidRDefault="00A82960">
            <w:pPr>
              <w:keepNext/>
              <w:rPr>
                <w:szCs w:val="22"/>
              </w:rPr>
            </w:pPr>
          </w:p>
          <w:p w:rsidR="00884214" w:rsidRDefault="00884214">
            <w:pPr>
              <w:keepNext/>
              <w:rPr>
                <w:szCs w:val="22"/>
              </w:rPr>
            </w:pPr>
            <w:r>
              <w:rPr>
                <w:szCs w:val="22"/>
              </w:rPr>
              <w:t>________________________________</w:t>
            </w:r>
          </w:p>
          <w:p w:rsidR="00884214" w:rsidRDefault="006F597F">
            <w:pPr>
              <w:keepNext/>
              <w:rPr>
                <w:szCs w:val="22"/>
              </w:rPr>
            </w:pPr>
            <w:r>
              <w:rPr>
                <w:szCs w:val="22"/>
              </w:rPr>
              <w:t>Marlene H. Dortch</w:t>
            </w:r>
          </w:p>
          <w:p w:rsidR="00884214" w:rsidRDefault="006F597F">
            <w:pPr>
              <w:keepNext/>
              <w:rPr>
                <w:szCs w:val="22"/>
              </w:rPr>
            </w:pPr>
            <w:r>
              <w:rPr>
                <w:szCs w:val="22"/>
              </w:rPr>
              <w:t>Secretary</w:t>
            </w:r>
          </w:p>
          <w:p w:rsidR="00884214" w:rsidRDefault="00884214">
            <w:pPr>
              <w:keepNext/>
              <w:rPr>
                <w:szCs w:val="22"/>
              </w:rPr>
            </w:pPr>
          </w:p>
          <w:p w:rsidR="00884214" w:rsidRDefault="00884214">
            <w:pPr>
              <w:keepNext/>
              <w:rPr>
                <w:szCs w:val="22"/>
              </w:rPr>
            </w:pPr>
          </w:p>
          <w:p w:rsidR="00884214" w:rsidRDefault="00884214">
            <w:pPr>
              <w:keepNext/>
              <w:rPr>
                <w:szCs w:val="22"/>
              </w:rPr>
            </w:pPr>
            <w:r>
              <w:rPr>
                <w:szCs w:val="22"/>
              </w:rPr>
              <w:t>________________________________</w:t>
            </w:r>
          </w:p>
          <w:p w:rsidR="00884214" w:rsidRDefault="00884214">
            <w:pPr>
              <w:keepNext/>
              <w:rPr>
                <w:szCs w:val="22"/>
              </w:rPr>
            </w:pPr>
            <w:r>
              <w:rPr>
                <w:szCs w:val="22"/>
              </w:rPr>
              <w:t>Date</w:t>
            </w:r>
          </w:p>
          <w:p w:rsidR="00884214" w:rsidRDefault="00884214">
            <w:pPr>
              <w:keepNext/>
              <w:rPr>
                <w:b/>
                <w:szCs w:val="22"/>
              </w:rPr>
            </w:pPr>
          </w:p>
          <w:p w:rsidR="00884214" w:rsidRDefault="00884214">
            <w:pPr>
              <w:keepNext/>
              <w:rPr>
                <w:b/>
                <w:szCs w:val="22"/>
              </w:rPr>
            </w:pPr>
          </w:p>
          <w:p w:rsidR="00466E37" w:rsidRDefault="00466E37">
            <w:pPr>
              <w:keepNext/>
              <w:rPr>
                <w:b/>
                <w:szCs w:val="22"/>
              </w:rPr>
            </w:pPr>
          </w:p>
          <w:p w:rsidR="00884214" w:rsidRDefault="006E4750">
            <w:pPr>
              <w:keepNext/>
              <w:rPr>
                <w:b/>
                <w:szCs w:val="22"/>
              </w:rPr>
            </w:pPr>
            <w:r>
              <w:rPr>
                <w:b/>
                <w:szCs w:val="22"/>
              </w:rPr>
              <w:t>R&amp;F Broadcasting</w:t>
            </w:r>
            <w:r w:rsidR="00E31C3F">
              <w:rPr>
                <w:b/>
                <w:szCs w:val="22"/>
              </w:rPr>
              <w:t>,</w:t>
            </w:r>
            <w:r>
              <w:rPr>
                <w:b/>
                <w:szCs w:val="22"/>
              </w:rPr>
              <w:t xml:space="preserve"> Inc</w:t>
            </w:r>
            <w:r w:rsidR="002601BE">
              <w:rPr>
                <w:b/>
                <w:szCs w:val="22"/>
              </w:rPr>
              <w:t>.</w:t>
            </w:r>
          </w:p>
          <w:p w:rsidR="00884214" w:rsidRDefault="00884214">
            <w:pPr>
              <w:keepNext/>
              <w:rPr>
                <w:szCs w:val="22"/>
              </w:rPr>
            </w:pPr>
          </w:p>
          <w:p w:rsidR="00884214" w:rsidRDefault="00884214">
            <w:pPr>
              <w:keepNext/>
              <w:rPr>
                <w:szCs w:val="22"/>
              </w:rPr>
            </w:pPr>
            <w:r>
              <w:rPr>
                <w:szCs w:val="22"/>
              </w:rPr>
              <w:t>By:</w:t>
            </w:r>
          </w:p>
          <w:p w:rsidR="00884214" w:rsidRDefault="00884214">
            <w:pPr>
              <w:keepNext/>
              <w:rPr>
                <w:b/>
                <w:szCs w:val="22"/>
              </w:rPr>
            </w:pPr>
          </w:p>
          <w:p w:rsidR="00A82960" w:rsidRDefault="00A82960">
            <w:pPr>
              <w:keepNext/>
              <w:rPr>
                <w:b/>
                <w:szCs w:val="22"/>
              </w:rPr>
            </w:pPr>
          </w:p>
          <w:p w:rsidR="00884214" w:rsidRDefault="00884214">
            <w:pPr>
              <w:keepNext/>
              <w:rPr>
                <w:szCs w:val="22"/>
              </w:rPr>
            </w:pPr>
            <w:r>
              <w:rPr>
                <w:b/>
                <w:szCs w:val="22"/>
              </w:rPr>
              <w:t>________________________________</w:t>
            </w:r>
          </w:p>
          <w:p w:rsidR="00A82960" w:rsidRPr="00A82960" w:rsidRDefault="00A82960" w:rsidP="00A82960">
            <w:pPr>
              <w:keepNext/>
              <w:rPr>
                <w:szCs w:val="22"/>
              </w:rPr>
            </w:pPr>
            <w:r w:rsidRPr="00A82960">
              <w:rPr>
                <w:szCs w:val="22"/>
              </w:rPr>
              <w:t>Enrique Sanchez</w:t>
            </w:r>
          </w:p>
          <w:p w:rsidR="00A82960" w:rsidRDefault="00A82960" w:rsidP="00A82960">
            <w:pPr>
              <w:keepNext/>
              <w:rPr>
                <w:szCs w:val="22"/>
              </w:rPr>
            </w:pPr>
            <w:r w:rsidRPr="00A82960">
              <w:rPr>
                <w:szCs w:val="22"/>
              </w:rPr>
              <w:t>President</w:t>
            </w:r>
          </w:p>
          <w:p w:rsidR="00884214" w:rsidRDefault="00884214" w:rsidP="00A82960">
            <w:pPr>
              <w:keepNext/>
              <w:rPr>
                <w:szCs w:val="22"/>
              </w:rPr>
            </w:pPr>
            <w:r>
              <w:rPr>
                <w:szCs w:val="22"/>
              </w:rPr>
              <w:t xml:space="preserve"> </w:t>
            </w:r>
          </w:p>
          <w:p w:rsidR="006F597F" w:rsidRDefault="006F597F">
            <w:pPr>
              <w:keepNext/>
              <w:rPr>
                <w:szCs w:val="22"/>
              </w:rPr>
            </w:pPr>
          </w:p>
          <w:p w:rsidR="00884214" w:rsidRDefault="00884214">
            <w:pPr>
              <w:keepNext/>
              <w:rPr>
                <w:szCs w:val="22"/>
              </w:rPr>
            </w:pPr>
            <w:r>
              <w:rPr>
                <w:szCs w:val="22"/>
              </w:rPr>
              <w:t>________________________________</w:t>
            </w:r>
          </w:p>
          <w:p w:rsidR="00884214" w:rsidRDefault="00884214">
            <w:pPr>
              <w:keepNext/>
              <w:rPr>
                <w:szCs w:val="22"/>
              </w:rPr>
            </w:pPr>
            <w:r>
              <w:rPr>
                <w:szCs w:val="22"/>
              </w:rPr>
              <w:t>Date</w:t>
            </w:r>
          </w:p>
        </w:tc>
        <w:tc>
          <w:tcPr>
            <w:tcW w:w="4788" w:type="dxa"/>
          </w:tcPr>
          <w:p w:rsidR="00884214" w:rsidRDefault="00884214">
            <w:pPr>
              <w:keepNext/>
              <w:rPr>
                <w:szCs w:val="22"/>
              </w:rPr>
            </w:pPr>
          </w:p>
          <w:p w:rsidR="00884214" w:rsidRDefault="00884214">
            <w:pPr>
              <w:keepNext/>
              <w:rPr>
                <w:b/>
                <w:szCs w:val="22"/>
              </w:rPr>
            </w:pPr>
          </w:p>
        </w:tc>
      </w:tr>
    </w:tbl>
    <w:p w:rsidR="00774D80" w:rsidRDefault="00774D80">
      <w:pPr>
        <w:tabs>
          <w:tab w:val="left" w:pos="0"/>
        </w:tabs>
        <w:suppressAutoHyphens/>
        <w:spacing w:line="240" w:lineRule="atLeast"/>
        <w:jc w:val="both"/>
      </w:pPr>
    </w:p>
    <w:p w:rsidR="00774D80" w:rsidRDefault="00774D80">
      <w:pPr>
        <w:tabs>
          <w:tab w:val="left" w:pos="0"/>
        </w:tabs>
        <w:suppressAutoHyphens/>
        <w:spacing w:line="240" w:lineRule="atLeast"/>
        <w:jc w:val="both"/>
      </w:pPr>
    </w:p>
    <w:p w:rsidR="00F875E9" w:rsidRDefault="005E363C" w:rsidP="000045DD">
      <w:pPr>
        <w:spacing w:after="220"/>
        <w:jc w:val="center"/>
        <w:rPr>
          <w:b/>
          <w:caps/>
          <w:szCs w:val="22"/>
        </w:rPr>
      </w:pPr>
      <w:r>
        <w:rPr>
          <w:b/>
          <w:caps/>
          <w:szCs w:val="22"/>
        </w:rPr>
        <w:br w:type="page"/>
      </w:r>
      <w:r w:rsidR="00F875E9" w:rsidRPr="00F86C70">
        <w:rPr>
          <w:b/>
          <w:caps/>
          <w:szCs w:val="22"/>
        </w:rPr>
        <w:t>Compliance Plan</w:t>
      </w:r>
      <w:r w:rsidR="00B64FF2">
        <w:rPr>
          <w:b/>
          <w:caps/>
          <w:szCs w:val="22"/>
        </w:rPr>
        <w:t xml:space="preserve"> of R&amp;F Broadcasting, Inc.</w:t>
      </w:r>
    </w:p>
    <w:p w:rsidR="00466E37" w:rsidRDefault="00F875E9" w:rsidP="000045DD">
      <w:pPr>
        <w:pStyle w:val="BodyText2"/>
        <w:spacing w:after="220" w:line="240" w:lineRule="auto"/>
        <w:ind w:firstLine="720"/>
      </w:pPr>
      <w:r>
        <w:rPr>
          <w:szCs w:val="22"/>
        </w:rPr>
        <w:t xml:space="preserve">In order </w:t>
      </w:r>
      <w:r>
        <w:t xml:space="preserve">to ensure </w:t>
      </w:r>
      <w:r w:rsidR="00714ED7">
        <w:t xml:space="preserve">future </w:t>
      </w:r>
      <w:r>
        <w:t xml:space="preserve">compliance with the </w:t>
      </w:r>
      <w:r w:rsidR="00714ED7">
        <w:t xml:space="preserve">CTA, </w:t>
      </w:r>
      <w:r w:rsidR="00DD6976">
        <w:t>Rules</w:t>
      </w:r>
      <w:r w:rsidR="00714ED7">
        <w:t>,</w:t>
      </w:r>
      <w:r w:rsidR="00DD6976">
        <w:t xml:space="preserve"> and the Act</w:t>
      </w:r>
      <w:r>
        <w:t xml:space="preserve">, </w:t>
      </w:r>
      <w:r w:rsidR="00714ED7">
        <w:t>R&amp;F</w:t>
      </w:r>
      <w:r w:rsidR="0012717C">
        <w:t xml:space="preserve"> </w:t>
      </w:r>
      <w:r w:rsidR="00714ED7">
        <w:t xml:space="preserve">will </w:t>
      </w:r>
      <w:r>
        <w:t xml:space="preserve">institute the following procedures for </w:t>
      </w:r>
      <w:r w:rsidR="00A748AC">
        <w:t>any</w:t>
      </w:r>
      <w:r w:rsidR="009252E7">
        <w:t xml:space="preserve"> </w:t>
      </w:r>
      <w:r w:rsidR="00B11A4A">
        <w:t xml:space="preserve">television </w:t>
      </w:r>
      <w:r w:rsidR="00A748AC">
        <w:t>or</w:t>
      </w:r>
      <w:r w:rsidR="00B11A4A">
        <w:t xml:space="preserve"> radio </w:t>
      </w:r>
      <w:r w:rsidR="00DE3924">
        <w:t xml:space="preserve">station </w:t>
      </w:r>
      <w:r w:rsidR="009252E7">
        <w:t xml:space="preserve">that </w:t>
      </w:r>
      <w:r w:rsidR="00A748AC">
        <w:t xml:space="preserve">is </w:t>
      </w:r>
      <w:r w:rsidR="009252E7">
        <w:t xml:space="preserve">licensed, </w:t>
      </w:r>
      <w:r w:rsidR="00DE3924">
        <w:t>controlled or</w:t>
      </w:r>
      <w:r w:rsidR="00466E37">
        <w:t xml:space="preserve"> subsequently</w:t>
      </w:r>
      <w:r w:rsidR="00DE3924">
        <w:t xml:space="preserve"> acquired by</w:t>
      </w:r>
      <w:r w:rsidR="00A748AC">
        <w:t xml:space="preserve"> </w:t>
      </w:r>
      <w:r w:rsidR="00461C6B">
        <w:t>it</w:t>
      </w:r>
      <w:r w:rsidR="00A748AC">
        <w:t xml:space="preserve">.  This </w:t>
      </w:r>
      <w:r w:rsidR="00F501A9">
        <w:t xml:space="preserve">Compliance Plan is meant to cover, but is not </w:t>
      </w:r>
      <w:r w:rsidR="00A748AC">
        <w:t>limited to</w:t>
      </w:r>
      <w:r w:rsidR="00777F41">
        <w:t>,</w:t>
      </w:r>
      <w:r w:rsidR="005449AD">
        <w:t xml:space="preserve"> </w:t>
      </w:r>
      <w:r w:rsidR="006E4750">
        <w:t>WRFB(TV), Carolina, Puerto Rico</w:t>
      </w:r>
      <w:r w:rsidR="00F501A9">
        <w:t xml:space="preserve">.  </w:t>
      </w:r>
      <w:r w:rsidR="00DD6976">
        <w:t xml:space="preserve">Unless otherwise provided, all terms defined in </w:t>
      </w:r>
      <w:r w:rsidR="000045DD">
        <w:t xml:space="preserve">paragraph 2 of </w:t>
      </w:r>
      <w:r w:rsidR="00DD6976">
        <w:t>the Consent Decree apply to this Compliance Plan.</w:t>
      </w:r>
      <w:r w:rsidR="006E4750">
        <w:t xml:space="preserve">  The terms of this Compliance Plan shall remain in effect until Commission action is taken </w:t>
      </w:r>
      <w:r w:rsidR="001C35F4">
        <w:t xml:space="preserve">on the </w:t>
      </w:r>
      <w:r w:rsidR="006E4750">
        <w:t>Station’s next license renewal application.</w:t>
      </w:r>
    </w:p>
    <w:p w:rsidR="00B11A4A" w:rsidRDefault="006E4750" w:rsidP="00466E37">
      <w:pPr>
        <w:pStyle w:val="ParaNum"/>
        <w:numPr>
          <w:ilvl w:val="0"/>
          <w:numId w:val="39"/>
        </w:numPr>
      </w:pPr>
      <w:r>
        <w:t xml:space="preserve">R&amp;F </w:t>
      </w:r>
      <w:r w:rsidR="00F875E9" w:rsidRPr="00F86C70">
        <w:t xml:space="preserve">will designate </w:t>
      </w:r>
      <w:r w:rsidR="00F875E9">
        <w:t>a</w:t>
      </w:r>
      <w:r w:rsidR="00DD6976">
        <w:t xml:space="preserve"> </w:t>
      </w:r>
      <w:r w:rsidR="00F875E9">
        <w:t xml:space="preserve">Compliance Officer </w:t>
      </w:r>
      <w:r w:rsidR="00F875E9" w:rsidRPr="00F86C70">
        <w:t>responsible for responding to</w:t>
      </w:r>
      <w:r w:rsidR="00516D68">
        <w:t xml:space="preserve"> </w:t>
      </w:r>
      <w:r w:rsidR="00DD6976">
        <w:t xml:space="preserve">employee questions, </w:t>
      </w:r>
      <w:r w:rsidR="00F875E9" w:rsidRPr="00F86C70">
        <w:t>consulting with FCC Counsel regarding compliance matters</w:t>
      </w:r>
      <w:r w:rsidR="00516D68">
        <w:t>,</w:t>
      </w:r>
      <w:r w:rsidR="009252E7">
        <w:t xml:space="preserve"> and ensuring all s</w:t>
      </w:r>
      <w:r w:rsidR="00DD6976">
        <w:t xml:space="preserve">tations </w:t>
      </w:r>
      <w:r w:rsidR="009252E7">
        <w:t xml:space="preserve">operate in compliance </w:t>
      </w:r>
      <w:r w:rsidR="00DD6976">
        <w:t xml:space="preserve">with </w:t>
      </w:r>
      <w:r w:rsidR="001C35F4">
        <w:t xml:space="preserve">the </w:t>
      </w:r>
      <w:r w:rsidR="00DD6976">
        <w:t>Rules</w:t>
      </w:r>
      <w:r w:rsidR="009252E7">
        <w:t xml:space="preserve"> and the Act</w:t>
      </w:r>
      <w:r w:rsidR="001C35F4">
        <w:t xml:space="preserve">, including but not limited to the CTA and Sections 73.671, </w:t>
      </w:r>
      <w:r w:rsidR="001C35F4" w:rsidRPr="00F51F07">
        <w:t>73.3526</w:t>
      </w:r>
      <w:r w:rsidR="001C35F4">
        <w:t>(e)(11)(iii), 73.3526(b)(2) and 73.624(g) of the Rules.</w:t>
      </w:r>
    </w:p>
    <w:p w:rsidR="001C35F4" w:rsidRDefault="001C35F4" w:rsidP="00466E37">
      <w:pPr>
        <w:pStyle w:val="ParaNum"/>
        <w:numPr>
          <w:ilvl w:val="0"/>
          <w:numId w:val="39"/>
        </w:numPr>
      </w:pPr>
      <w:r>
        <w:t xml:space="preserve">The </w:t>
      </w:r>
      <w:r w:rsidRPr="009025AF">
        <w:t xml:space="preserve">Compliance Officer </w:t>
      </w:r>
      <w:r>
        <w:t>will</w:t>
      </w:r>
      <w:r w:rsidRPr="009025AF">
        <w:t xml:space="preserve"> oversee</w:t>
      </w:r>
      <w:r>
        <w:t>, as applicable,</w:t>
      </w:r>
      <w:r w:rsidRPr="009025AF">
        <w:t xml:space="preserve"> the acquisition, production, formatting and scheduling, </w:t>
      </w:r>
      <w:r>
        <w:t>and/</w:t>
      </w:r>
      <w:r w:rsidRPr="009025AF">
        <w:t>or dissemination of infor</w:t>
      </w:r>
      <w:r w:rsidR="00D51D6A">
        <w:t>mation</w:t>
      </w:r>
      <w:r>
        <w:t>,</w:t>
      </w:r>
      <w:r w:rsidRPr="009025AF">
        <w:t xml:space="preserve"> regarding </w:t>
      </w:r>
      <w:r>
        <w:t>educational and informational (</w:t>
      </w:r>
      <w:r w:rsidRPr="009025AF">
        <w:t>E/I</w:t>
      </w:r>
      <w:r>
        <w:t>) programs</w:t>
      </w:r>
      <w:r w:rsidR="00F23284">
        <w:t xml:space="preserve">, the preparation </w:t>
      </w:r>
      <w:r w:rsidR="00C8254A">
        <w:t xml:space="preserve">and filing </w:t>
      </w:r>
      <w:r w:rsidR="00F23284">
        <w:t xml:space="preserve">of R&amp;F’s issues/programs lists, the maintenance of its </w:t>
      </w:r>
      <w:r w:rsidR="00C8254A">
        <w:t>physical</w:t>
      </w:r>
      <w:r w:rsidR="00197F13">
        <w:t xml:space="preserve"> and electronic </w:t>
      </w:r>
      <w:r w:rsidR="00F23284">
        <w:t xml:space="preserve">public files and the preparation and filing of its Ancillary </w:t>
      </w:r>
      <w:r w:rsidR="00C8254A">
        <w:t xml:space="preserve">and Supplementary </w:t>
      </w:r>
      <w:r w:rsidR="00F23284">
        <w:t xml:space="preserve">Services Reports and payment of any necessary </w:t>
      </w:r>
      <w:r w:rsidR="007447E8">
        <w:t xml:space="preserve">related </w:t>
      </w:r>
      <w:r w:rsidR="00F23284">
        <w:t>fees,</w:t>
      </w:r>
      <w:r w:rsidRPr="009025AF">
        <w:t xml:space="preserve"> </w:t>
      </w:r>
      <w:r w:rsidR="00D51D6A">
        <w:t xml:space="preserve">in order </w:t>
      </w:r>
      <w:r w:rsidRPr="009025AF">
        <w:t>to ensure compliance with the FCC's related rules and policies</w:t>
      </w:r>
      <w:r>
        <w:t>.</w:t>
      </w:r>
    </w:p>
    <w:p w:rsidR="00F70B69" w:rsidRDefault="00F875E9" w:rsidP="00F70B69">
      <w:pPr>
        <w:pStyle w:val="ParaNum"/>
        <w:numPr>
          <w:ilvl w:val="0"/>
          <w:numId w:val="39"/>
        </w:numPr>
      </w:pPr>
      <w:r w:rsidRPr="00F86C70">
        <w:t xml:space="preserve">The </w:t>
      </w:r>
      <w:r w:rsidR="00DE3924">
        <w:t xml:space="preserve">Compliance Officer </w:t>
      </w:r>
      <w:r w:rsidRPr="00F86C70">
        <w:t>will conduct training for</w:t>
      </w:r>
      <w:r w:rsidR="00A748AC">
        <w:t xml:space="preserve"> all </w:t>
      </w:r>
      <w:r w:rsidR="009252E7">
        <w:t>station</w:t>
      </w:r>
      <w:r w:rsidRPr="00F86C70">
        <w:t xml:space="preserve"> employees and management at least once every twelve (12) months</w:t>
      </w:r>
      <w:r w:rsidR="00516D68">
        <w:t xml:space="preserve"> </w:t>
      </w:r>
      <w:r w:rsidR="00516D68" w:rsidRPr="00F86C70">
        <w:t xml:space="preserve">on compliance with </w:t>
      </w:r>
      <w:r w:rsidR="00B11A4A">
        <w:t>FCC</w:t>
      </w:r>
      <w:r w:rsidR="00516D68" w:rsidRPr="00F86C70">
        <w:t xml:space="preserve"> Rules applicable to</w:t>
      </w:r>
      <w:r w:rsidR="00516D68">
        <w:t xml:space="preserve"> his or her duties at the </w:t>
      </w:r>
      <w:r w:rsidR="00A748AC">
        <w:t>station</w:t>
      </w:r>
      <w:r w:rsidR="00B11A4A">
        <w:t xml:space="preserve">.  A </w:t>
      </w:r>
      <w:r w:rsidR="00B11A4A" w:rsidRPr="00DE3924">
        <w:t>certification</w:t>
      </w:r>
      <w:r w:rsidR="00B11A4A">
        <w:t xml:space="preserve"> that the aforementioned training has occurred shall be placed in the</w:t>
      </w:r>
      <w:r w:rsidR="001C35F4">
        <w:t xml:space="preserve"> online electronic</w:t>
      </w:r>
      <w:r w:rsidR="00B11A4A">
        <w:t xml:space="preserve"> </w:t>
      </w:r>
      <w:r w:rsidR="00B11A4A" w:rsidRPr="00DE3924">
        <w:t>local public inspection file</w:t>
      </w:r>
      <w:r w:rsidR="00B11A4A">
        <w:t xml:space="preserve"> for </w:t>
      </w:r>
      <w:r w:rsidR="001C35F4">
        <w:t>the</w:t>
      </w:r>
      <w:r w:rsidR="00B11A4A">
        <w:t xml:space="preserve"> Station within three (3) business days</w:t>
      </w:r>
      <w:r w:rsidR="00516D68">
        <w:t xml:space="preserve">.  </w:t>
      </w:r>
    </w:p>
    <w:p w:rsidR="00B11A4A" w:rsidRDefault="00516D68" w:rsidP="00F70B69">
      <w:pPr>
        <w:pStyle w:val="ParaNum"/>
        <w:numPr>
          <w:ilvl w:val="0"/>
          <w:numId w:val="39"/>
        </w:numPr>
      </w:pPr>
      <w:r>
        <w:t>The Compliance Officer w</w:t>
      </w:r>
      <w:r w:rsidR="00F875E9" w:rsidRPr="00F86C70">
        <w:t xml:space="preserve">ill train any new employee within </w:t>
      </w:r>
      <w:r w:rsidR="00B11A4A">
        <w:t>five</w:t>
      </w:r>
      <w:r w:rsidR="00F875E9" w:rsidRPr="00F86C70">
        <w:t xml:space="preserve"> (</w:t>
      </w:r>
      <w:r w:rsidR="00B11A4A">
        <w:t>5</w:t>
      </w:r>
      <w:r w:rsidR="00F875E9" w:rsidRPr="00F86C70">
        <w:t>)</w:t>
      </w:r>
      <w:r w:rsidR="00B11A4A">
        <w:t xml:space="preserve"> </w:t>
      </w:r>
      <w:r w:rsidR="00F875E9" w:rsidRPr="00F86C70">
        <w:t>business days of commencement of hi</w:t>
      </w:r>
      <w:r w:rsidR="00DD6976">
        <w:t xml:space="preserve">s or her duties at the </w:t>
      </w:r>
      <w:r w:rsidR="00A748AC">
        <w:t>s</w:t>
      </w:r>
      <w:r w:rsidR="00DD6976">
        <w:t xml:space="preserve">tation.  </w:t>
      </w:r>
    </w:p>
    <w:p w:rsidR="00797D58" w:rsidRDefault="00797D58" w:rsidP="00B11A4A">
      <w:pPr>
        <w:pStyle w:val="ParaNum"/>
        <w:numPr>
          <w:ilvl w:val="0"/>
          <w:numId w:val="39"/>
        </w:numPr>
      </w:pPr>
      <w:r>
        <w:t>The Compliance Officer will work with outside legal counsel</w:t>
      </w:r>
      <w:r w:rsidRPr="00F86C70">
        <w:t xml:space="preserve"> on an ongoing basis to </w:t>
      </w:r>
      <w:r>
        <w:t>obtain guidance</w:t>
      </w:r>
      <w:r w:rsidRPr="00F86C70">
        <w:t xml:space="preserve"> on FCC compliance issues, to provide regular updates and notices on developments in commun</w:t>
      </w:r>
      <w:r>
        <w:t>ications law applicable to the stations and the s</w:t>
      </w:r>
      <w:r w:rsidRPr="00F86C70">
        <w:t xml:space="preserve">tations operations, and to review </w:t>
      </w:r>
      <w:r>
        <w:t>all</w:t>
      </w:r>
      <w:r w:rsidRPr="00F86C70">
        <w:t xml:space="preserve"> applications</w:t>
      </w:r>
      <w:r>
        <w:t>, documents,</w:t>
      </w:r>
      <w:r w:rsidRPr="00F86C70">
        <w:t xml:space="preserve"> and reports prior to filing with the FCC.  In regard to the last matter</w:t>
      </w:r>
      <w:r>
        <w:t>, R&amp;F recognizes</w:t>
      </w:r>
      <w:r w:rsidRPr="00F86C70">
        <w:t xml:space="preserve"> and acknowledge</w:t>
      </w:r>
      <w:r>
        <w:t>s</w:t>
      </w:r>
      <w:r w:rsidRPr="00F86C70">
        <w:t xml:space="preserve"> that any and all information provided to the FCC must completely and candidly set forth all relevant facts and circumstances, regardless of whether such submission may disclose a violation of the </w:t>
      </w:r>
      <w:r>
        <w:t>Rules or the Act.</w:t>
      </w:r>
    </w:p>
    <w:sectPr w:rsidR="00797D58">
      <w:headerReference w:type="default" r:id="rId15"/>
      <w:footerReference w:type="even" r:id="rId16"/>
      <w:footerReference w:type="default" r:id="rId17"/>
      <w:headerReference w:type="first" r:id="rId18"/>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E6" w:rsidRDefault="00D32DE6">
      <w:r>
        <w:separator/>
      </w:r>
    </w:p>
  </w:endnote>
  <w:endnote w:type="continuationSeparator" w:id="0">
    <w:p w:rsidR="00D32DE6" w:rsidRDefault="00D3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0D" w:rsidRDefault="00851D0D" w:rsidP="00160FA4">
    <w:pPr>
      <w:pStyle w:val="Footer"/>
      <w:framePr w:wrap="around" w:vAnchor="text" w:hAnchor="margin" w:xAlign="center" w:y="1"/>
    </w:pPr>
    <w:r>
      <w:fldChar w:fldCharType="begin"/>
    </w:r>
    <w:r>
      <w:instrText xml:space="preserve">PAGE  </w:instrText>
    </w:r>
    <w:r>
      <w:fldChar w:fldCharType="end"/>
    </w:r>
  </w:p>
  <w:p w:rsidR="00851D0D" w:rsidRDefault="00851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0D" w:rsidRDefault="00851D0D" w:rsidP="00160FA4">
    <w:pPr>
      <w:pStyle w:val="Footer"/>
      <w:jc w:val="center"/>
    </w:pPr>
    <w:r>
      <w:fldChar w:fldCharType="begin"/>
    </w:r>
    <w:r>
      <w:instrText xml:space="preserve"> PAGE   \* MERGEFORMAT </w:instrText>
    </w:r>
    <w:r>
      <w:fldChar w:fldCharType="separate"/>
    </w:r>
    <w:r w:rsidR="00CD781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A" w:rsidRDefault="00491B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84" w:rsidRDefault="004E7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B84" w:rsidRDefault="004E7B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84" w:rsidRPr="00992819" w:rsidRDefault="004E7B84">
    <w:pPr>
      <w:pStyle w:val="Footer"/>
      <w:framePr w:wrap="around" w:vAnchor="text" w:hAnchor="margin" w:xAlign="center" w:y="1"/>
      <w:rPr>
        <w:rStyle w:val="PageNumber"/>
      </w:rPr>
    </w:pPr>
    <w:r w:rsidRPr="00992819">
      <w:rPr>
        <w:rStyle w:val="PageNumber"/>
      </w:rPr>
      <w:fldChar w:fldCharType="begin"/>
    </w:r>
    <w:r w:rsidRPr="00992819">
      <w:rPr>
        <w:rStyle w:val="PageNumber"/>
      </w:rPr>
      <w:instrText xml:space="preserve">PAGE  </w:instrText>
    </w:r>
    <w:r w:rsidRPr="00992819">
      <w:rPr>
        <w:rStyle w:val="PageNumber"/>
      </w:rPr>
      <w:fldChar w:fldCharType="separate"/>
    </w:r>
    <w:r w:rsidR="009D3038">
      <w:rPr>
        <w:rStyle w:val="PageNumber"/>
        <w:noProof/>
      </w:rPr>
      <w:t>9</w:t>
    </w:r>
    <w:r w:rsidRPr="00992819">
      <w:rPr>
        <w:rStyle w:val="PageNumber"/>
      </w:rPr>
      <w:fldChar w:fldCharType="end"/>
    </w:r>
  </w:p>
  <w:p w:rsidR="004E7B84" w:rsidRPr="00992819" w:rsidRDefault="004E7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E6" w:rsidRDefault="00D32DE6">
      <w:pPr>
        <w:rPr>
          <w:noProof/>
        </w:rPr>
      </w:pPr>
      <w:r>
        <w:rPr>
          <w:noProof/>
        </w:rPr>
        <w:separator/>
      </w:r>
    </w:p>
  </w:footnote>
  <w:footnote w:type="continuationSeparator" w:id="0">
    <w:p w:rsidR="00D32DE6" w:rsidRDefault="00D32DE6">
      <w:pPr>
        <w:pStyle w:val="Footer"/>
      </w:pPr>
      <w:r>
        <w:continuationSeparator/>
      </w:r>
    </w:p>
    <w:p w:rsidR="00D32DE6" w:rsidRDefault="00D32DE6">
      <w:pPr>
        <w:pStyle w:val="Footer"/>
        <w:rPr>
          <w:sz w:val="20"/>
        </w:rPr>
      </w:pPr>
      <w:r>
        <w:rPr>
          <w:sz w:val="20"/>
        </w:rPr>
        <w:t>(…continued from previous page)</w:t>
      </w:r>
    </w:p>
  </w:footnote>
  <w:footnote w:type="continuationNotice" w:id="1">
    <w:p w:rsidR="00D32DE6" w:rsidRDefault="00D32DE6">
      <w:pPr>
        <w:ind w:left="7920"/>
        <w:rPr>
          <w:sz w:val="20"/>
        </w:rPr>
      </w:pPr>
      <w:r>
        <w:rPr>
          <w:sz w:val="20"/>
        </w:rPr>
        <w:t>(continued…)</w:t>
      </w:r>
    </w:p>
  </w:footnote>
  <w:footnote w:id="2">
    <w:p w:rsidR="00851D0D" w:rsidRDefault="00851D0D" w:rsidP="00851D0D">
      <w:pPr>
        <w:pStyle w:val="FootnoteText"/>
      </w:pPr>
      <w:r>
        <w:rPr>
          <w:rStyle w:val="FootnoteReference"/>
        </w:rPr>
        <w:footnoteRef/>
      </w:r>
      <w:r>
        <w:t xml:space="preserve"> </w:t>
      </w:r>
      <w:r w:rsidRPr="00E27F52">
        <w:t>47 C.F.R. § 73.671.</w:t>
      </w:r>
      <w:r>
        <w:t xml:space="preserve"> </w:t>
      </w:r>
    </w:p>
  </w:footnote>
  <w:footnote w:id="3">
    <w:p w:rsidR="00851D0D" w:rsidRDefault="00851D0D" w:rsidP="00851D0D">
      <w:pPr>
        <w:pStyle w:val="FootnoteText"/>
      </w:pPr>
      <w:r>
        <w:rPr>
          <w:rStyle w:val="FootnoteReference"/>
        </w:rPr>
        <w:footnoteRef/>
      </w:r>
      <w:r>
        <w:t xml:space="preserve"> </w:t>
      </w:r>
      <w:r w:rsidRPr="00E27F52">
        <w:t>Pub L. No. 101-437, 104 Stat. 996-1000, codified at 47 U.S.C. §§ 303a, 303b, and 394.</w:t>
      </w:r>
    </w:p>
  </w:footnote>
  <w:footnote w:id="4">
    <w:p w:rsidR="00590035" w:rsidRDefault="00590035">
      <w:pPr>
        <w:pStyle w:val="FootnoteText"/>
      </w:pPr>
      <w:r>
        <w:rPr>
          <w:rStyle w:val="FootnoteReference"/>
        </w:rPr>
        <w:footnoteRef/>
      </w:r>
      <w:r>
        <w:t xml:space="preserve"> </w:t>
      </w:r>
      <w:r w:rsidRPr="00590035">
        <w:t>47 C</w:t>
      </w:r>
      <w:r w:rsidR="00A53732">
        <w:t>.F.R. §§ 73.3526</w:t>
      </w:r>
      <w:r w:rsidR="009A57DD">
        <w:t xml:space="preserve">(b)(2), </w:t>
      </w:r>
      <w:r w:rsidR="00A53732">
        <w:t>(e)(11)(i</w:t>
      </w:r>
      <w:r w:rsidRPr="00590035">
        <w:t>)</w:t>
      </w:r>
      <w:r w:rsidR="00242DE5">
        <w:t xml:space="preserve"> </w:t>
      </w:r>
      <w:r w:rsidRPr="00590035">
        <w:t>.</w:t>
      </w:r>
    </w:p>
  </w:footnote>
  <w:footnote w:id="5">
    <w:p w:rsidR="00851D0D" w:rsidRDefault="00851D0D" w:rsidP="00851D0D">
      <w:pPr>
        <w:pStyle w:val="FootnoteText"/>
      </w:pPr>
      <w:r>
        <w:rPr>
          <w:rStyle w:val="FootnoteReference"/>
        </w:rPr>
        <w:footnoteRef/>
      </w:r>
      <w:r>
        <w:t xml:space="preserve"> </w:t>
      </w:r>
      <w:r w:rsidR="00590035">
        <w:t>47 C.F.R. § 73.624(g).</w:t>
      </w:r>
    </w:p>
  </w:footnote>
  <w:footnote w:id="6">
    <w:p w:rsidR="00E34368" w:rsidRDefault="00E34368" w:rsidP="00E34368">
      <w:pPr>
        <w:pStyle w:val="FootnoteText"/>
      </w:pPr>
      <w:r>
        <w:rPr>
          <w:rStyle w:val="FootnoteReference"/>
        </w:rPr>
        <w:footnoteRef/>
      </w:r>
      <w:r>
        <w:t xml:space="preserve"> </w:t>
      </w:r>
      <w:r w:rsidRPr="00370EC0">
        <w:t>Section 309(k)(1) of the Act states that the Commission shall grant a license renewal application “if it finds, with respect to that station, during the preceding term of its license—(a) the station has served the public interest, convenience, and necessity; (b) there have been no serious violations by the licensee of the Act or Commission rules and regulations; and (c) there have been no other violations by the licensee of the Act or Commission rules or regulations which, taken together, would constitute a pattern of abuse.”  47 U.S.C. § 309(k)(1).  Section 309(k)</w:t>
      </w:r>
      <w:r>
        <w:t>(2)</w:t>
      </w:r>
      <w:r w:rsidRPr="00370EC0">
        <w:t xml:space="preserve"> of the Act states, however, that if the licensee fails to meet this three</w:t>
      </w:r>
      <w:r>
        <w:t>-</w:t>
      </w:r>
      <w:r w:rsidRPr="00370EC0">
        <w:t>part standard, the Commission may deny the application—after notice and comment, and opportunity for hearing under Section 309(e) of the Act—“or grant the application on terms and conditions as are appropriat</w:t>
      </w:r>
      <w:r>
        <w:t>e, including renewal for a term less than the maximum otherwise permitted</w:t>
      </w:r>
      <w:r w:rsidRPr="00370EC0">
        <w:t xml:space="preserve">” 47 U.S.C. § 309(k)(2).  </w:t>
      </w:r>
    </w:p>
  </w:footnote>
  <w:footnote w:id="7">
    <w:p w:rsidR="00851D0D" w:rsidRPr="00CC1E2E" w:rsidRDefault="00851D0D" w:rsidP="00851D0D">
      <w:pPr>
        <w:pStyle w:val="FootnoteText"/>
        <w:keepNext/>
        <w:keepLines/>
      </w:pPr>
      <w:r w:rsidRPr="00CC1E2E">
        <w:rPr>
          <w:rStyle w:val="FootnoteReference"/>
        </w:rPr>
        <w:footnoteRef/>
      </w:r>
      <w:r w:rsidRPr="00CC1E2E">
        <w:t xml:space="preserve"> </w:t>
      </w:r>
      <w:r w:rsidRPr="0012717C">
        <w:rPr>
          <w:i/>
        </w:rPr>
        <w:t xml:space="preserve">See </w:t>
      </w:r>
      <w:r w:rsidRPr="00C11DEE">
        <w:rPr>
          <w:i/>
        </w:rPr>
        <w:t xml:space="preserve">Shareholders of Univision Communications </w:t>
      </w:r>
      <w:r w:rsidRPr="00516F9C">
        <w:rPr>
          <w:i/>
        </w:rPr>
        <w:t>Inc.</w:t>
      </w:r>
      <w:r>
        <w:t xml:space="preserve"> </w:t>
      </w:r>
      <w:r w:rsidRPr="00516F9C">
        <w:rPr>
          <w:i/>
        </w:rPr>
        <w:t xml:space="preserve">et </w:t>
      </w:r>
      <w:r>
        <w:rPr>
          <w:i/>
        </w:rPr>
        <w:t>a</w:t>
      </w:r>
      <w:r w:rsidRPr="00516F9C">
        <w:rPr>
          <w:i/>
        </w:rPr>
        <w:t>l</w:t>
      </w:r>
      <w:r>
        <w:rPr>
          <w:i/>
        </w:rPr>
        <w:t>.</w:t>
      </w:r>
      <w:r>
        <w:t>, Memorandum Opinion and Order,  22 FCC Rcd 5842, 5859, n.113</w:t>
      </w:r>
      <w:r w:rsidRPr="00CC1E2E">
        <w:t xml:space="preserve"> </w:t>
      </w:r>
      <w:r>
        <w:t>(2007)</w:t>
      </w:r>
      <w:r w:rsidRPr="00CC1E2E">
        <w:t>(“</w:t>
      </w:r>
      <w:r>
        <w:rPr>
          <w:color w:val="212121"/>
        </w:rPr>
        <w:t>G</w:t>
      </w:r>
      <w:r w:rsidRPr="00931EC9">
        <w:rPr>
          <w:color w:val="212121"/>
        </w:rPr>
        <w:t xml:space="preserve">iven </w:t>
      </w:r>
      <w:r w:rsidRPr="00C11DEE">
        <w:rPr>
          <w:color w:val="212121"/>
        </w:rPr>
        <w:t xml:space="preserve">our finding that the grant of the renewal application is warranted </w:t>
      </w:r>
      <w:r w:rsidRPr="00480906">
        <w:t xml:space="preserve">under </w:t>
      </w:r>
      <w:hyperlink r:id="rId1" w:history="1">
        <w:r w:rsidRPr="00480906">
          <w:t>Section 309(k)(2)</w:t>
        </w:r>
      </w:hyperlink>
      <w:r w:rsidRPr="00480906">
        <w:t xml:space="preserve"> of the Act because the consent decree contains appropriate </w:t>
      </w:r>
      <w:r w:rsidRPr="00C11DEE">
        <w:rPr>
          <w:color w:val="212121"/>
        </w:rPr>
        <w:t xml:space="preserve">terms and conditions, we need not determine whether Univision committed “serious violations” of our rules or violations that constituted “a pattern of abuse” for purposes of </w:t>
      </w:r>
      <w:r>
        <w:rPr>
          <w:color w:val="212121"/>
        </w:rPr>
        <w:t xml:space="preserve">Section 309(k))(1).” </w:t>
      </w:r>
    </w:p>
  </w:footnote>
  <w:footnote w:id="8">
    <w:p w:rsidR="000979B4" w:rsidRDefault="000979B4" w:rsidP="000979B4">
      <w:pPr>
        <w:pStyle w:val="FootnoteText"/>
        <w:widowControl w:val="0"/>
      </w:pPr>
      <w:r>
        <w:rPr>
          <w:rStyle w:val="FootnoteReference"/>
        </w:rPr>
        <w:footnoteRef/>
      </w:r>
      <w:r w:rsidR="00851D0D">
        <w:t xml:space="preserve"> 47 U.S.C. §§ 154(i),</w:t>
      </w:r>
    </w:p>
  </w:footnote>
  <w:footnote w:id="9">
    <w:p w:rsidR="000979B4" w:rsidRDefault="000979B4" w:rsidP="000979B4">
      <w:pPr>
        <w:pStyle w:val="FootnoteText"/>
        <w:widowControl w:val="0"/>
      </w:pPr>
      <w:r>
        <w:rPr>
          <w:rStyle w:val="FootnoteReference"/>
        </w:rPr>
        <w:footnoteRef/>
      </w:r>
      <w:r>
        <w:t xml:space="preserve"> 47 C.F.R. § 309(k)(2). </w:t>
      </w:r>
    </w:p>
  </w:footnote>
  <w:footnote w:id="10">
    <w:p w:rsidR="00963E36" w:rsidRDefault="00963E36" w:rsidP="0012717C">
      <w:pPr>
        <w:pStyle w:val="FootnoteText"/>
        <w:widowControl w:val="0"/>
      </w:pPr>
      <w:r>
        <w:rPr>
          <w:rStyle w:val="FootnoteReference"/>
        </w:rPr>
        <w:footnoteRef/>
      </w:r>
      <w:r>
        <w:t xml:space="preserve"> </w:t>
      </w:r>
      <w:r w:rsidRPr="00C35DF8">
        <w:t>Pub L. No. 101-437, 104 Stat. 996-1000, codified at 47 U.</w:t>
      </w:r>
      <w:r>
        <w:t>S.C. §§ 303a, 303b, and 394.</w:t>
      </w:r>
    </w:p>
  </w:footnote>
  <w:footnote w:id="11">
    <w:p w:rsidR="0012717C" w:rsidRDefault="0012717C">
      <w:pPr>
        <w:pStyle w:val="FootnoteText"/>
      </w:pPr>
      <w:r>
        <w:rPr>
          <w:rStyle w:val="FootnoteReference"/>
        </w:rPr>
        <w:footnoteRef/>
      </w:r>
      <w:r>
        <w:t xml:space="preserve"> 47 C.F.R. §§ </w:t>
      </w:r>
      <w:r>
        <w:rPr>
          <w:color w:val="000000"/>
          <w:szCs w:val="22"/>
        </w:rPr>
        <w:t xml:space="preserve">73.671, </w:t>
      </w:r>
      <w:r w:rsidRPr="00457355">
        <w:rPr>
          <w:color w:val="000000"/>
          <w:szCs w:val="22"/>
        </w:rPr>
        <w:t xml:space="preserve">73.3526 </w:t>
      </w:r>
      <w:r>
        <w:rPr>
          <w:color w:val="000000"/>
          <w:szCs w:val="22"/>
        </w:rPr>
        <w:t>and 73.624(g).</w:t>
      </w:r>
    </w:p>
  </w:footnote>
  <w:footnote w:id="12">
    <w:p w:rsidR="006D2E49" w:rsidRPr="00944065" w:rsidRDefault="006D2E49" w:rsidP="0012717C">
      <w:pPr>
        <w:pStyle w:val="FootnoteText"/>
        <w:widowControl w:val="0"/>
      </w:pPr>
      <w:r w:rsidRPr="00944065">
        <w:rPr>
          <w:rStyle w:val="FootnoteReference"/>
        </w:rPr>
        <w:footnoteRef/>
      </w:r>
      <w:r w:rsidRPr="00944065">
        <w:t xml:space="preserve"> </w:t>
      </w:r>
      <w:r w:rsidR="00C23B1A" w:rsidRPr="0012717C">
        <w:rPr>
          <w:i/>
        </w:rPr>
        <w:t>License Renewal Application</w:t>
      </w:r>
      <w:r>
        <w:t>.</w:t>
      </w:r>
    </w:p>
  </w:footnote>
  <w:footnote w:id="13">
    <w:p w:rsidR="001E03CD" w:rsidRDefault="001E03CD">
      <w:pPr>
        <w:pStyle w:val="FootnoteText"/>
      </w:pPr>
      <w:r>
        <w:rPr>
          <w:rStyle w:val="FootnoteReference"/>
        </w:rPr>
        <w:footnoteRef/>
      </w:r>
      <w:r>
        <w:t xml:space="preserve"> The Station modified its children’s programming sched</w:t>
      </w:r>
      <w:r w:rsidR="005178FE">
        <w:t xml:space="preserve">ule starting January 15, 2011.  </w:t>
      </w:r>
      <w:r>
        <w:t>As a result, for first quarter</w:t>
      </w:r>
      <w:r w:rsidR="005178FE">
        <w:t xml:space="preserve"> </w:t>
      </w:r>
      <w:r>
        <w:t>2011 the Station aired an average of 3.69 hours of Core Programming per week.</w:t>
      </w:r>
    </w:p>
  </w:footnote>
  <w:footnote w:id="14">
    <w:p w:rsidR="00B07D25" w:rsidRDefault="00B07D25" w:rsidP="0012717C">
      <w:pPr>
        <w:pStyle w:val="FootnoteText"/>
        <w:widowControl w:val="0"/>
      </w:pPr>
      <w:r>
        <w:rPr>
          <w:rStyle w:val="FootnoteReference"/>
        </w:rPr>
        <w:footnoteRef/>
      </w:r>
      <w:r>
        <w:t xml:space="preserve"> </w:t>
      </w:r>
      <w:r w:rsidR="00197F13" w:rsidRPr="00EF11EF">
        <w:rPr>
          <w:i/>
        </w:rPr>
        <w:t>See</w:t>
      </w:r>
      <w:r w:rsidR="00197F13">
        <w:t xml:space="preserve"> 47 C.F.R. </w:t>
      </w:r>
      <w:r w:rsidR="00197F13">
        <w:rPr>
          <w:snapToGrid w:val="0"/>
        </w:rPr>
        <w:t>§ 73.671(c)(2)</w:t>
      </w:r>
      <w:r w:rsidR="005A0F50">
        <w:rPr>
          <w:snapToGrid w:val="0"/>
        </w:rPr>
        <w:t xml:space="preserve"> (programming “aired between the hours of 7:00 a.m. and 10:00 p.m.”)</w:t>
      </w:r>
      <w:r w:rsidR="00197F13">
        <w:rPr>
          <w:snapToGrid w:val="0"/>
        </w:rPr>
        <w:t xml:space="preserve">; </w:t>
      </w:r>
      <w:r w:rsidR="00103CB9" w:rsidRPr="0012717C">
        <w:rPr>
          <w:i/>
        </w:rPr>
        <w:t>License Renewal Application</w:t>
      </w:r>
      <w:r w:rsidR="00103CB9">
        <w:t>,</w:t>
      </w:r>
      <w:r>
        <w:t xml:space="preserve"> Exhibit 24.</w:t>
      </w:r>
    </w:p>
  </w:footnote>
  <w:footnote w:id="15">
    <w:p w:rsidR="00B07D25" w:rsidRDefault="00B07D25" w:rsidP="0012717C">
      <w:pPr>
        <w:pStyle w:val="FootnoteText"/>
        <w:widowControl w:val="0"/>
      </w:pPr>
      <w:r>
        <w:rPr>
          <w:rStyle w:val="FootnoteReference"/>
        </w:rPr>
        <w:footnoteRef/>
      </w:r>
      <w:r>
        <w:t xml:space="preserve"> </w:t>
      </w:r>
      <w:r w:rsidRPr="00EF11EF">
        <w:rPr>
          <w:i/>
        </w:rPr>
        <w:t>See</w:t>
      </w:r>
      <w:r>
        <w:t xml:space="preserve"> 47 C.F.R. </w:t>
      </w:r>
      <w:r>
        <w:rPr>
          <w:snapToGrid w:val="0"/>
        </w:rPr>
        <w:t>§ 73.671(a).</w:t>
      </w:r>
    </w:p>
  </w:footnote>
  <w:footnote w:id="16">
    <w:p w:rsidR="00B07D25" w:rsidRDefault="00B07D25" w:rsidP="0012717C">
      <w:pPr>
        <w:pStyle w:val="FootnoteText"/>
        <w:widowControl w:val="0"/>
      </w:pPr>
      <w:r>
        <w:rPr>
          <w:rStyle w:val="FootnoteReference"/>
        </w:rPr>
        <w:footnoteRef/>
      </w:r>
      <w:r>
        <w:t xml:space="preserve"> </w:t>
      </w:r>
      <w:r w:rsidRPr="00CE36B1">
        <w:rPr>
          <w:i/>
        </w:rPr>
        <w:t>See</w:t>
      </w:r>
      <w:r>
        <w:t xml:space="preserve"> 47 C.F.R. </w:t>
      </w:r>
      <w:r>
        <w:rPr>
          <w:snapToGrid w:val="0"/>
        </w:rPr>
        <w:t>§ 73.671(c).</w:t>
      </w:r>
    </w:p>
  </w:footnote>
  <w:footnote w:id="17">
    <w:p w:rsidR="00B07D25" w:rsidRPr="00C35DF8" w:rsidRDefault="00B07D25" w:rsidP="0012717C">
      <w:pPr>
        <w:pStyle w:val="FootnoteText"/>
        <w:widowControl w:val="0"/>
      </w:pPr>
      <w:r w:rsidRPr="00C35DF8">
        <w:rPr>
          <w:rStyle w:val="FootnoteReference"/>
        </w:rPr>
        <w:footnoteRef/>
      </w:r>
      <w:r w:rsidRPr="00C35DF8">
        <w:t xml:space="preserve"> </w:t>
      </w:r>
      <w:r w:rsidRPr="00C35DF8">
        <w:rPr>
          <w:i/>
          <w:iCs/>
          <w:color w:val="000000"/>
        </w:rPr>
        <w:t xml:space="preserve">Policies and Rules Concerning Children's Television Programming: Revision of </w:t>
      </w:r>
      <w:r w:rsidRPr="00C35DF8">
        <w:rPr>
          <w:i/>
          <w:iCs/>
        </w:rPr>
        <w:t>Programming Policies for Television Broadcast Stations,</w:t>
      </w:r>
      <w:r w:rsidRPr="00C35DF8">
        <w:t xml:space="preserve"> Report and Order, 11 FCC Rcd 10660, 10718 (1996) </w:t>
      </w:r>
      <w:r w:rsidRPr="00C35DF8">
        <w:rPr>
          <w:color w:val="000000"/>
        </w:rPr>
        <w:t>(</w:t>
      </w:r>
      <w:r w:rsidRPr="00C35DF8">
        <w:rPr>
          <w:i/>
          <w:iCs/>
          <w:color w:val="000000"/>
        </w:rPr>
        <w:t>1996 Children's Television Order</w:t>
      </w:r>
      <w:r w:rsidRPr="00C35DF8">
        <w:rPr>
          <w:color w:val="000000"/>
        </w:rPr>
        <w:t>).</w:t>
      </w:r>
      <w:r>
        <w:rPr>
          <w:color w:val="000000"/>
        </w:rPr>
        <w:t xml:space="preserve">  </w:t>
      </w:r>
      <w:r w:rsidRPr="0068280D">
        <w:rPr>
          <w:szCs w:val="22"/>
        </w:rPr>
        <w:t>The Commission established rules setting forth seven criteria for evaluating whether a program qualifies as CORE programming: (1) the program has serving the educational and informational needs of children ages 16 and under as a significant purpose; (2) the program is aired between the hours of 7:00 a.m. and 10:00 p.m.; (3) the program is a regularly-scheduled weekly program; (4) the program is at least 30 minutes in length; (5) the program is identified as being specifically designed to educate and inform children through the on-screen display of the E/I symbol throughout the program</w:t>
      </w:r>
      <w:r>
        <w:rPr>
          <w:szCs w:val="22"/>
        </w:rPr>
        <w:t>;</w:t>
      </w:r>
      <w:r w:rsidRPr="0068280D">
        <w:rPr>
          <w:szCs w:val="22"/>
        </w:rPr>
        <w:t xml:space="preserve"> (6) the educational objective and the target child audience are specified in writing in the licensee's Children's Television Programming Report; and (7) instructions for listing the program as educational/ informational, including an indication of the age group for which the program is intended, are provided by the licensee to publishers of program guides</w:t>
      </w:r>
      <w:r>
        <w:rPr>
          <w:szCs w:val="22"/>
        </w:rPr>
        <w:t xml:space="preserve">. </w:t>
      </w:r>
      <w:r w:rsidRPr="00C0467C">
        <w:rPr>
          <w:i/>
          <w:iCs/>
          <w:color w:val="000000"/>
        </w:rPr>
        <w:t>1996 Children's Television Order</w:t>
      </w:r>
      <w:r>
        <w:rPr>
          <w:iCs/>
          <w:color w:val="000000"/>
        </w:rPr>
        <w:t xml:space="preserve">, 11 FCC Rcd </w:t>
      </w:r>
      <w:r w:rsidRPr="00C0467C">
        <w:t>at 10696; 47 C.F.R. § 73.671(c).</w:t>
      </w:r>
    </w:p>
  </w:footnote>
  <w:footnote w:id="18">
    <w:p w:rsidR="00B07D25" w:rsidRPr="00C35DF8" w:rsidRDefault="00B07D25" w:rsidP="0012717C">
      <w:pPr>
        <w:pStyle w:val="FootnoteText"/>
        <w:widowControl w:val="0"/>
      </w:pPr>
      <w:r w:rsidRPr="00C35DF8">
        <w:rPr>
          <w:rStyle w:val="FootnoteReference"/>
        </w:rPr>
        <w:footnoteRef/>
      </w:r>
      <w:r w:rsidRPr="00C35DF8">
        <w:t xml:space="preserve"> 47 CFR </w:t>
      </w:r>
      <w:r>
        <w:t xml:space="preserve">§§ </w:t>
      </w:r>
      <w:r w:rsidRPr="00C35DF8">
        <w:t>73.671</w:t>
      </w:r>
      <w:r>
        <w:t xml:space="preserve">(d), </w:t>
      </w:r>
      <w:r w:rsidRPr="00C35DF8">
        <w:t xml:space="preserve">(e)(1).  </w:t>
      </w:r>
    </w:p>
  </w:footnote>
  <w:footnote w:id="19">
    <w:p w:rsidR="00B07D25" w:rsidRPr="00E912F9" w:rsidRDefault="00B07D25" w:rsidP="0012717C">
      <w:pPr>
        <w:pStyle w:val="FootnoteText"/>
        <w:widowControl w:val="0"/>
      </w:pPr>
      <w:r w:rsidRPr="00C0467C">
        <w:rPr>
          <w:rStyle w:val="FootnoteReference"/>
        </w:rPr>
        <w:footnoteRef/>
      </w:r>
      <w:r w:rsidRPr="00C0467C">
        <w:t xml:space="preserve"> </w:t>
      </w:r>
      <w:r w:rsidRPr="00B45591">
        <w:rPr>
          <w:i/>
        </w:rPr>
        <w:t>Id.</w:t>
      </w:r>
    </w:p>
  </w:footnote>
  <w:footnote w:id="20">
    <w:p w:rsidR="00B07D25" w:rsidRPr="00C0467C" w:rsidRDefault="00B07D25" w:rsidP="0012717C">
      <w:pPr>
        <w:pStyle w:val="FootnoteText"/>
        <w:widowControl w:val="0"/>
        <w:rPr>
          <w:i/>
        </w:rPr>
      </w:pPr>
      <w:r w:rsidRPr="00C0467C">
        <w:rPr>
          <w:rStyle w:val="FootnoteReference"/>
        </w:rPr>
        <w:footnoteRef/>
      </w:r>
      <w:r w:rsidRPr="00C0467C">
        <w:t xml:space="preserve"> </w:t>
      </w:r>
      <w:r w:rsidRPr="00C0467C">
        <w:rPr>
          <w:i/>
        </w:rPr>
        <w:t>Id.</w:t>
      </w:r>
    </w:p>
  </w:footnote>
  <w:footnote w:id="21">
    <w:p w:rsidR="00AC76B2" w:rsidRDefault="00AC76B2">
      <w:pPr>
        <w:pStyle w:val="FootnoteText"/>
      </w:pPr>
      <w:r>
        <w:rPr>
          <w:rStyle w:val="FootnoteReference"/>
        </w:rPr>
        <w:footnoteRef/>
      </w:r>
      <w:r>
        <w:t xml:space="preserve"> License Renewal Application, Ex</w:t>
      </w:r>
      <w:r w:rsidR="00197F13">
        <w:t>hibit</w:t>
      </w:r>
      <w:r>
        <w:t xml:space="preserve"> 20.</w:t>
      </w:r>
    </w:p>
  </w:footnote>
  <w:footnote w:id="22">
    <w:p w:rsidR="00000854" w:rsidRPr="00DD2C49" w:rsidRDefault="00000854" w:rsidP="0012717C">
      <w:pPr>
        <w:pStyle w:val="FootnoteText"/>
        <w:widowControl w:val="0"/>
        <w:rPr>
          <w:i/>
        </w:rPr>
      </w:pPr>
      <w:r>
        <w:rPr>
          <w:rStyle w:val="FootnoteReference"/>
        </w:rPr>
        <w:footnoteRef/>
      </w:r>
      <w:r>
        <w:t xml:space="preserve"> </w:t>
      </w:r>
      <w:r w:rsidR="005A0F50" w:rsidRPr="00DD2C49">
        <w:rPr>
          <w:i/>
        </w:rPr>
        <w:t>Id.</w:t>
      </w:r>
      <w:r w:rsidR="005A0F50">
        <w:t xml:space="preserve"> </w:t>
      </w:r>
      <w:r>
        <w:t xml:space="preserve">The Licensee also discloses that it failed to file a Children’s Television Programming Report for the third quarter of 2004, </w:t>
      </w:r>
      <w:r w:rsidR="00FB3FE7">
        <w:t xml:space="preserve">but </w:t>
      </w:r>
      <w:r>
        <w:t xml:space="preserve">this apparent violation </w:t>
      </w:r>
      <w:r w:rsidR="00FB3FE7">
        <w:t>did not occur during</w:t>
      </w:r>
      <w:r>
        <w:t xml:space="preserve"> the current license term at issue. </w:t>
      </w:r>
      <w:r w:rsidR="005A0F50" w:rsidRPr="00DD2C49">
        <w:rPr>
          <w:i/>
        </w:rPr>
        <w:t>Id.</w:t>
      </w:r>
      <w:r w:rsidRPr="00DD2C49">
        <w:rPr>
          <w:i/>
        </w:rPr>
        <w:t xml:space="preserve">  </w:t>
      </w:r>
    </w:p>
  </w:footnote>
  <w:footnote w:id="23">
    <w:p w:rsidR="006D2E49" w:rsidRDefault="006D2E49" w:rsidP="0012717C">
      <w:pPr>
        <w:pStyle w:val="FootnoteText"/>
        <w:widowControl w:val="0"/>
      </w:pPr>
      <w:r>
        <w:rPr>
          <w:rStyle w:val="FootnoteReference"/>
        </w:rPr>
        <w:footnoteRef/>
      </w:r>
      <w:r>
        <w:t xml:space="preserve"> </w:t>
      </w:r>
      <w:r w:rsidR="00000854">
        <w:t>The</w:t>
      </w:r>
      <w:r>
        <w:t xml:space="preserve"> Licensee states that TV issues/programs lists for the following quarters were not found</w:t>
      </w:r>
      <w:r w:rsidR="00000854">
        <w:t xml:space="preserve"> in its public file</w:t>
      </w:r>
      <w:r>
        <w:t>:</w:t>
      </w:r>
      <w:r w:rsidR="00885DE5">
        <w:t xml:space="preserve"> </w:t>
      </w:r>
      <w:r>
        <w:t xml:space="preserve"> third quarter 2005, all of 2006, all of 2007, second quarter 2008, third quarter 2008, fourth quarter 2009, first quarter 2010, first quarte</w:t>
      </w:r>
      <w:r w:rsidR="00000854">
        <w:t>r 2011</w:t>
      </w:r>
      <w:r w:rsidR="00885DE5">
        <w:t>,</w:t>
      </w:r>
      <w:r w:rsidR="00000854">
        <w:t xml:space="preserve"> and third quarter 2011.</w:t>
      </w:r>
      <w:r w:rsidR="00F23284">
        <w:t xml:space="preserve"> License R</w:t>
      </w:r>
      <w:r w:rsidR="00AC76B2">
        <w:t>enewal Application, Ex</w:t>
      </w:r>
      <w:r w:rsidR="00197F13">
        <w:t>hibit</w:t>
      </w:r>
      <w:r w:rsidR="00AC76B2">
        <w:t xml:space="preserve"> 24.</w:t>
      </w:r>
      <w:r w:rsidR="001E03CD">
        <w:t xml:space="preserve">  </w:t>
      </w:r>
      <w:r w:rsidR="00885DE5">
        <w:t xml:space="preserve">  </w:t>
      </w:r>
    </w:p>
  </w:footnote>
  <w:footnote w:id="24">
    <w:p w:rsidR="0086179D" w:rsidRPr="00944065" w:rsidRDefault="0086179D" w:rsidP="007E0EDD">
      <w:pPr>
        <w:pStyle w:val="FootnoteText"/>
        <w:widowControl w:val="0"/>
      </w:pPr>
      <w:r w:rsidRPr="00944065">
        <w:rPr>
          <w:rStyle w:val="FootnoteReference"/>
        </w:rPr>
        <w:footnoteRef/>
      </w:r>
      <w:r w:rsidRPr="00944065">
        <w:t xml:space="preserve"> </w:t>
      </w:r>
      <w:r w:rsidR="00000854">
        <w:rPr>
          <w:i/>
          <w:iCs/>
        </w:rPr>
        <w:t>TV Deregulation R&amp;</w:t>
      </w:r>
      <w:r w:rsidR="00000854" w:rsidRPr="00000854">
        <w:rPr>
          <w:iCs/>
        </w:rPr>
        <w:t>O</w:t>
      </w:r>
      <w:r w:rsidR="00000854">
        <w:rPr>
          <w:iCs/>
        </w:rPr>
        <w:t xml:space="preserve">, </w:t>
      </w:r>
      <w:r w:rsidR="00000854" w:rsidRPr="00944065">
        <w:t xml:space="preserve">98 FCC 2d </w:t>
      </w:r>
      <w:r w:rsidR="00000854">
        <w:rPr>
          <w:iCs/>
        </w:rPr>
        <w:t>a</w:t>
      </w:r>
      <w:r w:rsidRPr="00000854">
        <w:t>t</w:t>
      </w:r>
      <w:r w:rsidRPr="00944065">
        <w:t xml:space="preserve"> 1109.</w:t>
      </w:r>
    </w:p>
  </w:footnote>
  <w:footnote w:id="25">
    <w:p w:rsidR="0086179D" w:rsidRPr="00DE78B0" w:rsidRDefault="0086179D" w:rsidP="007E0EDD">
      <w:pPr>
        <w:pStyle w:val="FootnoteText"/>
        <w:widowControl w:val="0"/>
      </w:pPr>
      <w:r w:rsidRPr="00DE78B0">
        <w:rPr>
          <w:rStyle w:val="FootnoteReference"/>
        </w:rPr>
        <w:footnoteRef/>
      </w:r>
      <w:r w:rsidRPr="00DE78B0">
        <w:t xml:space="preserve"> </w:t>
      </w:r>
      <w:r w:rsidRPr="00DE78B0">
        <w:rPr>
          <w:i/>
          <w:iCs/>
        </w:rPr>
        <w:t>Id</w:t>
      </w:r>
      <w:r w:rsidRPr="00DE78B0">
        <w:t xml:space="preserve">. at </w:t>
      </w:r>
      <w:r w:rsidRPr="007E0EDD">
        <w:rPr>
          <w:rFonts w:eastAsia="MS Mincho" w:cs="Arial"/>
        </w:rPr>
        <w:t>1109</w:t>
      </w:r>
      <w:r w:rsidRPr="00DE78B0">
        <w:t>-10.</w:t>
      </w:r>
    </w:p>
  </w:footnote>
  <w:footnote w:id="26">
    <w:p w:rsidR="0086179D" w:rsidRPr="00DE78B0" w:rsidRDefault="0086179D" w:rsidP="0012717C">
      <w:pPr>
        <w:pStyle w:val="FootnoteText"/>
        <w:widowControl w:val="0"/>
      </w:pPr>
      <w:r w:rsidRPr="00DE78B0">
        <w:rPr>
          <w:rStyle w:val="FootnoteReference"/>
        </w:rPr>
        <w:footnoteRef/>
      </w:r>
      <w:r w:rsidRPr="00DE78B0">
        <w:t xml:space="preserve"> </w:t>
      </w:r>
      <w:r w:rsidRPr="00DE78B0">
        <w:rPr>
          <w:i/>
        </w:rPr>
        <w:t>Id.</w:t>
      </w:r>
      <w:r w:rsidRPr="00DE78B0">
        <w:t xml:space="preserve"> at 1110.</w:t>
      </w:r>
    </w:p>
  </w:footnote>
  <w:footnote w:id="27">
    <w:p w:rsidR="0086179D" w:rsidRPr="00944065" w:rsidRDefault="0086179D" w:rsidP="007E0EDD">
      <w:pPr>
        <w:pStyle w:val="FootnoteText"/>
        <w:widowControl w:val="0"/>
        <w:rPr>
          <w:i/>
          <w:iCs/>
          <w:color w:val="010101"/>
        </w:rPr>
      </w:pPr>
      <w:r w:rsidRPr="00944065">
        <w:rPr>
          <w:rStyle w:val="FootnoteReference"/>
        </w:rPr>
        <w:footnoteRef/>
      </w:r>
      <w:r w:rsidRPr="00944065">
        <w:t xml:space="preserve"> </w:t>
      </w:r>
      <w:r w:rsidRPr="00944065">
        <w:rPr>
          <w:i/>
          <w:color w:val="010101"/>
        </w:rPr>
        <w:t>See</w:t>
      </w:r>
      <w:r w:rsidRPr="00944065">
        <w:rPr>
          <w:color w:val="010101"/>
        </w:rPr>
        <w:t xml:space="preserve"> </w:t>
      </w:r>
      <w:r w:rsidRPr="00944065">
        <w:rPr>
          <w:i/>
          <w:iCs/>
          <w:color w:val="010101"/>
        </w:rPr>
        <w:t>Standardized and Enhanced Disclosure Requirements for Television Broadcast Licensee Public Interest Obligations</w:t>
      </w:r>
      <w:r w:rsidRPr="00944065">
        <w:rPr>
          <w:color w:val="010101"/>
        </w:rPr>
        <w:t xml:space="preserve">, </w:t>
      </w:r>
      <w:r w:rsidRPr="00944065">
        <w:rPr>
          <w:i/>
          <w:iCs/>
          <w:color w:val="010101"/>
        </w:rPr>
        <w:t xml:space="preserve">Extension of the Filing Requirement for Children’s Television Programming Report, </w:t>
      </w:r>
      <w:r w:rsidRPr="00944065">
        <w:rPr>
          <w:color w:val="010101"/>
        </w:rPr>
        <w:t>Second Report and Order, 27 FCC Rcd 4535 (2012) (“</w:t>
      </w:r>
      <w:r w:rsidRPr="00944065">
        <w:rPr>
          <w:i/>
          <w:color w:val="010101"/>
        </w:rPr>
        <w:t xml:space="preserve">Second </w:t>
      </w:r>
      <w:r w:rsidR="00000854">
        <w:rPr>
          <w:i/>
          <w:color w:val="010101"/>
        </w:rPr>
        <w:t>R&amp;O</w:t>
      </w:r>
      <w:r w:rsidRPr="00944065">
        <w:rPr>
          <w:color w:val="010101"/>
        </w:rPr>
        <w:t xml:space="preserve">”) (requiring broadcast television stations to post their </w:t>
      </w:r>
      <w:r w:rsidRPr="007E0EDD">
        <w:rPr>
          <w:rFonts w:eastAsia="MS Mincho" w:cs="Arial"/>
        </w:rPr>
        <w:t>public</w:t>
      </w:r>
      <w:r w:rsidRPr="00944065">
        <w:rPr>
          <w:color w:val="010101"/>
        </w:rPr>
        <w:t xml:space="preserve"> inspection files, with limited exception, </w:t>
      </w:r>
      <w:r>
        <w:rPr>
          <w:color w:val="010101"/>
        </w:rPr>
        <w:t xml:space="preserve">to an </w:t>
      </w:r>
      <w:r w:rsidRPr="00944065">
        <w:rPr>
          <w:color w:val="010101"/>
        </w:rPr>
        <w:t>online Commission-hosted database).</w:t>
      </w:r>
    </w:p>
  </w:footnote>
  <w:footnote w:id="28">
    <w:p w:rsidR="0086179D" w:rsidRPr="00E53DE5" w:rsidRDefault="0086179D" w:rsidP="007E0EDD">
      <w:pPr>
        <w:pStyle w:val="FootnoteText"/>
        <w:widowControl w:val="0"/>
        <w:rPr>
          <w:i/>
          <w:iCs/>
          <w:color w:val="010101"/>
        </w:rPr>
      </w:pPr>
      <w:r w:rsidRPr="00B23A94">
        <w:rPr>
          <w:rStyle w:val="FootnoteReference"/>
        </w:rPr>
        <w:footnoteRef/>
      </w:r>
      <w:r w:rsidRPr="00B23A94">
        <w:t xml:space="preserve"> </w:t>
      </w:r>
      <w:r w:rsidR="00000854">
        <w:rPr>
          <w:i/>
        </w:rPr>
        <w:t>Second R&amp;O</w:t>
      </w:r>
      <w:r w:rsidR="00000854">
        <w:t>, 27 FCC Rcd</w:t>
      </w:r>
      <w:r w:rsidRPr="00B23A94">
        <w:t xml:space="preserve"> at </w:t>
      </w:r>
      <w:r w:rsidRPr="00B23A94">
        <w:rPr>
          <w:color w:val="010101"/>
        </w:rPr>
        <w:t xml:space="preserve">4536.  </w:t>
      </w:r>
    </w:p>
  </w:footnote>
  <w:footnote w:id="29">
    <w:p w:rsidR="0086179D" w:rsidRPr="00BC30DA" w:rsidRDefault="0086179D" w:rsidP="007E0EDD">
      <w:pPr>
        <w:pStyle w:val="FootnoteText"/>
        <w:widowControl w:val="0"/>
        <w:rPr>
          <w:i/>
          <w:iCs/>
          <w:color w:val="010101"/>
        </w:rPr>
      </w:pPr>
      <w:r w:rsidRPr="00BC30DA">
        <w:rPr>
          <w:rStyle w:val="FootnoteReference"/>
        </w:rPr>
        <w:footnoteRef/>
      </w:r>
      <w:r w:rsidRPr="00BC30DA">
        <w:t xml:space="preserve"> </w:t>
      </w:r>
      <w:r w:rsidRPr="00BC30DA">
        <w:rPr>
          <w:color w:val="010101"/>
        </w:rPr>
        <w:t>S</w:t>
      </w:r>
      <w:r w:rsidRPr="00BC30DA">
        <w:rPr>
          <w:i/>
          <w:color w:val="010101"/>
        </w:rPr>
        <w:t xml:space="preserve">ee </w:t>
      </w:r>
      <w:r w:rsidRPr="00BC30DA">
        <w:rPr>
          <w:i/>
          <w:iCs/>
          <w:color w:val="010101"/>
        </w:rPr>
        <w:t>Effective Date Announced for Online Publication of Broadcast Television Public Inspection Files</w:t>
      </w:r>
      <w:r w:rsidRPr="00BC30DA">
        <w:rPr>
          <w:color w:val="010101"/>
        </w:rPr>
        <w:t>, Public Notice, 27 FCC Rcd 7478 (2012)</w:t>
      </w:r>
      <w:r w:rsidR="00000854">
        <w:rPr>
          <w:color w:val="010101"/>
        </w:rPr>
        <w:t xml:space="preserve"> </w:t>
      </w:r>
      <w:r w:rsidRPr="00BC30DA">
        <w:rPr>
          <w:color w:val="010101"/>
        </w:rPr>
        <w:t xml:space="preserve">(announcing effective date of electronic public file rule); </w:t>
      </w:r>
      <w:r w:rsidRPr="00BC30DA">
        <w:rPr>
          <w:i/>
          <w:color w:val="010101"/>
        </w:rPr>
        <w:t>Television Broadcast Stations Reminded of Their Online Public Inspection File Obligations</w:t>
      </w:r>
      <w:r w:rsidRPr="00BC30DA">
        <w:rPr>
          <w:color w:val="010101"/>
        </w:rPr>
        <w:t xml:space="preserve">, Public Notice, 27 FCC Rcd 15315 (2012) (reminding station’s to upload copies of existing public file documents to their electronic public file); </w:t>
      </w:r>
      <w:r w:rsidRPr="00BC30DA">
        <w:rPr>
          <w:i/>
          <w:color w:val="010101"/>
        </w:rPr>
        <w:t>Television Broadcast Stations Reminded of the Upcoming Public Inspection Filing Deadline</w:t>
      </w:r>
      <w:r w:rsidRPr="00BC30DA">
        <w:rPr>
          <w:color w:val="010101"/>
        </w:rPr>
        <w:t xml:space="preserve">, Public </w:t>
      </w:r>
      <w:r w:rsidRPr="007E0EDD">
        <w:rPr>
          <w:rFonts w:eastAsia="MS Mincho" w:cs="Arial"/>
        </w:rPr>
        <w:t>Notice</w:t>
      </w:r>
      <w:r w:rsidRPr="00BC30DA">
        <w:rPr>
          <w:color w:val="010101"/>
        </w:rPr>
        <w:t>, 28 FCC Rcd 429 (2013)</w:t>
      </w:r>
      <w:r w:rsidR="00000854">
        <w:rPr>
          <w:color w:val="010101"/>
        </w:rPr>
        <w:t xml:space="preserve"> </w:t>
      </w:r>
      <w:r w:rsidRPr="00BC30DA">
        <w:rPr>
          <w:color w:val="010101"/>
        </w:rPr>
        <w:t xml:space="preserve">(providing a final remainder to broadcasters to upload copies of existing public file documents to their electronic public file); </w:t>
      </w:r>
      <w:r w:rsidRPr="00BC30DA">
        <w:rPr>
          <w:i/>
          <w:color w:val="010101"/>
        </w:rPr>
        <w:t xml:space="preserve">see </w:t>
      </w:r>
      <w:r w:rsidR="00000854" w:rsidRPr="00000854">
        <w:rPr>
          <w:i/>
          <w:color w:val="010101"/>
        </w:rPr>
        <w:t>Second R&amp;O</w:t>
      </w:r>
      <w:r w:rsidRPr="00BC30DA">
        <w:rPr>
          <w:color w:val="010101"/>
        </w:rPr>
        <w:t>, 27 FCC Rcd at 4580 (establishing compliance periods for complying with broadcasters new electronic public file requirement).</w:t>
      </w:r>
    </w:p>
  </w:footnote>
  <w:footnote w:id="30">
    <w:p w:rsidR="00722730" w:rsidRDefault="00722730" w:rsidP="0012717C">
      <w:pPr>
        <w:pStyle w:val="FootnoteText"/>
        <w:widowControl w:val="0"/>
      </w:pPr>
      <w:r>
        <w:rPr>
          <w:rStyle w:val="FootnoteReference"/>
        </w:rPr>
        <w:footnoteRef/>
      </w:r>
      <w:r>
        <w:t xml:space="preserve"> </w:t>
      </w:r>
      <w:r w:rsidRPr="004557A5">
        <w:t>Debt Collection Improvement Act of 1996, Pub. L. No. 104-134, 110 Stat. 1321, 1358 (1996).</w:t>
      </w:r>
    </w:p>
  </w:footnote>
  <w:footnote w:id="31">
    <w:p w:rsidR="00722730" w:rsidRDefault="00722730" w:rsidP="0012717C">
      <w:pPr>
        <w:pStyle w:val="FootnoteText"/>
        <w:widowControl w:val="0"/>
      </w:pPr>
      <w:r>
        <w:rPr>
          <w:rStyle w:val="FootnoteReference"/>
        </w:rPr>
        <w:footnoteRef/>
      </w:r>
      <w:r>
        <w:t xml:space="preserve"> </w:t>
      </w:r>
      <w:hyperlink w:history="1"/>
      <w:r w:rsidRPr="006807E0">
        <w:rPr>
          <w:rFonts w:eastAsia="MS Mincho" w:cs="Arial"/>
        </w:rPr>
        <w:t xml:space="preserve">Payment may be made </w:t>
      </w:r>
      <w:r>
        <w:rPr>
          <w:rFonts w:eastAsia="MS Mincho" w:cs="Arial"/>
        </w:rPr>
        <w:t>online at the Commission’s</w:t>
      </w:r>
      <w:r w:rsidRPr="006807E0">
        <w:rPr>
          <w:rFonts w:eastAsia="MS Mincho" w:cs="Arial"/>
        </w:rPr>
        <w:t xml:space="preserve"> Fee Filer website: </w:t>
      </w:r>
      <w:r w:rsidRPr="000E7EF1">
        <w:rPr>
          <w:rFonts w:eastAsia="MS Mincho" w:cs="Arial"/>
        </w:rPr>
        <w:t>https://www.fcc.gov/encyclopedia/fee-filer</w:t>
      </w:r>
      <w:r w:rsidRPr="006807E0">
        <w:rPr>
          <w:rFonts w:eastAsia="MS Mincho" w:cs="Arial"/>
        </w:rPr>
        <w:t>.</w:t>
      </w:r>
      <w:r>
        <w:rPr>
          <w:rFonts w:eastAsia="MS Mincho" w:cs="Arial"/>
        </w:rPr>
        <w:t xml:space="preserve"> </w:t>
      </w:r>
      <w:r w:rsidRPr="006807E0">
        <w:rPr>
          <w:rFonts w:eastAsia="MS Mincho" w:cs="Arial"/>
        </w:rPr>
        <w:t xml:space="preserve"> </w:t>
      </w:r>
      <w:r>
        <w:rPr>
          <w:rFonts w:eastAsia="MS Mincho" w:cs="Arial"/>
        </w:rPr>
        <w:t>Online payments do not require Licensees to submit FCC Form 159.  Alternatively, p</w:t>
      </w:r>
      <w:r w:rsidRPr="006807E0">
        <w:rPr>
          <w:rFonts w:eastAsia="MS Mincho" w:cs="Arial"/>
        </w:rPr>
        <w:t xml:space="preserve">ayment may be made </w:t>
      </w:r>
      <w:r>
        <w:rPr>
          <w:rFonts w:eastAsia="MS Mincho" w:cs="Arial"/>
        </w:rPr>
        <w:t>using</w:t>
      </w:r>
      <w:r w:rsidRPr="006807E0">
        <w:rPr>
          <w:rFonts w:eastAsia="MS Mincho" w:cs="Arial"/>
        </w:rPr>
        <w:t xml:space="preserve"> FCC Form 159; detailed instructions for completing the form may be obtained at </w:t>
      </w:r>
      <w:r w:rsidRPr="000E7EF1">
        <w:rPr>
          <w:rFonts w:eastAsia="MS Mincho" w:cs="Arial"/>
        </w:rPr>
        <w:t>http</w:t>
      </w:r>
      <w:r w:rsidRPr="000E7EF1">
        <w:t>://www.fcc.gov/Forms/Form159/159.pdf</w:t>
      </w:r>
      <w:r>
        <w:t>.</w:t>
      </w:r>
      <w:r>
        <w:rPr>
          <w:rFonts w:eastAsia="MS Mincho" w:cs="Arial"/>
        </w:rPr>
        <w:t xml:space="preserve"> </w:t>
      </w:r>
    </w:p>
  </w:footnote>
  <w:footnote w:id="32">
    <w:p w:rsidR="00722730" w:rsidRDefault="00722730" w:rsidP="0012717C">
      <w:pPr>
        <w:pStyle w:val="FootnoteText"/>
        <w:widowControl w:val="0"/>
      </w:pPr>
      <w:r>
        <w:rPr>
          <w:rStyle w:val="FootnoteReference"/>
        </w:rPr>
        <w:footnoteRef/>
      </w:r>
      <w:r>
        <w:t xml:space="preserve"> </w:t>
      </w:r>
      <w:r w:rsidRPr="001B654A">
        <w:t xml:space="preserve">Should </w:t>
      </w:r>
      <w:r>
        <w:t>the Licensee</w:t>
      </w:r>
      <w:r w:rsidRPr="001B654A">
        <w:t xml:space="preserve"> have questions regarding payment procedures, it should contact the Financial Operations Group Help Desk by phone at 1-877-480-3201, or by e mail at ARINQUIRIES@fcc.gov.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6A" w:rsidRDefault="00491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0D" w:rsidRDefault="00851D0D" w:rsidP="00160FA4">
    <w:pPr>
      <w:pStyle w:val="Header"/>
      <w:rPr>
        <w:b w:val="0"/>
      </w:rPr>
    </w:pPr>
    <w:r>
      <w:tab/>
      <w:t>Federal Communications Commission</w:t>
    </w:r>
    <w:r>
      <w:tab/>
      <w:t>FCC 16-</w:t>
    </w:r>
    <w:r w:rsidR="00865249">
      <w:t>78</w:t>
    </w:r>
  </w:p>
  <w:p w:rsidR="00851D0D" w:rsidRDefault="00202E3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6808EAD6" wp14:editId="3925FFDD">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9F58E"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" o:allowincell="f" fillcolor="black" stroked="f">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49" w:rsidRDefault="00865249" w:rsidP="00865249">
    <w:pPr>
      <w:pStyle w:val="Header"/>
      <w:rPr>
        <w:b w:val="0"/>
      </w:rPr>
    </w:pPr>
    <w:r>
      <w:rPr>
        <w:noProof/>
      </w:rPr>
      <mc:AlternateContent>
        <mc:Choice Requires="wps">
          <w:drawing>
            <wp:anchor distT="0" distB="0" distL="114300" distR="114300" simplePos="0" relativeHeight="251659776" behindDoc="1" locked="0" layoutInCell="0" allowOverlap="1" wp14:anchorId="3ED50069" wp14:editId="0C7D9A55">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2509CA" id="Rectangle 5"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16-78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84" w:rsidRDefault="004E7B84">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t>Federal Communications</w:t>
    </w:r>
    <w:r w:rsidR="006E4750">
      <w:rPr>
        <w:rFonts w:cs="Arial"/>
        <w:b/>
        <w:bCs/>
        <w:iCs/>
        <w:szCs w:val="28"/>
        <w:u w:val="single"/>
      </w:rPr>
      <w:t xml:space="preserve"> Commission</w:t>
    </w:r>
    <w:r w:rsidR="006E4750">
      <w:rPr>
        <w:rFonts w:cs="Arial"/>
        <w:b/>
        <w:bCs/>
        <w:iCs/>
        <w:szCs w:val="28"/>
        <w:u w:val="single"/>
      </w:rPr>
      <w:tab/>
    </w:r>
    <w:r w:rsidR="00F6588B">
      <w:rPr>
        <w:rFonts w:cs="Arial"/>
        <w:b/>
        <w:bCs/>
        <w:iCs/>
        <w:szCs w:val="28"/>
        <w:u w:val="single"/>
      </w:rPr>
      <w:t>FCC</w:t>
    </w:r>
    <w:r w:rsidR="006E4750">
      <w:rPr>
        <w:rFonts w:cs="Arial"/>
        <w:b/>
        <w:bCs/>
        <w:iCs/>
        <w:szCs w:val="28"/>
        <w:u w:val="single"/>
      </w:rPr>
      <w:t xml:space="preserve"> 16</w:t>
    </w:r>
    <w:r>
      <w:rPr>
        <w:rFonts w:cs="Arial"/>
        <w:b/>
        <w:bCs/>
        <w:iCs/>
        <w:szCs w:val="28"/>
        <w:u w:val="single"/>
      </w:rPr>
      <w:t>-</w:t>
    </w:r>
    <w:r w:rsidR="00865249">
      <w:rPr>
        <w:rFonts w:cs="Arial"/>
        <w:b/>
        <w:bCs/>
        <w:iCs/>
        <w:szCs w:val="28"/>
        <w:u w:val="single"/>
      </w:rPr>
      <w:t>78</w:t>
    </w:r>
  </w:p>
  <w:p w:rsidR="004E7B84" w:rsidRDefault="004E7B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84" w:rsidRDefault="004E7B84">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t>Federal</w:t>
    </w:r>
    <w:r w:rsidR="000045DD">
      <w:rPr>
        <w:rFonts w:cs="Arial"/>
        <w:b/>
        <w:bCs/>
        <w:iCs/>
        <w:szCs w:val="28"/>
        <w:u w:val="single"/>
      </w:rPr>
      <w:t xml:space="preserve"> Communications Commission</w:t>
    </w:r>
    <w:r w:rsidR="000045DD">
      <w:rPr>
        <w:rFonts w:cs="Arial"/>
        <w:b/>
        <w:bCs/>
        <w:iCs/>
        <w:szCs w:val="28"/>
        <w:u w:val="single"/>
      </w:rPr>
      <w:tab/>
    </w:r>
    <w:r w:rsidR="00F6588B">
      <w:rPr>
        <w:rFonts w:cs="Arial"/>
        <w:b/>
        <w:bCs/>
        <w:iCs/>
        <w:szCs w:val="28"/>
        <w:u w:val="single"/>
      </w:rPr>
      <w:t>FCC</w:t>
    </w:r>
    <w:r w:rsidR="000045DD">
      <w:rPr>
        <w:rFonts w:cs="Arial"/>
        <w:b/>
        <w:bCs/>
        <w:iCs/>
        <w:szCs w:val="28"/>
        <w:u w:val="single"/>
      </w:rPr>
      <w:t xml:space="preserve"> 16</w:t>
    </w:r>
    <w:r>
      <w:rPr>
        <w:rFonts w:cs="Arial"/>
        <w:b/>
        <w:bCs/>
        <w:iCs/>
        <w:szCs w:val="28"/>
        <w:u w:val="single"/>
      </w:rPr>
      <w:t>-</w:t>
    </w:r>
    <w:r w:rsidR="00865249">
      <w:rPr>
        <w:rFonts w:cs="Arial"/>
        <w:b/>
        <w:bCs/>
        <w:iCs/>
        <w:szCs w:val="28"/>
        <w:u w:val="single"/>
      </w:rPr>
      <w:t>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F8786C"/>
    <w:lvl w:ilvl="0">
      <w:start w:val="2"/>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0"/>
        </w:tabs>
        <w:ind w:left="0" w:firstLine="1008"/>
      </w:pPr>
      <w:rPr>
        <w:rFonts w:hint="default"/>
        <w:color w:val="000000"/>
        <w:position w:val="0"/>
        <w:sz w:val="22"/>
      </w:rPr>
    </w:lvl>
    <w:lvl w:ilvl="1">
      <w:start w:val="1"/>
      <w:numFmt w:val="lowerLetter"/>
      <w:lvlText w:val="%2."/>
      <w:lvlJc w:val="left"/>
      <w:pPr>
        <w:tabs>
          <w:tab w:val="num" w:pos="-72"/>
        </w:tabs>
        <w:ind w:left="-72" w:firstLine="1080"/>
      </w:pPr>
      <w:rPr>
        <w:rFonts w:hint="default"/>
        <w:color w:val="000000"/>
        <w:position w:val="0"/>
        <w:sz w:val="24"/>
      </w:rPr>
    </w:lvl>
    <w:lvl w:ilvl="2">
      <w:start w:val="1"/>
      <w:numFmt w:val="lowerRoman"/>
      <w:lvlText w:val="%3."/>
      <w:lvlJc w:val="left"/>
      <w:pPr>
        <w:tabs>
          <w:tab w:val="num" w:pos="-72"/>
        </w:tabs>
        <w:ind w:left="-72" w:firstLine="1800"/>
      </w:pPr>
      <w:rPr>
        <w:rFonts w:hint="default"/>
        <w:color w:val="000000"/>
        <w:position w:val="0"/>
        <w:sz w:val="24"/>
      </w:rPr>
    </w:lvl>
    <w:lvl w:ilvl="3">
      <w:start w:val="1"/>
      <w:numFmt w:val="decimal"/>
      <w:isLgl/>
      <w:lvlText w:val="%4."/>
      <w:lvlJc w:val="left"/>
      <w:pPr>
        <w:tabs>
          <w:tab w:val="num" w:pos="-72"/>
        </w:tabs>
        <w:ind w:left="-72" w:firstLine="2520"/>
      </w:pPr>
      <w:rPr>
        <w:rFonts w:hint="default"/>
        <w:color w:val="000000"/>
        <w:position w:val="0"/>
        <w:sz w:val="24"/>
      </w:rPr>
    </w:lvl>
    <w:lvl w:ilvl="4">
      <w:start w:val="1"/>
      <w:numFmt w:val="lowerLetter"/>
      <w:lvlText w:val="%5."/>
      <w:lvlJc w:val="left"/>
      <w:pPr>
        <w:tabs>
          <w:tab w:val="num" w:pos="-72"/>
        </w:tabs>
        <w:ind w:left="-72" w:firstLine="3240"/>
      </w:pPr>
      <w:rPr>
        <w:rFonts w:hint="default"/>
        <w:color w:val="000000"/>
        <w:position w:val="0"/>
        <w:sz w:val="24"/>
      </w:rPr>
    </w:lvl>
    <w:lvl w:ilvl="5">
      <w:start w:val="1"/>
      <w:numFmt w:val="lowerRoman"/>
      <w:lvlText w:val="%6."/>
      <w:lvlJc w:val="left"/>
      <w:pPr>
        <w:tabs>
          <w:tab w:val="num" w:pos="-72"/>
        </w:tabs>
        <w:ind w:left="-72" w:firstLine="3960"/>
      </w:pPr>
      <w:rPr>
        <w:rFonts w:hint="default"/>
        <w:color w:val="000000"/>
        <w:position w:val="0"/>
        <w:sz w:val="24"/>
      </w:rPr>
    </w:lvl>
    <w:lvl w:ilvl="6">
      <w:start w:val="1"/>
      <w:numFmt w:val="decimal"/>
      <w:isLgl/>
      <w:lvlText w:val="%7."/>
      <w:lvlJc w:val="left"/>
      <w:pPr>
        <w:tabs>
          <w:tab w:val="num" w:pos="-72"/>
        </w:tabs>
        <w:ind w:left="-72" w:firstLine="4680"/>
      </w:pPr>
      <w:rPr>
        <w:rFonts w:hint="default"/>
        <w:color w:val="000000"/>
        <w:position w:val="0"/>
        <w:sz w:val="24"/>
      </w:rPr>
    </w:lvl>
    <w:lvl w:ilvl="7">
      <w:start w:val="1"/>
      <w:numFmt w:val="lowerLetter"/>
      <w:lvlText w:val="%8."/>
      <w:lvlJc w:val="left"/>
      <w:pPr>
        <w:tabs>
          <w:tab w:val="num" w:pos="-72"/>
        </w:tabs>
        <w:ind w:left="-72" w:firstLine="5400"/>
      </w:pPr>
      <w:rPr>
        <w:rFonts w:hint="default"/>
        <w:color w:val="000000"/>
        <w:position w:val="0"/>
        <w:sz w:val="24"/>
      </w:rPr>
    </w:lvl>
    <w:lvl w:ilvl="8">
      <w:start w:val="1"/>
      <w:numFmt w:val="lowerRoman"/>
      <w:lvlText w:val="%9."/>
      <w:lvlJc w:val="left"/>
      <w:pPr>
        <w:tabs>
          <w:tab w:val="num" w:pos="-72"/>
        </w:tabs>
        <w:ind w:left="-72" w:firstLine="6120"/>
      </w:pPr>
      <w:rPr>
        <w:rFonts w:hint="default"/>
        <w:color w:val="000000"/>
        <w:position w:val="0"/>
        <w:sz w:val="24"/>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E600E7"/>
    <w:multiLevelType w:val="hybridMultilevel"/>
    <w:tmpl w:val="8690BAB4"/>
    <w:lvl w:ilvl="0" w:tplc="2ECEDAEE">
      <w:start w:val="1"/>
      <w:numFmt w:val="decimal"/>
      <w:lvlText w:val="%1."/>
      <w:lvlJc w:val="left"/>
      <w:pPr>
        <w:tabs>
          <w:tab w:val="num" w:pos="1620"/>
        </w:tabs>
        <w:ind w:left="1620" w:hanging="72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8D0E5B"/>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4907F2C"/>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251376"/>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8B23FF6"/>
    <w:multiLevelType w:val="hybridMultilevel"/>
    <w:tmpl w:val="F9467750"/>
    <w:lvl w:ilvl="0" w:tplc="BFE2D768">
      <w:start w:val="2"/>
      <w:numFmt w:val="decimal"/>
      <w:lvlText w:val="%1."/>
      <w:lvlJc w:val="left"/>
      <w:pPr>
        <w:tabs>
          <w:tab w:val="num" w:pos="216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3A2D00"/>
    <w:multiLevelType w:val="singleLevel"/>
    <w:tmpl w:val="04090019"/>
    <w:lvl w:ilvl="0">
      <w:start w:val="1"/>
      <w:numFmt w:val="lowerLetter"/>
      <w:lvlText w:val="%1."/>
      <w:lvlJc w:val="left"/>
      <w:pPr>
        <w:ind w:left="12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0C963E9"/>
    <w:multiLevelType w:val="hybridMultilevel"/>
    <w:tmpl w:val="72A25460"/>
    <w:lvl w:ilvl="0" w:tplc="2A429B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DB63B8"/>
    <w:multiLevelType w:val="multilevel"/>
    <w:tmpl w:val="D2DA7DA6"/>
    <w:lvl w:ilvl="0">
      <w:start w:val="5"/>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28E1E95"/>
    <w:multiLevelType w:val="singleLevel"/>
    <w:tmpl w:val="F5A41544"/>
    <w:lvl w:ilvl="0">
      <w:numFmt w:val="decimal"/>
      <w:lvlText w:val=""/>
      <w:lvlJc w:val="left"/>
    </w:lvl>
  </w:abstractNum>
  <w:abstractNum w:abstractNumId="20">
    <w:nsid w:val="6D2B48D2"/>
    <w:multiLevelType w:val="singleLevel"/>
    <w:tmpl w:val="462A4EC8"/>
    <w:lvl w:ilvl="0">
      <w:numFmt w:val="decimal"/>
      <w:pStyle w:val="Paranum0"/>
      <w:lvlText w:val=""/>
      <w:lvlJc w:val="left"/>
    </w:lvl>
  </w:abstractNum>
  <w:abstractNum w:abstractNumId="21">
    <w:nsid w:val="707B6D66"/>
    <w:multiLevelType w:val="hybridMultilevel"/>
    <w:tmpl w:val="AC408056"/>
    <w:lvl w:ilvl="0" w:tplc="292CCE7E">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495135"/>
    <w:multiLevelType w:val="hybridMultilevel"/>
    <w:tmpl w:val="58AC472E"/>
    <w:lvl w:ilvl="0" w:tplc="DFDC834C">
      <w:numFmt w:val="decimal"/>
      <w:lvlText w:val=""/>
      <w:lvlJc w:val="left"/>
    </w:lvl>
    <w:lvl w:ilvl="1" w:tplc="8FEE2162">
      <w:numFmt w:val="decimal"/>
      <w:lvlText w:val=""/>
      <w:lvlJc w:val="left"/>
    </w:lvl>
    <w:lvl w:ilvl="2" w:tplc="2A264F98">
      <w:numFmt w:val="decimal"/>
      <w:lvlText w:val=""/>
      <w:lvlJc w:val="left"/>
    </w:lvl>
    <w:lvl w:ilvl="3" w:tplc="ECC24BAE">
      <w:numFmt w:val="decimal"/>
      <w:lvlText w:val=""/>
      <w:lvlJc w:val="left"/>
    </w:lvl>
    <w:lvl w:ilvl="4" w:tplc="BF0CE9B0">
      <w:numFmt w:val="decimal"/>
      <w:lvlText w:val=""/>
      <w:lvlJc w:val="left"/>
    </w:lvl>
    <w:lvl w:ilvl="5" w:tplc="C6484550">
      <w:numFmt w:val="decimal"/>
      <w:lvlText w:val=""/>
      <w:lvlJc w:val="left"/>
    </w:lvl>
    <w:lvl w:ilvl="6" w:tplc="69C640A4">
      <w:numFmt w:val="decimal"/>
      <w:lvlText w:val=""/>
      <w:lvlJc w:val="left"/>
    </w:lvl>
    <w:lvl w:ilvl="7" w:tplc="43403D8A">
      <w:numFmt w:val="decimal"/>
      <w:lvlText w:val=""/>
      <w:lvlJc w:val="left"/>
    </w:lvl>
    <w:lvl w:ilvl="8" w:tplc="25268FD4">
      <w:numFmt w:val="decimal"/>
      <w:lvlText w:val=""/>
      <w:lvlJc w:val="left"/>
    </w:lvl>
  </w:abstractNum>
  <w:num w:numId="1">
    <w:abstractNumId w:val="20"/>
  </w:num>
  <w:num w:numId="2">
    <w:abstractNumId w:val="19"/>
  </w:num>
  <w:num w:numId="3">
    <w:abstractNumId w:val="5"/>
  </w:num>
  <w:num w:numId="4">
    <w:abstractNumId w:val="11"/>
  </w:num>
  <w:num w:numId="5">
    <w:abstractNumId w:val="0"/>
  </w:num>
  <w:num w:numId="6">
    <w:abstractNumId w:val="1"/>
  </w:num>
  <w:num w:numId="7">
    <w:abstractNumId w:val="22"/>
  </w:num>
  <w:num w:numId="8">
    <w:abstractNumId w:val="17"/>
  </w:num>
  <w:num w:numId="9">
    <w:abstractNumId w:val="18"/>
  </w:num>
  <w:num w:numId="10">
    <w:abstractNumId w:val="3"/>
  </w:num>
  <w:num w:numId="11">
    <w:abstractNumId w:val="14"/>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13"/>
  </w:num>
  <w:num w:numId="25">
    <w:abstractNumId w:val="6"/>
  </w:num>
  <w:num w:numId="26">
    <w:abstractNumId w:val="9"/>
  </w:num>
  <w:num w:numId="27">
    <w:abstractNumId w:val="15"/>
  </w:num>
  <w:num w:numId="28">
    <w:abstractNumId w:val="7"/>
  </w:num>
  <w:num w:numId="29">
    <w:abstractNumId w:val="2"/>
  </w:num>
  <w:num w:numId="30">
    <w:abstractNumId w:val="20"/>
    <w:lvlOverride w:ilvl="0">
      <w:startOverride w:val="1"/>
    </w:lvlOverride>
  </w:num>
  <w:num w:numId="31">
    <w:abstractNumId w:val="18"/>
    <w:lvlOverride w:ilvl="0">
      <w:startOverride w:val="1"/>
    </w:lvlOverride>
  </w:num>
  <w:num w:numId="32">
    <w:abstractNumId w:val="12"/>
  </w:num>
  <w:num w:numId="33">
    <w:abstractNumId w:val="18"/>
    <w:lvlOverride w:ilvl="0">
      <w:startOverride w:val="1"/>
    </w:lvlOverride>
  </w:num>
  <w:num w:numId="34">
    <w:abstractNumId w:val="18"/>
    <w:lvlOverride w:ilvl="0">
      <w:startOverride w:val="1"/>
    </w:lvlOverride>
  </w:num>
  <w:num w:numId="35">
    <w:abstractNumId w:val="10"/>
  </w:num>
  <w:num w:numId="36">
    <w:abstractNumId w:val="10"/>
  </w:num>
  <w:num w:numId="37">
    <w:abstractNumId w:val="18"/>
    <w:lvlOverride w:ilvl="0">
      <w:startOverride w:val="1"/>
    </w:lvlOverride>
  </w:num>
  <w:num w:numId="38">
    <w:abstractNumId w:val="16"/>
  </w:num>
  <w:num w:numId="39">
    <w:abstractNumId w:val="18"/>
    <w:lvlOverride w:ilvl="0">
      <w:startOverride w:val="1"/>
    </w:lvlOverride>
  </w:num>
  <w:num w:numId="40">
    <w:abstractNumId w:val="4"/>
  </w:num>
  <w:num w:numId="41">
    <w:abstractNumId w:val="13"/>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8"/>
    <w:lvlOverride w:ilvl="0">
      <w:startOverride w:val="1"/>
    </w:lvlOverride>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95"/>
    <w:rsid w:val="00000854"/>
    <w:rsid w:val="000030A2"/>
    <w:rsid w:val="000045DD"/>
    <w:rsid w:val="0000541A"/>
    <w:rsid w:val="00012E47"/>
    <w:rsid w:val="00022E3B"/>
    <w:rsid w:val="0002517A"/>
    <w:rsid w:val="00042AA9"/>
    <w:rsid w:val="0006125D"/>
    <w:rsid w:val="000907C6"/>
    <w:rsid w:val="0009250E"/>
    <w:rsid w:val="000941AC"/>
    <w:rsid w:val="000979B4"/>
    <w:rsid w:val="000A3830"/>
    <w:rsid w:val="000A7071"/>
    <w:rsid w:val="000B1D80"/>
    <w:rsid w:val="000D37D5"/>
    <w:rsid w:val="000E14FD"/>
    <w:rsid w:val="000F0B29"/>
    <w:rsid w:val="000F722F"/>
    <w:rsid w:val="00103CB9"/>
    <w:rsid w:val="00106C61"/>
    <w:rsid w:val="00120B1A"/>
    <w:rsid w:val="0012717C"/>
    <w:rsid w:val="0012787A"/>
    <w:rsid w:val="00154DCA"/>
    <w:rsid w:val="00155367"/>
    <w:rsid w:val="00160FA4"/>
    <w:rsid w:val="00182BA4"/>
    <w:rsid w:val="00197F13"/>
    <w:rsid w:val="001B2D3F"/>
    <w:rsid w:val="001C0BCF"/>
    <w:rsid w:val="001C35F4"/>
    <w:rsid w:val="001D5E74"/>
    <w:rsid w:val="001E03CD"/>
    <w:rsid w:val="001F391D"/>
    <w:rsid w:val="001F45EC"/>
    <w:rsid w:val="00201EDA"/>
    <w:rsid w:val="00202E30"/>
    <w:rsid w:val="00210907"/>
    <w:rsid w:val="002124AB"/>
    <w:rsid w:val="0023077B"/>
    <w:rsid w:val="00235D76"/>
    <w:rsid w:val="00242DE5"/>
    <w:rsid w:val="00252B21"/>
    <w:rsid w:val="002553FF"/>
    <w:rsid w:val="002601BE"/>
    <w:rsid w:val="00265D9C"/>
    <w:rsid w:val="002719C0"/>
    <w:rsid w:val="00287077"/>
    <w:rsid w:val="00290AFC"/>
    <w:rsid w:val="002920CD"/>
    <w:rsid w:val="00296C3A"/>
    <w:rsid w:val="002D62AA"/>
    <w:rsid w:val="002E3311"/>
    <w:rsid w:val="002E712B"/>
    <w:rsid w:val="002F2DFF"/>
    <w:rsid w:val="002F73AC"/>
    <w:rsid w:val="0030132A"/>
    <w:rsid w:val="00307443"/>
    <w:rsid w:val="0032389F"/>
    <w:rsid w:val="003379DE"/>
    <w:rsid w:val="0034545D"/>
    <w:rsid w:val="00345BDB"/>
    <w:rsid w:val="00352A65"/>
    <w:rsid w:val="00360FD3"/>
    <w:rsid w:val="00361526"/>
    <w:rsid w:val="00362CC9"/>
    <w:rsid w:val="00366354"/>
    <w:rsid w:val="003815FE"/>
    <w:rsid w:val="00395840"/>
    <w:rsid w:val="0039734F"/>
    <w:rsid w:val="003A11D1"/>
    <w:rsid w:val="003A1261"/>
    <w:rsid w:val="003A203E"/>
    <w:rsid w:val="003B6721"/>
    <w:rsid w:val="003C342E"/>
    <w:rsid w:val="003D13EA"/>
    <w:rsid w:val="003E28D9"/>
    <w:rsid w:val="003E7CF6"/>
    <w:rsid w:val="003F4F8F"/>
    <w:rsid w:val="003F775D"/>
    <w:rsid w:val="004037FE"/>
    <w:rsid w:val="00433EFF"/>
    <w:rsid w:val="00441060"/>
    <w:rsid w:val="00445B77"/>
    <w:rsid w:val="00445EA9"/>
    <w:rsid w:val="00457CD4"/>
    <w:rsid w:val="00461C6B"/>
    <w:rsid w:val="004632BC"/>
    <w:rsid w:val="00466E37"/>
    <w:rsid w:val="00472171"/>
    <w:rsid w:val="00484F7A"/>
    <w:rsid w:val="00491B6A"/>
    <w:rsid w:val="004B3554"/>
    <w:rsid w:val="004C283F"/>
    <w:rsid w:val="004C7CCC"/>
    <w:rsid w:val="004D695C"/>
    <w:rsid w:val="004E3981"/>
    <w:rsid w:val="004E7B84"/>
    <w:rsid w:val="004F191C"/>
    <w:rsid w:val="004F4F3D"/>
    <w:rsid w:val="00506132"/>
    <w:rsid w:val="00516D68"/>
    <w:rsid w:val="005178FE"/>
    <w:rsid w:val="00525A8F"/>
    <w:rsid w:val="00530409"/>
    <w:rsid w:val="00535977"/>
    <w:rsid w:val="005449AD"/>
    <w:rsid w:val="00545B4F"/>
    <w:rsid w:val="00546BF5"/>
    <w:rsid w:val="005633DD"/>
    <w:rsid w:val="00581D50"/>
    <w:rsid w:val="005836D7"/>
    <w:rsid w:val="005844C2"/>
    <w:rsid w:val="00587E5D"/>
    <w:rsid w:val="00590035"/>
    <w:rsid w:val="005A0F50"/>
    <w:rsid w:val="005B252F"/>
    <w:rsid w:val="005E363C"/>
    <w:rsid w:val="0060160F"/>
    <w:rsid w:val="006052E9"/>
    <w:rsid w:val="006054BA"/>
    <w:rsid w:val="00612D79"/>
    <w:rsid w:val="0061639A"/>
    <w:rsid w:val="006225BA"/>
    <w:rsid w:val="00622FAC"/>
    <w:rsid w:val="006247DD"/>
    <w:rsid w:val="00634563"/>
    <w:rsid w:val="00634A6D"/>
    <w:rsid w:val="00635017"/>
    <w:rsid w:val="0064279E"/>
    <w:rsid w:val="00644811"/>
    <w:rsid w:val="00651B59"/>
    <w:rsid w:val="0066340B"/>
    <w:rsid w:val="00675047"/>
    <w:rsid w:val="00676490"/>
    <w:rsid w:val="006807E0"/>
    <w:rsid w:val="0068713B"/>
    <w:rsid w:val="00696211"/>
    <w:rsid w:val="006B3752"/>
    <w:rsid w:val="006B7081"/>
    <w:rsid w:val="006C7D6E"/>
    <w:rsid w:val="006D2E49"/>
    <w:rsid w:val="006D7E9B"/>
    <w:rsid w:val="006E4750"/>
    <w:rsid w:val="006E63E7"/>
    <w:rsid w:val="006F597F"/>
    <w:rsid w:val="00702DC7"/>
    <w:rsid w:val="00705477"/>
    <w:rsid w:val="00706898"/>
    <w:rsid w:val="00714ED7"/>
    <w:rsid w:val="00720AD4"/>
    <w:rsid w:val="00721C22"/>
    <w:rsid w:val="00722730"/>
    <w:rsid w:val="00725B48"/>
    <w:rsid w:val="0072797A"/>
    <w:rsid w:val="00731C56"/>
    <w:rsid w:val="00742790"/>
    <w:rsid w:val="007447E8"/>
    <w:rsid w:val="00745DE9"/>
    <w:rsid w:val="00774D80"/>
    <w:rsid w:val="00777F41"/>
    <w:rsid w:val="00782EF9"/>
    <w:rsid w:val="00795CA9"/>
    <w:rsid w:val="00797D58"/>
    <w:rsid w:val="00797DD6"/>
    <w:rsid w:val="007A4BA8"/>
    <w:rsid w:val="007C5BBB"/>
    <w:rsid w:val="007C70D9"/>
    <w:rsid w:val="007D011D"/>
    <w:rsid w:val="007D47D8"/>
    <w:rsid w:val="007E0EDD"/>
    <w:rsid w:val="007F33E2"/>
    <w:rsid w:val="00801EC0"/>
    <w:rsid w:val="00803827"/>
    <w:rsid w:val="00806FC0"/>
    <w:rsid w:val="008138F4"/>
    <w:rsid w:val="00827E98"/>
    <w:rsid w:val="00833134"/>
    <w:rsid w:val="008459DC"/>
    <w:rsid w:val="00851D0D"/>
    <w:rsid w:val="00857F86"/>
    <w:rsid w:val="0086179D"/>
    <w:rsid w:val="00865249"/>
    <w:rsid w:val="00865B33"/>
    <w:rsid w:val="00875A3E"/>
    <w:rsid w:val="00884214"/>
    <w:rsid w:val="00885DE5"/>
    <w:rsid w:val="00892813"/>
    <w:rsid w:val="008934BE"/>
    <w:rsid w:val="00895160"/>
    <w:rsid w:val="008A137C"/>
    <w:rsid w:val="008A60E0"/>
    <w:rsid w:val="008B03D3"/>
    <w:rsid w:val="008D0480"/>
    <w:rsid w:val="008D49DD"/>
    <w:rsid w:val="00907478"/>
    <w:rsid w:val="009134BE"/>
    <w:rsid w:val="009252E7"/>
    <w:rsid w:val="00932B7B"/>
    <w:rsid w:val="00936CED"/>
    <w:rsid w:val="00962C0A"/>
    <w:rsid w:val="00963B19"/>
    <w:rsid w:val="00963E36"/>
    <w:rsid w:val="00966AAB"/>
    <w:rsid w:val="00977FA4"/>
    <w:rsid w:val="00992819"/>
    <w:rsid w:val="009A0F10"/>
    <w:rsid w:val="009A57DD"/>
    <w:rsid w:val="009B45BA"/>
    <w:rsid w:val="009D1C65"/>
    <w:rsid w:val="009D3038"/>
    <w:rsid w:val="009D5E0D"/>
    <w:rsid w:val="009F0E9C"/>
    <w:rsid w:val="009F396B"/>
    <w:rsid w:val="009F42B7"/>
    <w:rsid w:val="009F69A3"/>
    <w:rsid w:val="00A00275"/>
    <w:rsid w:val="00A0076A"/>
    <w:rsid w:val="00A0249E"/>
    <w:rsid w:val="00A056F5"/>
    <w:rsid w:val="00A059FA"/>
    <w:rsid w:val="00A13F28"/>
    <w:rsid w:val="00A1558C"/>
    <w:rsid w:val="00A23D00"/>
    <w:rsid w:val="00A33A50"/>
    <w:rsid w:val="00A4082F"/>
    <w:rsid w:val="00A53732"/>
    <w:rsid w:val="00A63D3C"/>
    <w:rsid w:val="00A70207"/>
    <w:rsid w:val="00A71AAC"/>
    <w:rsid w:val="00A748AC"/>
    <w:rsid w:val="00A75748"/>
    <w:rsid w:val="00A81032"/>
    <w:rsid w:val="00A81E2A"/>
    <w:rsid w:val="00A82960"/>
    <w:rsid w:val="00A9345F"/>
    <w:rsid w:val="00A936AA"/>
    <w:rsid w:val="00AB6D78"/>
    <w:rsid w:val="00AC00F4"/>
    <w:rsid w:val="00AC2379"/>
    <w:rsid w:val="00AC76B2"/>
    <w:rsid w:val="00AD1973"/>
    <w:rsid w:val="00AF3A20"/>
    <w:rsid w:val="00B03D54"/>
    <w:rsid w:val="00B04F95"/>
    <w:rsid w:val="00B07D25"/>
    <w:rsid w:val="00B11A4A"/>
    <w:rsid w:val="00B177AE"/>
    <w:rsid w:val="00B1784E"/>
    <w:rsid w:val="00B227E0"/>
    <w:rsid w:val="00B37DAE"/>
    <w:rsid w:val="00B43FAF"/>
    <w:rsid w:val="00B62445"/>
    <w:rsid w:val="00B62C7C"/>
    <w:rsid w:val="00B64FF2"/>
    <w:rsid w:val="00B72B77"/>
    <w:rsid w:val="00B84FBE"/>
    <w:rsid w:val="00B857CE"/>
    <w:rsid w:val="00B86052"/>
    <w:rsid w:val="00BA2967"/>
    <w:rsid w:val="00BD5243"/>
    <w:rsid w:val="00BD6917"/>
    <w:rsid w:val="00BE1D25"/>
    <w:rsid w:val="00BF2030"/>
    <w:rsid w:val="00BF51AC"/>
    <w:rsid w:val="00C1394A"/>
    <w:rsid w:val="00C174E5"/>
    <w:rsid w:val="00C20028"/>
    <w:rsid w:val="00C23B1A"/>
    <w:rsid w:val="00C2540B"/>
    <w:rsid w:val="00C31EEF"/>
    <w:rsid w:val="00C60CEB"/>
    <w:rsid w:val="00C638BF"/>
    <w:rsid w:val="00C70C2B"/>
    <w:rsid w:val="00C7546C"/>
    <w:rsid w:val="00C8017A"/>
    <w:rsid w:val="00C8254A"/>
    <w:rsid w:val="00C84B06"/>
    <w:rsid w:val="00C9373E"/>
    <w:rsid w:val="00CA03AF"/>
    <w:rsid w:val="00CB3824"/>
    <w:rsid w:val="00CD61BA"/>
    <w:rsid w:val="00CD7197"/>
    <w:rsid w:val="00CD781A"/>
    <w:rsid w:val="00CE5E7D"/>
    <w:rsid w:val="00CF19D4"/>
    <w:rsid w:val="00CF4CA0"/>
    <w:rsid w:val="00D260A4"/>
    <w:rsid w:val="00D32DE6"/>
    <w:rsid w:val="00D3494C"/>
    <w:rsid w:val="00D43D58"/>
    <w:rsid w:val="00D51D6A"/>
    <w:rsid w:val="00D710F9"/>
    <w:rsid w:val="00D83BF2"/>
    <w:rsid w:val="00DA2A82"/>
    <w:rsid w:val="00DA72EA"/>
    <w:rsid w:val="00DB7407"/>
    <w:rsid w:val="00DD2C49"/>
    <w:rsid w:val="00DD6976"/>
    <w:rsid w:val="00DE3924"/>
    <w:rsid w:val="00DF4E9C"/>
    <w:rsid w:val="00E050A9"/>
    <w:rsid w:val="00E126C9"/>
    <w:rsid w:val="00E165B3"/>
    <w:rsid w:val="00E246AB"/>
    <w:rsid w:val="00E2558B"/>
    <w:rsid w:val="00E31C3F"/>
    <w:rsid w:val="00E34368"/>
    <w:rsid w:val="00E45F2F"/>
    <w:rsid w:val="00E710B7"/>
    <w:rsid w:val="00E912F9"/>
    <w:rsid w:val="00E9671D"/>
    <w:rsid w:val="00EA57DF"/>
    <w:rsid w:val="00EC3F3C"/>
    <w:rsid w:val="00ED0940"/>
    <w:rsid w:val="00ED65F9"/>
    <w:rsid w:val="00EE674C"/>
    <w:rsid w:val="00F07FB5"/>
    <w:rsid w:val="00F128A0"/>
    <w:rsid w:val="00F23284"/>
    <w:rsid w:val="00F34D82"/>
    <w:rsid w:val="00F34E36"/>
    <w:rsid w:val="00F43CAD"/>
    <w:rsid w:val="00F501A9"/>
    <w:rsid w:val="00F6588B"/>
    <w:rsid w:val="00F70B69"/>
    <w:rsid w:val="00F72F89"/>
    <w:rsid w:val="00F82161"/>
    <w:rsid w:val="00F875E9"/>
    <w:rsid w:val="00F91537"/>
    <w:rsid w:val="00FA7FF0"/>
    <w:rsid w:val="00FB3FE7"/>
    <w:rsid w:val="00FD5C9F"/>
    <w:rsid w:val="00FD7A3A"/>
    <w:rsid w:val="00FE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1A"/>
    <w:pPr>
      <w:widowControl w:val="0"/>
    </w:pPr>
    <w:rPr>
      <w:snapToGrid w:val="0"/>
      <w:kern w:val="28"/>
      <w:sz w:val="22"/>
    </w:rPr>
  </w:style>
  <w:style w:type="paragraph" w:styleId="Heading1">
    <w:name w:val="heading 1"/>
    <w:basedOn w:val="Normal"/>
    <w:next w:val="ParaNum"/>
    <w:link w:val="Heading1Char"/>
    <w:qFormat/>
    <w:rsid w:val="00CD781A"/>
    <w:pPr>
      <w:keepNext/>
      <w:numPr>
        <w:numId w:val="2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D781A"/>
    <w:pPr>
      <w:keepNext/>
      <w:numPr>
        <w:ilvl w:val="1"/>
        <w:numId w:val="26"/>
      </w:numPr>
      <w:spacing w:after="120"/>
      <w:outlineLvl w:val="1"/>
    </w:pPr>
    <w:rPr>
      <w:b/>
    </w:rPr>
  </w:style>
  <w:style w:type="paragraph" w:styleId="Heading3">
    <w:name w:val="heading 3"/>
    <w:basedOn w:val="Normal"/>
    <w:next w:val="ParaNum"/>
    <w:link w:val="Heading3Char"/>
    <w:qFormat/>
    <w:rsid w:val="00CD781A"/>
    <w:pPr>
      <w:keepNext/>
      <w:numPr>
        <w:ilvl w:val="2"/>
        <w:numId w:val="26"/>
      </w:numPr>
      <w:tabs>
        <w:tab w:val="left" w:pos="2160"/>
      </w:tabs>
      <w:spacing w:after="120"/>
      <w:outlineLvl w:val="2"/>
    </w:pPr>
    <w:rPr>
      <w:b/>
    </w:rPr>
  </w:style>
  <w:style w:type="paragraph" w:styleId="Heading4">
    <w:name w:val="heading 4"/>
    <w:basedOn w:val="Normal"/>
    <w:next w:val="ParaNum"/>
    <w:link w:val="Heading4Char"/>
    <w:qFormat/>
    <w:rsid w:val="00CD781A"/>
    <w:pPr>
      <w:keepNext/>
      <w:numPr>
        <w:ilvl w:val="3"/>
        <w:numId w:val="26"/>
      </w:numPr>
      <w:tabs>
        <w:tab w:val="left" w:pos="2880"/>
      </w:tabs>
      <w:spacing w:after="120"/>
      <w:outlineLvl w:val="3"/>
    </w:pPr>
    <w:rPr>
      <w:b/>
    </w:rPr>
  </w:style>
  <w:style w:type="paragraph" w:styleId="Heading5">
    <w:name w:val="heading 5"/>
    <w:basedOn w:val="Normal"/>
    <w:next w:val="ParaNum"/>
    <w:link w:val="Heading5Char"/>
    <w:qFormat/>
    <w:rsid w:val="00CD781A"/>
    <w:pPr>
      <w:keepNext/>
      <w:numPr>
        <w:ilvl w:val="4"/>
        <w:numId w:val="26"/>
      </w:numPr>
      <w:tabs>
        <w:tab w:val="left" w:pos="3600"/>
      </w:tabs>
      <w:suppressAutoHyphens/>
      <w:spacing w:after="120"/>
      <w:outlineLvl w:val="4"/>
    </w:pPr>
    <w:rPr>
      <w:b/>
    </w:rPr>
  </w:style>
  <w:style w:type="paragraph" w:styleId="Heading6">
    <w:name w:val="heading 6"/>
    <w:basedOn w:val="Normal"/>
    <w:next w:val="ParaNum"/>
    <w:link w:val="Heading6Char"/>
    <w:qFormat/>
    <w:rsid w:val="00CD781A"/>
    <w:pPr>
      <w:numPr>
        <w:ilvl w:val="5"/>
        <w:numId w:val="26"/>
      </w:numPr>
      <w:tabs>
        <w:tab w:val="left" w:pos="4320"/>
      </w:tabs>
      <w:spacing w:after="120"/>
      <w:outlineLvl w:val="5"/>
    </w:pPr>
    <w:rPr>
      <w:b/>
    </w:rPr>
  </w:style>
  <w:style w:type="paragraph" w:styleId="Heading7">
    <w:name w:val="heading 7"/>
    <w:basedOn w:val="Normal"/>
    <w:next w:val="ParaNum"/>
    <w:link w:val="Heading7Char"/>
    <w:qFormat/>
    <w:rsid w:val="00CD781A"/>
    <w:pPr>
      <w:numPr>
        <w:ilvl w:val="6"/>
        <w:numId w:val="26"/>
      </w:numPr>
      <w:tabs>
        <w:tab w:val="left" w:pos="5040"/>
      </w:tabs>
      <w:spacing w:after="120"/>
      <w:ind w:left="5040" w:hanging="720"/>
      <w:outlineLvl w:val="6"/>
    </w:pPr>
    <w:rPr>
      <w:b/>
    </w:rPr>
  </w:style>
  <w:style w:type="paragraph" w:styleId="Heading8">
    <w:name w:val="heading 8"/>
    <w:basedOn w:val="Normal"/>
    <w:next w:val="ParaNum"/>
    <w:link w:val="Heading8Char"/>
    <w:qFormat/>
    <w:rsid w:val="00CD781A"/>
    <w:pPr>
      <w:numPr>
        <w:ilvl w:val="7"/>
        <w:numId w:val="2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D781A"/>
    <w:pPr>
      <w:numPr>
        <w:ilvl w:val="8"/>
        <w:numId w:val="2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D78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781A"/>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CD781A"/>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CD781A"/>
    <w:rPr>
      <w:rFonts w:ascii="Times New Roman" w:hAnsi="Times New Roman"/>
      <w:dstrike w:val="0"/>
      <w:color w:val="auto"/>
      <w:sz w:val="20"/>
      <w:vertAlign w:val="superscript"/>
    </w:rPr>
  </w:style>
  <w:style w:type="paragraph" w:styleId="Header">
    <w:name w:val="header"/>
    <w:basedOn w:val="Normal"/>
    <w:link w:val="HeaderChar"/>
    <w:autoRedefine/>
    <w:rsid w:val="00CD781A"/>
    <w:pPr>
      <w:tabs>
        <w:tab w:val="center" w:pos="4680"/>
        <w:tab w:val="right" w:pos="9360"/>
      </w:tabs>
    </w:pPr>
    <w:rPr>
      <w:b/>
    </w:rPr>
  </w:style>
  <w:style w:type="paragraph" w:styleId="Footer">
    <w:name w:val="footer"/>
    <w:basedOn w:val="Normal"/>
    <w:link w:val="FooterChar"/>
    <w:rsid w:val="00CD781A"/>
    <w:pPr>
      <w:tabs>
        <w:tab w:val="center" w:pos="4320"/>
        <w:tab w:val="right" w:pos="8640"/>
      </w:tabs>
    </w:pPr>
  </w:style>
  <w:style w:type="character" w:styleId="PageNumber">
    <w:name w:val="page number"/>
    <w:basedOn w:val="DefaultParagraphFont"/>
    <w:rsid w:val="00CD781A"/>
  </w:style>
  <w:style w:type="paragraph" w:customStyle="1" w:styleId="Paranum0">
    <w:name w:val="Paranum"/>
    <w:pPr>
      <w:numPr>
        <w:numId w:val="1"/>
      </w:numPr>
      <w:tabs>
        <w:tab w:val="left" w:pos="1440"/>
      </w:tabs>
      <w:spacing w:after="24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style>
  <w:style w:type="paragraph" w:customStyle="1" w:styleId="par1">
    <w:name w:val="par1"/>
    <w:basedOn w:val="Normal"/>
    <w:link w:val="par1Cha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u w:val="singl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sid w:val="00CD781A"/>
    <w:rPr>
      <w:color w:val="0000FF"/>
      <w:u w:val="single"/>
    </w:rPr>
  </w:style>
  <w:style w:type="paragraph" w:customStyle="1" w:styleId="ParaNum">
    <w:name w:val="ParaNum"/>
    <w:basedOn w:val="Normal"/>
    <w:link w:val="ParaNumChar0"/>
    <w:rsid w:val="00CD781A"/>
    <w:pPr>
      <w:numPr>
        <w:numId w:val="9"/>
      </w:numPr>
      <w:tabs>
        <w:tab w:val="clear" w:pos="1080"/>
        <w:tab w:val="num" w:pos="1440"/>
      </w:tabs>
      <w:spacing w:after="120"/>
    </w:p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BodyTextChar">
    <w:name w:val="Body Text Char"/>
    <w:link w:val="BodyText"/>
    <w:rPr>
      <w:b/>
      <w:sz w:val="24"/>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
    <w:rPr>
      <w:lang w:val="en-US" w:eastAsia="en-US" w:bidi="ar-SA"/>
    </w:rPr>
  </w:style>
  <w:style w:type="character" w:customStyle="1" w:styleId="Heading3Char">
    <w:name w:val="Heading 3 Char"/>
    <w:link w:val="Heading3"/>
    <w:rsid w:val="00C31EEF"/>
    <w:rPr>
      <w:b/>
      <w:snapToGrid w:val="0"/>
      <w:kern w:val="28"/>
      <w:sz w:val="22"/>
    </w:rPr>
  </w:style>
  <w:style w:type="character" w:customStyle="1" w:styleId="Heading4Char">
    <w:name w:val="Heading 4 Char"/>
    <w:link w:val="Heading4"/>
    <w:rsid w:val="00C31EEF"/>
    <w:rPr>
      <w:b/>
      <w:snapToGrid w:val="0"/>
      <w:kern w:val="28"/>
      <w:sz w:val="22"/>
    </w:rPr>
  </w:style>
  <w:style w:type="character" w:customStyle="1" w:styleId="Heading5Char">
    <w:name w:val="Heading 5 Char"/>
    <w:link w:val="Heading5"/>
    <w:rsid w:val="00C31EEF"/>
    <w:rPr>
      <w:b/>
      <w:snapToGrid w:val="0"/>
      <w:kern w:val="28"/>
      <w:sz w:val="22"/>
    </w:rPr>
  </w:style>
  <w:style w:type="character" w:customStyle="1" w:styleId="Heading6Char">
    <w:name w:val="Heading 6 Char"/>
    <w:link w:val="Heading6"/>
    <w:rsid w:val="00C31EEF"/>
    <w:rPr>
      <w:b/>
      <w:snapToGrid w:val="0"/>
      <w:kern w:val="28"/>
      <w:sz w:val="22"/>
    </w:rPr>
  </w:style>
  <w:style w:type="character" w:customStyle="1" w:styleId="Heading7Char">
    <w:name w:val="Heading 7 Char"/>
    <w:link w:val="Heading7"/>
    <w:rsid w:val="00C31EEF"/>
    <w:rPr>
      <w:b/>
      <w:snapToGrid w:val="0"/>
      <w:kern w:val="28"/>
      <w:sz w:val="22"/>
    </w:rPr>
  </w:style>
  <w:style w:type="character" w:customStyle="1" w:styleId="Heading8Char">
    <w:name w:val="Heading 8 Char"/>
    <w:link w:val="Heading8"/>
    <w:rsid w:val="00C31EEF"/>
    <w:rPr>
      <w:b/>
      <w:snapToGrid w:val="0"/>
      <w:kern w:val="28"/>
      <w:sz w:val="22"/>
    </w:rPr>
  </w:style>
  <w:style w:type="character" w:customStyle="1" w:styleId="Heading9Char">
    <w:name w:val="Heading 9 Char"/>
    <w:link w:val="Heading9"/>
    <w:rsid w:val="00C31EEF"/>
    <w:rPr>
      <w:b/>
      <w:snapToGrid w:val="0"/>
      <w:kern w:val="28"/>
      <w:sz w:val="22"/>
    </w:rPr>
  </w:style>
  <w:style w:type="paragraph" w:styleId="EndnoteText">
    <w:name w:val="endnote text"/>
    <w:basedOn w:val="Normal"/>
    <w:link w:val="EndnoteTextChar"/>
    <w:rsid w:val="00CD781A"/>
    <w:rPr>
      <w:sz w:val="20"/>
    </w:rPr>
  </w:style>
  <w:style w:type="character" w:customStyle="1" w:styleId="EndnoteTextChar">
    <w:name w:val="Endnote Text Char"/>
    <w:link w:val="EndnoteText"/>
    <w:rsid w:val="00C31EEF"/>
    <w:rPr>
      <w:snapToGrid w:val="0"/>
      <w:kern w:val="28"/>
    </w:rPr>
  </w:style>
  <w:style w:type="character" w:styleId="EndnoteReference">
    <w:name w:val="endnote reference"/>
    <w:rsid w:val="00CD781A"/>
    <w:rPr>
      <w:vertAlign w:val="superscript"/>
    </w:rPr>
  </w:style>
  <w:style w:type="paragraph" w:styleId="TOC1">
    <w:name w:val="toc 1"/>
    <w:basedOn w:val="Normal"/>
    <w:next w:val="Normal"/>
    <w:rsid w:val="00CD781A"/>
    <w:pPr>
      <w:tabs>
        <w:tab w:val="left" w:pos="360"/>
        <w:tab w:val="right" w:leader="dot" w:pos="9360"/>
      </w:tabs>
      <w:suppressAutoHyphens/>
      <w:ind w:left="360" w:right="720" w:hanging="360"/>
    </w:pPr>
    <w:rPr>
      <w:caps/>
      <w:noProof/>
    </w:rPr>
  </w:style>
  <w:style w:type="paragraph" w:styleId="TOC2">
    <w:name w:val="toc 2"/>
    <w:basedOn w:val="Normal"/>
    <w:next w:val="Normal"/>
    <w:rsid w:val="00CD781A"/>
    <w:pPr>
      <w:tabs>
        <w:tab w:val="left" w:pos="720"/>
        <w:tab w:val="right" w:leader="dot" w:pos="9360"/>
      </w:tabs>
      <w:suppressAutoHyphens/>
      <w:ind w:left="720" w:right="720" w:hanging="360"/>
    </w:pPr>
    <w:rPr>
      <w:noProof/>
    </w:rPr>
  </w:style>
  <w:style w:type="paragraph" w:styleId="TOC3">
    <w:name w:val="toc 3"/>
    <w:basedOn w:val="Normal"/>
    <w:next w:val="Normal"/>
    <w:rsid w:val="00CD781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D781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D781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D781A"/>
    <w:pPr>
      <w:tabs>
        <w:tab w:val="left" w:pos="2160"/>
        <w:tab w:val="right" w:leader="dot" w:pos="9360"/>
      </w:tabs>
      <w:suppressAutoHyphens/>
      <w:ind w:left="2160" w:hanging="360"/>
    </w:pPr>
    <w:rPr>
      <w:noProof/>
    </w:rPr>
  </w:style>
  <w:style w:type="paragraph" w:styleId="TOC7">
    <w:name w:val="toc 7"/>
    <w:basedOn w:val="Normal"/>
    <w:next w:val="Normal"/>
    <w:autoRedefine/>
    <w:rsid w:val="00CD781A"/>
    <w:pPr>
      <w:tabs>
        <w:tab w:val="left" w:pos="2520"/>
        <w:tab w:val="right" w:leader="dot" w:pos="9360"/>
      </w:tabs>
      <w:suppressAutoHyphens/>
      <w:ind w:left="2520" w:hanging="360"/>
    </w:pPr>
    <w:rPr>
      <w:noProof/>
    </w:rPr>
  </w:style>
  <w:style w:type="paragraph" w:styleId="TOC8">
    <w:name w:val="toc 8"/>
    <w:basedOn w:val="Normal"/>
    <w:next w:val="Normal"/>
    <w:autoRedefine/>
    <w:rsid w:val="00CD781A"/>
    <w:pPr>
      <w:tabs>
        <w:tab w:val="left" w:pos="2880"/>
        <w:tab w:val="right" w:leader="dot" w:pos="9360"/>
      </w:tabs>
      <w:suppressAutoHyphens/>
      <w:ind w:left="2880" w:hanging="360"/>
    </w:pPr>
    <w:rPr>
      <w:noProof/>
    </w:rPr>
  </w:style>
  <w:style w:type="paragraph" w:styleId="TOC9">
    <w:name w:val="toc 9"/>
    <w:basedOn w:val="Normal"/>
    <w:next w:val="Normal"/>
    <w:autoRedefine/>
    <w:rsid w:val="00CD781A"/>
    <w:pPr>
      <w:tabs>
        <w:tab w:val="left" w:pos="3240"/>
        <w:tab w:val="right" w:leader="dot" w:pos="9360"/>
      </w:tabs>
      <w:suppressAutoHyphens/>
      <w:ind w:left="3240" w:hanging="360"/>
    </w:pPr>
    <w:rPr>
      <w:noProof/>
    </w:rPr>
  </w:style>
  <w:style w:type="paragraph" w:styleId="TOAHeading">
    <w:name w:val="toa heading"/>
    <w:basedOn w:val="Normal"/>
    <w:next w:val="Normal"/>
    <w:rsid w:val="00CD781A"/>
    <w:pPr>
      <w:tabs>
        <w:tab w:val="right" w:pos="9360"/>
      </w:tabs>
      <w:suppressAutoHyphens/>
    </w:pPr>
  </w:style>
  <w:style w:type="character" w:customStyle="1" w:styleId="EquationCaption">
    <w:name w:val="_Equation Caption"/>
    <w:rsid w:val="00CD781A"/>
  </w:style>
  <w:style w:type="paragraph" w:styleId="BlockText">
    <w:name w:val="Block Text"/>
    <w:basedOn w:val="Normal"/>
    <w:rsid w:val="00CD781A"/>
    <w:pPr>
      <w:spacing w:after="240"/>
      <w:ind w:left="1440" w:right="1440"/>
    </w:pPr>
  </w:style>
  <w:style w:type="paragraph" w:customStyle="1" w:styleId="Paratitle">
    <w:name w:val="Para title"/>
    <w:basedOn w:val="Normal"/>
    <w:rsid w:val="00CD781A"/>
    <w:pPr>
      <w:tabs>
        <w:tab w:val="center" w:pos="9270"/>
      </w:tabs>
      <w:spacing w:after="240"/>
    </w:pPr>
    <w:rPr>
      <w:spacing w:val="-2"/>
    </w:rPr>
  </w:style>
  <w:style w:type="paragraph" w:customStyle="1" w:styleId="Bullet">
    <w:name w:val="Bullet"/>
    <w:basedOn w:val="Normal"/>
    <w:rsid w:val="00CD781A"/>
    <w:pPr>
      <w:tabs>
        <w:tab w:val="left" w:pos="2160"/>
      </w:tabs>
      <w:spacing w:after="220"/>
      <w:ind w:left="2160" w:hanging="720"/>
    </w:pPr>
  </w:style>
  <w:style w:type="paragraph" w:customStyle="1" w:styleId="TableFormat">
    <w:name w:val="TableFormat"/>
    <w:basedOn w:val="Bullet"/>
    <w:rsid w:val="00CD781A"/>
    <w:pPr>
      <w:tabs>
        <w:tab w:val="clear" w:pos="2160"/>
        <w:tab w:val="left" w:pos="5040"/>
      </w:tabs>
      <w:ind w:left="5040" w:hanging="3600"/>
    </w:pPr>
  </w:style>
  <w:style w:type="paragraph" w:customStyle="1" w:styleId="TOCTitle">
    <w:name w:val="TOC Title"/>
    <w:basedOn w:val="Normal"/>
    <w:rsid w:val="00CD78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781A"/>
    <w:pPr>
      <w:jc w:val="center"/>
    </w:pPr>
    <w:rPr>
      <w:rFonts w:ascii="Times New Roman Bold" w:hAnsi="Times New Roman Bold"/>
      <w:b/>
      <w:bCs/>
      <w:caps/>
      <w:szCs w:val="22"/>
    </w:rPr>
  </w:style>
  <w:style w:type="character" w:customStyle="1" w:styleId="Heading2Char">
    <w:name w:val="Heading 2 Char"/>
    <w:link w:val="Heading2"/>
    <w:rsid w:val="006225BA"/>
    <w:rPr>
      <w:b/>
      <w:snapToGrid w:val="0"/>
      <w:kern w:val="28"/>
      <w:sz w:val="22"/>
    </w:rPr>
  </w:style>
  <w:style w:type="paragraph" w:styleId="BodyText2">
    <w:name w:val="Body Text 2"/>
    <w:basedOn w:val="Normal"/>
    <w:link w:val="BodyText2Char"/>
    <w:rsid w:val="00F875E9"/>
    <w:pPr>
      <w:spacing w:after="120" w:line="480" w:lineRule="auto"/>
    </w:pPr>
  </w:style>
  <w:style w:type="character" w:customStyle="1" w:styleId="BodyText2Char">
    <w:name w:val="Body Text 2 Char"/>
    <w:link w:val="BodyText2"/>
    <w:rsid w:val="00F875E9"/>
    <w:rPr>
      <w:snapToGrid w:val="0"/>
      <w:kern w:val="28"/>
      <w:sz w:val="22"/>
    </w:rPr>
  </w:style>
  <w:style w:type="character" w:customStyle="1" w:styleId="emphi1">
    <w:name w:val="emphi1"/>
    <w:rsid w:val="006D2E49"/>
    <w:rPr>
      <w:i/>
      <w:iCs/>
    </w:rPr>
  </w:style>
  <w:style w:type="character" w:customStyle="1" w:styleId="FooterChar">
    <w:name w:val="Footer Char"/>
    <w:link w:val="Footer"/>
    <w:rsid w:val="00851D0D"/>
    <w:rPr>
      <w:snapToGrid w:val="0"/>
      <w:kern w:val="28"/>
      <w:sz w:val="22"/>
    </w:rPr>
  </w:style>
  <w:style w:type="character" w:customStyle="1" w:styleId="HeaderChar">
    <w:name w:val="Header Char"/>
    <w:link w:val="Header"/>
    <w:rsid w:val="00851D0D"/>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1A"/>
    <w:pPr>
      <w:widowControl w:val="0"/>
    </w:pPr>
    <w:rPr>
      <w:snapToGrid w:val="0"/>
      <w:kern w:val="28"/>
      <w:sz w:val="22"/>
    </w:rPr>
  </w:style>
  <w:style w:type="paragraph" w:styleId="Heading1">
    <w:name w:val="heading 1"/>
    <w:basedOn w:val="Normal"/>
    <w:next w:val="ParaNum"/>
    <w:link w:val="Heading1Char"/>
    <w:qFormat/>
    <w:rsid w:val="00CD781A"/>
    <w:pPr>
      <w:keepNext/>
      <w:numPr>
        <w:numId w:val="2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D781A"/>
    <w:pPr>
      <w:keepNext/>
      <w:numPr>
        <w:ilvl w:val="1"/>
        <w:numId w:val="26"/>
      </w:numPr>
      <w:spacing w:after="120"/>
      <w:outlineLvl w:val="1"/>
    </w:pPr>
    <w:rPr>
      <w:b/>
    </w:rPr>
  </w:style>
  <w:style w:type="paragraph" w:styleId="Heading3">
    <w:name w:val="heading 3"/>
    <w:basedOn w:val="Normal"/>
    <w:next w:val="ParaNum"/>
    <w:link w:val="Heading3Char"/>
    <w:qFormat/>
    <w:rsid w:val="00CD781A"/>
    <w:pPr>
      <w:keepNext/>
      <w:numPr>
        <w:ilvl w:val="2"/>
        <w:numId w:val="26"/>
      </w:numPr>
      <w:tabs>
        <w:tab w:val="left" w:pos="2160"/>
      </w:tabs>
      <w:spacing w:after="120"/>
      <w:outlineLvl w:val="2"/>
    </w:pPr>
    <w:rPr>
      <w:b/>
    </w:rPr>
  </w:style>
  <w:style w:type="paragraph" w:styleId="Heading4">
    <w:name w:val="heading 4"/>
    <w:basedOn w:val="Normal"/>
    <w:next w:val="ParaNum"/>
    <w:link w:val="Heading4Char"/>
    <w:qFormat/>
    <w:rsid w:val="00CD781A"/>
    <w:pPr>
      <w:keepNext/>
      <w:numPr>
        <w:ilvl w:val="3"/>
        <w:numId w:val="26"/>
      </w:numPr>
      <w:tabs>
        <w:tab w:val="left" w:pos="2880"/>
      </w:tabs>
      <w:spacing w:after="120"/>
      <w:outlineLvl w:val="3"/>
    </w:pPr>
    <w:rPr>
      <w:b/>
    </w:rPr>
  </w:style>
  <w:style w:type="paragraph" w:styleId="Heading5">
    <w:name w:val="heading 5"/>
    <w:basedOn w:val="Normal"/>
    <w:next w:val="ParaNum"/>
    <w:link w:val="Heading5Char"/>
    <w:qFormat/>
    <w:rsid w:val="00CD781A"/>
    <w:pPr>
      <w:keepNext/>
      <w:numPr>
        <w:ilvl w:val="4"/>
        <w:numId w:val="26"/>
      </w:numPr>
      <w:tabs>
        <w:tab w:val="left" w:pos="3600"/>
      </w:tabs>
      <w:suppressAutoHyphens/>
      <w:spacing w:after="120"/>
      <w:outlineLvl w:val="4"/>
    </w:pPr>
    <w:rPr>
      <w:b/>
    </w:rPr>
  </w:style>
  <w:style w:type="paragraph" w:styleId="Heading6">
    <w:name w:val="heading 6"/>
    <w:basedOn w:val="Normal"/>
    <w:next w:val="ParaNum"/>
    <w:link w:val="Heading6Char"/>
    <w:qFormat/>
    <w:rsid w:val="00CD781A"/>
    <w:pPr>
      <w:numPr>
        <w:ilvl w:val="5"/>
        <w:numId w:val="26"/>
      </w:numPr>
      <w:tabs>
        <w:tab w:val="left" w:pos="4320"/>
      </w:tabs>
      <w:spacing w:after="120"/>
      <w:outlineLvl w:val="5"/>
    </w:pPr>
    <w:rPr>
      <w:b/>
    </w:rPr>
  </w:style>
  <w:style w:type="paragraph" w:styleId="Heading7">
    <w:name w:val="heading 7"/>
    <w:basedOn w:val="Normal"/>
    <w:next w:val="ParaNum"/>
    <w:link w:val="Heading7Char"/>
    <w:qFormat/>
    <w:rsid w:val="00CD781A"/>
    <w:pPr>
      <w:numPr>
        <w:ilvl w:val="6"/>
        <w:numId w:val="26"/>
      </w:numPr>
      <w:tabs>
        <w:tab w:val="left" w:pos="5040"/>
      </w:tabs>
      <w:spacing w:after="120"/>
      <w:ind w:left="5040" w:hanging="720"/>
      <w:outlineLvl w:val="6"/>
    </w:pPr>
    <w:rPr>
      <w:b/>
    </w:rPr>
  </w:style>
  <w:style w:type="paragraph" w:styleId="Heading8">
    <w:name w:val="heading 8"/>
    <w:basedOn w:val="Normal"/>
    <w:next w:val="ParaNum"/>
    <w:link w:val="Heading8Char"/>
    <w:qFormat/>
    <w:rsid w:val="00CD781A"/>
    <w:pPr>
      <w:numPr>
        <w:ilvl w:val="7"/>
        <w:numId w:val="2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D781A"/>
    <w:pPr>
      <w:numPr>
        <w:ilvl w:val="8"/>
        <w:numId w:val="2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D78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781A"/>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CD781A"/>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CD781A"/>
    <w:rPr>
      <w:rFonts w:ascii="Times New Roman" w:hAnsi="Times New Roman"/>
      <w:dstrike w:val="0"/>
      <w:color w:val="auto"/>
      <w:sz w:val="20"/>
      <w:vertAlign w:val="superscript"/>
    </w:rPr>
  </w:style>
  <w:style w:type="paragraph" w:styleId="Header">
    <w:name w:val="header"/>
    <w:basedOn w:val="Normal"/>
    <w:link w:val="HeaderChar"/>
    <w:autoRedefine/>
    <w:rsid w:val="00CD781A"/>
    <w:pPr>
      <w:tabs>
        <w:tab w:val="center" w:pos="4680"/>
        <w:tab w:val="right" w:pos="9360"/>
      </w:tabs>
    </w:pPr>
    <w:rPr>
      <w:b/>
    </w:rPr>
  </w:style>
  <w:style w:type="paragraph" w:styleId="Footer">
    <w:name w:val="footer"/>
    <w:basedOn w:val="Normal"/>
    <w:link w:val="FooterChar"/>
    <w:rsid w:val="00CD781A"/>
    <w:pPr>
      <w:tabs>
        <w:tab w:val="center" w:pos="4320"/>
        <w:tab w:val="right" w:pos="8640"/>
      </w:tabs>
    </w:pPr>
  </w:style>
  <w:style w:type="character" w:styleId="PageNumber">
    <w:name w:val="page number"/>
    <w:basedOn w:val="DefaultParagraphFont"/>
    <w:rsid w:val="00CD781A"/>
  </w:style>
  <w:style w:type="paragraph" w:customStyle="1" w:styleId="Paranum0">
    <w:name w:val="Paranum"/>
    <w:pPr>
      <w:numPr>
        <w:numId w:val="1"/>
      </w:numPr>
      <w:tabs>
        <w:tab w:val="left" w:pos="1440"/>
      </w:tabs>
      <w:spacing w:after="24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style>
  <w:style w:type="paragraph" w:customStyle="1" w:styleId="par1">
    <w:name w:val="par1"/>
    <w:basedOn w:val="Normal"/>
    <w:link w:val="par1Cha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u w:val="singl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sid w:val="00CD781A"/>
    <w:rPr>
      <w:color w:val="0000FF"/>
      <w:u w:val="single"/>
    </w:rPr>
  </w:style>
  <w:style w:type="paragraph" w:customStyle="1" w:styleId="ParaNum">
    <w:name w:val="ParaNum"/>
    <w:basedOn w:val="Normal"/>
    <w:link w:val="ParaNumChar0"/>
    <w:rsid w:val="00CD781A"/>
    <w:pPr>
      <w:numPr>
        <w:numId w:val="9"/>
      </w:numPr>
      <w:tabs>
        <w:tab w:val="clear" w:pos="1080"/>
        <w:tab w:val="num" w:pos="1440"/>
      </w:tabs>
      <w:spacing w:after="120"/>
    </w:p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BodyTextChar">
    <w:name w:val="Body Text Char"/>
    <w:link w:val="BodyText"/>
    <w:rPr>
      <w:b/>
      <w:sz w:val="24"/>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
    <w:rPr>
      <w:lang w:val="en-US" w:eastAsia="en-US" w:bidi="ar-SA"/>
    </w:rPr>
  </w:style>
  <w:style w:type="character" w:customStyle="1" w:styleId="Heading3Char">
    <w:name w:val="Heading 3 Char"/>
    <w:link w:val="Heading3"/>
    <w:rsid w:val="00C31EEF"/>
    <w:rPr>
      <w:b/>
      <w:snapToGrid w:val="0"/>
      <w:kern w:val="28"/>
      <w:sz w:val="22"/>
    </w:rPr>
  </w:style>
  <w:style w:type="character" w:customStyle="1" w:styleId="Heading4Char">
    <w:name w:val="Heading 4 Char"/>
    <w:link w:val="Heading4"/>
    <w:rsid w:val="00C31EEF"/>
    <w:rPr>
      <w:b/>
      <w:snapToGrid w:val="0"/>
      <w:kern w:val="28"/>
      <w:sz w:val="22"/>
    </w:rPr>
  </w:style>
  <w:style w:type="character" w:customStyle="1" w:styleId="Heading5Char">
    <w:name w:val="Heading 5 Char"/>
    <w:link w:val="Heading5"/>
    <w:rsid w:val="00C31EEF"/>
    <w:rPr>
      <w:b/>
      <w:snapToGrid w:val="0"/>
      <w:kern w:val="28"/>
      <w:sz w:val="22"/>
    </w:rPr>
  </w:style>
  <w:style w:type="character" w:customStyle="1" w:styleId="Heading6Char">
    <w:name w:val="Heading 6 Char"/>
    <w:link w:val="Heading6"/>
    <w:rsid w:val="00C31EEF"/>
    <w:rPr>
      <w:b/>
      <w:snapToGrid w:val="0"/>
      <w:kern w:val="28"/>
      <w:sz w:val="22"/>
    </w:rPr>
  </w:style>
  <w:style w:type="character" w:customStyle="1" w:styleId="Heading7Char">
    <w:name w:val="Heading 7 Char"/>
    <w:link w:val="Heading7"/>
    <w:rsid w:val="00C31EEF"/>
    <w:rPr>
      <w:b/>
      <w:snapToGrid w:val="0"/>
      <w:kern w:val="28"/>
      <w:sz w:val="22"/>
    </w:rPr>
  </w:style>
  <w:style w:type="character" w:customStyle="1" w:styleId="Heading8Char">
    <w:name w:val="Heading 8 Char"/>
    <w:link w:val="Heading8"/>
    <w:rsid w:val="00C31EEF"/>
    <w:rPr>
      <w:b/>
      <w:snapToGrid w:val="0"/>
      <w:kern w:val="28"/>
      <w:sz w:val="22"/>
    </w:rPr>
  </w:style>
  <w:style w:type="character" w:customStyle="1" w:styleId="Heading9Char">
    <w:name w:val="Heading 9 Char"/>
    <w:link w:val="Heading9"/>
    <w:rsid w:val="00C31EEF"/>
    <w:rPr>
      <w:b/>
      <w:snapToGrid w:val="0"/>
      <w:kern w:val="28"/>
      <w:sz w:val="22"/>
    </w:rPr>
  </w:style>
  <w:style w:type="paragraph" w:styleId="EndnoteText">
    <w:name w:val="endnote text"/>
    <w:basedOn w:val="Normal"/>
    <w:link w:val="EndnoteTextChar"/>
    <w:rsid w:val="00CD781A"/>
    <w:rPr>
      <w:sz w:val="20"/>
    </w:rPr>
  </w:style>
  <w:style w:type="character" w:customStyle="1" w:styleId="EndnoteTextChar">
    <w:name w:val="Endnote Text Char"/>
    <w:link w:val="EndnoteText"/>
    <w:rsid w:val="00C31EEF"/>
    <w:rPr>
      <w:snapToGrid w:val="0"/>
      <w:kern w:val="28"/>
    </w:rPr>
  </w:style>
  <w:style w:type="character" w:styleId="EndnoteReference">
    <w:name w:val="endnote reference"/>
    <w:rsid w:val="00CD781A"/>
    <w:rPr>
      <w:vertAlign w:val="superscript"/>
    </w:rPr>
  </w:style>
  <w:style w:type="paragraph" w:styleId="TOC1">
    <w:name w:val="toc 1"/>
    <w:basedOn w:val="Normal"/>
    <w:next w:val="Normal"/>
    <w:rsid w:val="00CD781A"/>
    <w:pPr>
      <w:tabs>
        <w:tab w:val="left" w:pos="360"/>
        <w:tab w:val="right" w:leader="dot" w:pos="9360"/>
      </w:tabs>
      <w:suppressAutoHyphens/>
      <w:ind w:left="360" w:right="720" w:hanging="360"/>
    </w:pPr>
    <w:rPr>
      <w:caps/>
      <w:noProof/>
    </w:rPr>
  </w:style>
  <w:style w:type="paragraph" w:styleId="TOC2">
    <w:name w:val="toc 2"/>
    <w:basedOn w:val="Normal"/>
    <w:next w:val="Normal"/>
    <w:rsid w:val="00CD781A"/>
    <w:pPr>
      <w:tabs>
        <w:tab w:val="left" w:pos="720"/>
        <w:tab w:val="right" w:leader="dot" w:pos="9360"/>
      </w:tabs>
      <w:suppressAutoHyphens/>
      <w:ind w:left="720" w:right="720" w:hanging="360"/>
    </w:pPr>
    <w:rPr>
      <w:noProof/>
    </w:rPr>
  </w:style>
  <w:style w:type="paragraph" w:styleId="TOC3">
    <w:name w:val="toc 3"/>
    <w:basedOn w:val="Normal"/>
    <w:next w:val="Normal"/>
    <w:rsid w:val="00CD781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D781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D781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D781A"/>
    <w:pPr>
      <w:tabs>
        <w:tab w:val="left" w:pos="2160"/>
        <w:tab w:val="right" w:leader="dot" w:pos="9360"/>
      </w:tabs>
      <w:suppressAutoHyphens/>
      <w:ind w:left="2160" w:hanging="360"/>
    </w:pPr>
    <w:rPr>
      <w:noProof/>
    </w:rPr>
  </w:style>
  <w:style w:type="paragraph" w:styleId="TOC7">
    <w:name w:val="toc 7"/>
    <w:basedOn w:val="Normal"/>
    <w:next w:val="Normal"/>
    <w:autoRedefine/>
    <w:rsid w:val="00CD781A"/>
    <w:pPr>
      <w:tabs>
        <w:tab w:val="left" w:pos="2520"/>
        <w:tab w:val="right" w:leader="dot" w:pos="9360"/>
      </w:tabs>
      <w:suppressAutoHyphens/>
      <w:ind w:left="2520" w:hanging="360"/>
    </w:pPr>
    <w:rPr>
      <w:noProof/>
    </w:rPr>
  </w:style>
  <w:style w:type="paragraph" w:styleId="TOC8">
    <w:name w:val="toc 8"/>
    <w:basedOn w:val="Normal"/>
    <w:next w:val="Normal"/>
    <w:autoRedefine/>
    <w:rsid w:val="00CD781A"/>
    <w:pPr>
      <w:tabs>
        <w:tab w:val="left" w:pos="2880"/>
        <w:tab w:val="right" w:leader="dot" w:pos="9360"/>
      </w:tabs>
      <w:suppressAutoHyphens/>
      <w:ind w:left="2880" w:hanging="360"/>
    </w:pPr>
    <w:rPr>
      <w:noProof/>
    </w:rPr>
  </w:style>
  <w:style w:type="paragraph" w:styleId="TOC9">
    <w:name w:val="toc 9"/>
    <w:basedOn w:val="Normal"/>
    <w:next w:val="Normal"/>
    <w:autoRedefine/>
    <w:rsid w:val="00CD781A"/>
    <w:pPr>
      <w:tabs>
        <w:tab w:val="left" w:pos="3240"/>
        <w:tab w:val="right" w:leader="dot" w:pos="9360"/>
      </w:tabs>
      <w:suppressAutoHyphens/>
      <w:ind w:left="3240" w:hanging="360"/>
    </w:pPr>
    <w:rPr>
      <w:noProof/>
    </w:rPr>
  </w:style>
  <w:style w:type="paragraph" w:styleId="TOAHeading">
    <w:name w:val="toa heading"/>
    <w:basedOn w:val="Normal"/>
    <w:next w:val="Normal"/>
    <w:rsid w:val="00CD781A"/>
    <w:pPr>
      <w:tabs>
        <w:tab w:val="right" w:pos="9360"/>
      </w:tabs>
      <w:suppressAutoHyphens/>
    </w:pPr>
  </w:style>
  <w:style w:type="character" w:customStyle="1" w:styleId="EquationCaption">
    <w:name w:val="_Equation Caption"/>
    <w:rsid w:val="00CD781A"/>
  </w:style>
  <w:style w:type="paragraph" w:styleId="BlockText">
    <w:name w:val="Block Text"/>
    <w:basedOn w:val="Normal"/>
    <w:rsid w:val="00CD781A"/>
    <w:pPr>
      <w:spacing w:after="240"/>
      <w:ind w:left="1440" w:right="1440"/>
    </w:pPr>
  </w:style>
  <w:style w:type="paragraph" w:customStyle="1" w:styleId="Paratitle">
    <w:name w:val="Para title"/>
    <w:basedOn w:val="Normal"/>
    <w:rsid w:val="00CD781A"/>
    <w:pPr>
      <w:tabs>
        <w:tab w:val="center" w:pos="9270"/>
      </w:tabs>
      <w:spacing w:after="240"/>
    </w:pPr>
    <w:rPr>
      <w:spacing w:val="-2"/>
    </w:rPr>
  </w:style>
  <w:style w:type="paragraph" w:customStyle="1" w:styleId="Bullet">
    <w:name w:val="Bullet"/>
    <w:basedOn w:val="Normal"/>
    <w:rsid w:val="00CD781A"/>
    <w:pPr>
      <w:tabs>
        <w:tab w:val="left" w:pos="2160"/>
      </w:tabs>
      <w:spacing w:after="220"/>
      <w:ind w:left="2160" w:hanging="720"/>
    </w:pPr>
  </w:style>
  <w:style w:type="paragraph" w:customStyle="1" w:styleId="TableFormat">
    <w:name w:val="TableFormat"/>
    <w:basedOn w:val="Bullet"/>
    <w:rsid w:val="00CD781A"/>
    <w:pPr>
      <w:tabs>
        <w:tab w:val="clear" w:pos="2160"/>
        <w:tab w:val="left" w:pos="5040"/>
      </w:tabs>
      <w:ind w:left="5040" w:hanging="3600"/>
    </w:pPr>
  </w:style>
  <w:style w:type="paragraph" w:customStyle="1" w:styleId="TOCTitle">
    <w:name w:val="TOC Title"/>
    <w:basedOn w:val="Normal"/>
    <w:rsid w:val="00CD78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781A"/>
    <w:pPr>
      <w:jc w:val="center"/>
    </w:pPr>
    <w:rPr>
      <w:rFonts w:ascii="Times New Roman Bold" w:hAnsi="Times New Roman Bold"/>
      <w:b/>
      <w:bCs/>
      <w:caps/>
      <w:szCs w:val="22"/>
    </w:rPr>
  </w:style>
  <w:style w:type="character" w:customStyle="1" w:styleId="Heading2Char">
    <w:name w:val="Heading 2 Char"/>
    <w:link w:val="Heading2"/>
    <w:rsid w:val="006225BA"/>
    <w:rPr>
      <w:b/>
      <w:snapToGrid w:val="0"/>
      <w:kern w:val="28"/>
      <w:sz w:val="22"/>
    </w:rPr>
  </w:style>
  <w:style w:type="paragraph" w:styleId="BodyText2">
    <w:name w:val="Body Text 2"/>
    <w:basedOn w:val="Normal"/>
    <w:link w:val="BodyText2Char"/>
    <w:rsid w:val="00F875E9"/>
    <w:pPr>
      <w:spacing w:after="120" w:line="480" w:lineRule="auto"/>
    </w:pPr>
  </w:style>
  <w:style w:type="character" w:customStyle="1" w:styleId="BodyText2Char">
    <w:name w:val="Body Text 2 Char"/>
    <w:link w:val="BodyText2"/>
    <w:rsid w:val="00F875E9"/>
    <w:rPr>
      <w:snapToGrid w:val="0"/>
      <w:kern w:val="28"/>
      <w:sz w:val="22"/>
    </w:rPr>
  </w:style>
  <w:style w:type="character" w:customStyle="1" w:styleId="emphi1">
    <w:name w:val="emphi1"/>
    <w:rsid w:val="006D2E49"/>
    <w:rPr>
      <w:i/>
      <w:iCs/>
    </w:rPr>
  </w:style>
  <w:style w:type="character" w:customStyle="1" w:styleId="FooterChar">
    <w:name w:val="Footer Char"/>
    <w:link w:val="Footer"/>
    <w:rsid w:val="00851D0D"/>
    <w:rPr>
      <w:snapToGrid w:val="0"/>
      <w:kern w:val="28"/>
      <w:sz w:val="22"/>
    </w:rPr>
  </w:style>
  <w:style w:type="character" w:customStyle="1" w:styleId="HeaderChar">
    <w:name w:val="Header Char"/>
    <w:link w:val="Header"/>
    <w:rsid w:val="00851D0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4283">
      <w:bodyDiv w:val="1"/>
      <w:marLeft w:val="0"/>
      <w:marRight w:val="0"/>
      <w:marTop w:val="0"/>
      <w:marBottom w:val="0"/>
      <w:divBdr>
        <w:top w:val="none" w:sz="0" w:space="0" w:color="auto"/>
        <w:left w:val="none" w:sz="0" w:space="0" w:color="auto"/>
        <w:bottom w:val="none" w:sz="0" w:space="0" w:color="auto"/>
        <w:right w:val="none" w:sz="0" w:space="0" w:color="auto"/>
      </w:divBdr>
      <w:divsChild>
        <w:div w:id="848561917">
          <w:marLeft w:val="0"/>
          <w:marRight w:val="0"/>
          <w:marTop w:val="0"/>
          <w:marBottom w:val="0"/>
          <w:divBdr>
            <w:top w:val="none" w:sz="0" w:space="0" w:color="auto"/>
            <w:left w:val="none" w:sz="0" w:space="0" w:color="auto"/>
            <w:bottom w:val="none" w:sz="0" w:space="0" w:color="auto"/>
            <w:right w:val="none" w:sz="0" w:space="0" w:color="auto"/>
          </w:divBdr>
          <w:divsChild>
            <w:div w:id="545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8956">
      <w:bodyDiv w:val="1"/>
      <w:marLeft w:val="0"/>
      <w:marRight w:val="0"/>
      <w:marTop w:val="0"/>
      <w:marBottom w:val="0"/>
      <w:divBdr>
        <w:top w:val="none" w:sz="0" w:space="0" w:color="auto"/>
        <w:left w:val="none" w:sz="0" w:space="0" w:color="auto"/>
        <w:bottom w:val="none" w:sz="0" w:space="0" w:color="auto"/>
        <w:right w:val="none" w:sz="0" w:space="0" w:color="auto"/>
      </w:divBdr>
    </w:div>
    <w:div w:id="1991518398">
      <w:bodyDiv w:val="1"/>
      <w:marLeft w:val="0"/>
      <w:marRight w:val="0"/>
      <w:marTop w:val="0"/>
      <w:marBottom w:val="0"/>
      <w:divBdr>
        <w:top w:val="none" w:sz="0" w:space="0" w:color="auto"/>
        <w:left w:val="none" w:sz="0" w:space="0" w:color="auto"/>
        <w:bottom w:val="none" w:sz="0" w:space="0" w:color="auto"/>
        <w:right w:val="none" w:sz="0" w:space="0" w:color="auto"/>
      </w:divBdr>
    </w:div>
    <w:div w:id="20629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van.morris@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546&amp;cite=47USCAS309&amp;originatingDoc=Ic12427b7de0011dbb92c924f6a2d2928&amp;refType=LQ&amp;originationContext=document&amp;transitionType=DocumentItem&amp;contextData=(sc.Defa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4039</Words>
  <Characters>22051</Characters>
  <Application>Microsoft Office Word</Application>
  <DocSecurity>0</DocSecurity>
  <PresentationFormat>11|.DOC</PresentationFormat>
  <Lines>378</Lines>
  <Paragraphs>114</Paragraphs>
  <ScaleCrop>false</ScaleCrop>
  <HeadingPairs>
    <vt:vector size="2" baseType="variant">
      <vt:variant>
        <vt:lpstr>Title</vt:lpstr>
      </vt:variant>
      <vt:variant>
        <vt:i4>1</vt:i4>
      </vt:variant>
    </vt:vector>
  </HeadingPairs>
  <TitlesOfParts>
    <vt:vector size="1" baseType="lpstr">
      <vt:lpstr>FCC 10-6-15 FCC Draft IBC Consent Decree - FCC changes accepted - FHH additional red (00839332).DOC</vt:lpstr>
    </vt:vector>
  </TitlesOfParts>
  <Manager/>
  <Company/>
  <LinksUpToDate>false</LinksUpToDate>
  <CharactersWithSpaces>26133</CharactersWithSpaces>
  <SharedDoc>false</SharedDoc>
  <HyperlinkBase> </HyperlinkBase>
  <HLinks>
    <vt:vector size="12" baseType="variant">
      <vt:variant>
        <vt:i4>3276870</vt:i4>
      </vt:variant>
      <vt:variant>
        <vt:i4>4</vt:i4>
      </vt:variant>
      <vt:variant>
        <vt:i4>0</vt:i4>
      </vt:variant>
      <vt:variant>
        <vt:i4>5</vt:i4>
      </vt:variant>
      <vt:variant>
        <vt:lpwstr>mailto:evan.morris@fcc.gov</vt:lpwstr>
      </vt:variant>
      <vt:variant>
        <vt:lpwstr/>
      </vt:variant>
      <vt:variant>
        <vt:i4>5636174</vt:i4>
      </vt:variant>
      <vt:variant>
        <vt:i4>0</vt:i4>
      </vt:variant>
      <vt:variant>
        <vt:i4>0</vt:i4>
      </vt:variant>
      <vt:variant>
        <vt:i4>5</vt:i4>
      </vt:variant>
      <vt:variant>
        <vt:lpwstr>https://1.next.westlaw.com/Link/Document/FullText?findType=L&amp;pubNum=1000546&amp;cite=47USCAS309&amp;originatingDoc=Ic12427b7de0011dbb92c924f6a2d2928&amp;refType=LQ&amp;originationContext=document&amp;transitionType=DocumentItem&amp;contextData=(sc.Default)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2012-09-13T16:05:00Z</cp:lastPrinted>
  <dcterms:created xsi:type="dcterms:W3CDTF">2016-06-20T16:39:00Z</dcterms:created>
  <dcterms:modified xsi:type="dcterms:W3CDTF">2016-06-20T16:39:00Z</dcterms:modified>
  <cp:category> </cp:category>
  <cp:contentStatus> </cp:contentStatus>
</cp:coreProperties>
</file>