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72C4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F72C4D">
            <w:pPr>
              <w:widowControl/>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601CE" w:rsidRPr="00D601CE" w:rsidRDefault="00D601CE" w:rsidP="00D601CE">
            <w:pPr>
              <w:tabs>
                <w:tab w:val="center" w:pos="4680"/>
              </w:tabs>
              <w:suppressAutoHyphens/>
              <w:rPr>
                <w:spacing w:val="-2"/>
                <w:lang w:val="es-ES"/>
              </w:rPr>
            </w:pPr>
            <w:r w:rsidRPr="00D601CE">
              <w:rPr>
                <w:spacing w:val="-2"/>
                <w:lang w:val="es-ES"/>
              </w:rPr>
              <w:t>Royce International Broadcasting Company (Assignor)</w:t>
            </w:r>
          </w:p>
          <w:p w:rsidR="00D601CE" w:rsidRPr="00D601CE" w:rsidRDefault="00D601CE" w:rsidP="00D601CE">
            <w:pPr>
              <w:tabs>
                <w:tab w:val="center" w:pos="4680"/>
              </w:tabs>
              <w:suppressAutoHyphens/>
              <w:rPr>
                <w:spacing w:val="-2"/>
                <w:lang w:val="es-ES"/>
              </w:rPr>
            </w:pPr>
          </w:p>
          <w:p w:rsidR="00D601CE" w:rsidRPr="00D601CE" w:rsidRDefault="00D601CE" w:rsidP="00D601CE">
            <w:pPr>
              <w:ind w:right="-18"/>
              <w:rPr>
                <w:szCs w:val="22"/>
              </w:rPr>
            </w:pPr>
            <w:r w:rsidRPr="00D601CE">
              <w:rPr>
                <w:szCs w:val="22"/>
              </w:rPr>
              <w:t>and</w:t>
            </w:r>
          </w:p>
          <w:p w:rsidR="00D601CE" w:rsidRPr="00D601CE" w:rsidRDefault="00D601CE" w:rsidP="00D601CE">
            <w:pPr>
              <w:ind w:right="-18"/>
              <w:rPr>
                <w:szCs w:val="22"/>
              </w:rPr>
            </w:pPr>
          </w:p>
          <w:p w:rsidR="00D601CE" w:rsidRPr="00D601CE" w:rsidRDefault="00D601CE" w:rsidP="00D601CE">
            <w:pPr>
              <w:ind w:right="-18"/>
              <w:rPr>
                <w:szCs w:val="22"/>
              </w:rPr>
            </w:pPr>
            <w:r w:rsidRPr="00D601CE">
              <w:rPr>
                <w:szCs w:val="22"/>
              </w:rPr>
              <w:t xml:space="preserve">Entercom Communications Corp. (Assignee) </w:t>
            </w:r>
          </w:p>
          <w:p w:rsidR="00D601CE" w:rsidRPr="00D601CE" w:rsidRDefault="00D601CE" w:rsidP="00D601CE">
            <w:pPr>
              <w:ind w:right="-18"/>
              <w:rPr>
                <w:szCs w:val="22"/>
              </w:rPr>
            </w:pPr>
          </w:p>
          <w:p w:rsidR="00D601CE" w:rsidRPr="00D601CE" w:rsidRDefault="00D601CE" w:rsidP="00D601CE">
            <w:pPr>
              <w:ind w:right="-18"/>
              <w:rPr>
                <w:szCs w:val="22"/>
              </w:rPr>
            </w:pPr>
            <w:r w:rsidRPr="00D601CE">
              <w:rPr>
                <w:szCs w:val="22"/>
              </w:rPr>
              <w:t>Application for Assignment of License of Station KUDL(FM) (formerly KWOD), Sacramento, California</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601CE" w:rsidRDefault="00D601CE">
            <w:pPr>
              <w:tabs>
                <w:tab w:val="center" w:pos="4680"/>
              </w:tabs>
              <w:suppressAutoHyphens/>
              <w:rPr>
                <w:b/>
                <w:spacing w:val="-2"/>
              </w:rPr>
            </w:pPr>
            <w:r>
              <w:rPr>
                <w:b/>
                <w:spacing w:val="-2"/>
              </w:rPr>
              <w:t>)</w:t>
            </w:r>
          </w:p>
          <w:p w:rsidR="00D601CE" w:rsidRDefault="00D601CE">
            <w:pPr>
              <w:tabs>
                <w:tab w:val="center" w:pos="4680"/>
              </w:tabs>
              <w:suppressAutoHyphens/>
              <w:rPr>
                <w:b/>
                <w:spacing w:val="-2"/>
              </w:rPr>
            </w:pPr>
            <w:r>
              <w:rPr>
                <w:b/>
                <w:spacing w:val="-2"/>
              </w:rPr>
              <w:t>)</w:t>
            </w:r>
          </w:p>
          <w:p w:rsidR="00D601CE" w:rsidRDefault="00D601CE">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601CE" w:rsidRPr="00973737" w:rsidRDefault="00D601CE" w:rsidP="00D601CE">
            <w:pPr>
              <w:tabs>
                <w:tab w:val="center" w:pos="4680"/>
              </w:tabs>
              <w:suppressAutoHyphens/>
              <w:rPr>
                <w:spacing w:val="-2"/>
              </w:rPr>
            </w:pPr>
            <w:r w:rsidRPr="00973737">
              <w:rPr>
                <w:spacing w:val="-2"/>
              </w:rPr>
              <w:t>File No. B</w:t>
            </w:r>
            <w:r>
              <w:rPr>
                <w:spacing w:val="-2"/>
              </w:rPr>
              <w:t>ALH</w:t>
            </w:r>
            <w:r w:rsidRPr="00973737">
              <w:rPr>
                <w:spacing w:val="-2"/>
              </w:rPr>
              <w:t>-20</w:t>
            </w:r>
            <w:r>
              <w:rPr>
                <w:spacing w:val="-2"/>
              </w:rPr>
              <w:t>0021120ACE</w:t>
            </w:r>
          </w:p>
          <w:p w:rsidR="00D601CE" w:rsidRPr="00973737" w:rsidRDefault="00D601CE" w:rsidP="00D601CE">
            <w:pPr>
              <w:tabs>
                <w:tab w:val="center" w:pos="4680"/>
              </w:tabs>
              <w:suppressAutoHyphens/>
              <w:rPr>
                <w:spacing w:val="-2"/>
              </w:rPr>
            </w:pPr>
            <w:r w:rsidRPr="00973737">
              <w:rPr>
                <w:spacing w:val="-2"/>
              </w:rPr>
              <w:t xml:space="preserve">Facility ID No. </w:t>
            </w:r>
            <w:r>
              <w:rPr>
                <w:spacing w:val="-2"/>
              </w:rPr>
              <w:t>57889</w:t>
            </w:r>
          </w:p>
          <w:p w:rsidR="004C2EE3" w:rsidRDefault="004C2EE3">
            <w:pPr>
              <w:tabs>
                <w:tab w:val="center" w:pos="4680"/>
              </w:tabs>
              <w:suppressAutoHyphens/>
              <w:rPr>
                <w:spacing w:val="-2"/>
              </w:rPr>
            </w:pPr>
          </w:p>
        </w:tc>
      </w:tr>
    </w:tbl>
    <w:p w:rsidR="00841AB1" w:rsidRDefault="00D601CE"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B18CD">
        <w:rPr>
          <w:b/>
          <w:spacing w:val="-2"/>
        </w:rPr>
        <w:t>June 17</w:t>
      </w:r>
      <w:r w:rsidR="00D601CE">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18CD">
        <w:rPr>
          <w:b/>
          <w:spacing w:val="-2"/>
        </w:rPr>
        <w:t>June 20</w:t>
      </w:r>
      <w:r w:rsidR="00D601CE">
        <w:rPr>
          <w:b/>
          <w:spacing w:val="-2"/>
        </w:rPr>
        <w:t>, 2016</w:t>
      </w:r>
    </w:p>
    <w:p w:rsidR="00822CE0" w:rsidRDefault="00822CE0"/>
    <w:p w:rsidR="004C2EE3" w:rsidRDefault="004C2EE3">
      <w:pPr>
        <w:rPr>
          <w:spacing w:val="-2"/>
        </w:rPr>
      </w:pPr>
      <w:r>
        <w:t xml:space="preserve">By </w:t>
      </w:r>
      <w:r w:rsidR="004E4A22">
        <w:t>the</w:t>
      </w:r>
      <w:r w:rsidR="002A2D2E">
        <w:t xml:space="preserve"> </w:t>
      </w:r>
      <w:r w:rsidR="00D601CE">
        <w:rPr>
          <w:spacing w:val="-2"/>
        </w:rPr>
        <w:t>Commission</w:t>
      </w:r>
      <w:r>
        <w:rPr>
          <w:spacing w:val="-2"/>
        </w:rPr>
        <w:t>:</w:t>
      </w:r>
    </w:p>
    <w:p w:rsidR="00412FC5" w:rsidRDefault="00412FC5" w:rsidP="00412FC5"/>
    <w:p w:rsidR="00D601CE" w:rsidRPr="00DA61BC" w:rsidRDefault="00D601CE" w:rsidP="00D601CE">
      <w:pPr>
        <w:pStyle w:val="ParaNum"/>
        <w:tabs>
          <w:tab w:val="clear" w:pos="1440"/>
          <w:tab w:val="num" w:pos="1080"/>
        </w:tabs>
      </w:pPr>
      <w:r w:rsidRPr="00973737">
        <w:t xml:space="preserve">We have before us </w:t>
      </w:r>
      <w:r>
        <w:t xml:space="preserve">a February 18, 2016, </w:t>
      </w:r>
      <w:r w:rsidRPr="00973737">
        <w:t>Application for Review (</w:t>
      </w:r>
      <w:r>
        <w:t>2016</w:t>
      </w:r>
      <w:r w:rsidRPr="00973737">
        <w:t xml:space="preserve"> AFR)</w:t>
      </w:r>
      <w:r>
        <w:rPr>
          <w:rStyle w:val="FootnoteReference"/>
        </w:rPr>
        <w:footnoteReference w:id="2"/>
      </w:r>
      <w:r w:rsidRPr="00973737">
        <w:t xml:space="preserve"> </w:t>
      </w:r>
      <w:r>
        <w:t xml:space="preserve">filed </w:t>
      </w:r>
      <w:r w:rsidRPr="00973737">
        <w:rPr>
          <w:szCs w:val="22"/>
        </w:rPr>
        <w:t xml:space="preserve">by </w:t>
      </w:r>
      <w:r>
        <w:rPr>
          <w:szCs w:val="22"/>
        </w:rPr>
        <w:t>Royce International Broadcasting Company (</w:t>
      </w:r>
      <w:r>
        <w:t>Royce</w:t>
      </w:r>
      <w:r w:rsidRPr="00973737">
        <w:t>)</w:t>
      </w:r>
      <w:r>
        <w:t>,</w:t>
      </w:r>
      <w:r w:rsidRPr="00973737">
        <w:t xml:space="preserve"> seeking review of a Media Bureau (Bureau) decision</w:t>
      </w:r>
      <w:r>
        <w:rPr>
          <w:rStyle w:val="FootnoteReference"/>
        </w:rPr>
        <w:footnoteReference w:id="3"/>
      </w:r>
      <w:r w:rsidRPr="00973737">
        <w:t xml:space="preserve"> tha</w:t>
      </w:r>
      <w:r>
        <w:t xml:space="preserve">t </w:t>
      </w:r>
      <w:r w:rsidRPr="00973737">
        <w:t xml:space="preserve">dismissed </w:t>
      </w:r>
      <w:r>
        <w:t xml:space="preserve">as “plainly not warranting Commission consideration” because the Royce “fail[ed] to identify any material error, omission, or reason warranting reconsideration,” </w:t>
      </w:r>
      <w:r w:rsidRPr="00973737">
        <w:t>pursuant to Section 1.</w:t>
      </w:r>
      <w:r>
        <w:t>106(p)(1)</w:t>
      </w:r>
      <w:r w:rsidRPr="00973737">
        <w:t xml:space="preserve"> of the </w:t>
      </w:r>
      <w:r>
        <w:t>FCC’</w:t>
      </w:r>
      <w:r w:rsidRPr="00973737">
        <w:t>s Rules (Rules)</w:t>
      </w:r>
      <w:r>
        <w:t>,</w:t>
      </w:r>
      <w:r w:rsidRPr="00973737">
        <w:rPr>
          <w:rStyle w:val="FootnoteReference"/>
        </w:rPr>
        <w:footnoteReference w:id="4"/>
      </w:r>
      <w:r>
        <w:t xml:space="preserve"> Royce’s October 19, 2015,</w:t>
      </w:r>
      <w:r w:rsidRPr="00973737">
        <w:t xml:space="preserve"> </w:t>
      </w:r>
      <w:r>
        <w:t xml:space="preserve">Petition for Reconsideration (Petition). </w:t>
      </w:r>
      <w:r w:rsidRPr="00973737">
        <w:t xml:space="preserve"> </w:t>
      </w:r>
      <w:r>
        <w:t xml:space="preserve">The Petition sought reconsideration of our </w:t>
      </w:r>
      <w:r w:rsidRPr="005F3595">
        <w:rPr>
          <w:i/>
        </w:rPr>
        <w:t>Memorandum Opinion and Order</w:t>
      </w:r>
      <w:r>
        <w:rPr>
          <w:rStyle w:val="FootnoteReference"/>
        </w:rPr>
        <w:footnoteReference w:id="5"/>
      </w:r>
      <w:r>
        <w:t xml:space="preserve"> which dismissed in part and denied in part Royce’s September 20, 2005, Application for Review (2005 AFR) seeking to overturn the Bureau’s grant of the above-captioned application (Application) for Commission consent to the assignment of license of Station KUDL(FM), Sacramento, California (Station), from Royce to Entercom Communications Corp. (Entercom).</w:t>
      </w:r>
      <w:r>
        <w:rPr>
          <w:rStyle w:val="FootnoteReference"/>
        </w:rPr>
        <w:footnoteReference w:id="6"/>
      </w:r>
      <w:r>
        <w:t xml:space="preserve">  For the reasons set forth below, we deny the 2016 AFR.</w:t>
      </w:r>
    </w:p>
    <w:p w:rsidR="00D601CE" w:rsidRDefault="00D601CE" w:rsidP="00712F3F">
      <w:pPr>
        <w:pStyle w:val="ParaNum"/>
        <w:widowControl/>
        <w:tabs>
          <w:tab w:val="clear" w:pos="1440"/>
          <w:tab w:val="num" w:pos="1080"/>
        </w:tabs>
      </w:pPr>
      <w:r w:rsidRPr="00722757">
        <w:t xml:space="preserve">The sole issue presented for review is the propriety of the Bureau’s action dismissing the Petition.  </w:t>
      </w:r>
      <w:r>
        <w:t xml:space="preserve">Royce claims that the </w:t>
      </w:r>
      <w:r w:rsidRPr="00925226">
        <w:rPr>
          <w:i/>
        </w:rPr>
        <w:t>Bureau Order</w:t>
      </w:r>
      <w:r>
        <w:t xml:space="preserve"> was arbitrary, capricious and contrary to law, and that the staff dismissal pursuant to Section 1.106(p)(1)</w:t>
      </w:r>
      <w:r>
        <w:rPr>
          <w:rStyle w:val="FootnoteReference"/>
        </w:rPr>
        <w:footnoteReference w:id="7"/>
      </w:r>
      <w:r>
        <w:t xml:space="preserve"> has frustrated its ability to seek judicial review.  Substantively, Royce reiterates the following arguments that were rejected in the </w:t>
      </w:r>
      <w:r w:rsidRPr="00925226">
        <w:rPr>
          <w:i/>
        </w:rPr>
        <w:t>Bureau Order</w:t>
      </w:r>
      <w:r>
        <w:t xml:space="preserve">:  (1) the </w:t>
      </w:r>
      <w:r>
        <w:rPr>
          <w:i/>
        </w:rPr>
        <w:t xml:space="preserve">2015 MO&amp;O </w:t>
      </w:r>
      <w:r>
        <w:t>violated Section 155(d) of the Communications Act of 1934, as amended,</w:t>
      </w:r>
      <w:r>
        <w:rPr>
          <w:rStyle w:val="FootnoteReference"/>
        </w:rPr>
        <w:footnoteReference w:id="8"/>
      </w:r>
      <w:r>
        <w:t xml:space="preserve"> and Section 706 </w:t>
      </w:r>
      <w:r>
        <w:lastRenderedPageBreak/>
        <w:t>of the Administrative Procedure Act</w:t>
      </w:r>
      <w:r>
        <w:rPr>
          <w:rStyle w:val="FootnoteReference"/>
        </w:rPr>
        <w:footnoteReference w:id="9"/>
      </w:r>
      <w:r>
        <w:t xml:space="preserve"> because the Commission took almost 10 years to act on the 2005 AFR; (2) this application proceeding “is governed” by </w:t>
      </w:r>
      <w:r>
        <w:rPr>
          <w:i/>
        </w:rPr>
        <w:t>Kidd v. FCC</w:t>
      </w:r>
      <w:r>
        <w:t>,</w:t>
      </w:r>
      <w:r>
        <w:rPr>
          <w:rStyle w:val="FootnoteReference"/>
        </w:rPr>
        <w:footnoteReference w:id="10"/>
      </w:r>
      <w:r>
        <w:t xml:space="preserve"> a case decided after the pleading cycle for the 2005 AFR had closed; and (3) the </w:t>
      </w:r>
      <w:r w:rsidRPr="00925226">
        <w:rPr>
          <w:i/>
        </w:rPr>
        <w:t>2015 MO&amp;O</w:t>
      </w:r>
      <w:r>
        <w:t xml:space="preserve"> improperly rejected three Royce arguments as procedurally barred.  </w:t>
      </w:r>
    </w:p>
    <w:p w:rsidR="00D601CE" w:rsidRDefault="00D601CE" w:rsidP="00D601CE">
      <w:pPr>
        <w:pStyle w:val="ParaNum"/>
        <w:tabs>
          <w:tab w:val="clear" w:pos="1440"/>
          <w:tab w:val="num" w:pos="1080"/>
        </w:tabs>
      </w:pPr>
      <w:r>
        <w:t>In Opposition, Entercom alleges that the 2016 AFR “merely rehashes (often verbatim) matters that have repeatedly been addressed and resolved by the Commission.”</w:t>
      </w:r>
      <w:r>
        <w:rPr>
          <w:rStyle w:val="FootnoteReference"/>
        </w:rPr>
        <w:footnoteReference w:id="11"/>
      </w:r>
      <w:r>
        <w:t xml:space="preserve">  It argues that: (1) the Bureau properly applied Section 1.106(p) in this case;</w:t>
      </w:r>
      <w:r>
        <w:rPr>
          <w:rStyle w:val="FootnoteReference"/>
        </w:rPr>
        <w:footnoteReference w:id="12"/>
      </w:r>
      <w:r>
        <w:t xml:space="preserve"> (2) Royce continues to mischaracterize Section 155(d) of the Act and 706 of the APA;</w:t>
      </w:r>
      <w:r>
        <w:rPr>
          <w:rStyle w:val="FootnoteReference"/>
        </w:rPr>
        <w:footnoteReference w:id="13"/>
      </w:r>
      <w:r>
        <w:t xml:space="preserve"> (3) Royce also continues to mischaracterize both </w:t>
      </w:r>
      <w:r w:rsidRPr="001A093B">
        <w:rPr>
          <w:i/>
        </w:rPr>
        <w:t>Kidd</w:t>
      </w:r>
      <w:r>
        <w:t>, the appellate case on which Royce relies and the facts of this case;</w:t>
      </w:r>
      <w:r>
        <w:rPr>
          <w:rStyle w:val="FootnoteReference"/>
        </w:rPr>
        <w:footnoteReference w:id="14"/>
      </w:r>
      <w:r>
        <w:t xml:space="preserve"> and (4) Royce’s claim that the Bureau “prevented [it] from getting” a ruling on three arguments presented for the first time in the 2005 AFR fails because that contention was sufficiently addressed by the </w:t>
      </w:r>
      <w:r>
        <w:rPr>
          <w:i/>
        </w:rPr>
        <w:t xml:space="preserve">2015 MO&amp;O </w:t>
      </w:r>
      <w:r>
        <w:t xml:space="preserve">and the </w:t>
      </w:r>
      <w:r>
        <w:rPr>
          <w:i/>
        </w:rPr>
        <w:t>Bureau Order.</w:t>
      </w:r>
      <w:r w:rsidRPr="004C3865">
        <w:rPr>
          <w:rStyle w:val="FootnoteReference"/>
        </w:rPr>
        <w:footnoteReference w:id="15"/>
      </w:r>
    </w:p>
    <w:p w:rsidR="00D601CE" w:rsidRPr="000D6F2F" w:rsidRDefault="00D601CE" w:rsidP="00D601CE">
      <w:pPr>
        <w:pStyle w:val="ParaNum"/>
        <w:widowControl/>
        <w:tabs>
          <w:tab w:val="clear" w:pos="1440"/>
          <w:tab w:val="num" w:pos="1080"/>
        </w:tabs>
        <w:rPr>
          <w:szCs w:val="22"/>
        </w:rPr>
      </w:pPr>
      <w:r>
        <w:rPr>
          <w:i/>
        </w:rPr>
        <w:t>Discussion</w:t>
      </w:r>
      <w:r>
        <w:t xml:space="preserve">. </w:t>
      </w:r>
      <w:r>
        <w:rPr>
          <w:i/>
        </w:rPr>
        <w:t xml:space="preserve"> </w:t>
      </w:r>
      <w:r>
        <w:t xml:space="preserve">We affirm the dismissal of the Petition.  A petition for reconsideration of the Commission’s denial of an application for review will be entertained only if:  </w:t>
      </w:r>
      <w:r w:rsidRPr="00A42221">
        <w:t>(1) the petition relies on facts which relate to events which have occurred or circumstances which have changed since the last opportunity to present such matters, or (2) the petition relies on facts unknown to petitioner until after his last opportunity to present such matters which could not, through the exercise of ordinary diligence, have been learned prior to such opportunity</w:t>
      </w:r>
      <w:r>
        <w:t>.</w:t>
      </w:r>
      <w:r>
        <w:rPr>
          <w:rStyle w:val="FootnoteReference"/>
        </w:rPr>
        <w:footnoteReference w:id="16"/>
      </w:r>
      <w:r>
        <w:t xml:space="preserve">  Petitions failing to meet these narrow grounds are subject to dismissal.</w:t>
      </w:r>
      <w:r>
        <w:rPr>
          <w:rStyle w:val="FootnoteReference"/>
        </w:rPr>
        <w:footnoteReference w:id="17"/>
      </w:r>
      <w:r>
        <w:t xml:space="preserve">   </w:t>
      </w:r>
    </w:p>
    <w:p w:rsidR="00D601CE" w:rsidRDefault="00D601CE" w:rsidP="00D601CE">
      <w:pPr>
        <w:pStyle w:val="ParaNum"/>
        <w:widowControl/>
        <w:tabs>
          <w:tab w:val="clear" w:pos="1440"/>
          <w:tab w:val="num" w:pos="1080"/>
        </w:tabs>
      </w:pPr>
      <w:r>
        <w:t xml:space="preserve">The Petition did not meet the narrow grounds for reconsideration of the </w:t>
      </w:r>
      <w:r w:rsidRPr="00322439">
        <w:rPr>
          <w:i/>
        </w:rPr>
        <w:t>2015 MO&amp;O</w:t>
      </w:r>
      <w:r>
        <w:t>. Initially, we find that Royce could have raised its Section 155(d) “undue delay” argument earlier in this proceeding and therefore that this issue was impermissibly argued for the first time in the Petition.  Moreover, to the extent that Royce believed that the Commission’s delay in ruling on its 2005 AFR was prejudicial,</w:t>
      </w:r>
      <w:r>
        <w:rPr>
          <w:rStyle w:val="FootnoteReference"/>
        </w:rPr>
        <w:footnoteReference w:id="18"/>
      </w:r>
      <w:r>
        <w:t xml:space="preserve"> it fails to show how a different outcome would have been reached if action had occurred sooner.</w:t>
      </w:r>
      <w:r>
        <w:rPr>
          <w:rStyle w:val="FootnoteReference"/>
        </w:rPr>
        <w:footnoteReference w:id="19"/>
      </w:r>
    </w:p>
    <w:p w:rsidR="00D601CE" w:rsidRPr="00FF3D8B" w:rsidRDefault="00D601CE" w:rsidP="00D601CE">
      <w:pPr>
        <w:pStyle w:val="ParaNum"/>
        <w:widowControl/>
        <w:tabs>
          <w:tab w:val="clear" w:pos="1440"/>
          <w:tab w:val="num" w:pos="1080"/>
        </w:tabs>
      </w:pPr>
      <w:r>
        <w:rPr>
          <w:szCs w:val="22"/>
        </w:rPr>
        <w:t xml:space="preserve">We also agree with the Bureau’s rejection as meritless </w:t>
      </w:r>
      <w:r w:rsidRPr="00CE1735">
        <w:rPr>
          <w:szCs w:val="22"/>
        </w:rPr>
        <w:t xml:space="preserve">Royce’s claim in the Petition that </w:t>
      </w:r>
      <w:r>
        <w:rPr>
          <w:szCs w:val="22"/>
        </w:rPr>
        <w:t xml:space="preserve">the October 2005 </w:t>
      </w:r>
      <w:r w:rsidRPr="00CE1735">
        <w:rPr>
          <w:i/>
          <w:szCs w:val="22"/>
        </w:rPr>
        <w:t xml:space="preserve">Kidd </w:t>
      </w:r>
      <w:r>
        <w:rPr>
          <w:szCs w:val="22"/>
        </w:rPr>
        <w:t xml:space="preserve">appellate decision </w:t>
      </w:r>
      <w:r w:rsidRPr="00CE1735">
        <w:rPr>
          <w:szCs w:val="22"/>
        </w:rPr>
        <w:t>is a new fact or changed circumstance that occurred after Royce’s last opportunity to present such matters to the Commission</w:t>
      </w:r>
      <w:r>
        <w:rPr>
          <w:szCs w:val="22"/>
        </w:rPr>
        <w:t xml:space="preserve">, warranting reconsideration of our </w:t>
      </w:r>
      <w:r w:rsidRPr="001A093B">
        <w:rPr>
          <w:i/>
          <w:szCs w:val="22"/>
        </w:rPr>
        <w:t>2015 MO&amp;O</w:t>
      </w:r>
      <w:r>
        <w:rPr>
          <w:szCs w:val="22"/>
        </w:rPr>
        <w:t xml:space="preserve">. Royce ignores the well-established flexibility accorded parties by Commission procedures.  </w:t>
      </w:r>
      <w:r>
        <w:rPr>
          <w:szCs w:val="22"/>
        </w:rPr>
        <w:lastRenderedPageBreak/>
        <w:t>Royce</w:t>
      </w:r>
      <w:r w:rsidRPr="00CE1735">
        <w:rPr>
          <w:szCs w:val="22"/>
        </w:rPr>
        <w:t xml:space="preserve"> could have filed a motion to accept a late-filed pleading with the Bureau </w:t>
      </w:r>
      <w:r>
        <w:rPr>
          <w:szCs w:val="22"/>
        </w:rPr>
        <w:t xml:space="preserve">upon release of </w:t>
      </w:r>
      <w:r w:rsidRPr="00CE1735">
        <w:rPr>
          <w:szCs w:val="22"/>
        </w:rPr>
        <w:t xml:space="preserve">the </w:t>
      </w:r>
      <w:r w:rsidRPr="00CE1735">
        <w:rPr>
          <w:i/>
          <w:szCs w:val="22"/>
        </w:rPr>
        <w:t>Kidd</w:t>
      </w:r>
      <w:r w:rsidRPr="00CE1735">
        <w:rPr>
          <w:szCs w:val="22"/>
        </w:rPr>
        <w:t xml:space="preserve"> decision </w:t>
      </w:r>
      <w:r>
        <w:rPr>
          <w:szCs w:val="22"/>
        </w:rPr>
        <w:t>or at any time during the pendency of the 2005 AFR</w:t>
      </w:r>
      <w:r w:rsidRPr="00CE1735">
        <w:rPr>
          <w:szCs w:val="22"/>
        </w:rPr>
        <w:t xml:space="preserve">.  The Commission </w:t>
      </w:r>
      <w:r>
        <w:rPr>
          <w:szCs w:val="22"/>
        </w:rPr>
        <w:t>historically has</w:t>
      </w:r>
      <w:r w:rsidRPr="00CE1735">
        <w:rPr>
          <w:szCs w:val="22"/>
        </w:rPr>
        <w:t xml:space="preserve"> found that g</w:t>
      </w:r>
      <w:r w:rsidRPr="00CE1735">
        <w:rPr>
          <w:bCs/>
          <w:szCs w:val="22"/>
        </w:rPr>
        <w:t>ood</w:t>
      </w:r>
      <w:r w:rsidRPr="00CE1735">
        <w:rPr>
          <w:szCs w:val="22"/>
        </w:rPr>
        <w:t xml:space="preserve"> </w:t>
      </w:r>
      <w:r w:rsidRPr="00CE1735">
        <w:rPr>
          <w:bCs/>
          <w:szCs w:val="22"/>
        </w:rPr>
        <w:t>cause</w:t>
      </w:r>
      <w:r w:rsidRPr="00CE1735">
        <w:rPr>
          <w:szCs w:val="22"/>
        </w:rPr>
        <w:t xml:space="preserve"> exists for acceptance of such pleadings.</w:t>
      </w:r>
      <w:r>
        <w:rPr>
          <w:rStyle w:val="FootnoteReference"/>
          <w:szCs w:val="22"/>
        </w:rPr>
        <w:footnoteReference w:id="20"/>
      </w:r>
      <w:r w:rsidRPr="00CE1735">
        <w:rPr>
          <w:szCs w:val="22"/>
        </w:rPr>
        <w:t xml:space="preserve">  </w:t>
      </w:r>
      <w:r>
        <w:rPr>
          <w:szCs w:val="22"/>
        </w:rPr>
        <w:t>Royce filed no such motion.</w:t>
      </w:r>
      <w:r w:rsidRPr="00947DE4">
        <w:rPr>
          <w:szCs w:val="22"/>
        </w:rPr>
        <w:t xml:space="preserve"> </w:t>
      </w:r>
      <w:r>
        <w:rPr>
          <w:szCs w:val="22"/>
        </w:rPr>
        <w:t xml:space="preserve">   </w:t>
      </w:r>
    </w:p>
    <w:p w:rsidR="00D601CE" w:rsidRDefault="00D601CE" w:rsidP="00D601CE">
      <w:pPr>
        <w:pStyle w:val="ParaNum"/>
        <w:widowControl/>
        <w:tabs>
          <w:tab w:val="clear" w:pos="1440"/>
          <w:tab w:val="num" w:pos="1080"/>
        </w:tabs>
      </w:pPr>
      <w:r w:rsidRPr="000D6F2F">
        <w:t xml:space="preserve">Finally, regarding Royce’s contention </w:t>
      </w:r>
      <w:r>
        <w:t xml:space="preserve">in the Petition and here </w:t>
      </w:r>
      <w:r w:rsidRPr="000D6F2F">
        <w:t>that the Commission acted arbitrarily in dismissing on procedural grounds three arguments that Royce claims were “subsumed within” the primary issue of whether the Bureau correctly processed the Application in accordance with the Commission’s multiple ownership rules,</w:t>
      </w:r>
      <w:r w:rsidRPr="000D6F2F">
        <w:rPr>
          <w:rStyle w:val="FootnoteReference"/>
          <w:sz w:val="22"/>
          <w:szCs w:val="22"/>
        </w:rPr>
        <w:footnoteReference w:id="21"/>
      </w:r>
      <w:r w:rsidRPr="000D6F2F">
        <w:t xml:space="preserve"> </w:t>
      </w:r>
      <w:r>
        <w:t xml:space="preserve">as we concluded in footnote 11 of the </w:t>
      </w:r>
      <w:r w:rsidRPr="001A093B">
        <w:rPr>
          <w:i/>
        </w:rPr>
        <w:t xml:space="preserve">2015 </w:t>
      </w:r>
      <w:r>
        <w:rPr>
          <w:i/>
        </w:rPr>
        <w:t>MO&amp;O</w:t>
      </w:r>
      <w:r>
        <w:t>,</w:t>
      </w:r>
      <w:r w:rsidRPr="000D6F2F">
        <w:t xml:space="preserve"> Royce never presented any of these specific arguments to the Bureau.  Thus, they were properly dismissed </w:t>
      </w:r>
      <w:r>
        <w:t xml:space="preserve">in </w:t>
      </w:r>
      <w:r w:rsidRPr="00C3259D">
        <w:t xml:space="preserve">the </w:t>
      </w:r>
      <w:r w:rsidRPr="00C3259D">
        <w:rPr>
          <w:i/>
        </w:rPr>
        <w:t>2015 MO&amp;O</w:t>
      </w:r>
      <w:r>
        <w:rPr>
          <w:i/>
        </w:rPr>
        <w:t>,</w:t>
      </w:r>
      <w:r w:rsidRPr="00C3259D">
        <w:t xml:space="preserve"> </w:t>
      </w:r>
      <w:r w:rsidRPr="000D6F2F">
        <w:t>pursuant to Section 1.115(c) of the Rules.</w:t>
      </w:r>
      <w:r w:rsidRPr="000D6F2F">
        <w:rPr>
          <w:rStyle w:val="FootnoteReference"/>
          <w:sz w:val="22"/>
          <w:szCs w:val="22"/>
        </w:rPr>
        <w:footnoteReference w:id="22"/>
      </w:r>
      <w:r w:rsidRPr="000D6F2F">
        <w:t xml:space="preserve">  </w:t>
      </w:r>
      <w:r>
        <w:t xml:space="preserve">The Bureau properly noted in the </w:t>
      </w:r>
      <w:r w:rsidRPr="00842352">
        <w:rPr>
          <w:i/>
        </w:rPr>
        <w:t>Bureau Order</w:t>
      </w:r>
      <w:r>
        <w:t xml:space="preserve"> that i</w:t>
      </w:r>
      <w:r w:rsidRPr="000D6F2F">
        <w:t>t is the Commission’s obligation to rule only on allegations actually made; it is not the Commission’s obligation to flesh out or embellish arguments inexpertly made by petitioners.</w:t>
      </w:r>
      <w:r w:rsidRPr="000D6F2F">
        <w:rPr>
          <w:rStyle w:val="FootnoteReference"/>
          <w:sz w:val="22"/>
          <w:szCs w:val="22"/>
        </w:rPr>
        <w:footnoteReference w:id="23"/>
      </w:r>
      <w:r w:rsidRPr="000D6F2F">
        <w:t xml:space="preserve">  Accordingly, we </w:t>
      </w:r>
      <w:r>
        <w:t>conclude that these arguments were improperly raised for the first time before the Commission and therefore subject to dismissal pursuant to Section 1.106(p)(2) of the Rules.</w:t>
      </w:r>
    </w:p>
    <w:p w:rsidR="00D601CE" w:rsidRDefault="00D601CE" w:rsidP="00D601CE">
      <w:pPr>
        <w:pStyle w:val="ParaNum"/>
        <w:widowControl/>
        <w:tabs>
          <w:tab w:val="clear" w:pos="1440"/>
          <w:tab w:val="num" w:pos="1080"/>
        </w:tabs>
      </w:pPr>
      <w:r>
        <w:t xml:space="preserve">Having found that each of the arguments raised in the Petition is subject to dismissal for the reasons stated above, we also conclude that the Bureau appropriately concluded that the Petition was itself subject to dismissal.  Accordingly, we dismiss as moot the argument that the staff dismissal of the Petition pursuant to Section 1.106(p)(1) was arbitrary, capricious and contrary to law.  In 2015, we denied Royce’s 2005 AFR, concluding that Royce’s contentions that the Bureau’s grant of the Application was improper were without merit.  Regarding Royce’s untimely and unsupported contention that it was somehow prejudiced by the delay in our so affirming the Bureau, while that delay is regrettable, it does not alter the fact that the Bureau’s grant of the Application was appropriate. </w:t>
      </w:r>
    </w:p>
    <w:p w:rsidR="00D601CE" w:rsidRPr="000D6F2F" w:rsidRDefault="00D601CE" w:rsidP="00D601CE">
      <w:pPr>
        <w:pStyle w:val="ParaNum"/>
        <w:tabs>
          <w:tab w:val="clear" w:pos="1440"/>
          <w:tab w:val="num" w:pos="1080"/>
        </w:tabs>
        <w:rPr>
          <w:szCs w:val="22"/>
        </w:rPr>
      </w:pPr>
      <w:r w:rsidRPr="000D6F2F">
        <w:rPr>
          <w:szCs w:val="22"/>
        </w:rPr>
        <w:t xml:space="preserve">ACCORDINGLY, IT IS ORDERED that, pursuant to Section 5(c)(5) of the Communications Act of 1934, as amended, </w:t>
      </w:r>
      <w:hyperlink r:id="rId8" w:anchor="co_pp_a83c0000180e0" w:history="1">
        <w:r w:rsidRPr="000D6F2F">
          <w:rPr>
            <w:rStyle w:val="Hyperlink"/>
            <w:color w:val="auto"/>
            <w:szCs w:val="22"/>
            <w:u w:val="none"/>
          </w:rPr>
          <w:t>47 U.S.C. § 155(c)(5)</w:t>
        </w:r>
      </w:hyperlink>
      <w:r w:rsidRPr="000D6F2F">
        <w:rPr>
          <w:szCs w:val="22"/>
        </w:rPr>
        <w:t xml:space="preserve">, and Section 1.115(g) of the FCC’s Rules, </w:t>
      </w:r>
      <w:hyperlink r:id="rId9" w:anchor="co_pp_16f4000091d86" w:history="1">
        <w:r w:rsidRPr="000D6F2F">
          <w:rPr>
            <w:rStyle w:val="Hyperlink"/>
            <w:color w:val="auto"/>
            <w:szCs w:val="22"/>
            <w:u w:val="none"/>
          </w:rPr>
          <w:t>47 CFR § 1.115(g)</w:t>
        </w:r>
      </w:hyperlink>
      <w:r w:rsidRPr="000D6F2F">
        <w:rPr>
          <w:szCs w:val="22"/>
        </w:rPr>
        <w:t xml:space="preserve">, the February 18, 2016, Application for Review filed by Royce International Broadcasting Company, IS DENIED. </w:t>
      </w:r>
    </w:p>
    <w:p w:rsidR="0074015E" w:rsidRDefault="0074015E" w:rsidP="0017296B">
      <w:r>
        <w:tab/>
      </w:r>
      <w:r>
        <w:tab/>
      </w:r>
      <w:r>
        <w:tab/>
      </w:r>
      <w:r>
        <w:tab/>
      </w:r>
      <w:r>
        <w:tab/>
      </w:r>
      <w:r>
        <w:tab/>
        <w:t>FEDERAL COMMUNICATIONS COMMISSION</w:t>
      </w:r>
    </w:p>
    <w:p w:rsidR="0074015E" w:rsidRDefault="0074015E" w:rsidP="0017296B"/>
    <w:p w:rsidR="0074015E" w:rsidRDefault="0074015E" w:rsidP="0017296B"/>
    <w:p w:rsidR="0074015E" w:rsidRDefault="0074015E" w:rsidP="0017296B"/>
    <w:p w:rsidR="0074015E" w:rsidRDefault="0074015E" w:rsidP="0017296B"/>
    <w:p w:rsidR="0074015E" w:rsidRDefault="0074015E" w:rsidP="0017296B">
      <w:r>
        <w:tab/>
      </w:r>
      <w:r>
        <w:tab/>
      </w:r>
      <w:r>
        <w:tab/>
      </w:r>
      <w:r>
        <w:tab/>
      </w:r>
      <w:r>
        <w:tab/>
      </w:r>
      <w:r>
        <w:tab/>
        <w:t>Marlene H. Dortch</w:t>
      </w:r>
    </w:p>
    <w:p w:rsidR="002C00E8" w:rsidRPr="002C00E8" w:rsidRDefault="0074015E" w:rsidP="00F72C4D">
      <w:pPr>
        <w:widowControl/>
      </w:pPr>
      <w:r>
        <w:tab/>
      </w:r>
      <w:r>
        <w:tab/>
      </w:r>
      <w:r>
        <w:tab/>
      </w:r>
      <w:r>
        <w:tab/>
      </w:r>
      <w:r>
        <w:tab/>
      </w:r>
      <w:r>
        <w:tab/>
        <w:t>Secretary</w:t>
      </w:r>
    </w:p>
    <w:sectPr w:rsidR="002C00E8"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B1" w:rsidRDefault="00886FB1">
      <w:pPr>
        <w:spacing w:line="20" w:lineRule="exact"/>
      </w:pPr>
    </w:p>
  </w:endnote>
  <w:endnote w:type="continuationSeparator" w:id="0">
    <w:p w:rsidR="00886FB1" w:rsidRDefault="00886FB1">
      <w:r>
        <w:t xml:space="preserve"> </w:t>
      </w:r>
    </w:p>
  </w:endnote>
  <w:endnote w:type="continuationNotice" w:id="1">
    <w:p w:rsidR="00886FB1" w:rsidRDefault="00886F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5DA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B1" w:rsidRDefault="00886FB1">
      <w:r>
        <w:separator/>
      </w:r>
    </w:p>
  </w:footnote>
  <w:footnote w:type="continuationSeparator" w:id="0">
    <w:p w:rsidR="00886FB1" w:rsidRDefault="00886FB1" w:rsidP="00C721AC">
      <w:pPr>
        <w:spacing w:before="120"/>
        <w:rPr>
          <w:sz w:val="20"/>
        </w:rPr>
      </w:pPr>
      <w:r>
        <w:rPr>
          <w:sz w:val="20"/>
        </w:rPr>
        <w:t xml:space="preserve">(Continued from previous page)  </w:t>
      </w:r>
      <w:r>
        <w:rPr>
          <w:sz w:val="20"/>
        </w:rPr>
        <w:separator/>
      </w:r>
    </w:p>
  </w:footnote>
  <w:footnote w:type="continuationNotice" w:id="1">
    <w:p w:rsidR="00886FB1" w:rsidRDefault="00886FB1" w:rsidP="00C721AC">
      <w:pPr>
        <w:jc w:val="right"/>
        <w:rPr>
          <w:sz w:val="20"/>
        </w:rPr>
      </w:pPr>
      <w:r>
        <w:rPr>
          <w:sz w:val="20"/>
        </w:rPr>
        <w:t>(continued….)</w:t>
      </w:r>
    </w:p>
  </w:footnote>
  <w:footnote w:id="2">
    <w:p w:rsidR="00D601CE" w:rsidRDefault="00D601CE" w:rsidP="00D601CE">
      <w:pPr>
        <w:pStyle w:val="FootnoteText"/>
      </w:pPr>
      <w:r>
        <w:rPr>
          <w:rStyle w:val="FootnoteReference"/>
        </w:rPr>
        <w:footnoteRef/>
      </w:r>
      <w:r>
        <w:t xml:space="preserve"> On March 1, 2016, Royce filed a Motion for Leave to File Erratum to Application for Review to correct two typographical errors in the 2016 AFR.  On March 4, 2016, Entercom filed an Opposition to the 2016 AFR, to which Royce replied on March 17, 2016. </w:t>
      </w:r>
    </w:p>
  </w:footnote>
  <w:footnote w:id="3">
    <w:p w:rsidR="00D601CE" w:rsidRPr="00CA051D" w:rsidRDefault="00D601CE" w:rsidP="00D601CE">
      <w:pPr>
        <w:pStyle w:val="FootnoteText"/>
      </w:pPr>
      <w:r>
        <w:rPr>
          <w:rStyle w:val="FootnoteReference"/>
        </w:rPr>
        <w:footnoteRef/>
      </w:r>
      <w:r>
        <w:t xml:space="preserve"> </w:t>
      </w:r>
      <w:r>
        <w:rPr>
          <w:i/>
        </w:rPr>
        <w:t xml:space="preserve">See Royce International Broadcasting Company, </w:t>
      </w:r>
      <w:r>
        <w:t>Order on Reconsideration, DA 16-62 (MB 2016) (</w:t>
      </w:r>
      <w:r w:rsidRPr="00007FE5">
        <w:rPr>
          <w:i/>
        </w:rPr>
        <w:t>Bureau Order</w:t>
      </w:r>
      <w:r>
        <w:t xml:space="preserve">).  </w:t>
      </w:r>
    </w:p>
  </w:footnote>
  <w:footnote w:id="4">
    <w:p w:rsidR="00D601CE" w:rsidRPr="00CA051D" w:rsidRDefault="00D601CE" w:rsidP="00D601CE">
      <w:pPr>
        <w:pStyle w:val="FootnoteText"/>
        <w:rPr>
          <w:i/>
        </w:rPr>
      </w:pPr>
      <w:r w:rsidRPr="00973737">
        <w:rPr>
          <w:rStyle w:val="FootnoteReference"/>
        </w:rPr>
        <w:footnoteRef/>
      </w:r>
      <w:r w:rsidRPr="00973737">
        <w:t xml:space="preserve"> 47 CFR § 1.1</w:t>
      </w:r>
      <w:r>
        <w:t>06(p)(1)</w:t>
      </w:r>
      <w:r w:rsidRPr="00973737">
        <w:t>.</w:t>
      </w:r>
      <w:r>
        <w:rPr>
          <w:i/>
        </w:rPr>
        <w:t xml:space="preserve">   </w:t>
      </w:r>
    </w:p>
  </w:footnote>
  <w:footnote w:id="5">
    <w:p w:rsidR="00D601CE" w:rsidRPr="00CA051D" w:rsidRDefault="00D601CE" w:rsidP="00D601CE">
      <w:pPr>
        <w:pStyle w:val="FootnoteText"/>
        <w:rPr>
          <w:i/>
        </w:rPr>
      </w:pPr>
      <w:r>
        <w:rPr>
          <w:rStyle w:val="FootnoteReference"/>
        </w:rPr>
        <w:footnoteRef/>
      </w:r>
      <w:r>
        <w:t xml:space="preserve"> </w:t>
      </w:r>
      <w:r w:rsidRPr="00CA051D">
        <w:rPr>
          <w:i/>
        </w:rPr>
        <w:t xml:space="preserve">See </w:t>
      </w:r>
      <w:hyperlink r:id="rId1" w:history="1">
        <w:r w:rsidRPr="00CA051D">
          <w:rPr>
            <w:rStyle w:val="Hyperlink"/>
            <w:i/>
            <w:iCs/>
            <w:color w:val="auto"/>
            <w:u w:val="none"/>
          </w:rPr>
          <w:t>Royce International Broadcasting Company</w:t>
        </w:r>
        <w:r w:rsidRPr="00CA051D">
          <w:rPr>
            <w:rStyle w:val="Hyperlink"/>
            <w:i/>
            <w:color w:val="auto"/>
            <w:u w:val="none"/>
          </w:rPr>
          <w:t xml:space="preserve">, </w:t>
        </w:r>
        <w:r w:rsidRPr="00CA051D">
          <w:rPr>
            <w:rStyle w:val="Hyperlink"/>
            <w:color w:val="auto"/>
            <w:u w:val="none"/>
          </w:rPr>
          <w:t>Memorandum Opinion and Order,</w:t>
        </w:r>
        <w:r w:rsidRPr="00CA051D">
          <w:rPr>
            <w:rStyle w:val="Hyperlink"/>
            <w:i/>
            <w:color w:val="auto"/>
            <w:u w:val="none"/>
          </w:rPr>
          <w:t xml:space="preserve"> </w:t>
        </w:r>
        <w:r>
          <w:rPr>
            <w:rStyle w:val="Hyperlink"/>
            <w:color w:val="auto"/>
            <w:u w:val="none"/>
          </w:rPr>
          <w:t>3</w:t>
        </w:r>
        <w:r w:rsidRPr="00007FE5">
          <w:rPr>
            <w:rStyle w:val="Hyperlink"/>
            <w:color w:val="auto"/>
            <w:u w:val="none"/>
          </w:rPr>
          <w:t>0 FCC Rcd 10556 (2015</w:t>
        </w:r>
      </w:hyperlink>
      <w:r>
        <w:t>)</w:t>
      </w:r>
      <w:r w:rsidRPr="00CA051D">
        <w:rPr>
          <w:i/>
        </w:rPr>
        <w:t xml:space="preserve"> </w:t>
      </w:r>
      <w:r w:rsidRPr="00007FE5">
        <w:t>(</w:t>
      </w:r>
      <w:r>
        <w:rPr>
          <w:i/>
        </w:rPr>
        <w:t xml:space="preserve">2015 </w:t>
      </w:r>
      <w:r w:rsidRPr="00007FE5">
        <w:rPr>
          <w:i/>
          <w:iCs/>
        </w:rPr>
        <w:t>MO&amp;O</w:t>
      </w:r>
      <w:r w:rsidRPr="00007FE5">
        <w:t>).</w:t>
      </w:r>
      <w:r w:rsidRPr="008D0A04">
        <w:t xml:space="preserve"> </w:t>
      </w:r>
    </w:p>
  </w:footnote>
  <w:footnote w:id="6">
    <w:p w:rsidR="00D601CE" w:rsidRPr="008D0A04" w:rsidRDefault="00D601CE" w:rsidP="00D601CE">
      <w:pPr>
        <w:pStyle w:val="FootnoteText"/>
      </w:pPr>
      <w:r>
        <w:rPr>
          <w:rStyle w:val="FootnoteReference"/>
        </w:rPr>
        <w:footnoteRef/>
      </w:r>
      <w:r>
        <w:t xml:space="preserve"> </w:t>
      </w:r>
      <w:r w:rsidRPr="00007FE5">
        <w:rPr>
          <w:i/>
        </w:rPr>
        <w:t xml:space="preserve">See Royce International Broadcasting Company, </w:t>
      </w:r>
      <w:r w:rsidRPr="00007FE5">
        <w:t>Letter Order, 20 FCC Rcd 13720 (MB 2005).</w:t>
      </w:r>
      <w:r>
        <w:t xml:space="preserve">    </w:t>
      </w:r>
    </w:p>
  </w:footnote>
  <w:footnote w:id="7">
    <w:p w:rsidR="00D601CE" w:rsidRDefault="00D601CE" w:rsidP="00D601CE">
      <w:pPr>
        <w:pStyle w:val="FootnoteText"/>
      </w:pPr>
      <w:r>
        <w:rPr>
          <w:rStyle w:val="FootnoteReference"/>
        </w:rPr>
        <w:footnoteRef/>
      </w:r>
      <w:r>
        <w:t xml:space="preserve"> </w:t>
      </w:r>
      <w:r w:rsidRPr="00973737">
        <w:t>47 CFR § 1.1</w:t>
      </w:r>
      <w:r>
        <w:t>06(p)(1)</w:t>
      </w:r>
      <w:r w:rsidRPr="00973737">
        <w:t>.</w:t>
      </w:r>
      <w:r>
        <w:rPr>
          <w:i/>
        </w:rPr>
        <w:t xml:space="preserve">   </w:t>
      </w:r>
    </w:p>
  </w:footnote>
  <w:footnote w:id="8">
    <w:p w:rsidR="00D601CE" w:rsidRDefault="00D601CE" w:rsidP="00D601CE">
      <w:pPr>
        <w:pStyle w:val="FootnoteText"/>
      </w:pPr>
      <w:r>
        <w:rPr>
          <w:rStyle w:val="FootnoteReference"/>
        </w:rPr>
        <w:footnoteRef/>
      </w:r>
      <w:r>
        <w:t xml:space="preserve"> 47 U.S.C. § 155(d).</w:t>
      </w:r>
    </w:p>
  </w:footnote>
  <w:footnote w:id="9">
    <w:p w:rsidR="00D601CE" w:rsidRDefault="00D601CE" w:rsidP="00D601CE">
      <w:pPr>
        <w:pStyle w:val="FootnoteText"/>
      </w:pPr>
      <w:r>
        <w:rPr>
          <w:rStyle w:val="FootnoteReference"/>
        </w:rPr>
        <w:footnoteRef/>
      </w:r>
      <w:r>
        <w:t xml:space="preserve"> 5 U.S.C. § 706.</w:t>
      </w:r>
    </w:p>
  </w:footnote>
  <w:footnote w:id="10">
    <w:p w:rsidR="00D601CE" w:rsidRPr="001A093B" w:rsidRDefault="00D601CE" w:rsidP="00D601CE">
      <w:pPr>
        <w:pStyle w:val="FootnoteText"/>
        <w:rPr>
          <w:i/>
        </w:rPr>
      </w:pPr>
      <w:r>
        <w:rPr>
          <w:rStyle w:val="FootnoteReference"/>
        </w:rPr>
        <w:footnoteRef/>
      </w:r>
      <w:r>
        <w:t xml:space="preserve"> </w:t>
      </w:r>
      <w:r w:rsidRPr="001A093B">
        <w:rPr>
          <w:i/>
        </w:rPr>
        <w:t>Kidd Commc’ns v. FCC,</w:t>
      </w:r>
      <w:r>
        <w:t xml:space="preserve"> 427 F.3d 1 (D.C. Cir 2005) </w:t>
      </w:r>
      <w:r w:rsidRPr="001A093B">
        <w:rPr>
          <w:i/>
        </w:rPr>
        <w:t>(Kidd).</w:t>
      </w:r>
    </w:p>
  </w:footnote>
  <w:footnote w:id="11">
    <w:p w:rsidR="00D601CE" w:rsidRDefault="00D601CE" w:rsidP="00D601CE">
      <w:pPr>
        <w:pStyle w:val="FootnoteText"/>
      </w:pPr>
      <w:r>
        <w:rPr>
          <w:rStyle w:val="FootnoteReference"/>
        </w:rPr>
        <w:footnoteRef/>
      </w:r>
      <w:r>
        <w:t xml:space="preserve"> Opposition at 2.</w:t>
      </w:r>
    </w:p>
  </w:footnote>
  <w:footnote w:id="12">
    <w:p w:rsidR="00D601CE" w:rsidRDefault="00D601CE" w:rsidP="00D601CE">
      <w:pPr>
        <w:pStyle w:val="FootnoteText"/>
      </w:pPr>
      <w:r>
        <w:rPr>
          <w:rStyle w:val="FootnoteReference"/>
        </w:rPr>
        <w:footnoteRef/>
      </w:r>
      <w:r>
        <w:t xml:space="preserve"> </w:t>
      </w:r>
      <w:r w:rsidRPr="001A093B">
        <w:rPr>
          <w:i/>
        </w:rPr>
        <w:t>Id.</w:t>
      </w:r>
      <w:r>
        <w:t xml:space="preserve"> at 3.</w:t>
      </w:r>
    </w:p>
  </w:footnote>
  <w:footnote w:id="13">
    <w:p w:rsidR="00D601CE" w:rsidRDefault="00D601CE" w:rsidP="00D601CE">
      <w:pPr>
        <w:pStyle w:val="FootnoteText"/>
      </w:pPr>
      <w:r>
        <w:rPr>
          <w:rStyle w:val="FootnoteReference"/>
        </w:rPr>
        <w:footnoteRef/>
      </w:r>
      <w:r>
        <w:t xml:space="preserve"> </w:t>
      </w:r>
      <w:r w:rsidRPr="001A093B">
        <w:rPr>
          <w:i/>
        </w:rPr>
        <w:t>Id.</w:t>
      </w:r>
      <w:r>
        <w:t xml:space="preserve"> at 3-4.</w:t>
      </w:r>
    </w:p>
  </w:footnote>
  <w:footnote w:id="14">
    <w:p w:rsidR="00D601CE" w:rsidRDefault="00D601CE" w:rsidP="00D601CE">
      <w:pPr>
        <w:pStyle w:val="FootnoteText"/>
      </w:pPr>
      <w:r>
        <w:rPr>
          <w:rStyle w:val="FootnoteReference"/>
        </w:rPr>
        <w:footnoteRef/>
      </w:r>
      <w:r>
        <w:t xml:space="preserve"> </w:t>
      </w:r>
      <w:r w:rsidRPr="001A093B">
        <w:rPr>
          <w:i/>
        </w:rPr>
        <w:t>Id.</w:t>
      </w:r>
      <w:r>
        <w:t xml:space="preserve"> at 4-7.</w:t>
      </w:r>
    </w:p>
  </w:footnote>
  <w:footnote w:id="15">
    <w:p w:rsidR="00D601CE" w:rsidRDefault="00D601CE" w:rsidP="00D601CE">
      <w:pPr>
        <w:pStyle w:val="FootnoteText"/>
      </w:pPr>
      <w:r>
        <w:rPr>
          <w:rStyle w:val="FootnoteReference"/>
        </w:rPr>
        <w:footnoteRef/>
      </w:r>
      <w:r w:rsidRPr="001A093B">
        <w:rPr>
          <w:i/>
        </w:rPr>
        <w:t>Id.</w:t>
      </w:r>
      <w:r>
        <w:t xml:space="preserve"> at 8. </w:t>
      </w:r>
    </w:p>
  </w:footnote>
  <w:footnote w:id="16">
    <w:p w:rsidR="00D601CE" w:rsidRPr="00322439" w:rsidRDefault="00D601CE" w:rsidP="00D601CE">
      <w:pPr>
        <w:pStyle w:val="FootnoteText"/>
      </w:pPr>
      <w:r w:rsidRPr="00A42221">
        <w:rPr>
          <w:rStyle w:val="FootnoteReference"/>
        </w:rPr>
        <w:footnoteRef/>
      </w:r>
      <w:r w:rsidRPr="00A42221">
        <w:t xml:space="preserve"> </w:t>
      </w:r>
      <w:hyperlink r:id="rId2" w:anchor="co_pp_c42a000095be5" w:history="1">
        <w:r w:rsidRPr="00322439">
          <w:rPr>
            <w:rStyle w:val="Hyperlink"/>
            <w:color w:val="auto"/>
            <w:u w:val="none"/>
          </w:rPr>
          <w:t>47 CFR § 1.106(b)(2)(i) and (ii)</w:t>
        </w:r>
      </w:hyperlink>
      <w:r w:rsidRPr="00322439">
        <w:t xml:space="preserve">; </w:t>
      </w:r>
      <w:r w:rsidRPr="00322439">
        <w:rPr>
          <w:i/>
        </w:rPr>
        <w:t xml:space="preserve">see also Fireside Media and Jet Fuel Broadcasting, </w:t>
      </w:r>
      <w:r w:rsidRPr="00322439">
        <w:t>Memorandum Opinion and Order, 27 FCC Rcd 10694, 10696, para. 4 (2012) (</w:t>
      </w:r>
      <w:r>
        <w:t>S</w:t>
      </w:r>
      <w:r w:rsidRPr="00322439">
        <w:t xml:space="preserve">ections </w:t>
      </w:r>
      <w:r w:rsidRPr="00322439">
        <w:rPr>
          <w:bCs/>
        </w:rPr>
        <w:t>1</w:t>
      </w:r>
      <w:r w:rsidRPr="00322439">
        <w:t>.</w:t>
      </w:r>
      <w:r w:rsidRPr="00322439">
        <w:rPr>
          <w:bCs/>
        </w:rPr>
        <w:t>106</w:t>
      </w:r>
      <w:r w:rsidRPr="00322439">
        <w:t>(</w:t>
      </w:r>
      <w:r w:rsidRPr="00322439">
        <w:rPr>
          <w:bCs/>
        </w:rPr>
        <w:t>b</w:t>
      </w:r>
      <w:r w:rsidRPr="00322439">
        <w:t>)(</w:t>
      </w:r>
      <w:r w:rsidRPr="00322439">
        <w:rPr>
          <w:bCs/>
        </w:rPr>
        <w:t>2</w:t>
      </w:r>
      <w:r w:rsidRPr="00322439">
        <w:t>)(i) and (ii) of the Commission's rules</w:t>
      </w:r>
      <w:r>
        <w:t xml:space="preserve"> </w:t>
      </w:r>
      <w:r w:rsidRPr="00322439">
        <w:t xml:space="preserve">set forth the conditions under which the Commission will consider </w:t>
      </w:r>
      <w:r w:rsidRPr="00322439">
        <w:rPr>
          <w:bCs/>
        </w:rPr>
        <w:t>petitions</w:t>
      </w:r>
      <w:r w:rsidRPr="00322439">
        <w:t xml:space="preserve"> for </w:t>
      </w:r>
      <w:r w:rsidRPr="00322439">
        <w:rPr>
          <w:bCs/>
        </w:rPr>
        <w:t>reconsideration</w:t>
      </w:r>
      <w:r w:rsidRPr="00322439">
        <w:t xml:space="preserve"> of Commission </w:t>
      </w:r>
      <w:r w:rsidRPr="00322439">
        <w:rPr>
          <w:bCs/>
        </w:rPr>
        <w:t>denial</w:t>
      </w:r>
      <w:r w:rsidRPr="00322439">
        <w:t xml:space="preserve"> of an </w:t>
      </w:r>
      <w:r w:rsidRPr="00322439">
        <w:rPr>
          <w:bCs/>
        </w:rPr>
        <w:t>application</w:t>
      </w:r>
      <w:r w:rsidRPr="00322439">
        <w:t xml:space="preserve"> for </w:t>
      </w:r>
      <w:r w:rsidRPr="00322439">
        <w:rPr>
          <w:bCs/>
        </w:rPr>
        <w:t>review</w:t>
      </w:r>
      <w:r>
        <w:rPr>
          <w:bCs/>
        </w:rPr>
        <w:t>)</w:t>
      </w:r>
      <w:r w:rsidRPr="00322439">
        <w:t>.</w:t>
      </w:r>
    </w:p>
  </w:footnote>
  <w:footnote w:id="17">
    <w:p w:rsidR="00D601CE" w:rsidRPr="00C36CCF" w:rsidRDefault="00D601CE" w:rsidP="00D601CE">
      <w:pPr>
        <w:pStyle w:val="FootnoteText"/>
      </w:pPr>
      <w:r>
        <w:rPr>
          <w:rStyle w:val="FootnoteReference"/>
        </w:rPr>
        <w:footnoteRef/>
      </w:r>
      <w:r>
        <w:t xml:space="preserve"> </w:t>
      </w:r>
      <w:r>
        <w:rPr>
          <w:i/>
        </w:rPr>
        <w:t xml:space="preserve">See, e.g., </w:t>
      </w:r>
      <w:r>
        <w:t>47 CFR §§ 1.106(b)(3) and 1.106(p)(1), (2) and (3).</w:t>
      </w:r>
    </w:p>
  </w:footnote>
  <w:footnote w:id="18">
    <w:p w:rsidR="00D601CE" w:rsidRDefault="00D601CE" w:rsidP="00D601CE">
      <w:pPr>
        <w:pStyle w:val="FootnoteText"/>
      </w:pPr>
      <w:r>
        <w:rPr>
          <w:rStyle w:val="FootnoteReference"/>
        </w:rPr>
        <w:footnoteRef/>
      </w:r>
      <w:r>
        <w:t xml:space="preserve"> Reply at 4.</w:t>
      </w:r>
    </w:p>
  </w:footnote>
  <w:footnote w:id="19">
    <w:p w:rsidR="00D601CE" w:rsidRPr="002D29CE" w:rsidRDefault="00D601CE" w:rsidP="00D601CE">
      <w:pPr>
        <w:pStyle w:val="FootnoteText"/>
      </w:pPr>
      <w:r>
        <w:rPr>
          <w:rStyle w:val="FootnoteReference"/>
        </w:rPr>
        <w:footnoteRef/>
      </w:r>
      <w:r>
        <w:t xml:space="preserve"> </w:t>
      </w:r>
      <w:r>
        <w:rPr>
          <w:i/>
        </w:rPr>
        <w:t>See Bureau Order</w:t>
      </w:r>
      <w:r>
        <w:t xml:space="preserve"> at para. 7 (</w:t>
      </w:r>
      <w:r>
        <w:rPr>
          <w:rStyle w:val="cosearchterm"/>
        </w:rPr>
        <w:t>Royce</w:t>
      </w:r>
      <w:r>
        <w:t xml:space="preserve"> “fundamentally mischaracterizes” Section 155(d) of the Act as mandating Commission action within three months whereas this statutory provision merely sets a non-mandatory objective; </w:t>
      </w:r>
      <w:r>
        <w:rPr>
          <w:rStyle w:val="cosearchterm"/>
        </w:rPr>
        <w:t>Royce</w:t>
      </w:r>
      <w:r>
        <w:t xml:space="preserve"> “has not shown prejudice by establishing that the result reached would likely have been different if action had occurred sooner.” ).</w:t>
      </w:r>
    </w:p>
  </w:footnote>
  <w:footnote w:id="20">
    <w:p w:rsidR="00D601CE" w:rsidRPr="00ED17EC" w:rsidRDefault="00D601CE" w:rsidP="00D601CE">
      <w:pPr>
        <w:pStyle w:val="FootnoteText"/>
      </w:pPr>
      <w:r>
        <w:rPr>
          <w:rStyle w:val="FootnoteReference"/>
        </w:rPr>
        <w:footnoteRef/>
      </w:r>
      <w:r>
        <w:rPr>
          <w:i/>
        </w:rPr>
        <w:t xml:space="preserve"> </w:t>
      </w:r>
      <w:r w:rsidRPr="00ED17EC">
        <w:rPr>
          <w:i/>
        </w:rPr>
        <w:t xml:space="preserve">See, e.g., </w:t>
      </w:r>
      <w:hyperlink r:id="rId3" w:anchor="co_pp_sp_1017_63" w:history="1">
        <w:r w:rsidRPr="00ED17EC">
          <w:rPr>
            <w:rStyle w:val="Hyperlink"/>
            <w:i/>
            <w:color w:val="auto"/>
            <w:u w:val="none"/>
          </w:rPr>
          <w:t xml:space="preserve">WSTE–TV, Inc., </w:t>
        </w:r>
        <w:r w:rsidRPr="00ED17EC">
          <w:rPr>
            <w:rStyle w:val="Hyperlink"/>
            <w:color w:val="auto"/>
            <w:u w:val="none"/>
          </w:rPr>
          <w:t xml:space="preserve">Memorandum Opinion and Order, </w:t>
        </w:r>
        <w:r w:rsidRPr="00ED17EC">
          <w:rPr>
            <w:rStyle w:val="Hyperlink"/>
            <w:bCs/>
            <w:color w:val="auto"/>
            <w:u w:val="none"/>
          </w:rPr>
          <w:t>75</w:t>
        </w:r>
        <w:r w:rsidRPr="00ED17EC">
          <w:rPr>
            <w:rStyle w:val="Hyperlink"/>
            <w:color w:val="auto"/>
            <w:u w:val="none"/>
          </w:rPr>
          <w:t xml:space="preserve"> </w:t>
        </w:r>
        <w:r w:rsidRPr="00ED17EC">
          <w:rPr>
            <w:rStyle w:val="Hyperlink"/>
            <w:bCs/>
            <w:color w:val="auto"/>
            <w:u w:val="none"/>
          </w:rPr>
          <w:t>FCC</w:t>
        </w:r>
        <w:r w:rsidRPr="00ED17EC">
          <w:rPr>
            <w:rStyle w:val="Hyperlink"/>
            <w:color w:val="auto"/>
            <w:u w:val="none"/>
          </w:rPr>
          <w:t xml:space="preserve"> </w:t>
        </w:r>
        <w:r w:rsidRPr="00ED17EC">
          <w:rPr>
            <w:rStyle w:val="Hyperlink"/>
            <w:bCs/>
            <w:color w:val="auto"/>
            <w:u w:val="none"/>
          </w:rPr>
          <w:t>2d</w:t>
        </w:r>
        <w:r w:rsidRPr="00ED17EC">
          <w:rPr>
            <w:rStyle w:val="Hyperlink"/>
            <w:color w:val="auto"/>
            <w:u w:val="none"/>
          </w:rPr>
          <w:t xml:space="preserve"> </w:t>
        </w:r>
        <w:r w:rsidRPr="00ED17EC">
          <w:rPr>
            <w:rStyle w:val="Hyperlink"/>
            <w:bCs/>
            <w:color w:val="auto"/>
            <w:u w:val="none"/>
          </w:rPr>
          <w:t>52</w:t>
        </w:r>
        <w:r w:rsidRPr="00ED17EC">
          <w:rPr>
            <w:rStyle w:val="Hyperlink"/>
            <w:color w:val="auto"/>
            <w:u w:val="none"/>
          </w:rPr>
          <w:t>, 63</w:t>
        </w:r>
        <w:r w:rsidRPr="00ED17EC">
          <w:rPr>
            <w:rStyle w:val="Hyperlink"/>
            <w:i/>
            <w:color w:val="auto"/>
            <w:u w:val="none"/>
          </w:rPr>
          <w:t xml:space="preserve"> </w:t>
        </w:r>
        <w:r w:rsidRPr="00ED17EC">
          <w:rPr>
            <w:rStyle w:val="Hyperlink"/>
            <w:color w:val="auto"/>
            <w:u w:val="none"/>
          </w:rPr>
          <w:t>(1979)</w:t>
        </w:r>
      </w:hyperlink>
      <w:r w:rsidRPr="00ED17EC">
        <w:rPr>
          <w:i/>
        </w:rPr>
        <w:t xml:space="preserve"> </w:t>
      </w:r>
      <w:r w:rsidRPr="00ED17EC">
        <w:t>(g</w:t>
      </w:r>
      <w:r w:rsidRPr="00ED17EC">
        <w:rPr>
          <w:bCs/>
        </w:rPr>
        <w:t>ood</w:t>
      </w:r>
      <w:r w:rsidRPr="00ED17EC">
        <w:t xml:space="preserve"> </w:t>
      </w:r>
      <w:r w:rsidRPr="00ED17EC">
        <w:rPr>
          <w:bCs/>
        </w:rPr>
        <w:t>cause</w:t>
      </w:r>
      <w:r w:rsidRPr="00ED17EC">
        <w:t xml:space="preserve"> exists for acceptance of additional pleadings inasmuch as they focus on the Commission's most recent views concerning the use of translator stations, a subject central to this proceeding upon remand); </w:t>
      </w:r>
      <w:r w:rsidRPr="000C2102">
        <w:rPr>
          <w:i/>
        </w:rPr>
        <w:t xml:space="preserve">Amendment of Section 73.202(B) Table of Allotments, FM Broadcast Stations (Genoa, CO), </w:t>
      </w:r>
      <w:r w:rsidRPr="000C2102">
        <w:t>Report and Order, 18 FCC Rcd 1465 n.2 (MB 2003) (</w:t>
      </w:r>
      <w:r>
        <w:t>“</w:t>
      </w:r>
      <w:r w:rsidRPr="000C2102">
        <w:t xml:space="preserve">We will grant the </w:t>
      </w:r>
      <w:r w:rsidRPr="000C2102">
        <w:rPr>
          <w:bCs/>
        </w:rPr>
        <w:t>motions</w:t>
      </w:r>
      <w:r w:rsidRPr="000C2102">
        <w:t xml:space="preserve"> and </w:t>
      </w:r>
      <w:r w:rsidRPr="000C2102">
        <w:rPr>
          <w:bCs/>
        </w:rPr>
        <w:t>accept</w:t>
      </w:r>
      <w:r w:rsidRPr="000C2102">
        <w:t xml:space="preserve"> the </w:t>
      </w:r>
      <w:r w:rsidRPr="000C2102">
        <w:rPr>
          <w:bCs/>
        </w:rPr>
        <w:t>late</w:t>
      </w:r>
      <w:r w:rsidRPr="000C2102">
        <w:t>-</w:t>
      </w:r>
      <w:r w:rsidRPr="000C2102">
        <w:rPr>
          <w:bCs/>
        </w:rPr>
        <w:t>filed</w:t>
      </w:r>
      <w:r w:rsidRPr="000C2102">
        <w:t xml:space="preserve"> </w:t>
      </w:r>
      <w:r w:rsidRPr="000C2102">
        <w:rPr>
          <w:bCs/>
        </w:rPr>
        <w:t>pleadings</w:t>
      </w:r>
      <w:r>
        <w:rPr>
          <w:bCs/>
        </w:rPr>
        <w:t xml:space="preserve"> . . . </w:t>
      </w:r>
      <w:r w:rsidRPr="000C2102">
        <w:t>because they will facilitate resolution of this case based upon a full and complete factual record.</w:t>
      </w:r>
      <w:r>
        <w:t xml:space="preserve">”); </w:t>
      </w:r>
      <w:r w:rsidRPr="00ED17EC">
        <w:rPr>
          <w:i/>
        </w:rPr>
        <w:t xml:space="preserve">New Mexico Broadcasting, Inc., </w:t>
      </w:r>
      <w:r w:rsidRPr="00ED17EC">
        <w:t>Memorandum Opinion and Order, 88 FCC 2d 1469 n.2 (1982) (Commission uses good cause standard to determine acceptance of unauthorized pleadings)</w:t>
      </w:r>
      <w:r>
        <w:t>.</w:t>
      </w:r>
      <w:r w:rsidRPr="00ED17EC">
        <w:t xml:space="preserve"> </w:t>
      </w:r>
    </w:p>
  </w:footnote>
  <w:footnote w:id="21">
    <w:p w:rsidR="00D601CE" w:rsidRDefault="00D601CE" w:rsidP="00D601CE">
      <w:pPr>
        <w:pStyle w:val="FootnoteText"/>
      </w:pPr>
      <w:r>
        <w:rPr>
          <w:rStyle w:val="FootnoteReference"/>
        </w:rPr>
        <w:footnoteRef/>
      </w:r>
      <w:r>
        <w:t xml:space="preserve"> 2016 AFR at 11.</w:t>
      </w:r>
    </w:p>
  </w:footnote>
  <w:footnote w:id="22">
    <w:p w:rsidR="00D601CE" w:rsidRDefault="00D601CE" w:rsidP="00D601CE">
      <w:pPr>
        <w:pStyle w:val="FootnoteText"/>
      </w:pPr>
      <w:r>
        <w:rPr>
          <w:rStyle w:val="FootnoteReference"/>
        </w:rPr>
        <w:footnoteRef/>
      </w:r>
      <w:r>
        <w:t xml:space="preserve"> 47 CFR § 1.115(c).</w:t>
      </w:r>
    </w:p>
  </w:footnote>
  <w:footnote w:id="23">
    <w:p w:rsidR="00D601CE" w:rsidRPr="00572A15" w:rsidRDefault="00D601CE" w:rsidP="00D601CE">
      <w:pPr>
        <w:pStyle w:val="FootnoteText"/>
      </w:pPr>
      <w:r w:rsidRPr="00572A15">
        <w:rPr>
          <w:rStyle w:val="FootnoteReference"/>
        </w:rPr>
        <w:footnoteRef/>
      </w:r>
      <w:r w:rsidRPr="00572A15">
        <w:t xml:space="preserve"> </w:t>
      </w:r>
      <w:r w:rsidRPr="00572A15">
        <w:rPr>
          <w:i/>
          <w:iCs/>
        </w:rPr>
        <w:t>See, e.g.,</w:t>
      </w:r>
      <w:r w:rsidRPr="00572A15">
        <w:t xml:space="preserve"> </w:t>
      </w:r>
      <w:r w:rsidRPr="00572A15">
        <w:rPr>
          <w:i/>
        </w:rPr>
        <w:t>Tama Radio Licenses of Tampa, Florida, Inc.,</w:t>
      </w:r>
      <w:r w:rsidRPr="00572A15">
        <w:t xml:space="preserve"> </w:t>
      </w:r>
      <w:hyperlink r:id="rId4" w:anchor="co_pp_sp_4493_7589" w:history="1">
        <w:r w:rsidRPr="00572A15">
          <w:rPr>
            <w:rStyle w:val="Hyperlink"/>
            <w:iCs/>
            <w:color w:val="auto"/>
            <w:u w:val="none"/>
          </w:rPr>
          <w:t>Memorandum Opinion and Order</w:t>
        </w:r>
        <w:r w:rsidRPr="00572A15">
          <w:rPr>
            <w:rStyle w:val="Hyperlink"/>
            <w:color w:val="auto"/>
            <w:u w:val="none"/>
          </w:rPr>
          <w:t>, 25 FCC Rcd 7588, 7589, para. 2 (2010)</w:t>
        </w:r>
      </w:hyperlink>
      <w:r w:rsidRPr="00572A15">
        <w:t xml:space="preserve"> (“The Commission is not required to sift through an applicant's prior pleadings to supply the reasoning that our rules require to be provided in the application for review.”); </w:t>
      </w:r>
      <w:r w:rsidRPr="00572A15">
        <w:rPr>
          <w:i/>
        </w:rPr>
        <w:t>Red Hot Radio, Inc</w:t>
      </w:r>
      <w:r w:rsidRPr="00572A15">
        <w:t xml:space="preserve">., </w:t>
      </w:r>
      <w:hyperlink r:id="rId5" w:anchor="co_pp_sp_4493_6745" w:history="1">
        <w:r w:rsidRPr="00572A15">
          <w:rPr>
            <w:rStyle w:val="Hyperlink"/>
            <w:iCs/>
            <w:color w:val="auto"/>
            <w:u w:val="none"/>
          </w:rPr>
          <w:t>Memorandum Opinion and Order</w:t>
        </w:r>
        <w:r w:rsidRPr="00572A15">
          <w:rPr>
            <w:rStyle w:val="Hyperlink"/>
            <w:color w:val="auto"/>
            <w:u w:val="none"/>
          </w:rPr>
          <w:t>, 19 FCC Rcd 6737, 6745 n.63 (2004)</w:t>
        </w:r>
      </w:hyperlink>
      <w:r w:rsidRPr="00572A15">
        <w:t xml:space="preserve"> (“Our rules do not allow for a ‘kitchen sink’ approach to an application for review, rather the burden is on the Applicant to set forth fully its argument and all underlying relevant facts in the application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7D" w:rsidRDefault="00250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B18CD">
      <w:t>FCC 16-76</w:t>
    </w:r>
  </w:p>
  <w:p w:rsidR="00D25FB5" w:rsidRDefault="00D601C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776260E" wp14:editId="6A9ECE9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C5CC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01C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0C1D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B18CD">
      <w:rPr>
        <w:spacing w:val="-2"/>
      </w:rPr>
      <w:t>FCC 16-76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CE"/>
    <w:rsid w:val="00036039"/>
    <w:rsid w:val="00037F90"/>
    <w:rsid w:val="000875BF"/>
    <w:rsid w:val="00096D8C"/>
    <w:rsid w:val="000A31F7"/>
    <w:rsid w:val="000C0B65"/>
    <w:rsid w:val="000E05FE"/>
    <w:rsid w:val="000E3D42"/>
    <w:rsid w:val="00122BD5"/>
    <w:rsid w:val="00133F79"/>
    <w:rsid w:val="00194A66"/>
    <w:rsid w:val="001C5DAE"/>
    <w:rsid w:val="001D6BCF"/>
    <w:rsid w:val="001E01CA"/>
    <w:rsid w:val="0025017D"/>
    <w:rsid w:val="00275CF5"/>
    <w:rsid w:val="0028301F"/>
    <w:rsid w:val="00285017"/>
    <w:rsid w:val="002A2D2E"/>
    <w:rsid w:val="002C00E8"/>
    <w:rsid w:val="00343749"/>
    <w:rsid w:val="00352EEA"/>
    <w:rsid w:val="003550F0"/>
    <w:rsid w:val="003660ED"/>
    <w:rsid w:val="003B0550"/>
    <w:rsid w:val="003B694F"/>
    <w:rsid w:val="003D2DC4"/>
    <w:rsid w:val="003F171C"/>
    <w:rsid w:val="00412FC5"/>
    <w:rsid w:val="00422276"/>
    <w:rsid w:val="004242F1"/>
    <w:rsid w:val="00445A00"/>
    <w:rsid w:val="00451B0F"/>
    <w:rsid w:val="004C2EE3"/>
    <w:rsid w:val="004E4A22"/>
    <w:rsid w:val="00511968"/>
    <w:rsid w:val="00526B87"/>
    <w:rsid w:val="0055614C"/>
    <w:rsid w:val="00592D2C"/>
    <w:rsid w:val="005E14C2"/>
    <w:rsid w:val="00607BA5"/>
    <w:rsid w:val="0061180A"/>
    <w:rsid w:val="00626EB6"/>
    <w:rsid w:val="00655D03"/>
    <w:rsid w:val="00683388"/>
    <w:rsid w:val="00683F84"/>
    <w:rsid w:val="006A6A81"/>
    <w:rsid w:val="006F7393"/>
    <w:rsid w:val="0070224F"/>
    <w:rsid w:val="007115F7"/>
    <w:rsid w:val="00712F3F"/>
    <w:rsid w:val="0074015E"/>
    <w:rsid w:val="00785689"/>
    <w:rsid w:val="0079754B"/>
    <w:rsid w:val="00797882"/>
    <w:rsid w:val="007A1E6D"/>
    <w:rsid w:val="007B0EB2"/>
    <w:rsid w:val="007F72B8"/>
    <w:rsid w:val="00810B6F"/>
    <w:rsid w:val="00822CE0"/>
    <w:rsid w:val="00841AB1"/>
    <w:rsid w:val="00886FB1"/>
    <w:rsid w:val="008C68F1"/>
    <w:rsid w:val="00921803"/>
    <w:rsid w:val="00926503"/>
    <w:rsid w:val="009726D8"/>
    <w:rsid w:val="009B18CD"/>
    <w:rsid w:val="009F76DB"/>
    <w:rsid w:val="00A32C3B"/>
    <w:rsid w:val="00A45F4F"/>
    <w:rsid w:val="00A600A9"/>
    <w:rsid w:val="00A85392"/>
    <w:rsid w:val="00AA55B7"/>
    <w:rsid w:val="00AA5B9E"/>
    <w:rsid w:val="00AB2407"/>
    <w:rsid w:val="00AB53DF"/>
    <w:rsid w:val="00B07E5C"/>
    <w:rsid w:val="00B6221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01CE"/>
    <w:rsid w:val="00DA2529"/>
    <w:rsid w:val="00DB0D43"/>
    <w:rsid w:val="00DB130A"/>
    <w:rsid w:val="00DB2EBB"/>
    <w:rsid w:val="00DC10A1"/>
    <w:rsid w:val="00DC655F"/>
    <w:rsid w:val="00DD0B59"/>
    <w:rsid w:val="00DD7EBD"/>
    <w:rsid w:val="00DE4D22"/>
    <w:rsid w:val="00DF62B6"/>
    <w:rsid w:val="00E07225"/>
    <w:rsid w:val="00E5409F"/>
    <w:rsid w:val="00E62EDC"/>
    <w:rsid w:val="00EC6F13"/>
    <w:rsid w:val="00EE6488"/>
    <w:rsid w:val="00F021FA"/>
    <w:rsid w:val="00F62E97"/>
    <w:rsid w:val="00F64209"/>
    <w:rsid w:val="00F72C4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AE"/>
    <w:pPr>
      <w:widowControl w:val="0"/>
    </w:pPr>
    <w:rPr>
      <w:snapToGrid w:val="0"/>
      <w:kern w:val="28"/>
      <w:sz w:val="22"/>
    </w:rPr>
  </w:style>
  <w:style w:type="paragraph" w:styleId="Heading1">
    <w:name w:val="heading 1"/>
    <w:basedOn w:val="Normal"/>
    <w:next w:val="ParaNum"/>
    <w:qFormat/>
    <w:rsid w:val="001C5D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5DAE"/>
    <w:pPr>
      <w:keepNext/>
      <w:numPr>
        <w:ilvl w:val="1"/>
        <w:numId w:val="3"/>
      </w:numPr>
      <w:spacing w:after="120"/>
      <w:outlineLvl w:val="1"/>
    </w:pPr>
    <w:rPr>
      <w:b/>
    </w:rPr>
  </w:style>
  <w:style w:type="paragraph" w:styleId="Heading3">
    <w:name w:val="heading 3"/>
    <w:basedOn w:val="Normal"/>
    <w:next w:val="ParaNum"/>
    <w:qFormat/>
    <w:rsid w:val="001C5DAE"/>
    <w:pPr>
      <w:keepNext/>
      <w:numPr>
        <w:ilvl w:val="2"/>
        <w:numId w:val="3"/>
      </w:numPr>
      <w:tabs>
        <w:tab w:val="left" w:pos="2160"/>
      </w:tabs>
      <w:spacing w:after="120"/>
      <w:outlineLvl w:val="2"/>
    </w:pPr>
    <w:rPr>
      <w:b/>
    </w:rPr>
  </w:style>
  <w:style w:type="paragraph" w:styleId="Heading4">
    <w:name w:val="heading 4"/>
    <w:basedOn w:val="Normal"/>
    <w:next w:val="ParaNum"/>
    <w:qFormat/>
    <w:rsid w:val="001C5DAE"/>
    <w:pPr>
      <w:keepNext/>
      <w:numPr>
        <w:ilvl w:val="3"/>
        <w:numId w:val="3"/>
      </w:numPr>
      <w:tabs>
        <w:tab w:val="left" w:pos="2880"/>
      </w:tabs>
      <w:spacing w:after="120"/>
      <w:outlineLvl w:val="3"/>
    </w:pPr>
    <w:rPr>
      <w:b/>
    </w:rPr>
  </w:style>
  <w:style w:type="paragraph" w:styleId="Heading5">
    <w:name w:val="heading 5"/>
    <w:basedOn w:val="Normal"/>
    <w:next w:val="ParaNum"/>
    <w:qFormat/>
    <w:rsid w:val="001C5D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5DAE"/>
    <w:pPr>
      <w:numPr>
        <w:ilvl w:val="5"/>
        <w:numId w:val="3"/>
      </w:numPr>
      <w:tabs>
        <w:tab w:val="left" w:pos="4320"/>
      </w:tabs>
      <w:spacing w:after="120"/>
      <w:outlineLvl w:val="5"/>
    </w:pPr>
    <w:rPr>
      <w:b/>
    </w:rPr>
  </w:style>
  <w:style w:type="paragraph" w:styleId="Heading7">
    <w:name w:val="heading 7"/>
    <w:basedOn w:val="Normal"/>
    <w:next w:val="ParaNum"/>
    <w:qFormat/>
    <w:rsid w:val="001C5D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5D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5D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5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DAE"/>
  </w:style>
  <w:style w:type="paragraph" w:customStyle="1" w:styleId="ParaNum">
    <w:name w:val="ParaNum"/>
    <w:basedOn w:val="Normal"/>
    <w:link w:val="ParaNumChar"/>
    <w:rsid w:val="001C5DAE"/>
    <w:pPr>
      <w:numPr>
        <w:numId w:val="2"/>
      </w:numPr>
      <w:tabs>
        <w:tab w:val="clear" w:pos="1080"/>
        <w:tab w:val="num" w:pos="1440"/>
      </w:tabs>
      <w:spacing w:after="120"/>
    </w:pPr>
  </w:style>
  <w:style w:type="paragraph" w:styleId="EndnoteText">
    <w:name w:val="endnote text"/>
    <w:basedOn w:val="Normal"/>
    <w:semiHidden/>
    <w:rsid w:val="001C5DAE"/>
    <w:rPr>
      <w:sz w:val="20"/>
    </w:rPr>
  </w:style>
  <w:style w:type="character" w:styleId="EndnoteReference">
    <w:name w:val="endnote reference"/>
    <w:semiHidden/>
    <w:rsid w:val="001C5DAE"/>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C5DAE"/>
    <w:pPr>
      <w:spacing w:after="120"/>
    </w:pPr>
  </w:style>
  <w:style w:type="character" w:styleId="FootnoteReference">
    <w:name w:val="footnote reference"/>
    <w:aliases w:val="Style 12,(NECG) Footnote Reference,Appel note de bas de p,Style 124,o,fr,Style 3,Style 13,Style 17,FR,Style 4"/>
    <w:rsid w:val="001C5DAE"/>
    <w:rPr>
      <w:rFonts w:ascii="Times New Roman" w:hAnsi="Times New Roman"/>
      <w:dstrike w:val="0"/>
      <w:color w:val="auto"/>
      <w:sz w:val="20"/>
      <w:vertAlign w:val="superscript"/>
    </w:rPr>
  </w:style>
  <w:style w:type="paragraph" w:styleId="TOC1">
    <w:name w:val="toc 1"/>
    <w:basedOn w:val="Normal"/>
    <w:next w:val="Normal"/>
    <w:semiHidden/>
    <w:rsid w:val="001C5D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5DAE"/>
    <w:pPr>
      <w:tabs>
        <w:tab w:val="left" w:pos="720"/>
        <w:tab w:val="right" w:leader="dot" w:pos="9360"/>
      </w:tabs>
      <w:suppressAutoHyphens/>
      <w:ind w:left="720" w:right="720" w:hanging="360"/>
    </w:pPr>
    <w:rPr>
      <w:noProof/>
    </w:rPr>
  </w:style>
  <w:style w:type="paragraph" w:styleId="TOC3">
    <w:name w:val="toc 3"/>
    <w:basedOn w:val="Normal"/>
    <w:next w:val="Normal"/>
    <w:semiHidden/>
    <w:rsid w:val="001C5D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5D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5D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5D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5D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5D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5D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5DAE"/>
    <w:pPr>
      <w:tabs>
        <w:tab w:val="right" w:pos="9360"/>
      </w:tabs>
      <w:suppressAutoHyphens/>
    </w:pPr>
  </w:style>
  <w:style w:type="character" w:customStyle="1" w:styleId="EquationCaption">
    <w:name w:val="_Equation Caption"/>
    <w:rsid w:val="001C5DAE"/>
  </w:style>
  <w:style w:type="paragraph" w:styleId="Header">
    <w:name w:val="header"/>
    <w:basedOn w:val="Normal"/>
    <w:autoRedefine/>
    <w:rsid w:val="001C5DAE"/>
    <w:pPr>
      <w:tabs>
        <w:tab w:val="center" w:pos="4680"/>
        <w:tab w:val="right" w:pos="9360"/>
      </w:tabs>
    </w:pPr>
    <w:rPr>
      <w:b/>
    </w:rPr>
  </w:style>
  <w:style w:type="paragraph" w:styleId="Footer">
    <w:name w:val="footer"/>
    <w:basedOn w:val="Normal"/>
    <w:rsid w:val="001C5DAE"/>
    <w:pPr>
      <w:tabs>
        <w:tab w:val="center" w:pos="4320"/>
        <w:tab w:val="right" w:pos="8640"/>
      </w:tabs>
    </w:pPr>
  </w:style>
  <w:style w:type="character" w:styleId="PageNumber">
    <w:name w:val="page number"/>
    <w:basedOn w:val="DefaultParagraphFont"/>
    <w:rsid w:val="001C5DAE"/>
  </w:style>
  <w:style w:type="paragraph" w:styleId="BlockText">
    <w:name w:val="Block Text"/>
    <w:basedOn w:val="Normal"/>
    <w:rsid w:val="001C5DAE"/>
    <w:pPr>
      <w:spacing w:after="240"/>
      <w:ind w:left="1440" w:right="1440"/>
    </w:pPr>
  </w:style>
  <w:style w:type="paragraph" w:customStyle="1" w:styleId="Paratitle">
    <w:name w:val="Para title"/>
    <w:basedOn w:val="Normal"/>
    <w:rsid w:val="001C5DAE"/>
    <w:pPr>
      <w:tabs>
        <w:tab w:val="center" w:pos="9270"/>
      </w:tabs>
      <w:spacing w:after="240"/>
    </w:pPr>
    <w:rPr>
      <w:spacing w:val="-2"/>
    </w:rPr>
  </w:style>
  <w:style w:type="paragraph" w:customStyle="1" w:styleId="Bullet">
    <w:name w:val="Bullet"/>
    <w:basedOn w:val="Normal"/>
    <w:rsid w:val="001C5DAE"/>
    <w:pPr>
      <w:tabs>
        <w:tab w:val="left" w:pos="2160"/>
      </w:tabs>
      <w:spacing w:after="220"/>
      <w:ind w:left="2160" w:hanging="720"/>
    </w:pPr>
  </w:style>
  <w:style w:type="paragraph" w:customStyle="1" w:styleId="TableFormat">
    <w:name w:val="TableFormat"/>
    <w:basedOn w:val="Bullet"/>
    <w:rsid w:val="001C5DAE"/>
    <w:pPr>
      <w:tabs>
        <w:tab w:val="clear" w:pos="2160"/>
        <w:tab w:val="left" w:pos="5040"/>
      </w:tabs>
      <w:ind w:left="5040" w:hanging="3600"/>
    </w:pPr>
  </w:style>
  <w:style w:type="paragraph" w:customStyle="1" w:styleId="TOCTitle">
    <w:name w:val="TOC Title"/>
    <w:basedOn w:val="Normal"/>
    <w:rsid w:val="001C5D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5DAE"/>
    <w:pPr>
      <w:jc w:val="center"/>
    </w:pPr>
    <w:rPr>
      <w:rFonts w:ascii="Times New Roman Bold" w:hAnsi="Times New Roman Bold"/>
      <w:b/>
      <w:bCs/>
      <w:caps/>
      <w:szCs w:val="22"/>
    </w:rPr>
  </w:style>
  <w:style w:type="character" w:styleId="Hyperlink">
    <w:name w:val="Hyperlink"/>
    <w:rsid w:val="001C5DA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D601CE"/>
  </w:style>
  <w:style w:type="character" w:customStyle="1" w:styleId="ParaNumChar">
    <w:name w:val="ParaNum Char"/>
    <w:link w:val="ParaNum"/>
    <w:rsid w:val="00D601CE"/>
    <w:rPr>
      <w:snapToGrid w:val="0"/>
      <w:kern w:val="28"/>
      <w:sz w:val="22"/>
    </w:rPr>
  </w:style>
  <w:style w:type="character" w:customStyle="1" w:styleId="cosearchterm">
    <w:name w:val="co_searchterm"/>
    <w:rsid w:val="00D60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AE"/>
    <w:pPr>
      <w:widowControl w:val="0"/>
    </w:pPr>
    <w:rPr>
      <w:snapToGrid w:val="0"/>
      <w:kern w:val="28"/>
      <w:sz w:val="22"/>
    </w:rPr>
  </w:style>
  <w:style w:type="paragraph" w:styleId="Heading1">
    <w:name w:val="heading 1"/>
    <w:basedOn w:val="Normal"/>
    <w:next w:val="ParaNum"/>
    <w:qFormat/>
    <w:rsid w:val="001C5D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5DAE"/>
    <w:pPr>
      <w:keepNext/>
      <w:numPr>
        <w:ilvl w:val="1"/>
        <w:numId w:val="3"/>
      </w:numPr>
      <w:spacing w:after="120"/>
      <w:outlineLvl w:val="1"/>
    </w:pPr>
    <w:rPr>
      <w:b/>
    </w:rPr>
  </w:style>
  <w:style w:type="paragraph" w:styleId="Heading3">
    <w:name w:val="heading 3"/>
    <w:basedOn w:val="Normal"/>
    <w:next w:val="ParaNum"/>
    <w:qFormat/>
    <w:rsid w:val="001C5DAE"/>
    <w:pPr>
      <w:keepNext/>
      <w:numPr>
        <w:ilvl w:val="2"/>
        <w:numId w:val="3"/>
      </w:numPr>
      <w:tabs>
        <w:tab w:val="left" w:pos="2160"/>
      </w:tabs>
      <w:spacing w:after="120"/>
      <w:outlineLvl w:val="2"/>
    </w:pPr>
    <w:rPr>
      <w:b/>
    </w:rPr>
  </w:style>
  <w:style w:type="paragraph" w:styleId="Heading4">
    <w:name w:val="heading 4"/>
    <w:basedOn w:val="Normal"/>
    <w:next w:val="ParaNum"/>
    <w:qFormat/>
    <w:rsid w:val="001C5DAE"/>
    <w:pPr>
      <w:keepNext/>
      <w:numPr>
        <w:ilvl w:val="3"/>
        <w:numId w:val="3"/>
      </w:numPr>
      <w:tabs>
        <w:tab w:val="left" w:pos="2880"/>
      </w:tabs>
      <w:spacing w:after="120"/>
      <w:outlineLvl w:val="3"/>
    </w:pPr>
    <w:rPr>
      <w:b/>
    </w:rPr>
  </w:style>
  <w:style w:type="paragraph" w:styleId="Heading5">
    <w:name w:val="heading 5"/>
    <w:basedOn w:val="Normal"/>
    <w:next w:val="ParaNum"/>
    <w:qFormat/>
    <w:rsid w:val="001C5D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5DAE"/>
    <w:pPr>
      <w:numPr>
        <w:ilvl w:val="5"/>
        <w:numId w:val="3"/>
      </w:numPr>
      <w:tabs>
        <w:tab w:val="left" w:pos="4320"/>
      </w:tabs>
      <w:spacing w:after="120"/>
      <w:outlineLvl w:val="5"/>
    </w:pPr>
    <w:rPr>
      <w:b/>
    </w:rPr>
  </w:style>
  <w:style w:type="paragraph" w:styleId="Heading7">
    <w:name w:val="heading 7"/>
    <w:basedOn w:val="Normal"/>
    <w:next w:val="ParaNum"/>
    <w:qFormat/>
    <w:rsid w:val="001C5D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5D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5D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5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DAE"/>
  </w:style>
  <w:style w:type="paragraph" w:customStyle="1" w:styleId="ParaNum">
    <w:name w:val="ParaNum"/>
    <w:basedOn w:val="Normal"/>
    <w:link w:val="ParaNumChar"/>
    <w:rsid w:val="001C5DAE"/>
    <w:pPr>
      <w:numPr>
        <w:numId w:val="2"/>
      </w:numPr>
      <w:tabs>
        <w:tab w:val="clear" w:pos="1080"/>
        <w:tab w:val="num" w:pos="1440"/>
      </w:tabs>
      <w:spacing w:after="120"/>
    </w:pPr>
  </w:style>
  <w:style w:type="paragraph" w:styleId="EndnoteText">
    <w:name w:val="endnote text"/>
    <w:basedOn w:val="Normal"/>
    <w:semiHidden/>
    <w:rsid w:val="001C5DAE"/>
    <w:rPr>
      <w:sz w:val="20"/>
    </w:rPr>
  </w:style>
  <w:style w:type="character" w:styleId="EndnoteReference">
    <w:name w:val="endnote reference"/>
    <w:semiHidden/>
    <w:rsid w:val="001C5DAE"/>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C5DAE"/>
    <w:pPr>
      <w:spacing w:after="120"/>
    </w:pPr>
  </w:style>
  <w:style w:type="character" w:styleId="FootnoteReference">
    <w:name w:val="footnote reference"/>
    <w:aliases w:val="Style 12,(NECG) Footnote Reference,Appel note de bas de p,Style 124,o,fr,Style 3,Style 13,Style 17,FR,Style 4"/>
    <w:rsid w:val="001C5DAE"/>
    <w:rPr>
      <w:rFonts w:ascii="Times New Roman" w:hAnsi="Times New Roman"/>
      <w:dstrike w:val="0"/>
      <w:color w:val="auto"/>
      <w:sz w:val="20"/>
      <w:vertAlign w:val="superscript"/>
    </w:rPr>
  </w:style>
  <w:style w:type="paragraph" w:styleId="TOC1">
    <w:name w:val="toc 1"/>
    <w:basedOn w:val="Normal"/>
    <w:next w:val="Normal"/>
    <w:semiHidden/>
    <w:rsid w:val="001C5D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5DAE"/>
    <w:pPr>
      <w:tabs>
        <w:tab w:val="left" w:pos="720"/>
        <w:tab w:val="right" w:leader="dot" w:pos="9360"/>
      </w:tabs>
      <w:suppressAutoHyphens/>
      <w:ind w:left="720" w:right="720" w:hanging="360"/>
    </w:pPr>
    <w:rPr>
      <w:noProof/>
    </w:rPr>
  </w:style>
  <w:style w:type="paragraph" w:styleId="TOC3">
    <w:name w:val="toc 3"/>
    <w:basedOn w:val="Normal"/>
    <w:next w:val="Normal"/>
    <w:semiHidden/>
    <w:rsid w:val="001C5D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5D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5D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5D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5D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5D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5D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5DAE"/>
    <w:pPr>
      <w:tabs>
        <w:tab w:val="right" w:pos="9360"/>
      </w:tabs>
      <w:suppressAutoHyphens/>
    </w:pPr>
  </w:style>
  <w:style w:type="character" w:customStyle="1" w:styleId="EquationCaption">
    <w:name w:val="_Equation Caption"/>
    <w:rsid w:val="001C5DAE"/>
  </w:style>
  <w:style w:type="paragraph" w:styleId="Header">
    <w:name w:val="header"/>
    <w:basedOn w:val="Normal"/>
    <w:autoRedefine/>
    <w:rsid w:val="001C5DAE"/>
    <w:pPr>
      <w:tabs>
        <w:tab w:val="center" w:pos="4680"/>
        <w:tab w:val="right" w:pos="9360"/>
      </w:tabs>
    </w:pPr>
    <w:rPr>
      <w:b/>
    </w:rPr>
  </w:style>
  <w:style w:type="paragraph" w:styleId="Footer">
    <w:name w:val="footer"/>
    <w:basedOn w:val="Normal"/>
    <w:rsid w:val="001C5DAE"/>
    <w:pPr>
      <w:tabs>
        <w:tab w:val="center" w:pos="4320"/>
        <w:tab w:val="right" w:pos="8640"/>
      </w:tabs>
    </w:pPr>
  </w:style>
  <w:style w:type="character" w:styleId="PageNumber">
    <w:name w:val="page number"/>
    <w:basedOn w:val="DefaultParagraphFont"/>
    <w:rsid w:val="001C5DAE"/>
  </w:style>
  <w:style w:type="paragraph" w:styleId="BlockText">
    <w:name w:val="Block Text"/>
    <w:basedOn w:val="Normal"/>
    <w:rsid w:val="001C5DAE"/>
    <w:pPr>
      <w:spacing w:after="240"/>
      <w:ind w:left="1440" w:right="1440"/>
    </w:pPr>
  </w:style>
  <w:style w:type="paragraph" w:customStyle="1" w:styleId="Paratitle">
    <w:name w:val="Para title"/>
    <w:basedOn w:val="Normal"/>
    <w:rsid w:val="001C5DAE"/>
    <w:pPr>
      <w:tabs>
        <w:tab w:val="center" w:pos="9270"/>
      </w:tabs>
      <w:spacing w:after="240"/>
    </w:pPr>
    <w:rPr>
      <w:spacing w:val="-2"/>
    </w:rPr>
  </w:style>
  <w:style w:type="paragraph" w:customStyle="1" w:styleId="Bullet">
    <w:name w:val="Bullet"/>
    <w:basedOn w:val="Normal"/>
    <w:rsid w:val="001C5DAE"/>
    <w:pPr>
      <w:tabs>
        <w:tab w:val="left" w:pos="2160"/>
      </w:tabs>
      <w:spacing w:after="220"/>
      <w:ind w:left="2160" w:hanging="720"/>
    </w:pPr>
  </w:style>
  <w:style w:type="paragraph" w:customStyle="1" w:styleId="TableFormat">
    <w:name w:val="TableFormat"/>
    <w:basedOn w:val="Bullet"/>
    <w:rsid w:val="001C5DAE"/>
    <w:pPr>
      <w:tabs>
        <w:tab w:val="clear" w:pos="2160"/>
        <w:tab w:val="left" w:pos="5040"/>
      </w:tabs>
      <w:ind w:left="5040" w:hanging="3600"/>
    </w:pPr>
  </w:style>
  <w:style w:type="paragraph" w:customStyle="1" w:styleId="TOCTitle">
    <w:name w:val="TOC Title"/>
    <w:basedOn w:val="Normal"/>
    <w:rsid w:val="001C5D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5DAE"/>
    <w:pPr>
      <w:jc w:val="center"/>
    </w:pPr>
    <w:rPr>
      <w:rFonts w:ascii="Times New Roman Bold" w:hAnsi="Times New Roman Bold"/>
      <w:b/>
      <w:bCs/>
      <w:caps/>
      <w:szCs w:val="22"/>
    </w:rPr>
  </w:style>
  <w:style w:type="character" w:styleId="Hyperlink">
    <w:name w:val="Hyperlink"/>
    <w:rsid w:val="001C5DA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D601CE"/>
  </w:style>
  <w:style w:type="character" w:customStyle="1" w:styleId="ParaNumChar">
    <w:name w:val="ParaNum Char"/>
    <w:link w:val="ParaNum"/>
    <w:rsid w:val="00D601CE"/>
    <w:rPr>
      <w:snapToGrid w:val="0"/>
      <w:kern w:val="28"/>
      <w:sz w:val="22"/>
    </w:rPr>
  </w:style>
  <w:style w:type="character" w:customStyle="1" w:styleId="cosearchterm">
    <w:name w:val="co_searchterm"/>
    <w:rsid w:val="00D6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47USCAS155&amp;originatingDoc=Id1856111917811e5a795ac035416da91&amp;refType=RB&amp;originationContext=document&amp;transitionType=DocumentItem&amp;contextData=(sc.Sear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ext.westlaw.com/Link/Document/FullText?findType=L&amp;pubNum=1000547&amp;cite=47CFRS1.115&amp;originatingDoc=Id1856111917811e5a795ac035416da91&amp;refType=RB&amp;originationContext=document&amp;transitionType=DocumentItem&amp;contextData=(sc.Searc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79026049&amp;pubNum=1017&amp;originatingDoc=I8e7309042c2411db80c2e56cac103088&amp;refType=CA&amp;fi=co_pp_sp_1017_63&amp;originationContext=document&amp;transitionType=DocumentItem&amp;contextData=(sc.Search)" TargetMode="External"/><Relationship Id="rId2" Type="http://schemas.openxmlformats.org/officeDocument/2006/relationships/hyperlink" Target="https://a.next.westlaw.com/Link/Document/FullText?findType=L&amp;pubNum=1000547&amp;cite=47CFRS1.106&amp;originatingDoc=I82fbf318ed7211e1b11ea85d0b248d27&amp;refType=RB&amp;originationContext=document&amp;transitionType=DocumentItem&amp;contextData=(sc.Search)" TargetMode="External"/><Relationship Id="rId1" Type="http://schemas.openxmlformats.org/officeDocument/2006/relationships/hyperlink" Target="https://a.next.westlaw.com/Link/Document/FullText?findType=Y&amp;serNum=2037187108&amp;pubNum=0004493&amp;originatingDoc=I26a4886dbfb911e5b4bafa136b480ad2&amp;refType=CA&amp;originationContext=document&amp;transitionType=DocumentItem&amp;contextData=(sc.Search)" TargetMode="External"/><Relationship Id="rId5" Type="http://schemas.openxmlformats.org/officeDocument/2006/relationships/hyperlink" Target="https://a.next.westlaw.com/Link/Document/FullText?findType=Y&amp;serNum=2004291568&amp;pubNum=4493&amp;originatingDoc=Ifbd5a0d5bcf011e191598982704508d1&amp;refType=CA&amp;fi=co_pp_sp_4493_6745&amp;originationContext=document&amp;transitionType=DocumentItem&amp;contextData=(sc.Search)" TargetMode="External"/><Relationship Id="rId4" Type="http://schemas.openxmlformats.org/officeDocument/2006/relationships/hyperlink" Target="https://a.next.westlaw.com/Link/Document/FullText?findType=Y&amp;serNum=2022219097&amp;pubNum=4493&amp;originatingDoc=Ifbd5a0d5bcf011e191598982704508d1&amp;refType=CA&amp;fi=co_pp_sp_4493_7589&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1071</Words>
  <Characters>5833</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2016-06-20T16:38:00Z</dcterms:created>
  <dcterms:modified xsi:type="dcterms:W3CDTF">2016-06-20T16:38:00Z</dcterms:modified>
  <cp:category> </cp:category>
  <cp:contentStatus> </cp:contentStatus>
</cp:coreProperties>
</file>