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5203C8"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5567D14B" w14:textId="77777777" w:rsidR="00921803" w:rsidRDefault="00921803" w:rsidP="00921803">
      <w:pPr>
        <w:pStyle w:val="StyleBoldCentered"/>
      </w:pPr>
      <w:r>
        <w:t>F</w:t>
      </w:r>
      <w:r>
        <w:rPr>
          <w:caps w:val="0"/>
        </w:rPr>
        <w:t>ederal Communications Commission</w:t>
      </w:r>
    </w:p>
    <w:p w14:paraId="0AD50896" w14:textId="77777777" w:rsidR="004C2EE3" w:rsidRDefault="00810B6F" w:rsidP="00096D8C">
      <w:pPr>
        <w:pStyle w:val="StyleBoldCentered"/>
      </w:pPr>
      <w:r>
        <w:rPr>
          <w:caps w:val="0"/>
        </w:rPr>
        <w:t>Washington, D.C. 20554</w:t>
      </w:r>
    </w:p>
    <w:p w14:paraId="29B709E8"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7354A8F0" w14:textId="77777777">
        <w:tc>
          <w:tcPr>
            <w:tcW w:w="4698" w:type="dxa"/>
          </w:tcPr>
          <w:p w14:paraId="6E03D196" w14:textId="77777777" w:rsidR="004C2EE3" w:rsidRDefault="004C2EE3">
            <w:pPr>
              <w:tabs>
                <w:tab w:val="center" w:pos="4680"/>
              </w:tabs>
              <w:suppressAutoHyphens/>
              <w:rPr>
                <w:spacing w:val="-2"/>
              </w:rPr>
            </w:pPr>
            <w:r>
              <w:rPr>
                <w:spacing w:val="-2"/>
              </w:rPr>
              <w:t>In the Matter of</w:t>
            </w:r>
          </w:p>
          <w:p w14:paraId="238C4C33" w14:textId="77777777" w:rsidR="004C2EE3" w:rsidRDefault="004C2EE3">
            <w:pPr>
              <w:tabs>
                <w:tab w:val="center" w:pos="4680"/>
              </w:tabs>
              <w:suppressAutoHyphens/>
              <w:rPr>
                <w:spacing w:val="-2"/>
              </w:rPr>
            </w:pPr>
          </w:p>
          <w:p w14:paraId="5853F8CC" w14:textId="77777777" w:rsidR="003E44BB" w:rsidRPr="00E7715B" w:rsidRDefault="003E44BB" w:rsidP="003E44BB">
            <w:pPr>
              <w:ind w:right="-18"/>
              <w:rPr>
                <w:szCs w:val="22"/>
              </w:rPr>
            </w:pPr>
            <w:r w:rsidRPr="00E7715B">
              <w:rPr>
                <w:szCs w:val="22"/>
              </w:rPr>
              <w:t xml:space="preserve">Amendment of Parts 0, 1, 2, and 15 of the Commission’s Rules regarding Authorization of Radiofrequency Equipment </w:t>
            </w:r>
          </w:p>
          <w:p w14:paraId="287C93C3" w14:textId="77777777" w:rsidR="003E44BB" w:rsidRPr="00E7715B" w:rsidRDefault="003E44BB" w:rsidP="003E44BB">
            <w:pPr>
              <w:tabs>
                <w:tab w:val="center" w:pos="4680"/>
              </w:tabs>
              <w:suppressAutoHyphens/>
              <w:rPr>
                <w:spacing w:val="-2"/>
              </w:rPr>
            </w:pPr>
          </w:p>
          <w:p w14:paraId="4E3D57A9" w14:textId="77777777" w:rsidR="003E44BB" w:rsidRPr="00E7715B" w:rsidRDefault="003E44BB" w:rsidP="003E44BB">
            <w:pPr>
              <w:ind w:right="-18"/>
              <w:rPr>
                <w:szCs w:val="22"/>
              </w:rPr>
            </w:pPr>
            <w:r w:rsidRPr="00E7715B">
              <w:rPr>
                <w:szCs w:val="22"/>
              </w:rPr>
              <w:t>Amendment of Part 68 regarding Approval of Terminal Equipment by Telecommunications Certification Bodies</w:t>
            </w:r>
          </w:p>
          <w:p w14:paraId="2258D499" w14:textId="77777777" w:rsidR="004C2EE3" w:rsidRPr="007115F7" w:rsidRDefault="004C2EE3" w:rsidP="007115F7">
            <w:pPr>
              <w:tabs>
                <w:tab w:val="center" w:pos="4680"/>
              </w:tabs>
              <w:suppressAutoHyphens/>
              <w:rPr>
                <w:spacing w:val="-2"/>
              </w:rPr>
            </w:pPr>
          </w:p>
        </w:tc>
        <w:tc>
          <w:tcPr>
            <w:tcW w:w="630" w:type="dxa"/>
          </w:tcPr>
          <w:p w14:paraId="44E0C221" w14:textId="77777777" w:rsidR="004C2EE3" w:rsidRDefault="004C2EE3">
            <w:pPr>
              <w:tabs>
                <w:tab w:val="center" w:pos="4680"/>
              </w:tabs>
              <w:suppressAutoHyphens/>
              <w:rPr>
                <w:b/>
                <w:spacing w:val="-2"/>
              </w:rPr>
            </w:pPr>
            <w:r>
              <w:rPr>
                <w:b/>
                <w:spacing w:val="-2"/>
              </w:rPr>
              <w:t>)</w:t>
            </w:r>
          </w:p>
          <w:p w14:paraId="7D844FF0" w14:textId="77777777" w:rsidR="004C2EE3" w:rsidRDefault="004C2EE3">
            <w:pPr>
              <w:tabs>
                <w:tab w:val="center" w:pos="4680"/>
              </w:tabs>
              <w:suppressAutoHyphens/>
              <w:rPr>
                <w:b/>
                <w:spacing w:val="-2"/>
              </w:rPr>
            </w:pPr>
            <w:r>
              <w:rPr>
                <w:b/>
                <w:spacing w:val="-2"/>
              </w:rPr>
              <w:t>)</w:t>
            </w:r>
          </w:p>
          <w:p w14:paraId="57FBB63A" w14:textId="77777777" w:rsidR="004C2EE3" w:rsidRDefault="004C2EE3">
            <w:pPr>
              <w:tabs>
                <w:tab w:val="center" w:pos="4680"/>
              </w:tabs>
              <w:suppressAutoHyphens/>
              <w:rPr>
                <w:b/>
                <w:spacing w:val="-2"/>
              </w:rPr>
            </w:pPr>
            <w:r>
              <w:rPr>
                <w:b/>
                <w:spacing w:val="-2"/>
              </w:rPr>
              <w:t>)</w:t>
            </w:r>
          </w:p>
          <w:p w14:paraId="6E8ABBA4" w14:textId="77777777" w:rsidR="004C2EE3" w:rsidRDefault="004C2EE3">
            <w:pPr>
              <w:tabs>
                <w:tab w:val="center" w:pos="4680"/>
              </w:tabs>
              <w:suppressAutoHyphens/>
              <w:rPr>
                <w:b/>
                <w:spacing w:val="-2"/>
              </w:rPr>
            </w:pPr>
            <w:r>
              <w:rPr>
                <w:b/>
                <w:spacing w:val="-2"/>
              </w:rPr>
              <w:t>)</w:t>
            </w:r>
          </w:p>
          <w:p w14:paraId="5B4D63FC" w14:textId="77777777" w:rsidR="004C2EE3" w:rsidRDefault="004C2EE3">
            <w:pPr>
              <w:tabs>
                <w:tab w:val="center" w:pos="4680"/>
              </w:tabs>
              <w:suppressAutoHyphens/>
              <w:rPr>
                <w:b/>
                <w:spacing w:val="-2"/>
              </w:rPr>
            </w:pPr>
            <w:r>
              <w:rPr>
                <w:b/>
                <w:spacing w:val="-2"/>
              </w:rPr>
              <w:t>)</w:t>
            </w:r>
          </w:p>
          <w:p w14:paraId="4301997B" w14:textId="77777777" w:rsidR="004C2EE3" w:rsidRDefault="004C2EE3">
            <w:pPr>
              <w:tabs>
                <w:tab w:val="center" w:pos="4680"/>
              </w:tabs>
              <w:suppressAutoHyphens/>
              <w:rPr>
                <w:b/>
                <w:spacing w:val="-2"/>
              </w:rPr>
            </w:pPr>
            <w:r>
              <w:rPr>
                <w:b/>
                <w:spacing w:val="-2"/>
              </w:rPr>
              <w:t>)</w:t>
            </w:r>
          </w:p>
          <w:p w14:paraId="2F69E2D8" w14:textId="77777777" w:rsidR="004C2EE3" w:rsidRDefault="004C2EE3">
            <w:pPr>
              <w:tabs>
                <w:tab w:val="center" w:pos="4680"/>
              </w:tabs>
              <w:suppressAutoHyphens/>
              <w:rPr>
                <w:b/>
                <w:spacing w:val="-2"/>
              </w:rPr>
            </w:pPr>
            <w:r>
              <w:rPr>
                <w:b/>
                <w:spacing w:val="-2"/>
              </w:rPr>
              <w:t>)</w:t>
            </w:r>
          </w:p>
          <w:p w14:paraId="0C30462C" w14:textId="77777777" w:rsidR="004C2EE3" w:rsidRDefault="004C2EE3">
            <w:pPr>
              <w:tabs>
                <w:tab w:val="center" w:pos="4680"/>
              </w:tabs>
              <w:suppressAutoHyphens/>
              <w:rPr>
                <w:b/>
                <w:spacing w:val="-2"/>
              </w:rPr>
            </w:pPr>
            <w:r>
              <w:rPr>
                <w:b/>
                <w:spacing w:val="-2"/>
              </w:rPr>
              <w:t>)</w:t>
            </w:r>
          </w:p>
          <w:p w14:paraId="3300C753" w14:textId="77777777" w:rsidR="004C2EE3" w:rsidRDefault="004C2EE3">
            <w:pPr>
              <w:tabs>
                <w:tab w:val="center" w:pos="4680"/>
              </w:tabs>
              <w:suppressAutoHyphens/>
              <w:rPr>
                <w:spacing w:val="-2"/>
              </w:rPr>
            </w:pPr>
            <w:r>
              <w:rPr>
                <w:b/>
                <w:spacing w:val="-2"/>
              </w:rPr>
              <w:t>)</w:t>
            </w:r>
          </w:p>
        </w:tc>
        <w:tc>
          <w:tcPr>
            <w:tcW w:w="4248" w:type="dxa"/>
          </w:tcPr>
          <w:p w14:paraId="3FEB7D9D" w14:textId="77777777" w:rsidR="004C2EE3" w:rsidRDefault="004C2EE3">
            <w:pPr>
              <w:tabs>
                <w:tab w:val="center" w:pos="4680"/>
              </w:tabs>
              <w:suppressAutoHyphens/>
              <w:rPr>
                <w:spacing w:val="-2"/>
              </w:rPr>
            </w:pPr>
          </w:p>
          <w:p w14:paraId="483ECE4B" w14:textId="77777777" w:rsidR="004C2EE3" w:rsidRDefault="004C2EE3">
            <w:pPr>
              <w:pStyle w:val="TOAHeading"/>
              <w:tabs>
                <w:tab w:val="clear" w:pos="9360"/>
                <w:tab w:val="center" w:pos="4680"/>
              </w:tabs>
              <w:rPr>
                <w:spacing w:val="-2"/>
              </w:rPr>
            </w:pPr>
          </w:p>
          <w:p w14:paraId="2C7D006B" w14:textId="77777777" w:rsidR="003E44BB" w:rsidRPr="00E7715B" w:rsidRDefault="003E44BB" w:rsidP="003E44BB">
            <w:pPr>
              <w:tabs>
                <w:tab w:val="center" w:pos="4680"/>
              </w:tabs>
              <w:suppressAutoHyphens/>
              <w:rPr>
                <w:spacing w:val="-2"/>
              </w:rPr>
            </w:pPr>
            <w:r w:rsidRPr="00E7715B">
              <w:rPr>
                <w:spacing w:val="-2"/>
              </w:rPr>
              <w:t>ET Docket No. 13-44</w:t>
            </w:r>
          </w:p>
          <w:p w14:paraId="5285D54C" w14:textId="77777777" w:rsidR="004C2EE3" w:rsidRDefault="003E44BB" w:rsidP="00BD00C7">
            <w:pPr>
              <w:tabs>
                <w:tab w:val="center" w:pos="4680"/>
              </w:tabs>
              <w:suppressAutoHyphens/>
              <w:rPr>
                <w:spacing w:val="-2"/>
              </w:rPr>
            </w:pPr>
            <w:r w:rsidRPr="00E7715B">
              <w:rPr>
                <w:spacing w:val="-2"/>
              </w:rPr>
              <w:t>RM-116</w:t>
            </w:r>
            <w:r w:rsidR="00BD00C7">
              <w:rPr>
                <w:spacing w:val="-2"/>
              </w:rPr>
              <w:t>52</w:t>
            </w:r>
          </w:p>
        </w:tc>
      </w:tr>
    </w:tbl>
    <w:p w14:paraId="11E1E159" w14:textId="77777777" w:rsidR="003E44BB" w:rsidRPr="00E7715B" w:rsidRDefault="00E622BF" w:rsidP="003E44BB">
      <w:pPr>
        <w:pStyle w:val="StyleBoldCentered"/>
      </w:pPr>
      <w:r>
        <w:t>Memorandum opinion a</w:t>
      </w:r>
      <w:r w:rsidR="003E44BB" w:rsidRPr="00E7715B">
        <w:t>nd order</w:t>
      </w:r>
      <w:r w:rsidR="00474FA1">
        <w:t xml:space="preserve"> and order on reconsideration</w:t>
      </w:r>
    </w:p>
    <w:p w14:paraId="218EC503" w14:textId="77777777" w:rsidR="004C2EE3" w:rsidRDefault="004C2EE3">
      <w:pPr>
        <w:tabs>
          <w:tab w:val="left" w:pos="-720"/>
        </w:tabs>
        <w:suppressAutoHyphens/>
        <w:spacing w:line="227" w:lineRule="auto"/>
        <w:rPr>
          <w:spacing w:val="-2"/>
        </w:rPr>
      </w:pPr>
    </w:p>
    <w:p w14:paraId="7D28C7F9" w14:textId="429CBA74" w:rsidR="004C2EE3" w:rsidRDefault="000369DD" w:rsidP="00133F79">
      <w:pPr>
        <w:tabs>
          <w:tab w:val="left" w:pos="720"/>
          <w:tab w:val="right" w:pos="9360"/>
        </w:tabs>
        <w:suppressAutoHyphens/>
        <w:spacing w:line="227" w:lineRule="auto"/>
        <w:rPr>
          <w:spacing w:val="-2"/>
        </w:rPr>
      </w:pPr>
      <w:r>
        <w:rPr>
          <w:b/>
          <w:spacing w:val="-2"/>
        </w:rPr>
        <w:t>Adopted:  June 14</w:t>
      </w:r>
      <w:r w:rsidR="00602624">
        <w:rPr>
          <w:b/>
          <w:spacing w:val="-2"/>
        </w:rPr>
        <w:t>, 201</w:t>
      </w:r>
      <w:r w:rsidR="00E622BF">
        <w:rPr>
          <w:b/>
          <w:spacing w:val="-2"/>
        </w:rPr>
        <w:t>6</w:t>
      </w:r>
      <w:r w:rsidR="004C2EE3">
        <w:rPr>
          <w:b/>
          <w:spacing w:val="-2"/>
        </w:rPr>
        <w:tab/>
      </w:r>
      <w:r w:rsidR="00822CE0">
        <w:rPr>
          <w:b/>
          <w:spacing w:val="-2"/>
        </w:rPr>
        <w:t>Released</w:t>
      </w:r>
      <w:r w:rsidR="00081566">
        <w:rPr>
          <w:b/>
          <w:spacing w:val="-2"/>
        </w:rPr>
        <w:t>:  June 15</w:t>
      </w:r>
      <w:r w:rsidR="00602624">
        <w:rPr>
          <w:b/>
          <w:spacing w:val="-2"/>
        </w:rPr>
        <w:t>, 201</w:t>
      </w:r>
      <w:r w:rsidR="00E622BF">
        <w:rPr>
          <w:b/>
          <w:spacing w:val="-2"/>
        </w:rPr>
        <w:t>6</w:t>
      </w:r>
    </w:p>
    <w:p w14:paraId="208C8B07" w14:textId="77777777" w:rsidR="00822CE0" w:rsidRDefault="00822CE0"/>
    <w:p w14:paraId="4ABE50DA" w14:textId="77777777" w:rsidR="00602624" w:rsidRDefault="004C2EE3">
      <w:pPr>
        <w:rPr>
          <w:spacing w:val="-2"/>
        </w:rPr>
      </w:pPr>
      <w:r>
        <w:t xml:space="preserve">By </w:t>
      </w:r>
      <w:r w:rsidR="004E4A22">
        <w:t>the</w:t>
      </w:r>
      <w:r w:rsidR="002A2D2E">
        <w:t xml:space="preserve"> </w:t>
      </w:r>
      <w:r w:rsidR="003E44BB" w:rsidRPr="00E7715B">
        <w:rPr>
          <w:spacing w:val="-2"/>
        </w:rPr>
        <w:t>Commission:</w:t>
      </w:r>
      <w:r w:rsidR="0089120F">
        <w:rPr>
          <w:spacing w:val="-2"/>
        </w:rPr>
        <w:t xml:space="preserve">  </w:t>
      </w:r>
    </w:p>
    <w:p w14:paraId="023095B6" w14:textId="77777777" w:rsidR="00E622BF" w:rsidRDefault="00E622BF" w:rsidP="007814D1">
      <w:pPr>
        <w:pStyle w:val="ParaNum"/>
        <w:numPr>
          <w:ilvl w:val="0"/>
          <w:numId w:val="0"/>
        </w:numPr>
        <w:spacing w:after="0"/>
        <w:rPr>
          <w:szCs w:val="22"/>
        </w:rPr>
      </w:pPr>
    </w:p>
    <w:p w14:paraId="1CEC2AC8" w14:textId="77777777" w:rsidR="007814D1" w:rsidRPr="00E7715B" w:rsidRDefault="007814D1" w:rsidP="007814D1">
      <w:pPr>
        <w:pStyle w:val="Heading1"/>
        <w:tabs>
          <w:tab w:val="num" w:pos="720"/>
        </w:tabs>
      </w:pPr>
      <w:bookmarkStart w:id="1" w:name="_Toc391967140"/>
      <w:bookmarkStart w:id="2" w:name="_Toc392853094"/>
      <w:bookmarkStart w:id="3" w:name="_Toc393282799"/>
      <w:bookmarkStart w:id="4" w:name="_Toc399323453"/>
      <w:bookmarkStart w:id="5" w:name="_Toc350425054"/>
      <w:bookmarkStart w:id="6" w:name="_Toc350425167"/>
      <w:bookmarkStart w:id="7" w:name="_Toc350785622"/>
      <w:bookmarkStart w:id="8" w:name="_Toc351454315"/>
      <w:bookmarkStart w:id="9" w:name="_Toc351478921"/>
      <w:bookmarkStart w:id="10" w:name="_Toc351709066"/>
      <w:bookmarkStart w:id="11" w:name="_Toc351962902"/>
      <w:bookmarkStart w:id="12" w:name="_Toc351991414"/>
      <w:bookmarkStart w:id="13" w:name="_Toc352246759"/>
      <w:bookmarkStart w:id="14" w:name="_Toc352318751"/>
      <w:bookmarkStart w:id="15" w:name="_Toc352341182"/>
      <w:bookmarkStart w:id="16" w:name="_Toc352673411"/>
      <w:bookmarkStart w:id="17" w:name="_Toc352921634"/>
      <w:bookmarkStart w:id="18" w:name="_Toc353176959"/>
      <w:bookmarkStart w:id="19" w:name="_Toc354145091"/>
      <w:bookmarkStart w:id="20" w:name="_Toc354673783"/>
      <w:bookmarkStart w:id="21" w:name="_Toc364342358"/>
      <w:bookmarkStart w:id="22" w:name="_Toc367278312"/>
      <w:bookmarkStart w:id="23" w:name="_Toc367278480"/>
      <w:bookmarkStart w:id="24" w:name="_Toc377550554"/>
      <w:bookmarkStart w:id="25" w:name="_Toc377564007"/>
      <w:bookmarkStart w:id="26" w:name="_Toc378347645"/>
      <w:bookmarkStart w:id="27" w:name="_Toc378607347"/>
      <w:bookmarkStart w:id="28" w:name="_Toc380654568"/>
      <w:bookmarkStart w:id="29" w:name="_Toc387214508"/>
      <w:bookmarkStart w:id="30" w:name="_Toc387916309"/>
      <w:bookmarkStart w:id="31" w:name="_Toc387927633"/>
      <w:bookmarkStart w:id="32" w:name="_Toc390251353"/>
      <w:bookmarkStart w:id="33" w:name="_Toc390257733"/>
      <w:bookmarkStart w:id="34" w:name="_Toc332290412"/>
      <w:bookmarkStart w:id="35" w:name="_Toc332290721"/>
      <w:bookmarkStart w:id="36" w:name="_Toc332290808"/>
      <w:bookmarkStart w:id="37" w:name="_Toc332291158"/>
      <w:bookmarkStart w:id="38" w:name="_Toc332291290"/>
      <w:bookmarkStart w:id="39" w:name="_Toc332291397"/>
      <w:bookmarkStart w:id="40" w:name="_Toc332291472"/>
      <w:bookmarkStart w:id="41" w:name="_Toc332291541"/>
      <w:bookmarkStart w:id="42" w:name="_Toc332291598"/>
      <w:bookmarkStart w:id="43" w:name="_Toc332291649"/>
      <w:bookmarkStart w:id="44" w:name="_Toc332291722"/>
      <w:bookmarkStart w:id="45" w:name="_Toc336000500"/>
      <w:bookmarkStart w:id="46" w:name="_Toc343238053"/>
      <w:bookmarkStart w:id="47" w:name="_Toc343238302"/>
      <w:bookmarkStart w:id="48" w:name="_Toc343238895"/>
      <w:bookmarkStart w:id="49" w:name="_Toc343239014"/>
      <w:bookmarkStart w:id="50" w:name="_Toc343239360"/>
      <w:bookmarkStart w:id="51" w:name="_Toc343247295"/>
      <w:bookmarkStart w:id="52" w:name="_Toc343509201"/>
      <w:bookmarkStart w:id="53" w:name="_Toc343864765"/>
      <w:bookmarkStart w:id="54" w:name="_Toc350418550"/>
      <w:bookmarkStart w:id="55" w:name="_Toc350424765"/>
      <w:bookmarkStart w:id="56" w:name="_Toc350424804"/>
      <w:bookmarkStart w:id="57" w:name="_Toc350424881"/>
      <w:bookmarkStart w:id="58" w:name="_Toc350424968"/>
      <w:r w:rsidRPr="00E7715B">
        <w:t>Introduction</w:t>
      </w:r>
      <w:bookmarkEnd w:id="1"/>
      <w:bookmarkEnd w:id="2"/>
      <w:bookmarkEnd w:id="3"/>
      <w:bookmarkEnd w:id="4"/>
    </w:p>
    <w:p w14:paraId="2B31EEF6" w14:textId="77777777" w:rsidR="007814D1" w:rsidRPr="0019057D" w:rsidRDefault="007814D1" w:rsidP="00FB3AD6">
      <w:pPr>
        <w:pStyle w:val="ParaNum"/>
        <w:tabs>
          <w:tab w:val="num" w:pos="0"/>
        </w:tabs>
      </w:pPr>
      <w:r w:rsidRPr="0019057D">
        <w:t xml:space="preserve">In this </w:t>
      </w:r>
      <w:r w:rsidR="009870B5">
        <w:t xml:space="preserve">Memorandum Opinion and Order </w:t>
      </w:r>
      <w:r w:rsidR="00474FA1">
        <w:t xml:space="preserve">and Order on Reconsideration, </w:t>
      </w:r>
      <w:r w:rsidR="009870B5">
        <w:t xml:space="preserve">we </w:t>
      </w:r>
      <w:r w:rsidR="00571614">
        <w:t>describe how we will implement</w:t>
      </w:r>
      <w:r w:rsidR="00584E37" w:rsidRPr="00785A80">
        <w:t xml:space="preserve"> </w:t>
      </w:r>
      <w:r w:rsidR="005B3801" w:rsidRPr="00785A80">
        <w:t xml:space="preserve">the rules that govern how we recognize </w:t>
      </w:r>
      <w:r w:rsidR="005B3801" w:rsidRPr="00C903AB">
        <w:t xml:space="preserve">laboratories as </w:t>
      </w:r>
      <w:r w:rsidR="003C440A" w:rsidRPr="00C903AB">
        <w:t xml:space="preserve">accredited and </w:t>
      </w:r>
      <w:r w:rsidR="005B3801" w:rsidRPr="00C903AB">
        <w:t>authoriz</w:t>
      </w:r>
      <w:r w:rsidR="005B3801">
        <w:t>ed to perform the compliance testing associated with applications for equipment certification</w:t>
      </w:r>
      <w:r w:rsidR="008D66D7">
        <w:t xml:space="preserve"> and the bodies that</w:t>
      </w:r>
      <w:r w:rsidR="00190717" w:rsidRPr="00190717">
        <w:t xml:space="preserve"> </w:t>
      </w:r>
      <w:r w:rsidR="00190717">
        <w:t>accredit</w:t>
      </w:r>
      <w:r w:rsidR="008D66D7">
        <w:t xml:space="preserve"> th</w:t>
      </w:r>
      <w:r w:rsidR="00755E7D">
        <w:t>ose lab</w:t>
      </w:r>
      <w:r w:rsidR="00CC7077">
        <w:t>oratorie</w:t>
      </w:r>
      <w:r w:rsidR="00755E7D">
        <w:t>s</w:t>
      </w:r>
      <w:r w:rsidR="008A34E5">
        <w:t>;</w:t>
      </w:r>
      <w:r w:rsidR="005B3801">
        <w:rPr>
          <w:rStyle w:val="FootnoteReference"/>
        </w:rPr>
        <w:footnoteReference w:id="2"/>
      </w:r>
      <w:r w:rsidR="00D05960">
        <w:t xml:space="preserve"> </w:t>
      </w:r>
      <w:r w:rsidR="008A34E5">
        <w:t>we also</w:t>
      </w:r>
      <w:r w:rsidR="00FB3AD6">
        <w:t xml:space="preserve"> extend </w:t>
      </w:r>
      <w:r w:rsidR="008A34E5">
        <w:t xml:space="preserve">the </w:t>
      </w:r>
      <w:r w:rsidR="00A96D14">
        <w:t>transition period</w:t>
      </w:r>
      <w:r w:rsidR="008A34E5">
        <w:t xml:space="preserve"> by which time all lab</w:t>
      </w:r>
      <w:r w:rsidR="00CC7077">
        <w:t>oratorie</w:t>
      </w:r>
      <w:r w:rsidR="008A34E5">
        <w:t>s that test for equipment authorization must have FCC-recognized accreditation to perform such testing</w:t>
      </w:r>
      <w:r w:rsidR="003C440A">
        <w:t>.</w:t>
      </w:r>
      <w:r w:rsidR="00FB3AD6">
        <w:t xml:space="preserve"> </w:t>
      </w:r>
      <w:r w:rsidR="003C440A">
        <w:t xml:space="preserve"> W</w:t>
      </w:r>
      <w:r w:rsidR="00FB3AD6">
        <w:t xml:space="preserve">e </w:t>
      </w:r>
      <w:r w:rsidR="005B3801">
        <w:t xml:space="preserve">address two petitions for reconsideration of the </w:t>
      </w:r>
      <w:r w:rsidR="009870B5" w:rsidRPr="00A96D14">
        <w:rPr>
          <w:i/>
        </w:rPr>
        <w:t>Report an</w:t>
      </w:r>
      <w:r w:rsidR="001C1E16" w:rsidRPr="00A96D14">
        <w:rPr>
          <w:i/>
        </w:rPr>
        <w:t>d</w:t>
      </w:r>
      <w:r w:rsidR="009870B5" w:rsidRPr="00A96D14">
        <w:rPr>
          <w:i/>
        </w:rPr>
        <w:t xml:space="preserve"> Order</w:t>
      </w:r>
      <w:r w:rsidR="009870B5">
        <w:t xml:space="preserve"> in this proceeding</w:t>
      </w:r>
      <w:r w:rsidR="00FB3AD6">
        <w:t>.</w:t>
      </w:r>
      <w:r w:rsidR="00FB3AD6">
        <w:rPr>
          <w:rStyle w:val="FootnoteReference"/>
        </w:rPr>
        <w:footnoteReference w:id="3"/>
      </w:r>
      <w:r w:rsidR="00FB3AD6">
        <w:t xml:space="preserve">  Our </w:t>
      </w:r>
      <w:r w:rsidR="004D4332">
        <w:t xml:space="preserve">actions </w:t>
      </w:r>
      <w:r w:rsidR="00FB3AD6">
        <w:t>are designed to</w:t>
      </w:r>
      <w:r w:rsidR="001240FB">
        <w:t xml:space="preserve"> </w:t>
      </w:r>
      <w:r w:rsidR="001240FB" w:rsidRPr="0019057D">
        <w:t>facilitate the continued rapid introduction of new and innovative products to the market</w:t>
      </w:r>
      <w:r w:rsidR="001240FB">
        <w:t xml:space="preserve"> by enabling</w:t>
      </w:r>
      <w:r w:rsidR="00FB3AD6">
        <w:t xml:space="preserve"> qualified</w:t>
      </w:r>
      <w:r w:rsidR="001240FB">
        <w:t xml:space="preserve"> test</w:t>
      </w:r>
      <w:r w:rsidR="00B5000E">
        <w:t>ing</w:t>
      </w:r>
      <w:r w:rsidR="001240FB">
        <w:t xml:space="preserve"> laboratories to continue offering necessary services in the near term</w:t>
      </w:r>
      <w:r w:rsidR="00FB3AD6">
        <w:t>,</w:t>
      </w:r>
      <w:r w:rsidR="001240FB">
        <w:t xml:space="preserve"> and </w:t>
      </w:r>
      <w:r w:rsidR="00FB3AD6">
        <w:t xml:space="preserve">by </w:t>
      </w:r>
      <w:r w:rsidR="001240FB">
        <w:t>providing the regulatory certainty</w:t>
      </w:r>
      <w:r w:rsidR="0024769D">
        <w:t xml:space="preserve"> necessary</w:t>
      </w:r>
      <w:r w:rsidR="001240FB">
        <w:t xml:space="preserve"> </w:t>
      </w:r>
      <w:r w:rsidR="001240FB" w:rsidRPr="00FC1501">
        <w:t xml:space="preserve">to </w:t>
      </w:r>
      <w:r w:rsidR="001240FB">
        <w:t>their long</w:t>
      </w:r>
      <w:r w:rsidR="00FB3AD6">
        <w:t>-</w:t>
      </w:r>
      <w:r w:rsidR="001240FB">
        <w:t>term</w:t>
      </w:r>
      <w:r w:rsidR="00FB3AD6">
        <w:t xml:space="preserve"> viability</w:t>
      </w:r>
      <w:r w:rsidR="001240FB">
        <w:t xml:space="preserve">.  </w:t>
      </w:r>
    </w:p>
    <w:p w14:paraId="35A9159B" w14:textId="77777777" w:rsidR="007814D1" w:rsidRPr="00E7715B" w:rsidRDefault="007814D1" w:rsidP="007814D1">
      <w:pPr>
        <w:pStyle w:val="Heading1"/>
        <w:tabs>
          <w:tab w:val="num" w:pos="720"/>
        </w:tabs>
      </w:pPr>
      <w:bookmarkStart w:id="59" w:name="_Toc390257734"/>
      <w:bookmarkStart w:id="60" w:name="_Toc390251354"/>
      <w:bookmarkStart w:id="61" w:name="_Toc387927634"/>
      <w:bookmarkStart w:id="62" w:name="_Toc387916310"/>
      <w:bookmarkStart w:id="63" w:name="_Toc387214509"/>
      <w:bookmarkStart w:id="64" w:name="_Toc380654569"/>
      <w:bookmarkStart w:id="65" w:name="_Toc378607348"/>
      <w:bookmarkStart w:id="66" w:name="_Toc378347646"/>
      <w:bookmarkStart w:id="67" w:name="_Toc377564008"/>
      <w:bookmarkStart w:id="68" w:name="_Toc377550555"/>
      <w:bookmarkStart w:id="69" w:name="_Toc367278481"/>
      <w:bookmarkStart w:id="70" w:name="_Toc367278313"/>
      <w:bookmarkStart w:id="71" w:name="_Toc364342359"/>
      <w:bookmarkStart w:id="72" w:name="_Toc354673784"/>
      <w:bookmarkStart w:id="73" w:name="_Toc354145092"/>
      <w:bookmarkStart w:id="74" w:name="_Toc353176960"/>
      <w:bookmarkStart w:id="75" w:name="_Toc352921635"/>
      <w:bookmarkStart w:id="76" w:name="_Toc352673412"/>
      <w:bookmarkStart w:id="77" w:name="_Toc352341183"/>
      <w:bookmarkStart w:id="78" w:name="_Toc352318752"/>
      <w:bookmarkStart w:id="79" w:name="_Toc352246760"/>
      <w:bookmarkStart w:id="80" w:name="_Toc351991415"/>
      <w:bookmarkStart w:id="81" w:name="_Toc351962903"/>
      <w:bookmarkStart w:id="82" w:name="_Toc351709067"/>
      <w:bookmarkStart w:id="83" w:name="_Toc351478922"/>
      <w:bookmarkStart w:id="84" w:name="_Toc351454316"/>
      <w:bookmarkStart w:id="85" w:name="_Toc350785623"/>
      <w:bookmarkStart w:id="86" w:name="_Toc350425168"/>
      <w:bookmarkStart w:id="87" w:name="_Toc350425055"/>
      <w:bookmarkStart w:id="88" w:name="_Toc391967141"/>
      <w:bookmarkStart w:id="89" w:name="_Toc392853095"/>
      <w:bookmarkStart w:id="90" w:name="_Toc393282800"/>
      <w:bookmarkStart w:id="91" w:name="_Toc399323454"/>
      <w:r w:rsidRPr="00E7715B">
        <w:t>Background</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32AEA4AA" w14:textId="77777777" w:rsidR="000946DD" w:rsidRDefault="00FB3AD6" w:rsidP="006C5B2E">
      <w:pPr>
        <w:pStyle w:val="ParaNum"/>
        <w:widowControl/>
        <w:tabs>
          <w:tab w:val="num" w:pos="0"/>
        </w:tabs>
      </w:pPr>
      <w:r>
        <w:t>T</w:t>
      </w:r>
      <w:r w:rsidR="000946DD" w:rsidRPr="00E7715B">
        <w:t>h</w:t>
      </w:r>
      <w:r w:rsidR="00121048">
        <w:t xml:space="preserve">e </w:t>
      </w:r>
      <w:r w:rsidR="00121048">
        <w:rPr>
          <w:i/>
        </w:rPr>
        <w:t>Report and Order</w:t>
      </w:r>
      <w:r>
        <w:t xml:space="preserve"> in this proceeding represented a </w:t>
      </w:r>
      <w:r w:rsidR="00A96D14">
        <w:t xml:space="preserve">substantial </w:t>
      </w:r>
      <w:r>
        <w:t>review of our equipment authorization procedures.  Among other things,</w:t>
      </w:r>
      <w:r w:rsidR="00121048">
        <w:t xml:space="preserve"> </w:t>
      </w:r>
      <w:r>
        <w:t>we</w:t>
      </w:r>
      <w:r w:rsidR="000946DD" w:rsidRPr="00E7715B">
        <w:t xml:space="preserve"> clarif</w:t>
      </w:r>
      <w:r w:rsidR="00121048">
        <w:t xml:space="preserve">ied </w:t>
      </w:r>
      <w:r w:rsidR="000946DD" w:rsidRPr="00E7715B">
        <w:t xml:space="preserve">the obligations of </w:t>
      </w:r>
      <w:r w:rsidR="00772F2B">
        <w:t>Telecommunication Certification Bodies (</w:t>
      </w:r>
      <w:r w:rsidR="000946DD" w:rsidRPr="00E7715B">
        <w:t>TCBs</w:t>
      </w:r>
      <w:r w:rsidR="00772F2B">
        <w:t>)</w:t>
      </w:r>
      <w:r w:rsidR="00755E7D">
        <w:rPr>
          <w:rStyle w:val="FootnoteReference"/>
        </w:rPr>
        <w:footnoteReference w:id="4"/>
      </w:r>
      <w:r w:rsidR="000946DD" w:rsidRPr="00E7715B">
        <w:t xml:space="preserve"> and </w:t>
      </w:r>
      <w:r w:rsidR="00772F2B" w:rsidRPr="00E7715B">
        <w:t>update</w:t>
      </w:r>
      <w:r w:rsidR="00772F2B">
        <w:t>d</w:t>
      </w:r>
      <w:r w:rsidR="00772F2B" w:rsidRPr="00E7715B">
        <w:t xml:space="preserve"> </w:t>
      </w:r>
      <w:r w:rsidR="00772F2B">
        <w:t xml:space="preserve">the rules referencing </w:t>
      </w:r>
      <w:r w:rsidR="00772F2B" w:rsidRPr="00E7715B">
        <w:t xml:space="preserve">the measurement procedures used to determine </w:t>
      </w:r>
      <w:r w:rsidR="00A96D14">
        <w:t xml:space="preserve">RF </w:t>
      </w:r>
      <w:r w:rsidR="00772F2B" w:rsidRPr="00E7715B">
        <w:t>equipment compliance</w:t>
      </w:r>
      <w:r w:rsidR="00772F2B">
        <w:t xml:space="preserve">.  </w:t>
      </w:r>
      <w:r w:rsidR="009A746D">
        <w:t>We</w:t>
      </w:r>
      <w:r w:rsidR="000946DD" w:rsidRPr="00E7715B">
        <w:t xml:space="preserve"> also </w:t>
      </w:r>
      <w:r w:rsidR="009A746D">
        <w:t xml:space="preserve">decided </w:t>
      </w:r>
      <w:r w:rsidR="004642ED">
        <w:t xml:space="preserve">that </w:t>
      </w:r>
      <w:r w:rsidR="009A746D">
        <w:t xml:space="preserve">all laboratories recognized by the Commission as authorized to perform compliance testing in support of an application for </w:t>
      </w:r>
      <w:r w:rsidR="00041D3F">
        <w:t>e</w:t>
      </w:r>
      <w:r w:rsidR="009A746D">
        <w:t xml:space="preserve">quipment certification </w:t>
      </w:r>
      <w:r w:rsidR="004642ED">
        <w:t xml:space="preserve">must </w:t>
      </w:r>
      <w:r w:rsidR="009A746D">
        <w:t>be accredited by a</w:t>
      </w:r>
      <w:r w:rsidR="00DF46C4">
        <w:t>n FCC-</w:t>
      </w:r>
      <w:r w:rsidR="009A746D">
        <w:t>recognized accrediting body</w:t>
      </w:r>
      <w:r w:rsidR="00755E7D">
        <w:t>,</w:t>
      </w:r>
      <w:r w:rsidR="00A96D14">
        <w:t xml:space="preserve"> and</w:t>
      </w:r>
      <w:r w:rsidR="00772F2B">
        <w:t xml:space="preserve"> modif</w:t>
      </w:r>
      <w:r w:rsidR="00A96D14">
        <w:t>ied</w:t>
      </w:r>
      <w:r w:rsidR="00772F2B">
        <w:t xml:space="preserve"> the</w:t>
      </w:r>
      <w:r w:rsidR="00772F2B" w:rsidRPr="006C5B2E">
        <w:t xml:space="preserve"> </w:t>
      </w:r>
      <w:r w:rsidR="00812014" w:rsidRPr="006C5B2E">
        <w:t>rules to codif</w:t>
      </w:r>
      <w:r w:rsidR="00874B00">
        <w:t>y</w:t>
      </w:r>
      <w:r w:rsidR="00812014" w:rsidRPr="006C5B2E">
        <w:t xml:space="preserve"> a</w:t>
      </w:r>
      <w:r w:rsidR="00DF2FD1">
        <w:t>n</w:t>
      </w:r>
      <w:r w:rsidR="00812014" w:rsidRPr="006C5B2E">
        <w:t xml:space="preserve"> </w:t>
      </w:r>
      <w:r w:rsidR="00755E7D">
        <w:t xml:space="preserve">existing </w:t>
      </w:r>
      <w:r w:rsidR="00812014" w:rsidRPr="006C5B2E">
        <w:t xml:space="preserve">procedure through which </w:t>
      </w:r>
      <w:r w:rsidR="003B7567">
        <w:t xml:space="preserve">we </w:t>
      </w:r>
      <w:r w:rsidR="00812014" w:rsidRPr="006C5B2E">
        <w:t>recognize new laboratory accreditation bodies</w:t>
      </w:r>
      <w:r w:rsidR="003B7567">
        <w:t xml:space="preserve">. </w:t>
      </w:r>
      <w:r w:rsidR="00271107">
        <w:t xml:space="preserve"> </w:t>
      </w:r>
    </w:p>
    <w:p w14:paraId="70EFE0ED" w14:textId="77777777" w:rsidR="00A50490" w:rsidRDefault="00097BAE">
      <w:pPr>
        <w:pStyle w:val="ParaNum"/>
        <w:widowControl/>
        <w:tabs>
          <w:tab w:val="num" w:pos="0"/>
        </w:tabs>
      </w:pPr>
      <w:r>
        <w:t xml:space="preserve">On July 13, 2015, Motorola Solutions, Inc. (Motorola) and the Telecommunications Industry Association (TIA) filed separate </w:t>
      </w:r>
      <w:r w:rsidR="008045A0">
        <w:t xml:space="preserve">petitions </w:t>
      </w:r>
      <w:r>
        <w:t xml:space="preserve">requesting reconsideration and/or clarification of the </w:t>
      </w:r>
      <w:r w:rsidRPr="00874B00">
        <w:rPr>
          <w:i/>
        </w:rPr>
        <w:lastRenderedPageBreak/>
        <w:t>Report and Order</w:t>
      </w:r>
      <w:r>
        <w:t>.</w:t>
      </w:r>
      <w:r>
        <w:rPr>
          <w:rStyle w:val="FootnoteReference"/>
        </w:rPr>
        <w:footnoteReference w:id="5"/>
      </w:r>
      <w:r w:rsidR="001458C0">
        <w:t xml:space="preserve">  Both petitions </w:t>
      </w:r>
      <w:r w:rsidR="00772F2B">
        <w:t xml:space="preserve">focused on a narrow set of </w:t>
      </w:r>
      <w:r w:rsidR="003C0E42">
        <w:t>r</w:t>
      </w:r>
      <w:r w:rsidR="000B1E0C">
        <w:t>elated</w:t>
      </w:r>
      <w:r w:rsidR="003C0E42">
        <w:t xml:space="preserve"> </w:t>
      </w:r>
      <w:r w:rsidR="00772F2B">
        <w:t>issues</w:t>
      </w:r>
      <w:r w:rsidR="00A96D14">
        <w:t>, including</w:t>
      </w:r>
      <w:r w:rsidR="001458C0">
        <w:t xml:space="preserve"> the </w:t>
      </w:r>
      <w:r w:rsidR="00C4381E">
        <w:t xml:space="preserve">process for </w:t>
      </w:r>
      <w:r w:rsidR="001458C0">
        <w:t>accreditation of test</w:t>
      </w:r>
      <w:r w:rsidR="00B5000E">
        <w:t>ing</w:t>
      </w:r>
      <w:r w:rsidR="001458C0">
        <w:t xml:space="preserve"> laboratories located in countries that have not entered in</w:t>
      </w:r>
      <w:r w:rsidR="00BD30E3">
        <w:t>to</w:t>
      </w:r>
      <w:r w:rsidR="001458C0">
        <w:t xml:space="preserve"> a Mutual Recognition Agreement</w:t>
      </w:r>
      <w:r w:rsidR="00772F2B">
        <w:t xml:space="preserve"> (MRA)</w:t>
      </w:r>
      <w:r w:rsidR="001458C0">
        <w:t xml:space="preserve"> </w:t>
      </w:r>
      <w:r w:rsidR="007504CA">
        <w:t>wi</w:t>
      </w:r>
      <w:r w:rsidR="001458C0">
        <w:t>th the United States</w:t>
      </w:r>
      <w:r w:rsidR="00C4381E">
        <w:t xml:space="preserve"> and the transition period for such accreditation</w:t>
      </w:r>
      <w:r w:rsidR="001458C0">
        <w:t>.</w:t>
      </w:r>
      <w:r w:rsidR="007504CA">
        <w:rPr>
          <w:rStyle w:val="FootnoteReference"/>
        </w:rPr>
        <w:footnoteReference w:id="6"/>
      </w:r>
      <w:r w:rsidR="00924136">
        <w:t xml:space="preserve"> </w:t>
      </w:r>
      <w:r w:rsidR="00DE5242">
        <w:t>The Consumer Technology Association and Huawei Technologies, Inc. (USA) and Huawei Technologies Co., LTD filed comments supporting both petitions.</w:t>
      </w:r>
      <w:r w:rsidR="00DE5242">
        <w:rPr>
          <w:rStyle w:val="FootnoteReference"/>
        </w:rPr>
        <w:footnoteReference w:id="7"/>
      </w:r>
      <w:r w:rsidR="002D7999">
        <w:t xml:space="preserve">  No opposing comments were filed. </w:t>
      </w:r>
    </w:p>
    <w:p w14:paraId="3D94D5C4" w14:textId="77777777" w:rsidR="007814D1" w:rsidRDefault="007814D1" w:rsidP="00811356">
      <w:pPr>
        <w:pStyle w:val="Heading1"/>
        <w:tabs>
          <w:tab w:val="num" w:pos="720"/>
        </w:tabs>
      </w:pPr>
      <w:bookmarkStart w:id="92" w:name="_Toc392853096"/>
      <w:bookmarkStart w:id="93" w:name="_Toc393282801"/>
      <w:bookmarkStart w:id="94" w:name="_Toc399323455"/>
      <w:r w:rsidRPr="00E7715B">
        <w:t>Discussion</w:t>
      </w:r>
      <w:bookmarkEnd w:id="92"/>
      <w:bookmarkEnd w:id="93"/>
      <w:bookmarkEnd w:id="94"/>
      <w:r w:rsidRPr="00E7715B">
        <w:t xml:space="preserve"> </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11D988D0" w14:textId="77777777" w:rsidR="00092375" w:rsidRPr="00092375" w:rsidRDefault="00092375" w:rsidP="008A34E5">
      <w:pPr>
        <w:pStyle w:val="ParaNum"/>
      </w:pPr>
      <w:r>
        <w:t>As d</w:t>
      </w:r>
      <w:r w:rsidR="008A34E5">
        <w:t>escrib</w:t>
      </w:r>
      <w:r>
        <w:t>ed below, we grant the petitions</w:t>
      </w:r>
      <w:r w:rsidR="00571614">
        <w:t xml:space="preserve"> in part.  Our discussion focuses on </w:t>
      </w:r>
      <w:r>
        <w:t>the process by which compliance testing laboratories can become recognized by the Commission as properly accredited</w:t>
      </w:r>
      <w:r w:rsidR="00571614">
        <w:t>.  We also</w:t>
      </w:r>
      <w:r w:rsidR="008A34E5">
        <w:t xml:space="preserve"> </w:t>
      </w:r>
      <w:r>
        <w:t xml:space="preserve">extend the transition deadlines for laboratories </w:t>
      </w:r>
      <w:r w:rsidR="008A34E5">
        <w:t xml:space="preserve">that have </w:t>
      </w:r>
      <w:r>
        <w:t>operat</w:t>
      </w:r>
      <w:r w:rsidR="008A34E5">
        <w:t>ed</w:t>
      </w:r>
      <w:r>
        <w:t xml:space="preserve"> under a specific rule provision that the </w:t>
      </w:r>
      <w:r w:rsidRPr="00092375">
        <w:rPr>
          <w:i/>
        </w:rPr>
        <w:t>Report and Order</w:t>
      </w:r>
      <w:r>
        <w:t xml:space="preserve"> eliminated to become accredited.</w:t>
      </w:r>
      <w:r>
        <w:rPr>
          <w:rStyle w:val="FootnoteReference"/>
        </w:rPr>
        <w:footnoteReference w:id="8"/>
      </w:r>
    </w:p>
    <w:p w14:paraId="61624769" w14:textId="77777777" w:rsidR="00830AF9" w:rsidRDefault="007814D1" w:rsidP="00830AF9">
      <w:pPr>
        <w:pStyle w:val="Heading2"/>
        <w:rPr>
          <w:rFonts w:eastAsia="TimesNewRoman"/>
        </w:rPr>
      </w:pPr>
      <w:r w:rsidRPr="00830AF9">
        <w:rPr>
          <w:rFonts w:eastAsia="TimesNewRoman"/>
        </w:rPr>
        <w:t>Background</w:t>
      </w:r>
    </w:p>
    <w:p w14:paraId="125A7BA9" w14:textId="77777777" w:rsidR="00DF2FD1" w:rsidRDefault="00864C2A" w:rsidP="00FA189D">
      <w:pPr>
        <w:pStyle w:val="ParaNum"/>
      </w:pPr>
      <w:r w:rsidRPr="00830AF9">
        <w:rPr>
          <w:rFonts w:eastAsia="TimesNewRoman"/>
        </w:rPr>
        <w:t xml:space="preserve">In the </w:t>
      </w:r>
      <w:r w:rsidRPr="00830AF9">
        <w:rPr>
          <w:rFonts w:eastAsia="TimesNewRoman"/>
          <w:i/>
        </w:rPr>
        <w:t xml:space="preserve">Report and Order, </w:t>
      </w:r>
      <w:r w:rsidRPr="00830AF9">
        <w:rPr>
          <w:rFonts w:eastAsia="TimesNewRoman"/>
        </w:rPr>
        <w:t xml:space="preserve">we decided </w:t>
      </w:r>
      <w:r w:rsidR="00F831D3" w:rsidRPr="00E7715B">
        <w:t xml:space="preserve">to require all laboratories that perform </w:t>
      </w:r>
      <w:r w:rsidR="00EB7E2B">
        <w:t>c</w:t>
      </w:r>
      <w:r w:rsidR="00F831D3" w:rsidRPr="00E7715B">
        <w:t>ertification testing</w:t>
      </w:r>
      <w:r w:rsidR="00830AF9">
        <w:t xml:space="preserve"> </w:t>
      </w:r>
      <w:r w:rsidR="00F831D3" w:rsidRPr="00E7715B">
        <w:t>be accredited under ISO/IEC 17025</w:t>
      </w:r>
      <w:r>
        <w:t>.</w:t>
      </w:r>
      <w:r>
        <w:rPr>
          <w:rStyle w:val="FootnoteReference"/>
        </w:rPr>
        <w:footnoteReference w:id="9"/>
      </w:r>
      <w:r>
        <w:t xml:space="preserve"> </w:t>
      </w:r>
      <w:r w:rsidR="008045A0">
        <w:t xml:space="preserve"> </w:t>
      </w:r>
      <w:r w:rsidR="00F504B3" w:rsidRPr="00E7715B">
        <w:t xml:space="preserve">We </w:t>
      </w:r>
      <w:r w:rsidR="00F504B3">
        <w:t>concluded</w:t>
      </w:r>
      <w:r w:rsidR="00F504B3" w:rsidRPr="00E7715B">
        <w:t xml:space="preserve"> that requiring laboratory accreditation</w:t>
      </w:r>
      <w:r w:rsidR="00F504B3">
        <w:t xml:space="preserve"> </w:t>
      </w:r>
      <w:r w:rsidR="00FC4995">
        <w:t xml:space="preserve">and </w:t>
      </w:r>
      <w:r w:rsidR="00076AAA">
        <w:t>recogni</w:t>
      </w:r>
      <w:r w:rsidR="00FC4995">
        <w:t>tion</w:t>
      </w:r>
      <w:r w:rsidR="00076AAA">
        <w:t xml:space="preserve"> by the FCC is essential to</w:t>
      </w:r>
      <w:r w:rsidR="00F504B3">
        <w:t xml:space="preserve"> ensure that</w:t>
      </w:r>
      <w:r w:rsidR="00F504B3" w:rsidRPr="00E7715B">
        <w:t xml:space="preserve"> testing </w:t>
      </w:r>
      <w:r w:rsidR="00BD30E3">
        <w:t xml:space="preserve">performed to </w:t>
      </w:r>
      <w:r w:rsidR="00F504B3">
        <w:t>s</w:t>
      </w:r>
      <w:r w:rsidR="00F504B3" w:rsidRPr="00E7715B">
        <w:t xml:space="preserve">upport </w:t>
      </w:r>
      <w:r w:rsidR="00BD30E3">
        <w:t>equipment c</w:t>
      </w:r>
      <w:r w:rsidR="00F504B3" w:rsidRPr="00E7715B">
        <w:t xml:space="preserve">ertification applications </w:t>
      </w:r>
      <w:r w:rsidR="00F504B3">
        <w:t>complies</w:t>
      </w:r>
      <w:r w:rsidR="00F504B3" w:rsidRPr="00E7715B">
        <w:t xml:space="preserve"> with the applicable standards.</w:t>
      </w:r>
      <w:r w:rsidR="00F504B3">
        <w:rPr>
          <w:rStyle w:val="FootnoteReference"/>
        </w:rPr>
        <w:footnoteReference w:id="10"/>
      </w:r>
      <w:r w:rsidR="00F504B3">
        <w:t xml:space="preserve">  We confirm this determination</w:t>
      </w:r>
      <w:r w:rsidR="00AA7A6C">
        <w:t xml:space="preserve"> and </w:t>
      </w:r>
      <w:r w:rsidR="0057740E">
        <w:t xml:space="preserve">we </w:t>
      </w:r>
      <w:r w:rsidR="00AA7A6C">
        <w:t>note that no party has asked us to revisit this fundamental conclusion.</w:t>
      </w:r>
      <w:r w:rsidR="006D1B53">
        <w:t xml:space="preserve">  </w:t>
      </w:r>
      <w:r w:rsidR="006D1B53" w:rsidRPr="00276473">
        <w:t xml:space="preserve">Requiring all laboratories that </w:t>
      </w:r>
      <w:r w:rsidR="00BD30E3" w:rsidRPr="00276473">
        <w:t>perform tests in support of applications for</w:t>
      </w:r>
      <w:r w:rsidR="006D1B53" w:rsidRPr="00276473">
        <w:t xml:space="preserve"> equipment certification </w:t>
      </w:r>
      <w:r w:rsidR="006277A0" w:rsidRPr="00276473">
        <w:t>to be accredited</w:t>
      </w:r>
      <w:r w:rsidR="006D1B53" w:rsidRPr="00276473">
        <w:t xml:space="preserve"> is essential for </w:t>
      </w:r>
      <w:r w:rsidR="00BD30E3" w:rsidRPr="00276473">
        <w:t xml:space="preserve">ensuring compliance with the Commission’s technical rules </w:t>
      </w:r>
      <w:r w:rsidR="006D1B53" w:rsidRPr="00276473">
        <w:t>in the face of increasingly complex technology and devices.</w:t>
      </w:r>
      <w:r w:rsidR="00AA7A6C" w:rsidRPr="00AD5F2A">
        <w:t xml:space="preserve"> </w:t>
      </w:r>
      <w:r w:rsidR="000063B7" w:rsidRPr="00AD5F2A">
        <w:t xml:space="preserve"> </w:t>
      </w:r>
      <w:r w:rsidR="00F504B3">
        <w:t>As we stated in adopting this provision, t</w:t>
      </w:r>
      <w:r w:rsidR="00F504B3" w:rsidRPr="00E7715B">
        <w:t xml:space="preserve">his requirement will provide a higher degree of confidence that equipment testing done in support of </w:t>
      </w:r>
      <w:r w:rsidR="00EB7E2B">
        <w:t>c</w:t>
      </w:r>
      <w:r w:rsidR="00F504B3" w:rsidRPr="00E7715B">
        <w:t xml:space="preserve">ertification applications is conducted in accordance with the applicable standards. </w:t>
      </w:r>
      <w:r w:rsidR="000063B7">
        <w:t xml:space="preserve"> </w:t>
      </w:r>
      <w:r w:rsidR="00F504B3">
        <w:t xml:space="preserve">In addition, this requirement </w:t>
      </w:r>
      <w:r w:rsidR="00F504B3" w:rsidRPr="00E7715B">
        <w:t xml:space="preserve">is an important adjunct to our </w:t>
      </w:r>
      <w:r w:rsidR="00F504B3">
        <w:t xml:space="preserve">concurrent </w:t>
      </w:r>
      <w:r w:rsidR="00F504B3" w:rsidRPr="00E7715B">
        <w:t>decision to allow TCBs to certify all RF equipment</w:t>
      </w:r>
      <w:r w:rsidR="00F504B3">
        <w:t>.</w:t>
      </w:r>
      <w:r w:rsidR="00BF247D">
        <w:rPr>
          <w:rStyle w:val="FootnoteReference"/>
        </w:rPr>
        <w:footnoteReference w:id="11"/>
      </w:r>
      <w:r w:rsidR="004C2684">
        <w:t xml:space="preserve">  For example, Huawei, which filed comments in support of the Petitioners, recognizes and supports “the Commission’s determination that the increasing complexity of products on the market and the testing requirements for those products demands that testing be performed </w:t>
      </w:r>
      <w:r w:rsidR="004C2684">
        <w:lastRenderedPageBreak/>
        <w:t>by accredited testing laboratories in order to ensure a high level of quality and confidence in the test results.”</w:t>
      </w:r>
      <w:r w:rsidR="004C2684">
        <w:rPr>
          <w:rStyle w:val="FootnoteReference"/>
        </w:rPr>
        <w:footnoteReference w:id="12"/>
      </w:r>
      <w:r w:rsidR="00F504B3">
        <w:t xml:space="preserve"> </w:t>
      </w:r>
    </w:p>
    <w:p w14:paraId="3446C72E" w14:textId="77777777" w:rsidR="00D36238" w:rsidRDefault="000063B7" w:rsidP="000B1E0C">
      <w:pPr>
        <w:pStyle w:val="ParaNum"/>
        <w:tabs>
          <w:tab w:val="num" w:pos="0"/>
        </w:tabs>
      </w:pPr>
      <w:r>
        <w:t>I</w:t>
      </w:r>
      <w:r w:rsidR="00565B8B">
        <w:t xml:space="preserve">n adopting the new requirement, </w:t>
      </w:r>
      <w:r w:rsidR="00A5708F">
        <w:t xml:space="preserve">we discontinued a process the Commission had been using to </w:t>
      </w:r>
      <w:r w:rsidR="008045A0">
        <w:t xml:space="preserve">let certain </w:t>
      </w:r>
      <w:r w:rsidR="00A5708F">
        <w:t xml:space="preserve">unaccredited </w:t>
      </w:r>
      <w:r w:rsidR="00A5708F" w:rsidRPr="005C7CEF">
        <w:t>laboratories</w:t>
      </w:r>
      <w:r w:rsidR="008045A0">
        <w:t xml:space="preserve"> test equipment for certification</w:t>
      </w:r>
      <w:r w:rsidR="0060226A">
        <w:t>.</w:t>
      </w:r>
      <w:r w:rsidR="00423465">
        <w:rPr>
          <w:rStyle w:val="FootnoteReference"/>
        </w:rPr>
        <w:footnoteReference w:id="13"/>
      </w:r>
      <w:r w:rsidR="00A5708F">
        <w:t xml:space="preserve">  </w:t>
      </w:r>
      <w:r w:rsidR="008045A0">
        <w:t>O</w:t>
      </w:r>
      <w:r w:rsidR="00A5708F">
        <w:t>ur Office of Engineering and Technology (</w:t>
      </w:r>
      <w:r w:rsidR="00A5708F" w:rsidRPr="00B9675A">
        <w:t>OET</w:t>
      </w:r>
      <w:r w:rsidR="00A5708F">
        <w:t>)</w:t>
      </w:r>
      <w:r w:rsidR="00A5708F" w:rsidRPr="00B9675A">
        <w:t xml:space="preserve"> maintain</w:t>
      </w:r>
      <w:r w:rsidR="008A34E5">
        <w:t>s</w:t>
      </w:r>
      <w:r w:rsidR="00A5708F" w:rsidRPr="00B9675A">
        <w:t xml:space="preserve"> records of two types of qualified testing laboratories</w:t>
      </w:r>
      <w:r w:rsidR="000E5A33">
        <w:t>:</w:t>
      </w:r>
      <w:r w:rsidR="00A5708F" w:rsidRPr="00B9675A">
        <w:t xml:space="preserve"> “accredited” and “</w:t>
      </w:r>
      <w:r w:rsidR="00BD30E3">
        <w:t xml:space="preserve">[rule section] </w:t>
      </w:r>
      <w:r w:rsidR="00A5708F" w:rsidRPr="00B9675A">
        <w:t>2.948-listed</w:t>
      </w:r>
      <w:r w:rsidR="008045A0">
        <w:t>,</w:t>
      </w:r>
      <w:r w:rsidR="00A5708F" w:rsidRPr="00B9675A">
        <w:t>”</w:t>
      </w:r>
      <w:r w:rsidR="008045A0">
        <w:t xml:space="preserve"> </w:t>
      </w:r>
      <w:r w:rsidR="00DF2FD1">
        <w:t>a</w:t>
      </w:r>
      <w:r w:rsidR="008045A0">
        <w:t xml:space="preserve">nd only such labs could be used for </w:t>
      </w:r>
      <w:r w:rsidR="00DF2FD1">
        <w:t xml:space="preserve">testing </w:t>
      </w:r>
      <w:r w:rsidR="008045A0">
        <w:t>d</w:t>
      </w:r>
      <w:r w:rsidR="00A5708F" w:rsidRPr="00B9675A">
        <w:t xml:space="preserve">evices </w:t>
      </w:r>
      <w:r w:rsidR="008045A0">
        <w:t xml:space="preserve">to be </w:t>
      </w:r>
      <w:r w:rsidR="00A5708F" w:rsidRPr="00B9675A">
        <w:t xml:space="preserve">authorized under the </w:t>
      </w:r>
      <w:r w:rsidR="00EB7E2B">
        <w:t>c</w:t>
      </w:r>
      <w:r w:rsidR="00A5708F" w:rsidRPr="00B9675A">
        <w:t>ertification process</w:t>
      </w:r>
      <w:r w:rsidR="000E5A33">
        <w:t>.</w:t>
      </w:r>
      <w:r w:rsidR="00BF247D">
        <w:rPr>
          <w:rStyle w:val="FootnoteReference"/>
        </w:rPr>
        <w:footnoteReference w:id="14"/>
      </w:r>
      <w:r w:rsidR="00565B8B" w:rsidRPr="00E7715B">
        <w:t xml:space="preserve"> </w:t>
      </w:r>
      <w:r w:rsidR="00D36238">
        <w:t xml:space="preserve"> Although </w:t>
      </w:r>
      <w:r w:rsidR="00820E83">
        <w:t xml:space="preserve">the </w:t>
      </w:r>
      <w:r w:rsidR="00820E83" w:rsidRPr="00BF247D">
        <w:rPr>
          <w:i/>
        </w:rPr>
        <w:t>Report and Order</w:t>
      </w:r>
      <w:r w:rsidR="00D36238">
        <w:t xml:space="preserve"> discontinued the 2.948 listing option, we </w:t>
      </w:r>
      <w:r w:rsidR="008045A0">
        <w:t xml:space="preserve">provided a transition period to </w:t>
      </w:r>
      <w:r w:rsidR="00D36238">
        <w:t>permit laboratories recognized</w:t>
      </w:r>
      <w:r w:rsidR="00D36238" w:rsidRPr="00E7715B">
        <w:t xml:space="preserve"> </w:t>
      </w:r>
      <w:r w:rsidR="00D36238">
        <w:t>under the 2.948 criteria</w:t>
      </w:r>
      <w:r w:rsidR="00D36238" w:rsidRPr="00E7715B">
        <w:t xml:space="preserve"> as of </w:t>
      </w:r>
      <w:r w:rsidR="00D36238">
        <w:t xml:space="preserve">July 13, 2015 to continue to </w:t>
      </w:r>
      <w:r w:rsidR="00D36238" w:rsidRPr="00E7715B">
        <w:t xml:space="preserve">be recognized until their </w:t>
      </w:r>
      <w:r w:rsidR="00A96D14">
        <w:t xml:space="preserve">existing </w:t>
      </w:r>
      <w:r w:rsidR="00D36238" w:rsidRPr="00E7715B">
        <w:t xml:space="preserve">expiration date or </w:t>
      </w:r>
      <w:r w:rsidR="00D36238">
        <w:t>until July 13, 2016, which</w:t>
      </w:r>
      <w:r w:rsidR="00D36238" w:rsidRPr="00E7715B">
        <w:t>ever is sooner.</w:t>
      </w:r>
      <w:r w:rsidR="00D36238">
        <w:rPr>
          <w:rStyle w:val="FootnoteReference"/>
        </w:rPr>
        <w:footnoteReference w:id="15"/>
      </w:r>
      <w:r w:rsidR="00D36238" w:rsidRPr="00E7715B">
        <w:t xml:space="preserve">  </w:t>
      </w:r>
      <w:r w:rsidR="00D36238">
        <w:t>Additionally, a</w:t>
      </w:r>
      <w:r w:rsidR="00D36238" w:rsidRPr="00E7715B">
        <w:t xml:space="preserve">ny testing that is completed by </w:t>
      </w:r>
      <w:r w:rsidR="00D36238">
        <w:t xml:space="preserve">unaccredited </w:t>
      </w:r>
      <w:r w:rsidR="00D36238" w:rsidRPr="00E7715B">
        <w:t xml:space="preserve">recognized </w:t>
      </w:r>
      <w:r w:rsidR="00D36238">
        <w:t>2.948-</w:t>
      </w:r>
      <w:r w:rsidR="00D36238" w:rsidRPr="00E7715B">
        <w:t xml:space="preserve">listed laboratories </w:t>
      </w:r>
      <w:r w:rsidR="00D36238">
        <w:t>prior to July 13, 2016 w</w:t>
      </w:r>
      <w:r w:rsidR="00027953">
        <w:t>ou</w:t>
      </w:r>
      <w:r w:rsidR="00D36238">
        <w:t>l</w:t>
      </w:r>
      <w:r w:rsidR="00DF2FD1">
        <w:t>d</w:t>
      </w:r>
      <w:r w:rsidR="00D36238">
        <w:t xml:space="preserve"> </w:t>
      </w:r>
      <w:r w:rsidR="00D36238" w:rsidRPr="00E7715B">
        <w:t xml:space="preserve">be accepted only in support of a </w:t>
      </w:r>
      <w:r w:rsidR="00EB7E2B">
        <w:t>c</w:t>
      </w:r>
      <w:r w:rsidR="00D36238" w:rsidRPr="00E7715B">
        <w:t xml:space="preserve">ertification application submitted </w:t>
      </w:r>
      <w:r w:rsidR="00D36238">
        <w:t>by October 13, 2016.</w:t>
      </w:r>
      <w:r w:rsidR="00D36238" w:rsidRPr="00E7715B">
        <w:rPr>
          <w:rStyle w:val="FootnoteReference"/>
        </w:rPr>
        <w:footnoteReference w:id="16"/>
      </w:r>
      <w:r w:rsidR="005F0158" w:rsidRPr="00E7715B">
        <w:t xml:space="preserve">  </w:t>
      </w:r>
    </w:p>
    <w:p w14:paraId="1A53FFD0" w14:textId="65236C1A" w:rsidR="007814D1" w:rsidRDefault="008F2E4F" w:rsidP="00A5708F">
      <w:pPr>
        <w:pStyle w:val="ParaNum"/>
        <w:tabs>
          <w:tab w:val="num" w:pos="0"/>
        </w:tabs>
      </w:pPr>
      <w:r>
        <w:rPr>
          <w:rFonts w:eastAsia="TimesNewRoman"/>
        </w:rPr>
        <w:t>With regard to testing</w:t>
      </w:r>
      <w:r w:rsidR="00D41457" w:rsidRPr="00256C09">
        <w:rPr>
          <w:rFonts w:eastAsia="TimesNewRoman"/>
        </w:rPr>
        <w:t xml:space="preserve"> laboratories </w:t>
      </w:r>
      <w:r>
        <w:rPr>
          <w:rFonts w:eastAsia="TimesNewRoman"/>
        </w:rPr>
        <w:t xml:space="preserve">that </w:t>
      </w:r>
      <w:r w:rsidR="00D41457" w:rsidRPr="00256C09">
        <w:rPr>
          <w:rFonts w:eastAsia="TimesNewRoman"/>
        </w:rPr>
        <w:t xml:space="preserve">are located in countries that do not have an MRA </w:t>
      </w:r>
      <w:r w:rsidR="00D41457" w:rsidRPr="0019057D">
        <w:t>with</w:t>
      </w:r>
      <w:r w:rsidR="00D41457" w:rsidRPr="00256C09">
        <w:rPr>
          <w:rFonts w:eastAsia="TimesNewRoman"/>
        </w:rPr>
        <w:t xml:space="preserve"> the United States</w:t>
      </w:r>
      <w:r w:rsidR="00D41457" w:rsidRPr="0019057D">
        <w:t>,</w:t>
      </w:r>
      <w:r w:rsidR="00D41457" w:rsidRPr="00256C09">
        <w:rPr>
          <w:rFonts w:eastAsia="TimesNewRoman"/>
        </w:rPr>
        <w:t xml:space="preserve"> the Commission</w:t>
      </w:r>
      <w:r>
        <w:rPr>
          <w:rFonts w:eastAsia="TimesNewRoman"/>
        </w:rPr>
        <w:t xml:space="preserve"> acknowledged that, while</w:t>
      </w:r>
      <w:r w:rsidR="007814D1" w:rsidRPr="005C7CEF">
        <w:t xml:space="preserve"> the current rules </w:t>
      </w:r>
      <w:r w:rsidR="007814D1" w:rsidRPr="00E7715B">
        <w:t>allow</w:t>
      </w:r>
      <w:r w:rsidR="001016A0">
        <w:t>ed</w:t>
      </w:r>
      <w:r w:rsidR="007814D1" w:rsidRPr="005C7CEF">
        <w:t xml:space="preserve"> for the recognition of accredited testing laboratories in countries with</w:t>
      </w:r>
      <w:r w:rsidR="00076AAA">
        <w:t>out an</w:t>
      </w:r>
      <w:r w:rsidR="001016A0">
        <w:t xml:space="preserve"> </w:t>
      </w:r>
      <w:r w:rsidR="007814D1" w:rsidRPr="005C7CEF">
        <w:t xml:space="preserve">operational MRA with the United States, the rules </w:t>
      </w:r>
      <w:r w:rsidR="00A96D14">
        <w:t>did</w:t>
      </w:r>
      <w:r w:rsidR="00A96D14" w:rsidRPr="005C7CEF">
        <w:t xml:space="preserve"> </w:t>
      </w:r>
      <w:r w:rsidR="007814D1" w:rsidRPr="005C7CEF">
        <w:t xml:space="preserve">not </w:t>
      </w:r>
      <w:r w:rsidR="00CC7077">
        <w:t xml:space="preserve">identify </w:t>
      </w:r>
      <w:r w:rsidR="007814D1" w:rsidRPr="005C7CEF">
        <w:t xml:space="preserve">a </w:t>
      </w:r>
      <w:r w:rsidR="00CC7077">
        <w:t xml:space="preserve">particular </w:t>
      </w:r>
      <w:r w:rsidR="007814D1" w:rsidRPr="005C7CEF">
        <w:t>process for such recognition</w:t>
      </w:r>
      <w:r w:rsidR="001016A0">
        <w:t xml:space="preserve">, </w:t>
      </w:r>
      <w:r w:rsidR="00DF46C4">
        <w:t xml:space="preserve">and </w:t>
      </w:r>
      <w:r w:rsidR="001016A0">
        <w:t xml:space="preserve">it acknowledged that </w:t>
      </w:r>
      <w:r w:rsidR="00CA6EE6">
        <w:t xml:space="preserve">the process </w:t>
      </w:r>
      <w:r w:rsidR="00CC7077">
        <w:t xml:space="preserve">as to how </w:t>
      </w:r>
      <w:r w:rsidR="001016A0">
        <w:t xml:space="preserve">the Commission </w:t>
      </w:r>
      <w:r w:rsidR="00CC7077">
        <w:t>w</w:t>
      </w:r>
      <w:r w:rsidR="001016A0">
        <w:t>ould recognize the accreditation of a testing laboratory located in a non-MRA country</w:t>
      </w:r>
      <w:r w:rsidR="00CC7077">
        <w:t xml:space="preserve"> needed to be clarified</w:t>
      </w:r>
      <w:r w:rsidR="001016A0">
        <w:t>.</w:t>
      </w:r>
      <w:r w:rsidR="007814D1" w:rsidRPr="005C7CEF">
        <w:rPr>
          <w:vertAlign w:val="superscript"/>
        </w:rPr>
        <w:footnoteReference w:id="17"/>
      </w:r>
      <w:r w:rsidR="007814D1" w:rsidRPr="005C7CEF">
        <w:t xml:space="preserve">  </w:t>
      </w:r>
      <w:r w:rsidR="00D25CC2">
        <w:t xml:space="preserve">The Commission </w:t>
      </w:r>
      <w:r w:rsidR="00336CBA">
        <w:t xml:space="preserve">accordingly </w:t>
      </w:r>
      <w:r w:rsidR="00D25CC2">
        <w:t xml:space="preserve">adopted a process for such laboratories to become accredited by </w:t>
      </w:r>
      <w:r w:rsidR="00E67491">
        <w:t xml:space="preserve">organizations that </w:t>
      </w:r>
      <w:r w:rsidR="00242F9D">
        <w:t xml:space="preserve">the Commission </w:t>
      </w:r>
      <w:r w:rsidR="00E67491">
        <w:t xml:space="preserve">has </w:t>
      </w:r>
      <w:r w:rsidR="00242F9D">
        <w:t xml:space="preserve">recognized </w:t>
      </w:r>
      <w:r w:rsidR="00D25CC2">
        <w:t>as authorized accrediting bodies</w:t>
      </w:r>
      <w:r w:rsidR="005A7ECD">
        <w:t xml:space="preserve"> (ABs)</w:t>
      </w:r>
      <w:r w:rsidR="00D25CC2">
        <w:t>.</w:t>
      </w:r>
      <w:r w:rsidR="00D25CC2">
        <w:rPr>
          <w:rStyle w:val="FootnoteReference"/>
        </w:rPr>
        <w:footnoteReference w:id="18"/>
      </w:r>
    </w:p>
    <w:p w14:paraId="238988B5" w14:textId="77777777" w:rsidR="00933BD9" w:rsidRPr="00E7715B" w:rsidRDefault="00D25CC2" w:rsidP="00A96D14">
      <w:pPr>
        <w:pStyle w:val="ParaNum"/>
        <w:widowControl/>
        <w:tabs>
          <w:tab w:val="num" w:pos="0"/>
        </w:tabs>
      </w:pPr>
      <w:r>
        <w:t>Nonetheless, t</w:t>
      </w:r>
      <w:r w:rsidR="00E750EE">
        <w:t xml:space="preserve">he Petitioners are concerned that </w:t>
      </w:r>
      <w:r w:rsidR="00E750EE" w:rsidRPr="00B9675A">
        <w:t>2.948-listed</w:t>
      </w:r>
      <w:r w:rsidR="00E750EE">
        <w:t xml:space="preserve"> laboratories </w:t>
      </w:r>
      <w:r w:rsidR="003356AC">
        <w:t xml:space="preserve">will not be able to achieve </w:t>
      </w:r>
      <w:r w:rsidR="00E750EE">
        <w:t>accredit</w:t>
      </w:r>
      <w:r w:rsidR="003356AC">
        <w:t>ation</w:t>
      </w:r>
      <w:r w:rsidR="00820E83">
        <w:t xml:space="preserve"> before the July 13, 2016 deadline, </w:t>
      </w:r>
      <w:r w:rsidR="000E67A5" w:rsidRPr="00785A80">
        <w:t xml:space="preserve">and they contend that </w:t>
      </w:r>
      <w:r w:rsidR="003356AC" w:rsidRPr="00785A80">
        <w:t>the Commission</w:t>
      </w:r>
      <w:r w:rsidR="000E67A5" w:rsidRPr="00785A80">
        <w:t>’s</w:t>
      </w:r>
      <w:r w:rsidR="003356AC" w:rsidRPr="00785A80">
        <w:t xml:space="preserve"> </w:t>
      </w:r>
      <w:r w:rsidR="00820E83" w:rsidRPr="00785A80">
        <w:t xml:space="preserve">process for foreign laboratories </w:t>
      </w:r>
      <w:r w:rsidR="003356AC" w:rsidRPr="00785A80">
        <w:t xml:space="preserve">in non-MRA countries </w:t>
      </w:r>
      <w:r w:rsidR="00820E83" w:rsidRPr="00785A80">
        <w:t xml:space="preserve">to become </w:t>
      </w:r>
      <w:r w:rsidR="003404D5" w:rsidRPr="00785A80">
        <w:t xml:space="preserve">recognized by the FCC as </w:t>
      </w:r>
      <w:r w:rsidR="00820E83" w:rsidRPr="00785A80">
        <w:t>accredited under the new rules</w:t>
      </w:r>
      <w:r w:rsidR="000E67A5" w:rsidRPr="00785A80">
        <w:t xml:space="preserve"> is unclear</w:t>
      </w:r>
      <w:r w:rsidR="00072995" w:rsidRPr="00785A80">
        <w:t xml:space="preserve"> in various respects, such as </w:t>
      </w:r>
      <w:r w:rsidR="00072995" w:rsidRPr="008A34E5">
        <w:t>that the Commission has failed to specify the form of such requests (electronic or paper), what procedures OET will use in evaluating such requests, what evidentiary showing is required, and what weight OET will assign factors specified for evaluating such requests under Section 2.949</w:t>
      </w:r>
      <w:r w:rsidR="00E750EE" w:rsidRPr="00092375">
        <w:t>.</w:t>
      </w:r>
      <w:r w:rsidR="00072995" w:rsidRPr="00785A80">
        <w:rPr>
          <w:rStyle w:val="FootnoteReference"/>
        </w:rPr>
        <w:footnoteReference w:id="19"/>
      </w:r>
      <w:r w:rsidR="00E750EE">
        <w:t xml:space="preserve">  </w:t>
      </w:r>
      <w:r w:rsidR="00820E83">
        <w:t>Accordingly, t</w:t>
      </w:r>
      <w:r w:rsidR="00E750EE">
        <w:t>he petition</w:t>
      </w:r>
      <w:r w:rsidR="003356AC">
        <w:t>er</w:t>
      </w:r>
      <w:r w:rsidR="00E750EE">
        <w:t xml:space="preserve">s ask us to describe the method that we will use to recognize laboratory accreditation in countries where no MRAs exist and to extend the deadlines we established for the phase-out of the 2.948 listing program. </w:t>
      </w:r>
      <w:r w:rsidR="00820E83">
        <w:t xml:space="preserve"> We address each of these issues separately, below.</w:t>
      </w:r>
    </w:p>
    <w:p w14:paraId="6E4E5FCB" w14:textId="77777777" w:rsidR="00830AF9" w:rsidRDefault="00830AF9" w:rsidP="007814D1">
      <w:pPr>
        <w:pStyle w:val="Heading2"/>
      </w:pPr>
      <w:bookmarkStart w:id="95" w:name="_Toc327450775"/>
      <w:bookmarkStart w:id="96" w:name="_Toc330288223"/>
      <w:bookmarkStart w:id="97" w:name="_Toc330367193"/>
      <w:bookmarkStart w:id="98" w:name="_Toc331420781"/>
      <w:bookmarkStart w:id="99" w:name="_Toc331604661"/>
      <w:bookmarkStart w:id="100" w:name="_Toc332121637"/>
      <w:bookmarkStart w:id="101" w:name="_Toc332204314"/>
      <w:bookmarkStart w:id="102" w:name="_Toc332894816"/>
      <w:bookmarkStart w:id="103" w:name="_Toc333581629"/>
      <w:bookmarkStart w:id="104" w:name="_Toc333936421"/>
      <w:bookmarkStart w:id="105" w:name="_Toc335141630"/>
      <w:bookmarkStart w:id="106" w:name="_Toc335291373"/>
      <w:bookmarkStart w:id="107" w:name="_Toc335291426"/>
      <w:bookmarkStart w:id="108" w:name="_Toc335291486"/>
      <w:bookmarkStart w:id="109" w:name="_Toc335291556"/>
      <w:bookmarkStart w:id="110" w:name="_Toc335291694"/>
      <w:bookmarkStart w:id="111" w:name="_Toc335291746"/>
      <w:bookmarkStart w:id="112" w:name="_Toc335631624"/>
      <w:bookmarkStart w:id="113" w:name="_Toc335632666"/>
      <w:bookmarkStart w:id="114" w:name="_Toc335632738"/>
      <w:bookmarkStart w:id="115" w:name="_Toc337649176"/>
      <w:bookmarkStart w:id="116" w:name="_Toc377550560"/>
      <w:bookmarkStart w:id="117" w:name="_Toc377564013"/>
      <w:bookmarkStart w:id="118" w:name="_Toc378347657"/>
      <w:bookmarkStart w:id="119" w:name="_Toc378607363"/>
      <w:bookmarkStart w:id="120" w:name="_Toc380654584"/>
      <w:bookmarkStart w:id="121" w:name="_Toc387214530"/>
      <w:bookmarkStart w:id="122" w:name="_Toc387916330"/>
      <w:bookmarkStart w:id="123" w:name="_Toc387927654"/>
      <w:bookmarkStart w:id="124" w:name="_Toc390251374"/>
      <w:bookmarkStart w:id="125" w:name="_Toc390257753"/>
      <w:bookmarkStart w:id="126" w:name="_Toc391967159"/>
      <w:bookmarkStart w:id="127" w:name="_Toc392853114"/>
      <w:bookmarkStart w:id="128" w:name="_Toc393282819"/>
      <w:bookmarkStart w:id="129" w:name="_Toc399323473"/>
      <w:bookmarkStart w:id="130" w:name="_Toc289272143"/>
      <w:bookmarkStart w:id="131" w:name="_Toc292693341"/>
      <w:bookmarkStart w:id="132" w:name="_Toc292693409"/>
      <w:bookmarkStart w:id="133" w:name="_Toc323028042"/>
      <w:bookmarkStart w:id="134" w:name="_Toc324843308"/>
      <w:bookmarkStart w:id="135" w:name="_Toc324864722"/>
      <w:bookmarkStart w:id="136" w:name="_Toc324929589"/>
      <w:bookmarkStart w:id="137" w:name="_Toc324929713"/>
      <w:bookmarkStart w:id="138" w:name="_Toc325013639"/>
      <w:bookmarkStart w:id="139" w:name="_Toc325013969"/>
      <w:bookmarkStart w:id="140" w:name="_Toc325014177"/>
      <w:bookmarkStart w:id="141" w:name="_Toc325016826"/>
      <w:bookmarkStart w:id="142" w:name="_Toc325030456"/>
      <w:bookmarkStart w:id="143" w:name="_Toc326243809"/>
      <w:bookmarkStart w:id="144" w:name="_Toc326244006"/>
      <w:r>
        <w:t>Accreditation of Foreign Test</w:t>
      </w:r>
      <w:r w:rsidR="005F0158">
        <w:t>ing</w:t>
      </w:r>
      <w:r>
        <w:t xml:space="preserve"> Laboratories</w:t>
      </w:r>
    </w:p>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14:paraId="4FBDD8FE" w14:textId="54982566" w:rsidR="006F5880" w:rsidRDefault="00830AF9" w:rsidP="00A5708F">
      <w:pPr>
        <w:pStyle w:val="ParaNum"/>
        <w:tabs>
          <w:tab w:val="num" w:pos="0"/>
        </w:tabs>
      </w:pPr>
      <w:r w:rsidRPr="00055723">
        <w:rPr>
          <w:i/>
        </w:rPr>
        <w:t>Petitions</w:t>
      </w:r>
      <w:r w:rsidR="007814D1" w:rsidRPr="00055723">
        <w:rPr>
          <w:i/>
        </w:rPr>
        <w:t xml:space="preserve">.  </w:t>
      </w:r>
      <w:r w:rsidR="00AA17CB">
        <w:t xml:space="preserve">TIA </w:t>
      </w:r>
      <w:r w:rsidR="00421FFC">
        <w:t>note</w:t>
      </w:r>
      <w:r w:rsidR="00490D0A">
        <w:t>s</w:t>
      </w:r>
      <w:r w:rsidR="00421FFC">
        <w:t xml:space="preserve"> that a substantial n</w:t>
      </w:r>
      <w:r w:rsidR="00AA17CB">
        <w:t xml:space="preserve">umber </w:t>
      </w:r>
      <w:r w:rsidR="00490D0A">
        <w:t xml:space="preserve">of </w:t>
      </w:r>
      <w:r w:rsidR="00421FFC">
        <w:t>2.948</w:t>
      </w:r>
      <w:r w:rsidR="000458B9">
        <w:t>-</w:t>
      </w:r>
      <w:r w:rsidR="00421FFC">
        <w:t xml:space="preserve">listed laboratories </w:t>
      </w:r>
      <w:r w:rsidR="00802CF7">
        <w:t>are located in countries that</w:t>
      </w:r>
      <w:r w:rsidR="00AA17CB">
        <w:t xml:space="preserve"> </w:t>
      </w:r>
      <w:r w:rsidR="00802CF7">
        <w:t>have not entered into MRA</w:t>
      </w:r>
      <w:r w:rsidR="000458B9">
        <w:t>s</w:t>
      </w:r>
      <w:r w:rsidR="00802CF7">
        <w:t xml:space="preserve"> with the United States</w:t>
      </w:r>
      <w:r w:rsidR="000458B9">
        <w:t xml:space="preserve">, and asks that we </w:t>
      </w:r>
      <w:r w:rsidR="00810FD1">
        <w:t>clarify</w:t>
      </w:r>
      <w:r w:rsidR="002046C0">
        <w:t xml:space="preserve"> </w:t>
      </w:r>
      <w:r w:rsidR="000D0BBA">
        <w:t>the process by which such laboratories may become accredited as soon as possible.</w:t>
      </w:r>
      <w:r w:rsidR="00F34174">
        <w:t xml:space="preserve">  </w:t>
      </w:r>
      <w:r w:rsidR="00055723">
        <w:t>TIA states that the lack of clear guidance affects test</w:t>
      </w:r>
      <w:r w:rsidR="005F0158">
        <w:t>ing</w:t>
      </w:r>
      <w:r w:rsidR="00055723">
        <w:t xml:space="preserve"> laboratories in non-MRA countries.</w:t>
      </w:r>
      <w:r w:rsidR="00055723">
        <w:rPr>
          <w:rStyle w:val="FootnoteReference"/>
        </w:rPr>
        <w:footnoteReference w:id="20"/>
      </w:r>
      <w:r w:rsidR="00055723">
        <w:t xml:space="preserve">  Motorola shares TIA’s general concern</w:t>
      </w:r>
      <w:r w:rsidR="000458B9">
        <w:t>s</w:t>
      </w:r>
      <w:r w:rsidR="00055723">
        <w:t xml:space="preserve"> </w:t>
      </w:r>
      <w:r w:rsidR="000458B9">
        <w:t>and</w:t>
      </w:r>
      <w:r w:rsidR="00FA221A">
        <w:t xml:space="preserve"> asserts that the lack of a clear process for the recognition of accrediting bodies within non-MRA countries adds to the uncertainty and delays facing test</w:t>
      </w:r>
      <w:r w:rsidR="005F0158">
        <w:t>ing</w:t>
      </w:r>
      <w:r w:rsidR="00FA221A">
        <w:t xml:space="preserve"> laboratories interested in pursuing a Commission–recognized accreditation.</w:t>
      </w:r>
      <w:r w:rsidR="001866FC">
        <w:rPr>
          <w:rStyle w:val="FootnoteReference"/>
        </w:rPr>
        <w:footnoteReference w:id="21"/>
      </w:r>
      <w:r w:rsidR="00FA221A">
        <w:t xml:space="preserve">  </w:t>
      </w:r>
      <w:r w:rsidR="000458B9">
        <w:t>It also states</w:t>
      </w:r>
      <w:r w:rsidR="00FA221A">
        <w:t xml:space="preserve"> that there is no information related to the </w:t>
      </w:r>
      <w:r w:rsidR="001866FC">
        <w:t xml:space="preserve">mechanism by which such a body would make </w:t>
      </w:r>
      <w:r w:rsidR="000458B9">
        <w:t xml:space="preserve">its request, </w:t>
      </w:r>
      <w:r w:rsidR="00165259">
        <w:t xml:space="preserve">whether the request would be publicly available and subject to public notice and related pleadings, </w:t>
      </w:r>
      <w:r w:rsidR="000458B9">
        <w:t>how the application would be evaluated,</w:t>
      </w:r>
      <w:r w:rsidR="00914A9B">
        <w:t xml:space="preserve"> or what further information must be provided</w:t>
      </w:r>
      <w:r w:rsidR="001866FC">
        <w:t>.</w:t>
      </w:r>
      <w:r w:rsidR="001866FC">
        <w:rPr>
          <w:rStyle w:val="FootnoteReference"/>
        </w:rPr>
        <w:footnoteReference w:id="22"/>
      </w:r>
      <w:r w:rsidR="008B28C2">
        <w:t xml:space="preserve">  Finally, as a</w:t>
      </w:r>
      <w:r w:rsidR="00BE238C">
        <w:t>n</w:t>
      </w:r>
      <w:r w:rsidR="008B28C2">
        <w:t xml:space="preserve"> interim step, TIA suggests that </w:t>
      </w:r>
      <w:r w:rsidR="00914A9B">
        <w:t>2</w:t>
      </w:r>
      <w:r w:rsidR="008B28C2">
        <w:t>.948-listed laboratories</w:t>
      </w:r>
      <w:r w:rsidR="00914A9B">
        <w:t xml:space="preserve"> (including facilities that only conduct bench tests) located in countries without </w:t>
      </w:r>
      <w:r w:rsidR="00B5000E">
        <w:t>an</w:t>
      </w:r>
      <w:r w:rsidR="00914A9B">
        <w:t xml:space="preserve"> MRA in place and that are fully controlled and verified for trustworthiness by an accredited laboratory</w:t>
      </w:r>
      <w:r w:rsidR="008B28C2">
        <w:t>,</w:t>
      </w:r>
      <w:r w:rsidR="00914A9B">
        <w:t xml:space="preserve"> should</w:t>
      </w:r>
      <w:r w:rsidR="008B28C2">
        <w:t xml:space="preserve"> be considered a subsidiary of such a laboratory.</w:t>
      </w:r>
      <w:r w:rsidR="008B28C2">
        <w:rPr>
          <w:rStyle w:val="FootnoteReference"/>
        </w:rPr>
        <w:footnoteReference w:id="23"/>
      </w:r>
      <w:r w:rsidR="00B94517">
        <w:t xml:space="preserve"> </w:t>
      </w:r>
    </w:p>
    <w:p w14:paraId="413A77FE" w14:textId="39A572DB" w:rsidR="0083670E" w:rsidRDefault="006B762D" w:rsidP="008A34E5">
      <w:pPr>
        <w:pStyle w:val="ParaNum"/>
        <w:tabs>
          <w:tab w:val="num" w:pos="0"/>
        </w:tabs>
        <w:rPr>
          <w:rFonts w:eastAsia="Calibri"/>
        </w:rPr>
      </w:pPr>
      <w:r w:rsidRPr="002D472E">
        <w:rPr>
          <w:i/>
        </w:rPr>
        <w:t>Decision</w:t>
      </w:r>
      <w:r w:rsidR="00FE19D2" w:rsidRPr="002D472E">
        <w:rPr>
          <w:i/>
        </w:rPr>
        <w:t>.</w:t>
      </w:r>
      <w:r w:rsidRPr="002D472E">
        <w:rPr>
          <w:i/>
        </w:rPr>
        <w:t xml:space="preserve">  </w:t>
      </w:r>
      <w:r w:rsidR="008C0B34">
        <w:t xml:space="preserve">In order to perform compliance testing that is acceptable under </w:t>
      </w:r>
      <w:r w:rsidR="000C4840">
        <w:t>our</w:t>
      </w:r>
      <w:r w:rsidR="008C0B34">
        <w:t xml:space="preserve"> certification and Declaration of Conformity processes, </w:t>
      </w:r>
      <w:r w:rsidR="0077729C">
        <w:t xml:space="preserve">a laboratory must be accredited by </w:t>
      </w:r>
      <w:r w:rsidR="00ED43DB">
        <w:t>a</w:t>
      </w:r>
      <w:r w:rsidR="0077729C">
        <w:t xml:space="preserve"> body that the Commission has recognized as meeting our requirements for performing the accreditation of testing laboratories.</w:t>
      </w:r>
      <w:r w:rsidR="0077729C">
        <w:rPr>
          <w:rStyle w:val="FootnoteReference"/>
          <w:rFonts w:eastAsia="Calibri"/>
        </w:rPr>
        <w:footnoteReference w:id="24"/>
      </w:r>
      <w:r w:rsidR="0077729C">
        <w:t xml:space="preserve">  Presently, there are two ways </w:t>
      </w:r>
      <w:r w:rsidR="00AA2F3A">
        <w:t>that we recognize the accreditation of laboratories located outside the United States.  A</w:t>
      </w:r>
      <w:r w:rsidR="00FD63D1">
        <w:t xml:space="preserve"> </w:t>
      </w:r>
      <w:r w:rsidR="00AA2F3A">
        <w:t xml:space="preserve">laboratory can be </w:t>
      </w:r>
      <w:r w:rsidR="0085015C">
        <w:t xml:space="preserve">accredited by a body that the Commission has </w:t>
      </w:r>
      <w:r w:rsidR="00FD63D1">
        <w:t xml:space="preserve">already </w:t>
      </w:r>
      <w:r w:rsidR="00AA2F3A">
        <w:t>recognized under the terms of an MRA</w:t>
      </w:r>
      <w:r w:rsidR="00FD63D1">
        <w:t>,</w:t>
      </w:r>
      <w:r w:rsidR="00AA2F3A">
        <w:rPr>
          <w:rStyle w:val="FootnoteReference"/>
        </w:rPr>
        <w:footnoteReference w:id="25"/>
      </w:r>
      <w:r w:rsidR="0085015C">
        <w:t xml:space="preserve"> </w:t>
      </w:r>
      <w:r w:rsidR="00FD63D1">
        <w:t xml:space="preserve">or it can be designated for FCC recognition by an AB recognized pursuant to </w:t>
      </w:r>
      <w:r w:rsidR="0085015C">
        <w:t xml:space="preserve"> </w:t>
      </w:r>
      <w:r w:rsidR="00330E06">
        <w:rPr>
          <w:rFonts w:eastAsia="Calibri"/>
        </w:rPr>
        <w:t xml:space="preserve">Section 2.949 </w:t>
      </w:r>
      <w:r w:rsidR="00FD63D1">
        <w:rPr>
          <w:rFonts w:eastAsia="Calibri"/>
        </w:rPr>
        <w:t xml:space="preserve">of our rules.  </w:t>
      </w:r>
      <w:r w:rsidR="007F376C">
        <w:rPr>
          <w:rFonts w:eastAsia="Calibri"/>
        </w:rPr>
        <w:t>An AB in the U.S. or any other country can request FCC recognition to accredit laboratories in any non-MRA country.</w:t>
      </w:r>
      <w:r w:rsidR="007F376C" w:rsidDel="00FD63D1">
        <w:rPr>
          <w:rFonts w:eastAsia="Calibri"/>
        </w:rPr>
        <w:t xml:space="preserve"> </w:t>
      </w:r>
      <w:r w:rsidR="00DE1A28">
        <w:rPr>
          <w:rFonts w:eastAsia="Calibri"/>
        </w:rPr>
        <w:t>While OET has received informal inquiries about such recognition, a</w:t>
      </w:r>
      <w:r w:rsidR="00AA2F3A" w:rsidRPr="0083670E">
        <w:rPr>
          <w:rFonts w:eastAsia="Calibri"/>
        </w:rPr>
        <w:t>s parties have noted</w:t>
      </w:r>
      <w:r w:rsidR="004B7FEC">
        <w:rPr>
          <w:rFonts w:eastAsia="Calibri"/>
        </w:rPr>
        <w:t xml:space="preserve"> </w:t>
      </w:r>
      <w:r w:rsidR="00E444E4">
        <w:rPr>
          <w:rFonts w:eastAsia="Calibri"/>
        </w:rPr>
        <w:t xml:space="preserve">the </w:t>
      </w:r>
      <w:r w:rsidR="00AA2F3A" w:rsidRPr="0083670E">
        <w:rPr>
          <w:rFonts w:eastAsia="Calibri"/>
        </w:rPr>
        <w:t xml:space="preserve">Commission has not yet </w:t>
      </w:r>
      <w:r w:rsidR="007F376C">
        <w:rPr>
          <w:rFonts w:eastAsia="Calibri"/>
        </w:rPr>
        <w:t xml:space="preserve">described a process by which domestic or </w:t>
      </w:r>
      <w:r w:rsidR="00DE1A28">
        <w:rPr>
          <w:rFonts w:eastAsia="Calibri"/>
        </w:rPr>
        <w:t xml:space="preserve">foreign ABs </w:t>
      </w:r>
      <w:r w:rsidR="007F376C">
        <w:rPr>
          <w:rFonts w:eastAsia="Calibri"/>
        </w:rPr>
        <w:t>can</w:t>
      </w:r>
      <w:r w:rsidR="00DE1A28">
        <w:rPr>
          <w:rFonts w:eastAsia="Calibri"/>
        </w:rPr>
        <w:t xml:space="preserve"> accredit</w:t>
      </w:r>
      <w:r w:rsidR="005A7ECD">
        <w:rPr>
          <w:rFonts w:eastAsia="Calibri"/>
        </w:rPr>
        <w:t xml:space="preserve"> in non-MRA</w:t>
      </w:r>
      <w:r w:rsidR="00DE1A28">
        <w:rPr>
          <w:rFonts w:eastAsia="Calibri"/>
        </w:rPr>
        <w:t xml:space="preserve"> countries</w:t>
      </w:r>
      <w:r w:rsidR="007F376C">
        <w:rPr>
          <w:rFonts w:eastAsia="Calibri"/>
        </w:rPr>
        <w:t>.</w:t>
      </w:r>
      <w:r w:rsidR="007F376C" w:rsidRPr="0083670E" w:rsidDel="00DB377C">
        <w:rPr>
          <w:rFonts w:eastAsia="Calibri"/>
        </w:rPr>
        <w:t xml:space="preserve"> </w:t>
      </w:r>
      <w:r w:rsidR="00DB377C">
        <w:rPr>
          <w:rFonts w:eastAsia="Calibri"/>
        </w:rPr>
        <w:t xml:space="preserve"> As a consequence, as also noted by parties, there is no practical experience nor specific public guidance that parties can draw upon when considering how to comply with our rules in this regard, hindering organizations from applying for permission to serve as  FCC-recognized ABs under these circumstances.</w:t>
      </w:r>
      <w:r w:rsidR="004B7FEC">
        <w:rPr>
          <w:rFonts w:eastAsia="Calibri"/>
        </w:rPr>
        <w:t>.</w:t>
      </w:r>
    </w:p>
    <w:p w14:paraId="340EC6B8" w14:textId="55A0637D" w:rsidR="006574E7" w:rsidRPr="008A34E5" w:rsidRDefault="00AA38DB">
      <w:pPr>
        <w:pStyle w:val="ParaNum"/>
      </w:pPr>
      <w:r w:rsidRPr="00DB265D">
        <w:rPr>
          <w:rFonts w:eastAsia="Calibri"/>
        </w:rPr>
        <w:t>Several accreditation bodies already exist</w:t>
      </w:r>
      <w:r w:rsidR="006A4335">
        <w:rPr>
          <w:rStyle w:val="FootnoteReference"/>
          <w:rFonts w:eastAsia="Calibri"/>
        </w:rPr>
        <w:footnoteReference w:id="26"/>
      </w:r>
      <w:r w:rsidRPr="00DB265D">
        <w:rPr>
          <w:rFonts w:eastAsia="Calibri"/>
        </w:rPr>
        <w:t xml:space="preserve"> and, pursuant to </w:t>
      </w:r>
      <w:r w:rsidR="001F2455">
        <w:t xml:space="preserve">Section 2.949 of </w:t>
      </w:r>
      <w:r w:rsidRPr="00DB265D">
        <w:rPr>
          <w:rFonts w:eastAsia="Calibri"/>
        </w:rPr>
        <w:t>our rules, a</w:t>
      </w:r>
      <w:r w:rsidR="00CC7009" w:rsidRPr="00DB265D">
        <w:rPr>
          <w:rFonts w:eastAsia="Calibri"/>
        </w:rPr>
        <w:t xml:space="preserve">ny </w:t>
      </w:r>
      <w:r w:rsidRPr="00DB265D">
        <w:rPr>
          <w:rFonts w:eastAsia="Calibri"/>
        </w:rPr>
        <w:t>entity</w:t>
      </w:r>
      <w:r w:rsidR="00CC7009" w:rsidRPr="00DB265D">
        <w:rPr>
          <w:rFonts w:eastAsia="Calibri"/>
        </w:rPr>
        <w:t xml:space="preserve"> c</w:t>
      </w:r>
      <w:r w:rsidR="009B0555" w:rsidRPr="00DB265D">
        <w:rPr>
          <w:rFonts w:eastAsia="Calibri"/>
        </w:rPr>
        <w:t>an</w:t>
      </w:r>
      <w:r w:rsidR="00CC7009" w:rsidRPr="00DB265D">
        <w:rPr>
          <w:rFonts w:eastAsia="Calibri"/>
        </w:rPr>
        <w:t xml:space="preserve"> submit a request to OET addressing its ability to accredit testing laboratories in </w:t>
      </w:r>
      <w:r w:rsidR="004D0889">
        <w:rPr>
          <w:rFonts w:eastAsia="Calibri"/>
        </w:rPr>
        <w:t>a</w:t>
      </w:r>
      <w:r w:rsidR="00F8475B">
        <w:rPr>
          <w:rFonts w:eastAsia="Calibri"/>
        </w:rPr>
        <w:t xml:space="preserve"> non-MRA country </w:t>
      </w:r>
      <w:r w:rsidR="004D0889">
        <w:rPr>
          <w:rFonts w:eastAsia="Calibri"/>
        </w:rPr>
        <w:t>or countries</w:t>
      </w:r>
      <w:r w:rsidR="00DB377C">
        <w:rPr>
          <w:rFonts w:eastAsia="Calibri"/>
        </w:rPr>
        <w:t>, making this process relatively readily available</w:t>
      </w:r>
      <w:r w:rsidR="00CC7009" w:rsidRPr="00DB265D">
        <w:rPr>
          <w:rFonts w:eastAsia="Calibri"/>
        </w:rPr>
        <w:t>.</w:t>
      </w:r>
      <w:r w:rsidR="00CC7009" w:rsidRPr="002D472E">
        <w:rPr>
          <w:rFonts w:eastAsia="Calibri"/>
        </w:rPr>
        <w:t xml:space="preserve">  </w:t>
      </w:r>
      <w:r w:rsidR="00B87230">
        <w:t>W</w:t>
      </w:r>
      <w:r w:rsidR="007D04CE">
        <w:t xml:space="preserve">e </w:t>
      </w:r>
      <w:r w:rsidR="004E7E77">
        <w:t xml:space="preserve">here </w:t>
      </w:r>
      <w:r w:rsidR="007D04CE">
        <w:t>direct OET to publish</w:t>
      </w:r>
      <w:r w:rsidR="004E7E77">
        <w:t>, pursuant to the authority provided in our rules,</w:t>
      </w:r>
      <w:r w:rsidR="004E7E77">
        <w:rPr>
          <w:rStyle w:val="FootnoteReference"/>
        </w:rPr>
        <w:footnoteReference w:id="27"/>
      </w:r>
      <w:r w:rsidR="007D04CE">
        <w:t xml:space="preserve"> </w:t>
      </w:r>
      <w:r w:rsidR="00DB377C">
        <w:t xml:space="preserve">specific </w:t>
      </w:r>
      <w:r w:rsidR="00B87230">
        <w:t xml:space="preserve">guidance as to the form and substance </w:t>
      </w:r>
      <w:r w:rsidR="007D04CE">
        <w:t xml:space="preserve"> such submissions should take – </w:t>
      </w:r>
      <w:r w:rsidR="007D04CE" w:rsidRPr="007D04CE">
        <w:rPr>
          <w:i/>
        </w:rPr>
        <w:t>e.g.</w:t>
      </w:r>
      <w:r w:rsidR="007D04CE" w:rsidRPr="00C903AB">
        <w:t xml:space="preserve">, the mechanism by which such a body would make its request </w:t>
      </w:r>
      <w:r w:rsidR="00B87230">
        <w:t xml:space="preserve">for approval as an </w:t>
      </w:r>
      <w:r w:rsidR="009B2008">
        <w:t>AB</w:t>
      </w:r>
      <w:r w:rsidR="00B87230">
        <w:t xml:space="preserve"> </w:t>
      </w:r>
      <w:r w:rsidR="007D04CE" w:rsidRPr="00C903AB">
        <w:t>–</w:t>
      </w:r>
      <w:r w:rsidR="007D04CE">
        <w:t xml:space="preserve"> in its Knowledge Database (KDB).  </w:t>
      </w:r>
      <w:r w:rsidR="007D04CE" w:rsidRPr="007D04CE">
        <w:rPr>
          <w:rFonts w:eastAsia="Calibri"/>
        </w:rPr>
        <w:t>This addresses the first of the two points raised on reconsideration and satisfies the objectives set forth in the petitions.  Further, when considered along with the criteria set forth in Section 2.949 of the Commission’s rules</w:t>
      </w:r>
      <w:r w:rsidR="007D04CE">
        <w:rPr>
          <w:rFonts w:eastAsia="Calibri"/>
        </w:rPr>
        <w:t>,</w:t>
      </w:r>
      <w:r w:rsidR="007D04CE" w:rsidRPr="007D04CE">
        <w:rPr>
          <w:rFonts w:eastAsia="Calibri"/>
        </w:rPr>
        <w:t xml:space="preserve"> the guidance provided </w:t>
      </w:r>
      <w:r w:rsidR="0048029C">
        <w:rPr>
          <w:rFonts w:eastAsia="Calibri"/>
        </w:rPr>
        <w:t xml:space="preserve">in the KDB will </w:t>
      </w:r>
      <w:r w:rsidR="007D04CE" w:rsidRPr="007D04CE">
        <w:rPr>
          <w:rFonts w:eastAsia="Calibri"/>
        </w:rPr>
        <w:t xml:space="preserve">offer a clear process for recognizing laboratory accreditation bodies that Motorola requested.  </w:t>
      </w:r>
      <w:r w:rsidR="00B87230" w:rsidRPr="002D472E">
        <w:rPr>
          <w:rFonts w:eastAsia="Calibri"/>
        </w:rPr>
        <w:t xml:space="preserve">Once such a request is granted and </w:t>
      </w:r>
      <w:r w:rsidR="00B87230">
        <w:rPr>
          <w:rFonts w:eastAsia="Calibri"/>
        </w:rPr>
        <w:t>we recognize the</w:t>
      </w:r>
      <w:r w:rsidR="00B87230" w:rsidRPr="002D472E">
        <w:rPr>
          <w:rFonts w:eastAsia="Calibri"/>
        </w:rPr>
        <w:t xml:space="preserve"> </w:t>
      </w:r>
      <w:r w:rsidR="009B2008">
        <w:rPr>
          <w:rFonts w:eastAsia="Calibri"/>
        </w:rPr>
        <w:t>AB</w:t>
      </w:r>
      <w:r w:rsidR="00B87230" w:rsidRPr="00DB265D">
        <w:rPr>
          <w:rFonts w:eastAsia="Calibri"/>
        </w:rPr>
        <w:t xml:space="preserve">, testing laboratories in </w:t>
      </w:r>
      <w:r w:rsidR="00B87230">
        <w:rPr>
          <w:rFonts w:eastAsia="Calibri"/>
        </w:rPr>
        <w:t xml:space="preserve">that country or countries </w:t>
      </w:r>
      <w:r w:rsidR="00B87230" w:rsidRPr="00DB265D">
        <w:rPr>
          <w:rFonts w:eastAsia="Calibri"/>
        </w:rPr>
        <w:t xml:space="preserve">could </w:t>
      </w:r>
      <w:r w:rsidR="00B87230">
        <w:rPr>
          <w:rFonts w:eastAsia="Calibri"/>
        </w:rPr>
        <w:t xml:space="preserve">then </w:t>
      </w:r>
      <w:r w:rsidR="00B87230" w:rsidRPr="00DB265D">
        <w:rPr>
          <w:rFonts w:eastAsia="Calibri"/>
        </w:rPr>
        <w:t>seek accreditation from th</w:t>
      </w:r>
      <w:r w:rsidR="00B87230">
        <w:rPr>
          <w:rFonts w:eastAsia="Calibri"/>
        </w:rPr>
        <w:t>e</w:t>
      </w:r>
      <w:r w:rsidR="00B87230" w:rsidRPr="00DB265D">
        <w:rPr>
          <w:rFonts w:eastAsia="Calibri"/>
        </w:rPr>
        <w:t xml:space="preserve"> laboratory accrediting body for subsequent recognition by the Commission.</w:t>
      </w:r>
      <w:r w:rsidR="00B87230">
        <w:rPr>
          <w:rFonts w:eastAsia="Calibri"/>
        </w:rPr>
        <w:t xml:space="preserve">  </w:t>
      </w:r>
      <w:r w:rsidR="00DC6E82" w:rsidRPr="007D04CE">
        <w:rPr>
          <w:rFonts w:eastAsia="Calibri"/>
        </w:rPr>
        <w:t xml:space="preserve">By </w:t>
      </w:r>
      <w:r w:rsidR="00DC6E82">
        <w:rPr>
          <w:rFonts w:eastAsia="Calibri"/>
        </w:rPr>
        <w:t xml:space="preserve">clarifying </w:t>
      </w:r>
      <w:r w:rsidR="00DC6E82" w:rsidRPr="007D04CE">
        <w:rPr>
          <w:rFonts w:eastAsia="Calibri"/>
        </w:rPr>
        <w:t xml:space="preserve">this process, we </w:t>
      </w:r>
      <w:r w:rsidR="00F1221F">
        <w:rPr>
          <w:rFonts w:eastAsia="Calibri"/>
        </w:rPr>
        <w:t xml:space="preserve">will </w:t>
      </w:r>
      <w:r w:rsidR="00DC6E82" w:rsidRPr="007D04CE">
        <w:rPr>
          <w:rFonts w:eastAsia="Calibri"/>
        </w:rPr>
        <w:t xml:space="preserve">provide a </w:t>
      </w:r>
      <w:r w:rsidR="00DC6E82">
        <w:rPr>
          <w:rFonts w:eastAsia="Calibri"/>
        </w:rPr>
        <w:t xml:space="preserve">certain </w:t>
      </w:r>
      <w:r w:rsidR="00DC6E82" w:rsidRPr="007D04CE">
        <w:rPr>
          <w:rFonts w:eastAsia="Calibri"/>
        </w:rPr>
        <w:t xml:space="preserve">means for laboratories in countries that have not yet executed MRAs to become recognized as accredited under our equipment authorization rules.  </w:t>
      </w:r>
    </w:p>
    <w:p w14:paraId="35EA4973" w14:textId="77777777" w:rsidR="00F810CF" w:rsidRDefault="009B0555" w:rsidP="00541AFB">
      <w:pPr>
        <w:pStyle w:val="ParaNum"/>
        <w:tabs>
          <w:tab w:val="num" w:pos="0"/>
        </w:tabs>
      </w:pPr>
      <w:r>
        <w:rPr>
          <w:rFonts w:eastAsia="Calibri"/>
        </w:rPr>
        <w:t>W</w:t>
      </w:r>
      <w:r w:rsidR="000959E5" w:rsidRPr="00541AFB">
        <w:rPr>
          <w:rFonts w:eastAsia="Calibri"/>
        </w:rPr>
        <w:t xml:space="preserve">e do not adopt </w:t>
      </w:r>
      <w:r w:rsidR="000959E5">
        <w:t xml:space="preserve">TIA’s suggestion that </w:t>
      </w:r>
      <w:r w:rsidR="0088065F">
        <w:t xml:space="preserve">we permit </w:t>
      </w:r>
      <w:r w:rsidR="006277A0">
        <w:t>2.948-list</w:t>
      </w:r>
      <w:r w:rsidR="00F810CF">
        <w:t xml:space="preserve">ed testing labs in non-MRA countries that are controlled by and vouched for by </w:t>
      </w:r>
      <w:r w:rsidR="0088065F" w:rsidRPr="00C903AB">
        <w:t xml:space="preserve">accredited </w:t>
      </w:r>
      <w:r w:rsidR="00506B96" w:rsidRPr="00C903AB">
        <w:t xml:space="preserve">testing </w:t>
      </w:r>
      <w:r w:rsidR="0088065F" w:rsidRPr="00C903AB">
        <w:t>laboratories</w:t>
      </w:r>
      <w:r w:rsidR="0088065F">
        <w:t xml:space="preserve"> </w:t>
      </w:r>
      <w:r w:rsidR="00F810CF">
        <w:t>to perform compliance testing.</w:t>
      </w:r>
      <w:r w:rsidR="0088065F">
        <w:t xml:space="preserve">  </w:t>
      </w:r>
      <w:r w:rsidR="009E17B3">
        <w:t xml:space="preserve">TIA is effectively asking us to let testing laboratories rather than accrediting bodies determine the capability and reliability of </w:t>
      </w:r>
      <w:r>
        <w:t xml:space="preserve">other </w:t>
      </w:r>
      <w:r w:rsidR="009E17B3">
        <w:t xml:space="preserve">laboratories.  </w:t>
      </w:r>
      <w:r w:rsidR="00F810CF">
        <w:t>We continue to hold that it would not be appropriate to accept test results from laboratories that will not have been subject to our rigorous accreditation rules and procedures.</w:t>
      </w:r>
      <w:r w:rsidR="00F810CF">
        <w:rPr>
          <w:rStyle w:val="FootnoteReference"/>
        </w:rPr>
        <w:footnoteReference w:id="28"/>
      </w:r>
      <w:r w:rsidR="009E17B3">
        <w:t xml:space="preserve">  </w:t>
      </w:r>
      <w:r w:rsidR="005469F5">
        <w:t xml:space="preserve">In addition, we observe that the </w:t>
      </w:r>
      <w:r w:rsidR="008A2C49">
        <w:t>KDB guidance</w:t>
      </w:r>
      <w:r w:rsidR="005469F5">
        <w:t xml:space="preserve"> and the transition period, </w:t>
      </w:r>
      <w:r w:rsidR="008A2C49">
        <w:t xml:space="preserve">as </w:t>
      </w:r>
      <w:r w:rsidR="005469F5">
        <w:t xml:space="preserve">provided </w:t>
      </w:r>
      <w:r w:rsidR="008A2C49">
        <w:t xml:space="preserve">for </w:t>
      </w:r>
      <w:r w:rsidR="005469F5">
        <w:t xml:space="preserve">herein, </w:t>
      </w:r>
      <w:r w:rsidR="008A2C49">
        <w:t xml:space="preserve">will </w:t>
      </w:r>
      <w:r w:rsidR="005469F5">
        <w:t>reduce the need for such an accommodation.</w:t>
      </w:r>
    </w:p>
    <w:p w14:paraId="78109AFD" w14:textId="77777777" w:rsidR="006F5880" w:rsidRDefault="006F5880" w:rsidP="006F5880">
      <w:pPr>
        <w:pStyle w:val="Heading2"/>
      </w:pPr>
      <w:r>
        <w:t>Transition Period</w:t>
      </w:r>
    </w:p>
    <w:p w14:paraId="3016D06D" w14:textId="77777777" w:rsidR="004B7D71" w:rsidRDefault="004B7D71" w:rsidP="004B7D71">
      <w:pPr>
        <w:pStyle w:val="ParaNum"/>
        <w:tabs>
          <w:tab w:val="clear" w:pos="1440"/>
          <w:tab w:val="num" w:pos="0"/>
          <w:tab w:val="num" w:pos="1080"/>
        </w:tabs>
      </w:pPr>
      <w:bookmarkStart w:id="145" w:name="_Toc289272091"/>
      <w:bookmarkStart w:id="146" w:name="_Toc289272144"/>
      <w:bookmarkStart w:id="147" w:name="_Toc292693342"/>
      <w:bookmarkStart w:id="148" w:name="_Toc292693410"/>
      <w:bookmarkStart w:id="149" w:name="_Toc323028043"/>
      <w:bookmarkStart w:id="150" w:name="_Toc324843309"/>
      <w:bookmarkStart w:id="151" w:name="_Toc324864723"/>
      <w:bookmarkStart w:id="152" w:name="_Toc324929590"/>
      <w:bookmarkStart w:id="153" w:name="_Toc324929714"/>
      <w:bookmarkStart w:id="154" w:name="_Toc325013640"/>
      <w:bookmarkStart w:id="155" w:name="_Toc325013970"/>
      <w:bookmarkStart w:id="156" w:name="_Toc325013983"/>
      <w:bookmarkStart w:id="157" w:name="_Toc325014047"/>
      <w:bookmarkStart w:id="158" w:name="_Toc325014070"/>
      <w:bookmarkStart w:id="159" w:name="_Toc325014178"/>
      <w:bookmarkStart w:id="160" w:name="_Toc325016827"/>
      <w:bookmarkStart w:id="161" w:name="_Toc325030457"/>
      <w:bookmarkStart w:id="162" w:name="_Toc326243810"/>
      <w:bookmarkStart w:id="163" w:name="_Toc326244007"/>
      <w:bookmarkStart w:id="164" w:name="_Toc327450776"/>
      <w:bookmarkStart w:id="165" w:name="_Toc330288224"/>
      <w:bookmarkStart w:id="166" w:name="_Toc330367194"/>
      <w:bookmarkStart w:id="167" w:name="_Toc331420782"/>
      <w:bookmarkStart w:id="168" w:name="_Toc331604662"/>
      <w:bookmarkStart w:id="169" w:name="_Toc332121638"/>
      <w:bookmarkStart w:id="170" w:name="_Toc332204315"/>
      <w:bookmarkStart w:id="171" w:name="_Toc332290417"/>
      <w:bookmarkStart w:id="172" w:name="_Toc332290730"/>
      <w:bookmarkStart w:id="173" w:name="_Toc332290817"/>
      <w:bookmarkStart w:id="174" w:name="_Toc332291167"/>
      <w:bookmarkStart w:id="175" w:name="_Toc332291299"/>
      <w:bookmarkStart w:id="176" w:name="_Toc332291406"/>
      <w:bookmarkStart w:id="177" w:name="_Toc332291481"/>
      <w:bookmarkStart w:id="178" w:name="_Toc332291550"/>
      <w:bookmarkStart w:id="179" w:name="_Toc332291607"/>
      <w:bookmarkStart w:id="180" w:name="_Toc332291658"/>
      <w:bookmarkStart w:id="181" w:name="_Toc332291731"/>
      <w:bookmarkStart w:id="182" w:name="_Toc336000509"/>
      <w:bookmarkStart w:id="183" w:name="_Toc343238063"/>
      <w:bookmarkStart w:id="184" w:name="_Toc343238312"/>
      <w:bookmarkStart w:id="185" w:name="_Toc343238909"/>
      <w:bookmarkStart w:id="186" w:name="_Toc343239028"/>
      <w:bookmarkStart w:id="187" w:name="_Toc343239373"/>
      <w:bookmarkStart w:id="188" w:name="_Toc343247309"/>
      <w:bookmarkStart w:id="189" w:name="_Toc343509215"/>
      <w:bookmarkStart w:id="190" w:name="_Toc343864779"/>
      <w:bookmarkStart w:id="191" w:name="_Toc350418578"/>
      <w:bookmarkStart w:id="192" w:name="_Toc350424796"/>
      <w:bookmarkStart w:id="193" w:name="_Toc350424835"/>
      <w:bookmarkStart w:id="194" w:name="_Toc350424912"/>
      <w:bookmarkStart w:id="195" w:name="_Toc350424999"/>
      <w:bookmarkStart w:id="196" w:name="_Toc350425086"/>
      <w:bookmarkStart w:id="197" w:name="_Toc350425199"/>
      <w:bookmarkStart w:id="198" w:name="_Toc350785655"/>
      <w:bookmarkStart w:id="199" w:name="_Toc351454348"/>
      <w:bookmarkStart w:id="200" w:name="_Toc351478954"/>
      <w:bookmarkStart w:id="201" w:name="_Toc351709099"/>
      <w:bookmarkStart w:id="202" w:name="_Toc351962935"/>
      <w:bookmarkStart w:id="203" w:name="_Toc351991448"/>
      <w:bookmarkStart w:id="204" w:name="_Toc352246793"/>
      <w:bookmarkStart w:id="205" w:name="_Toc352318785"/>
      <w:bookmarkStart w:id="206" w:name="_Toc352341216"/>
      <w:bookmarkStart w:id="207" w:name="_Toc352673445"/>
      <w:bookmarkStart w:id="208" w:name="_Toc352921671"/>
      <w:bookmarkStart w:id="209" w:name="_Toc353176996"/>
      <w:bookmarkStart w:id="210" w:name="_Toc354145128"/>
      <w:bookmarkStart w:id="211" w:name="_Toc354673820"/>
      <w:bookmarkStart w:id="212" w:name="_Toc364342395"/>
      <w:bookmarkStart w:id="213" w:name="_Toc367278349"/>
      <w:bookmarkStart w:id="214" w:name="_Toc367278517"/>
      <w:bookmarkStart w:id="215" w:name="_Toc377550596"/>
      <w:bookmarkStart w:id="216" w:name="_Toc377564049"/>
      <w:bookmarkStart w:id="217" w:name="_Toc378347693"/>
      <w:bookmarkStart w:id="218" w:name="_Toc378607399"/>
      <w:bookmarkStart w:id="219" w:name="_Toc380654620"/>
      <w:bookmarkStart w:id="220" w:name="_Toc387214566"/>
      <w:bookmarkStart w:id="221" w:name="_Toc387916366"/>
      <w:bookmarkStart w:id="222" w:name="_Toc387927690"/>
      <w:bookmarkStart w:id="223" w:name="_Toc390251375"/>
      <w:bookmarkStart w:id="224" w:name="_Toc390257754"/>
      <w:bookmarkStart w:id="225" w:name="_Toc391967160"/>
      <w:bookmarkStart w:id="226" w:name="_Toc392853116"/>
      <w:bookmarkStart w:id="227" w:name="_Toc393282821"/>
      <w:bookmarkStart w:id="228" w:name="_Toc399323475"/>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E6A97">
        <w:rPr>
          <w:i/>
        </w:rPr>
        <w:t xml:space="preserve">Petitions.  </w:t>
      </w:r>
      <w:r>
        <w:t>Parties seek an extension of the deadline for compliance with the test</w:t>
      </w:r>
      <w:r w:rsidR="005F0158">
        <w:t>ing</w:t>
      </w:r>
      <w:r>
        <w:t xml:space="preserve"> laboratory accreditation requirement beyond the existing July 13, 2016 date.  TIA, </w:t>
      </w:r>
      <w:r w:rsidR="007E6E56">
        <w:t xml:space="preserve">asking </w:t>
      </w:r>
      <w:r>
        <w:t>for a date two years from the date on which the Commission provides a clear accreditation process for laboratories located in non-MRA countries, asserts that attaining accreditation is both time-</w:t>
      </w:r>
      <w:r w:rsidR="007E6E56">
        <w:t xml:space="preserve"> </w:t>
      </w:r>
      <w:r>
        <w:t>and resource-intensive process and that “while attaining accreditation for laboratories typically takes at least one year, attaining this accreditation in countries without an operational MRA will likely face further increased difficulties.”</w:t>
      </w:r>
      <w:r>
        <w:rPr>
          <w:rStyle w:val="FootnoteReference"/>
        </w:rPr>
        <w:footnoteReference w:id="29"/>
      </w:r>
      <w:r>
        <w:t xml:space="preserve">  It also states that the existing timeline “</w:t>
      </w:r>
      <w:r w:rsidRPr="001B75C2">
        <w:t>would not be consistent with the Commission’s general interests in facilitating the transition to an improved equipment authorization regime without unduly impairing the availability or cost of devices or imposing undue burdens on manufacturers or the public</w:t>
      </w:r>
      <w:r>
        <w:t>.”</w:t>
      </w:r>
      <w:r>
        <w:rPr>
          <w:rStyle w:val="FootnoteReference"/>
        </w:rPr>
        <w:footnoteReference w:id="30"/>
      </w:r>
      <w:r>
        <w:t xml:space="preserve">  Motorola also requests that the transition period be extended two years, and notes that it expects a large number of laboratories will be seeking accreditation for the first time.</w:t>
      </w:r>
      <w:r>
        <w:rPr>
          <w:rStyle w:val="FootnoteReference"/>
        </w:rPr>
        <w:footnoteReference w:id="31"/>
      </w:r>
    </w:p>
    <w:p w14:paraId="7646AA74" w14:textId="77777777" w:rsidR="007912E0" w:rsidRDefault="007912E0" w:rsidP="007912E0">
      <w:pPr>
        <w:pStyle w:val="ParaNum"/>
        <w:tabs>
          <w:tab w:val="clear" w:pos="1440"/>
          <w:tab w:val="num" w:pos="0"/>
          <w:tab w:val="num" w:pos="1080"/>
        </w:tabs>
      </w:pPr>
      <w:r>
        <w:rPr>
          <w:i/>
        </w:rPr>
        <w:t>D</w:t>
      </w:r>
      <w:r w:rsidR="00AE0C6E">
        <w:rPr>
          <w:i/>
        </w:rPr>
        <w:t>ecision</w:t>
      </w:r>
      <w:r>
        <w:rPr>
          <w:i/>
        </w:rPr>
        <w:t xml:space="preserve">.  </w:t>
      </w:r>
      <w:r>
        <w:t xml:space="preserve">We </w:t>
      </w:r>
      <w:r w:rsidR="004B7D71">
        <w:t>find</w:t>
      </w:r>
      <w:r>
        <w:t xml:space="preserve"> that</w:t>
      </w:r>
      <w:r w:rsidR="004B7D71">
        <w:t xml:space="preserve"> </w:t>
      </w:r>
      <w:r>
        <w:t xml:space="preserve">there is good cause for continuing to recognize </w:t>
      </w:r>
      <w:r w:rsidR="001D06C5">
        <w:t xml:space="preserve">existing </w:t>
      </w:r>
      <w:r w:rsidR="00492898">
        <w:t xml:space="preserve">Section </w:t>
      </w:r>
      <w:r>
        <w:t xml:space="preserve">2.948-listed laboratories </w:t>
      </w:r>
      <w:r w:rsidR="00746C7F">
        <w:t>through</w:t>
      </w:r>
      <w:r w:rsidR="00B5000E">
        <w:t xml:space="preserve"> July 1</w:t>
      </w:r>
      <w:r w:rsidR="00746C7F">
        <w:t>2</w:t>
      </w:r>
      <w:r w:rsidR="00B5000E">
        <w:t xml:space="preserve">, 2017. </w:t>
      </w:r>
      <w:r w:rsidR="000063B7">
        <w:t xml:space="preserve"> </w:t>
      </w:r>
      <w:r w:rsidR="004B7D71">
        <w:t>B</w:t>
      </w:r>
      <w:r>
        <w:t xml:space="preserve">ecause </w:t>
      </w:r>
      <w:r w:rsidR="00B5000E">
        <w:t>July 1</w:t>
      </w:r>
      <w:r w:rsidR="00746C7F">
        <w:t>2</w:t>
      </w:r>
      <w:r w:rsidR="00B5000E">
        <w:t>, 2016</w:t>
      </w:r>
      <w:r>
        <w:t xml:space="preserve"> is </w:t>
      </w:r>
      <w:r w:rsidR="00492898">
        <w:t>rapidly approaching</w:t>
      </w:r>
      <w:r>
        <w:t xml:space="preserve">, </w:t>
      </w:r>
      <w:r w:rsidR="00492898">
        <w:t xml:space="preserve">it is likely </w:t>
      </w:r>
      <w:r>
        <w:t xml:space="preserve">that </w:t>
      </w:r>
      <w:r w:rsidR="001D06C5">
        <w:t xml:space="preserve">some </w:t>
      </w:r>
      <w:r>
        <w:t xml:space="preserve">existing </w:t>
      </w:r>
      <w:r w:rsidR="00492898">
        <w:t xml:space="preserve">Section </w:t>
      </w:r>
      <w:r>
        <w:t>2</w:t>
      </w:r>
      <w:r w:rsidR="00492898">
        <w:t>.9</w:t>
      </w:r>
      <w:r>
        <w:t xml:space="preserve">48-listed laboratories will </w:t>
      </w:r>
      <w:r w:rsidR="00B5000E">
        <w:t xml:space="preserve">not </w:t>
      </w:r>
      <w:r>
        <w:t>have sufficient time to take advantage of the clarified procedures we are adopting</w:t>
      </w:r>
      <w:r w:rsidR="008E1826">
        <w:t>, and that a limited availability of</w:t>
      </w:r>
      <w:r>
        <w:t xml:space="preserve"> </w:t>
      </w:r>
      <w:r w:rsidR="00492898">
        <w:t xml:space="preserve">recognized </w:t>
      </w:r>
      <w:r>
        <w:t xml:space="preserve">testing laboratories </w:t>
      </w:r>
      <w:r w:rsidR="008E1826">
        <w:t>could</w:t>
      </w:r>
      <w:r>
        <w:t xml:space="preserve"> disrupt the ability of manufacturers to bring new and innovative products to the marketplace</w:t>
      </w:r>
      <w:r w:rsidR="00092375">
        <w:t xml:space="preserve"> in a timely manner</w:t>
      </w:r>
      <w:r>
        <w:t>.</w:t>
      </w:r>
      <w:r>
        <w:rPr>
          <w:rStyle w:val="FootnoteReference"/>
        </w:rPr>
        <w:footnoteReference w:id="32"/>
      </w:r>
      <w:r>
        <w:t xml:space="preserve">  However, any extension of time must not undermine our decision to revise our rules to discontinue the use of </w:t>
      </w:r>
      <w:r w:rsidR="00492898">
        <w:t xml:space="preserve">Section </w:t>
      </w:r>
      <w:r>
        <w:t xml:space="preserve">2.948-listed laboratories – a decision that has not been </w:t>
      </w:r>
      <w:r w:rsidR="0063140C">
        <w:t xml:space="preserve">challenged </w:t>
      </w:r>
      <w:r>
        <w:t>on reconsideration.</w:t>
      </w:r>
      <w:r w:rsidR="005F0158">
        <w:rPr>
          <w:rStyle w:val="FootnoteReference"/>
        </w:rPr>
        <w:footnoteReference w:id="33"/>
      </w:r>
      <w:r>
        <w:t xml:space="preserve">  </w:t>
      </w:r>
    </w:p>
    <w:p w14:paraId="10062193" w14:textId="77777777" w:rsidR="003844E6" w:rsidRDefault="007912E0" w:rsidP="007436D5">
      <w:pPr>
        <w:pStyle w:val="ParaNum"/>
        <w:tabs>
          <w:tab w:val="clear" w:pos="1440"/>
          <w:tab w:val="num" w:pos="0"/>
          <w:tab w:val="num" w:pos="1080"/>
        </w:tabs>
      </w:pPr>
      <w:r>
        <w:t>We conclude that a</w:t>
      </w:r>
      <w:r w:rsidR="00B5000E">
        <w:t xml:space="preserve">n </w:t>
      </w:r>
      <w:r>
        <w:t>extension</w:t>
      </w:r>
      <w:r w:rsidR="00B5000E">
        <w:t xml:space="preserve"> </w:t>
      </w:r>
      <w:r w:rsidR="00746C7F">
        <w:t xml:space="preserve">of the implementation of the new accreditation requirement </w:t>
      </w:r>
      <w:r w:rsidR="00B5000E">
        <w:t>to July 13, 2017</w:t>
      </w:r>
      <w:r>
        <w:t xml:space="preserve"> (</w:t>
      </w:r>
      <w:r w:rsidR="00B5000E">
        <w:rPr>
          <w:i/>
        </w:rPr>
        <w:t>i.e.</w:t>
      </w:r>
      <w:r w:rsidR="006877B4">
        <w:t>,</w:t>
      </w:r>
      <w:r w:rsidR="00B5000E">
        <w:t xml:space="preserve"> one year beyond the current end date</w:t>
      </w:r>
      <w:r>
        <w:t xml:space="preserve">) will </w:t>
      </w:r>
      <w:r w:rsidR="00092375">
        <w:t xml:space="preserve">serve the public interest by </w:t>
      </w:r>
      <w:r>
        <w:t>provid</w:t>
      </w:r>
      <w:r w:rsidR="00092375">
        <w:t>ing</w:t>
      </w:r>
      <w:r>
        <w:t xml:space="preserve"> </w:t>
      </w:r>
      <w:r w:rsidR="007E6E56">
        <w:t xml:space="preserve">sufficient </w:t>
      </w:r>
      <w:r>
        <w:t>time for laboratories that are eligible to become recognized as accredited to undergo that process</w:t>
      </w:r>
      <w:r w:rsidR="00092375">
        <w:t xml:space="preserve">.  Such an extension is necessary to ensure that </w:t>
      </w:r>
      <w:r w:rsidR="00FD6672">
        <w:t xml:space="preserve">a sufficient number of laboratories </w:t>
      </w:r>
      <w:r w:rsidR="00B045CC">
        <w:t xml:space="preserve">will be recognized and accredited </w:t>
      </w:r>
      <w:r w:rsidR="00FD6672">
        <w:t xml:space="preserve">by the 2017 deadline </w:t>
      </w:r>
      <w:r>
        <w:t xml:space="preserve">so as not </w:t>
      </w:r>
      <w:r w:rsidR="005D6A10">
        <w:t xml:space="preserve">to </w:t>
      </w:r>
      <w:r>
        <w:t xml:space="preserve">unduly disrupt the </w:t>
      </w:r>
      <w:r w:rsidR="00914A9B">
        <w:t xml:space="preserve">equipment </w:t>
      </w:r>
      <w:r>
        <w:t xml:space="preserve">development </w:t>
      </w:r>
      <w:r w:rsidR="00914A9B">
        <w:t xml:space="preserve">and manufacturing </w:t>
      </w:r>
      <w:r>
        <w:t>process.</w:t>
      </w:r>
      <w:r w:rsidR="008E1826">
        <w:t xml:space="preserve">  </w:t>
      </w:r>
      <w:r w:rsidR="00914A9B">
        <w:t>While</w:t>
      </w:r>
      <w:r>
        <w:t xml:space="preserve"> this time period is less than that sought by the Petitioners and commenters, </w:t>
      </w:r>
      <w:r w:rsidR="00914A9B">
        <w:t>we</w:t>
      </w:r>
      <w:r>
        <w:t xml:space="preserve"> believe that the parties </w:t>
      </w:r>
      <w:r w:rsidR="00914A9B">
        <w:t xml:space="preserve">have </w:t>
      </w:r>
      <w:r>
        <w:t>largely focus</w:t>
      </w:r>
      <w:r w:rsidR="00914A9B">
        <w:t>ed</w:t>
      </w:r>
      <w:r>
        <w:t xml:space="preserve"> on worst-case scenarios</w:t>
      </w:r>
      <w:r w:rsidR="008E1826">
        <w:t xml:space="preserve">, and do not take into account the fact that </w:t>
      </w:r>
      <w:r w:rsidR="003844E6">
        <w:t xml:space="preserve">the </w:t>
      </w:r>
      <w:r w:rsidR="008E1826">
        <w:t xml:space="preserve">rules </w:t>
      </w:r>
      <w:r w:rsidR="003844E6">
        <w:t xml:space="preserve">we are clarifying </w:t>
      </w:r>
      <w:r w:rsidR="008E1826">
        <w:t xml:space="preserve">are </w:t>
      </w:r>
      <w:r w:rsidR="003844E6">
        <w:t xml:space="preserve">already </w:t>
      </w:r>
      <w:r w:rsidR="008E1826">
        <w:t>consistent with an accreditation process that is based on widely</w:t>
      </w:r>
      <w:r w:rsidR="005D6A10">
        <w:t>-</w:t>
      </w:r>
      <w:r w:rsidR="008E1826">
        <w:t>known and well accepted standards.</w:t>
      </w:r>
      <w:r>
        <w:rPr>
          <w:rStyle w:val="FootnoteReference"/>
        </w:rPr>
        <w:footnoteReference w:id="34"/>
      </w:r>
      <w:r>
        <w:t xml:space="preserve">  </w:t>
      </w:r>
      <w:r w:rsidR="003844E6">
        <w:t>Moreover</w:t>
      </w:r>
      <w:r>
        <w:t xml:space="preserve">, as Huawei and TIA discuss, </w:t>
      </w:r>
      <w:r w:rsidR="0029698C">
        <w:t>although such accreditation</w:t>
      </w:r>
      <w:r w:rsidR="00B12506">
        <w:t>s</w:t>
      </w:r>
      <w:r w:rsidR="0029698C">
        <w:t xml:space="preserve"> ha</w:t>
      </w:r>
      <w:r w:rsidR="00B12506">
        <w:t>ve</w:t>
      </w:r>
      <w:r w:rsidR="0029698C">
        <w:t xml:space="preserve"> not yet been recognized by the Commission, </w:t>
      </w:r>
      <w:r w:rsidR="008E1826">
        <w:t>some</w:t>
      </w:r>
      <w:r>
        <w:t xml:space="preserve"> laboratories have </w:t>
      </w:r>
      <w:r w:rsidR="008E1826">
        <w:t xml:space="preserve">already </w:t>
      </w:r>
      <w:r>
        <w:t>opted to receive accreditation from a U.S.-based accreditation body</w:t>
      </w:r>
      <w:r w:rsidR="0029698C">
        <w:t>.</w:t>
      </w:r>
      <w:r>
        <w:rPr>
          <w:rStyle w:val="FootnoteReference"/>
        </w:rPr>
        <w:footnoteReference w:id="35"/>
      </w:r>
      <w:r w:rsidR="00201363">
        <w:t xml:space="preserve"> </w:t>
      </w:r>
      <w:r w:rsidR="00B12506">
        <w:t xml:space="preserve"> T</w:t>
      </w:r>
      <w:r w:rsidR="00201363">
        <w:t>h</w:t>
      </w:r>
      <w:r w:rsidR="00B12506">
        <w:t>i</w:t>
      </w:r>
      <w:r w:rsidR="00201363">
        <w:t xml:space="preserve">s </w:t>
      </w:r>
      <w:r w:rsidR="00B12506">
        <w:t xml:space="preserve">should </w:t>
      </w:r>
      <w:r w:rsidR="00201363">
        <w:t>reduc</w:t>
      </w:r>
      <w:r w:rsidR="00B12506">
        <w:t>e</w:t>
      </w:r>
      <w:r w:rsidR="00201363">
        <w:t xml:space="preserve"> </w:t>
      </w:r>
      <w:r w:rsidR="0029698C">
        <w:t>concerns about</w:t>
      </w:r>
      <w:r w:rsidR="00201363">
        <w:t xml:space="preserve"> backlog and delay</w:t>
      </w:r>
      <w:r w:rsidR="0029698C">
        <w:t>s</w:t>
      </w:r>
      <w:r w:rsidR="00B12506">
        <w:t xml:space="preserve"> and,</w:t>
      </w:r>
      <w:r>
        <w:t xml:space="preserve"> </w:t>
      </w:r>
      <w:r w:rsidR="00B12506">
        <w:t>overall, w</w:t>
      </w:r>
      <w:r>
        <w:t xml:space="preserve">e </w:t>
      </w:r>
      <w:r w:rsidR="00B12506">
        <w:t>expect</w:t>
      </w:r>
      <w:r>
        <w:t xml:space="preserve"> that</w:t>
      </w:r>
      <w:r w:rsidR="003844E6">
        <w:t xml:space="preserve"> most participants</w:t>
      </w:r>
      <w:r w:rsidR="00B12506">
        <w:t xml:space="preserve"> will</w:t>
      </w:r>
      <w:r w:rsidR="006B3315">
        <w:t xml:space="preserve"> </w:t>
      </w:r>
      <w:r w:rsidR="00B12506">
        <w:t xml:space="preserve">find </w:t>
      </w:r>
      <w:r w:rsidR="00FD6672">
        <w:t xml:space="preserve">the accreditation and laboratory recognition process </w:t>
      </w:r>
      <w:r w:rsidR="006B3315">
        <w:t>to be straightforward and similar in many aspects to “routine” processes.</w:t>
      </w:r>
      <w:r w:rsidR="007436D5">
        <w:rPr>
          <w:rStyle w:val="FootnoteReference"/>
        </w:rPr>
        <w:footnoteReference w:id="36"/>
      </w:r>
    </w:p>
    <w:p w14:paraId="5642BA93" w14:textId="77777777" w:rsidR="008E1826" w:rsidRDefault="003844E6" w:rsidP="007436D5">
      <w:pPr>
        <w:pStyle w:val="ParaNum"/>
        <w:tabs>
          <w:tab w:val="clear" w:pos="1440"/>
          <w:tab w:val="num" w:pos="0"/>
          <w:tab w:val="num" w:pos="1080"/>
        </w:tabs>
      </w:pPr>
      <w:r>
        <w:t>Accordingly,</w:t>
      </w:r>
      <w:r w:rsidR="008E1826">
        <w:t xml:space="preserve"> laboratories recognized</w:t>
      </w:r>
      <w:r w:rsidR="008E1826" w:rsidRPr="00E7715B">
        <w:t xml:space="preserve"> </w:t>
      </w:r>
      <w:r w:rsidR="008E1826">
        <w:t>under the Section 2.948 criteria</w:t>
      </w:r>
      <w:r w:rsidR="008E1826" w:rsidRPr="00E7715B">
        <w:t xml:space="preserve"> will continue to appear on the </w:t>
      </w:r>
      <w:r w:rsidR="008E1826">
        <w:t xml:space="preserve">OET published </w:t>
      </w:r>
      <w:r w:rsidR="008E1826" w:rsidRPr="00E7715B">
        <w:t xml:space="preserve">list </w:t>
      </w:r>
      <w:r w:rsidR="008E1826">
        <w:t>for such laboratories</w:t>
      </w:r>
      <w:r w:rsidR="008E1826" w:rsidRPr="00E7715B">
        <w:t xml:space="preserve"> and be recognized until their expiration date </w:t>
      </w:r>
      <w:r w:rsidR="008E1826">
        <w:t xml:space="preserve">of recognition </w:t>
      </w:r>
      <w:r w:rsidR="008E1826" w:rsidRPr="00E7715B">
        <w:t xml:space="preserve">or </w:t>
      </w:r>
      <w:r w:rsidR="00746C7F">
        <w:t xml:space="preserve">through </w:t>
      </w:r>
      <w:r w:rsidR="008E1826">
        <w:t>July 1</w:t>
      </w:r>
      <w:r w:rsidR="00746C7F">
        <w:t>2</w:t>
      </w:r>
      <w:r w:rsidR="008E1826">
        <w:t>, 2017</w:t>
      </w:r>
      <w:r w:rsidR="008E1826" w:rsidRPr="00E7715B">
        <w:t>, whichever is sooner</w:t>
      </w:r>
      <w:r w:rsidR="008E1826">
        <w:t>.  Section 2.948-l</w:t>
      </w:r>
      <w:r w:rsidR="008E1826" w:rsidRPr="00E7715B">
        <w:t>isted laboratories whose recognition will expire</w:t>
      </w:r>
      <w:r w:rsidR="008E1826">
        <w:t xml:space="preserve"> before July 1</w:t>
      </w:r>
      <w:r w:rsidR="00746C7F">
        <w:t>2</w:t>
      </w:r>
      <w:r w:rsidR="008E1826">
        <w:t xml:space="preserve">, 2017, may request that the Commission extend their recognition </w:t>
      </w:r>
      <w:r w:rsidR="00746C7F">
        <w:t>through</w:t>
      </w:r>
      <w:r w:rsidR="008E1826">
        <w:t xml:space="preserve"> July 1</w:t>
      </w:r>
      <w:r w:rsidR="00746C7F">
        <w:t>2</w:t>
      </w:r>
      <w:r w:rsidR="008E1826">
        <w:t xml:space="preserve">, 2017.  </w:t>
      </w:r>
      <w:r w:rsidR="008E1826" w:rsidRPr="00E7715B">
        <w:t xml:space="preserve">Any testing that is completed by </w:t>
      </w:r>
      <w:r w:rsidR="008E1826">
        <w:t xml:space="preserve">unaccredited </w:t>
      </w:r>
      <w:r w:rsidR="008E1826" w:rsidRPr="00E7715B">
        <w:t xml:space="preserve">recognized </w:t>
      </w:r>
      <w:r w:rsidR="008E1826">
        <w:t>2.948-</w:t>
      </w:r>
      <w:r w:rsidR="008E1826" w:rsidRPr="00E7715B">
        <w:t xml:space="preserve">listed laboratories will be accepted only in support of a </w:t>
      </w:r>
      <w:r w:rsidR="00EB7E2B">
        <w:t>c</w:t>
      </w:r>
      <w:r w:rsidR="008E1826" w:rsidRPr="00E7715B">
        <w:t>ertification application submitted</w:t>
      </w:r>
      <w:r w:rsidR="008E1826" w:rsidRPr="00F43B04">
        <w:t xml:space="preserve"> </w:t>
      </w:r>
      <w:r w:rsidR="008E1826">
        <w:t>by October 1</w:t>
      </w:r>
      <w:r w:rsidR="00746C7F">
        <w:t>2</w:t>
      </w:r>
      <w:r w:rsidR="008E1826">
        <w:t>, 2017.</w:t>
      </w:r>
      <w:r>
        <w:t xml:space="preserve">  </w:t>
      </w:r>
      <w:r w:rsidR="007436D5">
        <w:t>We also modify our rules to reflect these new dates.</w:t>
      </w:r>
    </w:p>
    <w:p w14:paraId="58FC7FC1" w14:textId="77777777" w:rsidR="0068013D" w:rsidRDefault="007814D1" w:rsidP="0097144F">
      <w:pPr>
        <w:pStyle w:val="Heading1"/>
      </w:pPr>
      <w:r w:rsidRPr="00E7715B">
        <w:t>Procedural Matters</w:t>
      </w:r>
      <w:bookmarkStart w:id="229" w:name="_Toc377550597"/>
      <w:bookmarkStart w:id="230" w:name="_Toc377564050"/>
      <w:bookmarkStart w:id="231" w:name="_Toc378347694"/>
      <w:bookmarkStart w:id="232" w:name="_Toc378607400"/>
      <w:bookmarkStart w:id="233" w:name="_Toc380654621"/>
      <w:bookmarkStart w:id="234" w:name="_Toc387214567"/>
      <w:bookmarkStart w:id="235" w:name="_Toc387916367"/>
      <w:bookmarkStart w:id="236" w:name="_Toc387927691"/>
      <w:bookmarkStart w:id="237" w:name="_Toc390251376"/>
      <w:bookmarkStart w:id="238" w:name="_Toc390257755"/>
      <w:bookmarkStart w:id="239" w:name="_Toc391967161"/>
      <w:bookmarkStart w:id="240" w:name="_Toc392853117"/>
      <w:bookmarkStart w:id="241" w:name="_Toc393282822"/>
      <w:bookmarkStart w:id="242" w:name="_Toc399323476"/>
      <w:bookmarkStart w:id="243" w:name="_Toc335141632"/>
      <w:bookmarkStart w:id="244" w:name="_Toc335291375"/>
      <w:bookmarkStart w:id="245" w:name="_Toc335291428"/>
      <w:bookmarkStart w:id="246" w:name="_Toc335291488"/>
      <w:bookmarkStart w:id="247" w:name="_Toc335291558"/>
      <w:bookmarkStart w:id="248" w:name="_Toc335291696"/>
      <w:bookmarkStart w:id="249" w:name="_Toc335291748"/>
      <w:bookmarkStart w:id="250" w:name="_Toc335631626"/>
      <w:bookmarkStart w:id="251" w:name="_Toc335632668"/>
      <w:bookmarkStart w:id="252" w:name="_Toc335632740"/>
      <w:bookmarkStart w:id="253" w:name="_Toc336000510"/>
      <w:bookmarkStart w:id="254" w:name="_Toc343238064"/>
      <w:bookmarkStart w:id="255" w:name="_Toc343238313"/>
      <w:bookmarkStart w:id="256" w:name="_Toc343238910"/>
      <w:bookmarkStart w:id="257" w:name="_Toc343239029"/>
      <w:bookmarkStart w:id="258" w:name="_Toc343239374"/>
      <w:bookmarkStart w:id="259" w:name="_Toc343247310"/>
      <w:bookmarkStart w:id="260" w:name="_Toc343509216"/>
      <w:bookmarkStart w:id="261" w:name="_Toc343864780"/>
      <w:bookmarkStart w:id="262" w:name="_Toc350418579"/>
      <w:bookmarkStart w:id="263" w:name="_Toc350424797"/>
      <w:bookmarkStart w:id="264" w:name="_Toc350424836"/>
      <w:bookmarkStart w:id="265" w:name="_Toc350424913"/>
      <w:bookmarkStart w:id="266" w:name="_Toc350425000"/>
      <w:bookmarkStart w:id="267" w:name="_Toc350425087"/>
      <w:bookmarkStart w:id="268" w:name="_Toc350425200"/>
      <w:bookmarkStart w:id="269" w:name="_Toc350785656"/>
      <w:bookmarkStart w:id="270" w:name="_Toc351454349"/>
      <w:bookmarkStart w:id="271" w:name="_Toc351478955"/>
      <w:bookmarkStart w:id="272" w:name="_Toc351709100"/>
      <w:bookmarkStart w:id="273" w:name="_Toc351962936"/>
      <w:bookmarkStart w:id="274" w:name="_Toc351991449"/>
      <w:bookmarkStart w:id="275" w:name="_Toc352246794"/>
      <w:bookmarkStart w:id="276" w:name="_Toc352318786"/>
      <w:bookmarkStart w:id="277" w:name="_Toc352341217"/>
      <w:bookmarkStart w:id="278" w:name="_Toc352673446"/>
      <w:bookmarkStart w:id="279" w:name="_Toc352921672"/>
      <w:bookmarkStart w:id="280" w:name="_Toc353176997"/>
      <w:bookmarkStart w:id="281" w:name="_Toc354145129"/>
      <w:bookmarkStart w:id="282" w:name="_Toc354673821"/>
      <w:bookmarkStart w:id="283" w:name="_Toc364342396"/>
      <w:bookmarkStart w:id="284" w:name="_Toc367278350"/>
      <w:bookmarkStart w:id="285" w:name="_Toc367278518"/>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14:paraId="69BDED98" w14:textId="77777777" w:rsidR="0068013D" w:rsidRDefault="007814D1" w:rsidP="0068013D">
      <w:pPr>
        <w:pStyle w:val="Heading2"/>
      </w:pPr>
      <w:r w:rsidRPr="00E7715B">
        <w:t>Final Regulatory Flexibility Analysis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sidR="00A96D14">
        <w:t xml:space="preserve"> </w:t>
      </w:r>
    </w:p>
    <w:p w14:paraId="3650E24C" w14:textId="77777777" w:rsidR="00D372FE" w:rsidRDefault="00D372FE" w:rsidP="000369DD">
      <w:pPr>
        <w:pStyle w:val="ParaNum"/>
        <w:widowControl/>
        <w:tabs>
          <w:tab w:val="num" w:pos="0"/>
        </w:tabs>
        <w:ind w:left="-86"/>
      </w:pPr>
      <w:r>
        <w:t>The Regulatory Flexibility Act of 1980, as amended (RFA)</w:t>
      </w:r>
      <w:r>
        <w:rPr>
          <w:rStyle w:val="FootnoteReference"/>
        </w:rPr>
        <w:footnoteReference w:id="37"/>
      </w:r>
      <w:r>
        <w:t xml:space="preserve"> requires that a regulatory flexibility analysis be prepared for rulemaking proceedings, unless the agency certifies that "the rule will not have a significant economic impact on a substantial number of small entities."</w:t>
      </w:r>
      <w:r>
        <w:rPr>
          <w:rStyle w:val="FootnoteReference"/>
        </w:rPr>
        <w:footnoteReference w:id="38"/>
      </w:r>
      <w:r>
        <w:t xml:space="preserve">  The RFA generally defines "small entity" as having the same meaning as the terms "small business," "small organization," and "small governmental jurisdiction."</w:t>
      </w:r>
      <w:r>
        <w:rPr>
          <w:rStyle w:val="FootnoteReference"/>
        </w:rPr>
        <w:footnoteReference w:id="39"/>
      </w:r>
      <w:r>
        <w:t xml:space="preserve">  In addition, the term "small business" has the same meaning as the term "small business concern" under the Small Business Act.</w:t>
      </w:r>
      <w:r>
        <w:rPr>
          <w:rStyle w:val="FootnoteReference"/>
        </w:rPr>
        <w:footnoteReference w:id="40"/>
      </w:r>
      <w:r>
        <w:t xml:space="preserve">  A small business concern is one which: (1) is independently owned and operated; (2) is not dominant in its field of operation; and (3) satisfies any additional criteria established by the Small Business Administration (SBA).</w:t>
      </w:r>
      <w:r>
        <w:rPr>
          <w:rStyle w:val="FootnoteReference"/>
        </w:rPr>
        <w:footnoteReference w:id="41"/>
      </w:r>
    </w:p>
    <w:p w14:paraId="58063DAC" w14:textId="77777777" w:rsidR="00D372FE" w:rsidRDefault="009F7EF0" w:rsidP="006972F6">
      <w:pPr>
        <w:pStyle w:val="ParaNum"/>
        <w:tabs>
          <w:tab w:val="num" w:pos="90"/>
          <w:tab w:val="num" w:pos="990"/>
        </w:tabs>
      </w:pPr>
      <w:r>
        <w:t xml:space="preserve">We </w:t>
      </w:r>
      <w:r w:rsidR="00D372FE">
        <w:t xml:space="preserve">address </w:t>
      </w:r>
      <w:r>
        <w:t xml:space="preserve">issues related to the recently adopted requirement that laboratories that perform compliance testing related to applications for equipment certification must be accredited in a manner recognized by the Commission.  First, we </w:t>
      </w:r>
      <w:r w:rsidR="006E6527">
        <w:t>discuss</w:t>
      </w:r>
      <w:r>
        <w:t xml:space="preserve"> how </w:t>
      </w:r>
      <w:r w:rsidR="00313E2A">
        <w:t xml:space="preserve">a </w:t>
      </w:r>
      <w:r>
        <w:t>specific subset of such testing laboratories</w:t>
      </w:r>
      <w:r w:rsidR="00313E2A">
        <w:t>, those located in countries that do not have an MRA with the United States,</w:t>
      </w:r>
      <w:r>
        <w:t xml:space="preserve"> </w:t>
      </w:r>
      <w:r w:rsidR="00313E2A">
        <w:t xml:space="preserve">can comply with this requirement.  </w:t>
      </w:r>
      <w:r w:rsidR="006E6527">
        <w:t>In doing so, we</w:t>
      </w:r>
      <w:r w:rsidR="00641C01">
        <w:t xml:space="preserve"> create no additional filing burdens for the affected testing laboratories.  U.S.</w:t>
      </w:r>
      <w:r w:rsidR="007C3377">
        <w:t>-</w:t>
      </w:r>
      <w:r w:rsidR="00641C01">
        <w:t>based laboratory accreditation bodies that wish to voluntarily participate in this process would file a minimal request with OET.  Additionally,</w:t>
      </w:r>
      <w:r w:rsidR="00313E2A">
        <w:t xml:space="preserve"> we extend the transition period for overall complia</w:t>
      </w:r>
      <w:r w:rsidR="00641C01">
        <w:t xml:space="preserve">nce with the accredited testing laboratory requirement.  This extension should eliminate the need for some laboratories to cease conducting testing related to the equipment </w:t>
      </w:r>
      <w:r w:rsidR="00EB7E2B">
        <w:t>c</w:t>
      </w:r>
      <w:r w:rsidR="00641C01">
        <w:t xml:space="preserve">ertification process because they have not been able to meet the original transition deadline.  </w:t>
      </w:r>
    </w:p>
    <w:p w14:paraId="0278D4F1" w14:textId="77777777" w:rsidR="00D372FE" w:rsidRDefault="00D372FE" w:rsidP="006972F6">
      <w:pPr>
        <w:pStyle w:val="ParaNum"/>
        <w:widowControl/>
        <w:tabs>
          <w:tab w:val="num" w:pos="990"/>
        </w:tabs>
      </w:pPr>
      <w:r>
        <w:t xml:space="preserve">Therefore, we certify that the requirements of this </w:t>
      </w:r>
      <w:r w:rsidR="005D6A10" w:rsidRPr="00D23653">
        <w:t>Memorandum Opinion and O</w:t>
      </w:r>
      <w:r w:rsidRPr="00D23653">
        <w:t>rder</w:t>
      </w:r>
      <w:r w:rsidR="00474FA1" w:rsidRPr="00D23653">
        <w:t xml:space="preserve"> and Order on Reconsideration</w:t>
      </w:r>
      <w:r>
        <w:t xml:space="preserve"> will not have a significant economic impact on a substantial number of small entities.  The Commission will send a copy of th</w:t>
      </w:r>
      <w:r w:rsidR="005D6A10">
        <w:t xml:space="preserve">is </w:t>
      </w:r>
      <w:r w:rsidR="005D6A10" w:rsidRPr="00D23653">
        <w:t xml:space="preserve">Memorandum Opinion and </w:t>
      </w:r>
      <w:r w:rsidRPr="00D23653">
        <w:t>Order</w:t>
      </w:r>
      <w:r w:rsidR="00474FA1" w:rsidRPr="00D23653">
        <w:t xml:space="preserve"> and Order on Reconsideration</w:t>
      </w:r>
      <w:r w:rsidR="005D6A10" w:rsidRPr="004E7E77">
        <w:t>,</w:t>
      </w:r>
      <w:r>
        <w:t xml:space="preserve"> including a copy of this final certification, in a report to Congress pursuant to the Small Business Regulatory Enforcement Fairness Act of 1996, </w:t>
      </w:r>
      <w:r w:rsidRPr="00F164FF">
        <w:rPr>
          <w:i/>
        </w:rPr>
        <w:t>see</w:t>
      </w:r>
      <w:r>
        <w:t xml:space="preserve"> 5 U.S.C. § 801(a)(1)(A).</w:t>
      </w:r>
      <w:r>
        <w:t> </w:t>
      </w:r>
      <w:r>
        <w:t xml:space="preserve">In addition, </w:t>
      </w:r>
      <w:r w:rsidR="00BC2D6B">
        <w:t xml:space="preserve">this </w:t>
      </w:r>
      <w:r w:rsidR="00BC2D6B" w:rsidRPr="00827776">
        <w:t>Memorandum Opinion and Order and Order on Reconsideration</w:t>
      </w:r>
      <w:r w:rsidR="00BC2D6B">
        <w:t xml:space="preserve"> </w:t>
      </w:r>
      <w:r>
        <w:t xml:space="preserve">and this certification will be sent to the Chief Counsel for Advocacy of the Small Business Administration, and will be published in the Federal Register.  </w:t>
      </w:r>
      <w:r w:rsidRPr="00F164FF">
        <w:rPr>
          <w:i/>
        </w:rPr>
        <w:t>See</w:t>
      </w:r>
      <w:r>
        <w:t xml:space="preserve"> 5 U.S.C. § 605(b).</w:t>
      </w:r>
      <w:r w:rsidRPr="004C7E12">
        <w:t xml:space="preserve">  </w:t>
      </w:r>
    </w:p>
    <w:p w14:paraId="708DD2C7" w14:textId="77777777" w:rsidR="007814D1" w:rsidRPr="00E7715B" w:rsidRDefault="007814D1" w:rsidP="007814D1">
      <w:pPr>
        <w:pStyle w:val="Heading2"/>
      </w:pPr>
      <w:bookmarkStart w:id="286" w:name="_Toc289272094"/>
      <w:bookmarkStart w:id="287" w:name="_Toc289272147"/>
      <w:bookmarkStart w:id="288" w:name="_Toc292693345"/>
      <w:bookmarkStart w:id="289" w:name="_Toc292693413"/>
      <w:bookmarkStart w:id="290" w:name="_Toc323028046"/>
      <w:bookmarkStart w:id="291" w:name="_Toc324843312"/>
      <w:bookmarkStart w:id="292" w:name="_Toc324864726"/>
      <w:bookmarkStart w:id="293" w:name="_Toc324929593"/>
      <w:bookmarkStart w:id="294" w:name="_Toc324929717"/>
      <w:bookmarkStart w:id="295" w:name="_Toc325013643"/>
      <w:bookmarkStart w:id="296" w:name="_Toc325013973"/>
      <w:bookmarkStart w:id="297" w:name="_Toc325013986"/>
      <w:bookmarkStart w:id="298" w:name="_Toc325014073"/>
      <w:bookmarkStart w:id="299" w:name="_Toc325014181"/>
      <w:bookmarkStart w:id="300" w:name="_Toc325016830"/>
      <w:bookmarkStart w:id="301" w:name="_Toc325030460"/>
      <w:bookmarkStart w:id="302" w:name="_Toc326243813"/>
      <w:bookmarkStart w:id="303" w:name="_Toc326244010"/>
      <w:bookmarkStart w:id="304" w:name="_Toc327450779"/>
      <w:bookmarkStart w:id="305" w:name="_Toc330288227"/>
      <w:bookmarkStart w:id="306" w:name="_Toc330367197"/>
      <w:bookmarkStart w:id="307" w:name="_Toc331420785"/>
      <w:bookmarkStart w:id="308" w:name="_Toc331604665"/>
      <w:bookmarkStart w:id="309" w:name="_Toc332121641"/>
      <w:bookmarkStart w:id="310" w:name="_Toc332204318"/>
      <w:bookmarkStart w:id="311" w:name="_Toc332894820"/>
      <w:bookmarkStart w:id="312" w:name="_Toc333581633"/>
      <w:bookmarkStart w:id="313" w:name="_Toc333936425"/>
      <w:bookmarkStart w:id="314" w:name="_Toc335141635"/>
      <w:bookmarkStart w:id="315" w:name="_Toc335291378"/>
      <w:bookmarkStart w:id="316" w:name="_Toc335291431"/>
      <w:bookmarkStart w:id="317" w:name="_Toc335291491"/>
      <w:bookmarkStart w:id="318" w:name="_Toc335291561"/>
      <w:bookmarkStart w:id="319" w:name="_Toc335291699"/>
      <w:bookmarkStart w:id="320" w:name="_Toc335291751"/>
      <w:bookmarkStart w:id="321" w:name="_Toc335631629"/>
      <w:bookmarkStart w:id="322" w:name="_Toc335632671"/>
      <w:bookmarkStart w:id="323" w:name="_Toc335632743"/>
      <w:bookmarkStart w:id="324" w:name="_Toc336000513"/>
      <w:bookmarkStart w:id="325" w:name="_Toc343238067"/>
      <w:bookmarkStart w:id="326" w:name="_Toc343238316"/>
      <w:bookmarkStart w:id="327" w:name="_Toc343238913"/>
      <w:bookmarkStart w:id="328" w:name="_Toc343239032"/>
      <w:bookmarkStart w:id="329" w:name="_Toc343239377"/>
      <w:bookmarkStart w:id="330" w:name="_Toc343247313"/>
      <w:bookmarkStart w:id="331" w:name="_Toc343509219"/>
      <w:bookmarkStart w:id="332" w:name="_Toc343864783"/>
      <w:bookmarkStart w:id="333" w:name="_Toc350418582"/>
      <w:bookmarkStart w:id="334" w:name="_Toc350424800"/>
      <w:bookmarkStart w:id="335" w:name="_Toc350424839"/>
      <w:bookmarkStart w:id="336" w:name="_Toc350424916"/>
      <w:bookmarkStart w:id="337" w:name="_Toc350425003"/>
      <w:bookmarkStart w:id="338" w:name="_Toc350425090"/>
      <w:bookmarkStart w:id="339" w:name="_Toc350425203"/>
      <w:bookmarkStart w:id="340" w:name="_Toc350785659"/>
      <w:bookmarkStart w:id="341" w:name="_Toc351454352"/>
      <w:bookmarkStart w:id="342" w:name="_Toc351478958"/>
      <w:bookmarkStart w:id="343" w:name="_Toc351709103"/>
      <w:bookmarkStart w:id="344" w:name="_Toc351962939"/>
      <w:bookmarkStart w:id="345" w:name="_Toc351991452"/>
      <w:bookmarkStart w:id="346" w:name="_Toc352246797"/>
      <w:bookmarkStart w:id="347" w:name="_Toc352318789"/>
      <w:bookmarkStart w:id="348" w:name="_Toc352341220"/>
      <w:bookmarkStart w:id="349" w:name="_Toc352673449"/>
      <w:bookmarkStart w:id="350" w:name="_Toc352921675"/>
      <w:bookmarkStart w:id="351" w:name="_Toc353177000"/>
      <w:bookmarkStart w:id="352" w:name="_Toc354145132"/>
      <w:bookmarkStart w:id="353" w:name="_Toc354673824"/>
      <w:bookmarkStart w:id="354" w:name="_Toc364342399"/>
      <w:bookmarkStart w:id="355" w:name="_Toc367278353"/>
      <w:bookmarkStart w:id="356" w:name="_Toc367278521"/>
      <w:bookmarkStart w:id="357" w:name="_Toc377550600"/>
      <w:bookmarkStart w:id="358" w:name="_Toc377564053"/>
      <w:bookmarkStart w:id="359" w:name="_Toc378347697"/>
      <w:bookmarkStart w:id="360" w:name="_Toc378607403"/>
      <w:bookmarkStart w:id="361" w:name="_Toc380654624"/>
      <w:bookmarkStart w:id="362" w:name="_Toc387214570"/>
      <w:bookmarkStart w:id="363" w:name="_Toc387916370"/>
      <w:bookmarkStart w:id="364" w:name="_Toc387927694"/>
      <w:bookmarkStart w:id="365" w:name="_Toc390251377"/>
      <w:bookmarkStart w:id="366" w:name="_Toc390257756"/>
      <w:bookmarkStart w:id="367" w:name="_Toc391967162"/>
      <w:bookmarkStart w:id="368" w:name="_Toc392853118"/>
      <w:bookmarkStart w:id="369" w:name="_Toc393282823"/>
      <w:bookmarkStart w:id="370" w:name="_Toc39932347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r w:rsidRPr="00E7715B">
        <w:t>Paperwork Reduction Act</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p>
    <w:p w14:paraId="0BDC031A" w14:textId="77777777" w:rsidR="007814D1" w:rsidRPr="00E7715B" w:rsidRDefault="00DE245B" w:rsidP="006972F6">
      <w:pPr>
        <w:pStyle w:val="ParaNum"/>
      </w:pPr>
      <w:r>
        <w:t xml:space="preserve">This </w:t>
      </w:r>
      <w:r w:rsidR="00AA4EED">
        <w:t xml:space="preserve">Memorandum Opinion </w:t>
      </w:r>
      <w:r>
        <w:t xml:space="preserve">and Order </w:t>
      </w:r>
      <w:r w:rsidR="00474FA1">
        <w:t xml:space="preserve">and Order on Reconsideration </w:t>
      </w:r>
      <w:r>
        <w:t xml:space="preserve">contains no new information collection </w:t>
      </w:r>
      <w:r w:rsidR="006972F6">
        <w:t>r</w:t>
      </w:r>
      <w:r>
        <w:t>equirements, only non-substantive modifications.</w:t>
      </w:r>
    </w:p>
    <w:p w14:paraId="126FA8BB" w14:textId="77777777" w:rsidR="007814D1" w:rsidRPr="00E7715B" w:rsidRDefault="007814D1" w:rsidP="007814D1">
      <w:pPr>
        <w:pStyle w:val="Heading2"/>
      </w:pPr>
      <w:bookmarkStart w:id="371" w:name="_Toc377550601"/>
      <w:bookmarkStart w:id="372" w:name="_Toc377564054"/>
      <w:bookmarkStart w:id="373" w:name="_Toc378347698"/>
      <w:bookmarkStart w:id="374" w:name="_Toc378607404"/>
      <w:bookmarkStart w:id="375" w:name="_Toc380654625"/>
      <w:bookmarkStart w:id="376" w:name="_Toc387214571"/>
      <w:bookmarkStart w:id="377" w:name="_Toc387916371"/>
      <w:bookmarkStart w:id="378" w:name="_Toc387927695"/>
      <w:bookmarkStart w:id="379" w:name="_Toc390251378"/>
      <w:bookmarkStart w:id="380" w:name="_Toc390257757"/>
      <w:bookmarkStart w:id="381" w:name="_Toc391967163"/>
      <w:bookmarkStart w:id="382" w:name="_Toc392853119"/>
      <w:bookmarkStart w:id="383" w:name="_Toc393282824"/>
      <w:bookmarkStart w:id="384" w:name="_Toc399323478"/>
      <w:r w:rsidRPr="00E7715B">
        <w:t>Congressional Review Act</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14:paraId="60A8CED2" w14:textId="77777777" w:rsidR="007814D1" w:rsidRPr="00E7715B" w:rsidRDefault="00D372FE" w:rsidP="0019057D">
      <w:pPr>
        <w:pStyle w:val="ParaNum"/>
        <w:tabs>
          <w:tab w:val="num" w:pos="0"/>
        </w:tabs>
      </w:pPr>
      <w:r w:rsidRPr="00D372FE">
        <w:t xml:space="preserve">The Commission will send a copy of this </w:t>
      </w:r>
      <w:r>
        <w:t>Memorandum Opinion and</w:t>
      </w:r>
      <w:r w:rsidRPr="00D372FE">
        <w:t xml:space="preserve"> Order</w:t>
      </w:r>
      <w:r>
        <w:t xml:space="preserve"> </w:t>
      </w:r>
      <w:r w:rsidR="00474FA1">
        <w:t xml:space="preserve">and Order on Reconsideration </w:t>
      </w:r>
      <w:r w:rsidR="007814D1" w:rsidRPr="00E7715B">
        <w:t>to Congress and the Government Accountability Office pursuant to the Congressional Review Act.</w:t>
      </w:r>
      <w:r w:rsidR="007814D1" w:rsidRPr="00E7715B">
        <w:rPr>
          <w:vertAlign w:val="superscript"/>
        </w:rPr>
        <w:footnoteReference w:id="42"/>
      </w:r>
      <w:r w:rsidR="007814D1" w:rsidRPr="00E7715B">
        <w:t> </w:t>
      </w:r>
    </w:p>
    <w:p w14:paraId="471333AB" w14:textId="77777777" w:rsidR="007814D1" w:rsidRPr="00E7715B" w:rsidRDefault="007814D1" w:rsidP="007814D1">
      <w:pPr>
        <w:pStyle w:val="Heading1"/>
        <w:tabs>
          <w:tab w:val="num" w:pos="720"/>
        </w:tabs>
      </w:pPr>
      <w:bookmarkStart w:id="385" w:name="_Toc289272095"/>
      <w:bookmarkStart w:id="386" w:name="_Toc289272148"/>
      <w:bookmarkStart w:id="387" w:name="_Toc292693346"/>
      <w:bookmarkStart w:id="388" w:name="_Toc292693414"/>
      <w:bookmarkStart w:id="389" w:name="_Toc323028047"/>
      <w:bookmarkStart w:id="390" w:name="_Toc324843313"/>
      <w:bookmarkStart w:id="391" w:name="_Toc324864727"/>
      <w:bookmarkStart w:id="392" w:name="_Toc324929594"/>
      <w:bookmarkStart w:id="393" w:name="_Toc324929718"/>
      <w:bookmarkStart w:id="394" w:name="_Toc325013644"/>
      <w:bookmarkStart w:id="395" w:name="_Toc325013974"/>
      <w:bookmarkStart w:id="396" w:name="_Toc325013987"/>
      <w:bookmarkStart w:id="397" w:name="_Toc325014048"/>
      <w:bookmarkStart w:id="398" w:name="_Toc325014074"/>
      <w:bookmarkStart w:id="399" w:name="_Toc325014182"/>
      <w:bookmarkStart w:id="400" w:name="_Toc325016831"/>
      <w:bookmarkStart w:id="401" w:name="_Toc325030461"/>
      <w:bookmarkStart w:id="402" w:name="_Toc326243814"/>
      <w:bookmarkStart w:id="403" w:name="_Toc326244011"/>
      <w:bookmarkStart w:id="404" w:name="_Toc327450780"/>
      <w:bookmarkStart w:id="405" w:name="_Toc330288228"/>
      <w:bookmarkStart w:id="406" w:name="_Toc330367198"/>
      <w:bookmarkStart w:id="407" w:name="_Toc331420786"/>
      <w:bookmarkStart w:id="408" w:name="_Toc331604666"/>
      <w:bookmarkStart w:id="409" w:name="_Toc332121642"/>
      <w:bookmarkStart w:id="410" w:name="_Toc332204319"/>
      <w:bookmarkStart w:id="411" w:name="_Toc332290421"/>
      <w:bookmarkStart w:id="412" w:name="_Toc332290734"/>
      <w:bookmarkStart w:id="413" w:name="_Toc332290821"/>
      <w:bookmarkStart w:id="414" w:name="_Toc332291171"/>
      <w:bookmarkStart w:id="415" w:name="_Toc332291303"/>
      <w:bookmarkStart w:id="416" w:name="_Toc332291410"/>
      <w:bookmarkStart w:id="417" w:name="_Toc332291485"/>
      <w:bookmarkStart w:id="418" w:name="_Toc332291554"/>
      <w:bookmarkStart w:id="419" w:name="_Toc332291611"/>
      <w:bookmarkStart w:id="420" w:name="_Toc332291662"/>
      <w:bookmarkStart w:id="421" w:name="_Toc332291735"/>
      <w:bookmarkStart w:id="422" w:name="_Toc336000514"/>
      <w:bookmarkStart w:id="423" w:name="_Toc343238068"/>
      <w:bookmarkStart w:id="424" w:name="_Toc343238317"/>
      <w:bookmarkStart w:id="425" w:name="_Toc343238914"/>
      <w:bookmarkStart w:id="426" w:name="_Toc343239033"/>
      <w:bookmarkStart w:id="427" w:name="_Toc343239378"/>
      <w:bookmarkStart w:id="428" w:name="_Toc343247314"/>
      <w:bookmarkStart w:id="429" w:name="_Toc343509220"/>
      <w:bookmarkStart w:id="430" w:name="_Toc343864784"/>
      <w:bookmarkStart w:id="431" w:name="_Toc350418583"/>
      <w:bookmarkStart w:id="432" w:name="_Toc350424801"/>
      <w:bookmarkStart w:id="433" w:name="_Toc350424840"/>
      <w:bookmarkStart w:id="434" w:name="_Toc350424917"/>
      <w:bookmarkStart w:id="435" w:name="_Toc350425004"/>
      <w:bookmarkStart w:id="436" w:name="_Toc350425091"/>
      <w:bookmarkStart w:id="437" w:name="_Toc350425204"/>
      <w:bookmarkStart w:id="438" w:name="_Toc350785660"/>
      <w:bookmarkStart w:id="439" w:name="_Toc351454353"/>
      <w:bookmarkStart w:id="440" w:name="_Toc351478959"/>
      <w:bookmarkStart w:id="441" w:name="_Toc351709104"/>
      <w:bookmarkStart w:id="442" w:name="_Toc351962940"/>
      <w:bookmarkStart w:id="443" w:name="_Toc351991453"/>
      <w:bookmarkStart w:id="444" w:name="_Toc352246798"/>
      <w:bookmarkStart w:id="445" w:name="_Toc352318790"/>
      <w:bookmarkStart w:id="446" w:name="_Toc352341221"/>
      <w:bookmarkStart w:id="447" w:name="_Toc352673450"/>
      <w:bookmarkStart w:id="448" w:name="_Toc352921676"/>
      <w:bookmarkStart w:id="449" w:name="_Toc353177001"/>
      <w:bookmarkStart w:id="450" w:name="_Toc354145133"/>
      <w:bookmarkStart w:id="451" w:name="_Toc354673825"/>
      <w:bookmarkStart w:id="452" w:name="_Toc364342400"/>
      <w:bookmarkStart w:id="453" w:name="_Toc367278354"/>
      <w:bookmarkStart w:id="454" w:name="_Toc367278522"/>
      <w:bookmarkStart w:id="455" w:name="_Toc377550603"/>
      <w:bookmarkStart w:id="456" w:name="_Toc377564056"/>
      <w:bookmarkStart w:id="457" w:name="_Toc378347700"/>
      <w:bookmarkStart w:id="458" w:name="_Toc378607406"/>
      <w:bookmarkStart w:id="459" w:name="_Toc380654627"/>
      <w:bookmarkStart w:id="460" w:name="_Toc387214573"/>
      <w:bookmarkStart w:id="461" w:name="_Toc387916373"/>
      <w:bookmarkStart w:id="462" w:name="_Toc387927697"/>
      <w:bookmarkStart w:id="463" w:name="_Toc390251379"/>
      <w:bookmarkStart w:id="464" w:name="_Toc390257758"/>
      <w:bookmarkStart w:id="465" w:name="_Toc391967164"/>
      <w:bookmarkStart w:id="466" w:name="_Toc392853120"/>
      <w:bookmarkStart w:id="467" w:name="_Toc393282825"/>
      <w:bookmarkStart w:id="468" w:name="_Toc399323479"/>
      <w:r w:rsidRPr="00E7715B">
        <w:t>Ordering Clauses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14:paraId="46B1F7BE" w14:textId="77777777" w:rsidR="0068013D" w:rsidRDefault="007814D1" w:rsidP="00A5708F">
      <w:pPr>
        <w:pStyle w:val="ParaNum"/>
        <w:widowControl/>
        <w:tabs>
          <w:tab w:val="num" w:pos="0"/>
        </w:tabs>
        <w:spacing w:after="220"/>
      </w:pPr>
      <w:r w:rsidRPr="00E7715B">
        <w:t xml:space="preserve">IT IS ORDERED that pursuant to Sections 1, 4(i), 7(a), 301, 302, 303(f), 303(g), 303(r), 307(e) and 332 of the Communications Act of 1934, as amended, 47 U.S.C. Sections 151, 154(i), 157(a), 301, 302a, 303(f), 303(g), 303(r), 307(e), and 332, this </w:t>
      </w:r>
      <w:r w:rsidR="00D372FE">
        <w:t xml:space="preserve">Memorandum Opinion </w:t>
      </w:r>
      <w:r w:rsidRPr="00E7715B">
        <w:t xml:space="preserve">and Order </w:t>
      </w:r>
      <w:r w:rsidR="00474FA1">
        <w:t>and Order on Reconsideration</w:t>
      </w:r>
      <w:r w:rsidRPr="0068013D">
        <w:rPr>
          <w:i/>
          <w:iCs/>
        </w:rPr>
        <w:t xml:space="preserve"> </w:t>
      </w:r>
      <w:r w:rsidRPr="00E7715B">
        <w:t>IS ADOPTED.</w:t>
      </w:r>
    </w:p>
    <w:p w14:paraId="347A1EF2" w14:textId="77777777" w:rsidR="0068013D" w:rsidRDefault="007814D1" w:rsidP="00A5708F">
      <w:pPr>
        <w:pStyle w:val="ParaNum"/>
        <w:widowControl/>
        <w:tabs>
          <w:tab w:val="num" w:pos="0"/>
        </w:tabs>
        <w:spacing w:after="220"/>
      </w:pPr>
      <w:r w:rsidRPr="00E7715B">
        <w:t>IT IS FURTHER ORDERED that the rules and requirements adopted herein WILL BECOME EFFECTIVE [thirty days after the date of publication of a summary of this Report and Order in the Federal Register</w:t>
      </w:r>
      <w:r w:rsidR="00D03AB3">
        <w:t>]</w:t>
      </w:r>
      <w:r w:rsidR="004C6F14">
        <w:t>.</w:t>
      </w:r>
    </w:p>
    <w:p w14:paraId="4C020B78" w14:textId="77777777" w:rsidR="0068013D" w:rsidRDefault="0092293E" w:rsidP="00A5708F">
      <w:pPr>
        <w:pStyle w:val="ParaNum"/>
        <w:widowControl/>
        <w:tabs>
          <w:tab w:val="num" w:pos="0"/>
        </w:tabs>
        <w:spacing w:after="220"/>
      </w:pPr>
      <w:r>
        <w:t xml:space="preserve">IT IS </w:t>
      </w:r>
      <w:r w:rsidRPr="0068013D">
        <w:rPr>
          <w:iCs/>
        </w:rPr>
        <w:t>FURTHER</w:t>
      </w:r>
      <w:r>
        <w:t xml:space="preserve"> ORDERED that the Petition for Reconsideration of The </w:t>
      </w:r>
      <w:r w:rsidR="000900C4">
        <w:t xml:space="preserve">Telecommunications Industry Association </w:t>
      </w:r>
      <w:r>
        <w:t>is GRANTED</w:t>
      </w:r>
      <w:r w:rsidR="000900C4">
        <w:t xml:space="preserve"> to the extent indicated herein</w:t>
      </w:r>
      <w:r w:rsidR="009272C6">
        <w:t xml:space="preserve"> and otherwise DENIED</w:t>
      </w:r>
      <w:r>
        <w:t>.</w:t>
      </w:r>
    </w:p>
    <w:p w14:paraId="057EE778" w14:textId="77777777" w:rsidR="000900C4" w:rsidRDefault="0068013D" w:rsidP="00A5708F">
      <w:pPr>
        <w:pStyle w:val="ParaNum"/>
        <w:widowControl/>
        <w:tabs>
          <w:tab w:val="num" w:pos="0"/>
        </w:tabs>
        <w:spacing w:after="220"/>
      </w:pPr>
      <w:r>
        <w:t xml:space="preserve">IT IS </w:t>
      </w:r>
      <w:r w:rsidRPr="0068013D">
        <w:rPr>
          <w:iCs/>
        </w:rPr>
        <w:t>FURTHER</w:t>
      </w:r>
      <w:r>
        <w:t xml:space="preserve"> ORDERED that the Petition for </w:t>
      </w:r>
      <w:r w:rsidR="000900C4">
        <w:t xml:space="preserve">Partial </w:t>
      </w:r>
      <w:r>
        <w:t xml:space="preserve">Reconsideration of </w:t>
      </w:r>
      <w:r w:rsidR="000900C4">
        <w:t xml:space="preserve">Motorola Solutions, Inc. </w:t>
      </w:r>
      <w:r>
        <w:t>is GRANTED</w:t>
      </w:r>
      <w:r w:rsidR="00B85FA6">
        <w:t xml:space="preserve"> to the extent indicated herein</w:t>
      </w:r>
      <w:r w:rsidR="009272C6">
        <w:t xml:space="preserve"> and otherwise DENIED</w:t>
      </w:r>
      <w:r>
        <w:t>.</w:t>
      </w:r>
    </w:p>
    <w:p w14:paraId="70829725" w14:textId="77777777" w:rsidR="007814D1" w:rsidRDefault="007814D1" w:rsidP="00A5708F">
      <w:pPr>
        <w:pStyle w:val="ParaNum"/>
        <w:widowControl/>
        <w:tabs>
          <w:tab w:val="num" w:pos="0"/>
        </w:tabs>
        <w:spacing w:after="220"/>
      </w:pPr>
      <w:r w:rsidRPr="00E7715B">
        <w:t xml:space="preserve">IT IS FURTHER </w:t>
      </w:r>
      <w:r w:rsidRPr="0068013D">
        <w:rPr>
          <w:iCs/>
        </w:rPr>
        <w:t>ORDERED</w:t>
      </w:r>
      <w:r w:rsidRPr="00E7715B">
        <w:t xml:space="preserve"> that the Commission’s Consumer and Governmental Affairs Bureau, Reference Information Center, SHALL SEND a copy of this Report and Order, including the Final Regulatory Certification, to the Chief Counsel for Advocacy of the Small Business Administration.</w:t>
      </w:r>
    </w:p>
    <w:p w14:paraId="5CED5B41" w14:textId="77777777" w:rsidR="0037453E" w:rsidRPr="00E7715B" w:rsidRDefault="0037453E" w:rsidP="0019057D">
      <w:pPr>
        <w:pStyle w:val="ParaNum"/>
        <w:tabs>
          <w:tab w:val="num" w:pos="0"/>
        </w:tabs>
      </w:pPr>
      <w:r>
        <w:t xml:space="preserve">IT IS FURTHER ORDERED that, pursuant to the authority contained in Sections 4(i), 4(j), and 303 of the Communications Act, as amended, 47 U.S.C. §§ 154(i), 154(j) and 303, that </w:t>
      </w:r>
      <w:r w:rsidR="00D03AB3">
        <w:t xml:space="preserve">should no petitions for reconsideration or applications for review be timely filed, this proceeding </w:t>
      </w:r>
      <w:r w:rsidRPr="0037453E">
        <w:rPr>
          <w:b/>
        </w:rPr>
        <w:t>IS TERMINATED</w:t>
      </w:r>
      <w:r w:rsidR="00D03AB3">
        <w:rPr>
          <w:b/>
        </w:rPr>
        <w:t xml:space="preserve"> </w:t>
      </w:r>
      <w:r w:rsidR="00D03AB3">
        <w:t xml:space="preserve">and ET Docket No. 13-44 </w:t>
      </w:r>
      <w:r w:rsidR="00D03AB3">
        <w:rPr>
          <w:b/>
        </w:rPr>
        <w:t>IS CLOSED</w:t>
      </w:r>
      <w:r>
        <w:t>.</w:t>
      </w:r>
    </w:p>
    <w:p w14:paraId="18D2AD59" w14:textId="77777777" w:rsidR="007814D1" w:rsidRPr="00E7715B" w:rsidRDefault="007814D1" w:rsidP="007814D1">
      <w:r w:rsidRPr="00E7715B">
        <w:tab/>
      </w:r>
      <w:r w:rsidRPr="00E7715B">
        <w:tab/>
      </w:r>
      <w:r w:rsidRPr="00E7715B">
        <w:tab/>
      </w:r>
      <w:r w:rsidRPr="00E7715B">
        <w:tab/>
      </w:r>
      <w:r w:rsidRPr="00E7715B">
        <w:tab/>
        <w:t>FEDERAL COMMUNICATIONS COMMISSION</w:t>
      </w:r>
    </w:p>
    <w:p w14:paraId="6550F5EA" w14:textId="77777777" w:rsidR="007814D1" w:rsidRPr="00E7715B" w:rsidRDefault="007814D1" w:rsidP="007814D1"/>
    <w:p w14:paraId="6DF6EFE4" w14:textId="77777777" w:rsidR="007814D1" w:rsidRDefault="007814D1" w:rsidP="007814D1"/>
    <w:p w14:paraId="355DEE85" w14:textId="77777777" w:rsidR="00602624" w:rsidRDefault="00602624" w:rsidP="007814D1"/>
    <w:p w14:paraId="6F944559" w14:textId="77777777" w:rsidR="00602624" w:rsidRPr="00E7715B" w:rsidRDefault="00602624" w:rsidP="007814D1"/>
    <w:p w14:paraId="263549CA" w14:textId="77777777" w:rsidR="007814D1" w:rsidRDefault="007814D1" w:rsidP="007814D1">
      <w:r w:rsidRPr="00E7715B">
        <w:tab/>
      </w:r>
      <w:r w:rsidRPr="00E7715B">
        <w:tab/>
      </w:r>
      <w:r w:rsidRPr="00E7715B">
        <w:tab/>
      </w:r>
      <w:r w:rsidRPr="00E7715B">
        <w:tab/>
      </w:r>
      <w:r w:rsidRPr="00E7715B">
        <w:tab/>
        <w:t>Marlene H. Dortch</w:t>
      </w:r>
    </w:p>
    <w:p w14:paraId="655C97EF" w14:textId="77777777" w:rsidR="00177B89" w:rsidRDefault="000D5194" w:rsidP="00177B89">
      <w:pPr>
        <w:sectPr w:rsidR="00177B89" w:rsidSect="00FB0AB8">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cols w:space="720"/>
          <w:noEndnote/>
          <w:titlePg/>
          <w:docGrid w:linePitch="299"/>
        </w:sectPr>
      </w:pPr>
      <w:r>
        <w:tab/>
      </w:r>
      <w:r>
        <w:tab/>
      </w:r>
      <w:r>
        <w:tab/>
      </w:r>
      <w:r>
        <w:tab/>
      </w:r>
      <w:r>
        <w:tab/>
        <w:t>Secretary</w:t>
      </w:r>
    </w:p>
    <w:p w14:paraId="2C3D8597" w14:textId="77777777" w:rsidR="0037453E" w:rsidRDefault="0037453E" w:rsidP="00177B89"/>
    <w:p w14:paraId="4F3ABC8F" w14:textId="77777777" w:rsidR="0029653C" w:rsidRPr="0029653C" w:rsidRDefault="0029653C" w:rsidP="0029653C">
      <w:pPr>
        <w:tabs>
          <w:tab w:val="left" w:pos="720"/>
          <w:tab w:val="num" w:pos="1080"/>
        </w:tabs>
        <w:spacing w:after="120"/>
        <w:jc w:val="center"/>
        <w:rPr>
          <w:b/>
          <w:snapToGrid/>
          <w:szCs w:val="22"/>
          <w:lang w:eastAsia="ja-JP"/>
        </w:rPr>
      </w:pPr>
      <w:r w:rsidRPr="0029653C">
        <w:rPr>
          <w:b/>
          <w:snapToGrid/>
          <w:szCs w:val="22"/>
          <w:lang w:eastAsia="ja-JP"/>
        </w:rPr>
        <w:t xml:space="preserve">APPENDIX </w:t>
      </w:r>
    </w:p>
    <w:p w14:paraId="1B609776" w14:textId="77777777" w:rsidR="0029653C" w:rsidRDefault="0029653C" w:rsidP="0029653C">
      <w:pPr>
        <w:tabs>
          <w:tab w:val="left" w:pos="720"/>
          <w:tab w:val="num" w:pos="1260"/>
        </w:tabs>
        <w:spacing w:after="120"/>
        <w:jc w:val="center"/>
        <w:rPr>
          <w:b/>
          <w:snapToGrid/>
          <w:szCs w:val="22"/>
          <w:lang w:eastAsia="ja-JP"/>
        </w:rPr>
      </w:pPr>
      <w:r w:rsidRPr="0029653C">
        <w:rPr>
          <w:b/>
          <w:snapToGrid/>
          <w:szCs w:val="22"/>
          <w:lang w:eastAsia="ja-JP"/>
        </w:rPr>
        <w:t>Final Rules</w:t>
      </w:r>
    </w:p>
    <w:p w14:paraId="639F57B7" w14:textId="77777777" w:rsidR="00A96D14" w:rsidRPr="0029653C" w:rsidRDefault="00A96D14" w:rsidP="0029653C">
      <w:pPr>
        <w:tabs>
          <w:tab w:val="left" w:pos="720"/>
          <w:tab w:val="num" w:pos="1260"/>
        </w:tabs>
        <w:spacing w:after="120"/>
        <w:jc w:val="center"/>
        <w:rPr>
          <w:b/>
          <w:snapToGrid/>
          <w:szCs w:val="22"/>
          <w:lang w:eastAsia="ja-JP"/>
        </w:rPr>
      </w:pPr>
    </w:p>
    <w:p w14:paraId="72F4FD1D" w14:textId="77777777" w:rsidR="0029653C" w:rsidRPr="0029653C" w:rsidRDefault="00F064FF" w:rsidP="0029653C">
      <w:pPr>
        <w:rPr>
          <w:snapToGrid/>
          <w:szCs w:val="22"/>
        </w:rPr>
      </w:pPr>
      <w:r>
        <w:rPr>
          <w:snapToGrid/>
          <w:szCs w:val="22"/>
        </w:rPr>
        <w:t>Part</w:t>
      </w:r>
      <w:r w:rsidR="0029653C" w:rsidRPr="0029653C">
        <w:rPr>
          <w:snapToGrid/>
          <w:szCs w:val="22"/>
        </w:rPr>
        <w:t xml:space="preserve"> 2 of Title 47 of the Code of Federal Regulations </w:t>
      </w:r>
      <w:r w:rsidR="004C2684">
        <w:rPr>
          <w:snapToGrid/>
          <w:szCs w:val="22"/>
        </w:rPr>
        <w:t xml:space="preserve">is </w:t>
      </w:r>
      <w:r w:rsidR="0029653C" w:rsidRPr="0029653C">
        <w:rPr>
          <w:snapToGrid/>
          <w:szCs w:val="22"/>
        </w:rPr>
        <w:t>amended as follows:</w:t>
      </w:r>
    </w:p>
    <w:p w14:paraId="3B9F487B" w14:textId="77777777" w:rsidR="0029653C" w:rsidRPr="0029653C" w:rsidRDefault="0029653C" w:rsidP="0029653C">
      <w:pPr>
        <w:rPr>
          <w:snapToGrid/>
          <w:szCs w:val="22"/>
        </w:rPr>
      </w:pPr>
    </w:p>
    <w:p w14:paraId="68AC75C4" w14:textId="77777777" w:rsidR="0029653C" w:rsidRPr="0029653C" w:rsidRDefault="0029653C" w:rsidP="0029653C">
      <w:pPr>
        <w:outlineLvl w:val="3"/>
        <w:rPr>
          <w:b/>
          <w:bCs/>
          <w:snapToGrid/>
          <w:szCs w:val="22"/>
        </w:rPr>
      </w:pPr>
      <w:r w:rsidRPr="0029653C">
        <w:rPr>
          <w:b/>
          <w:bCs/>
          <w:snapToGrid/>
          <w:szCs w:val="22"/>
        </w:rPr>
        <w:t>PART 2—FREQUENCY ALLOCATIONS AND RADIO TREATY MATTERS; GENERAL RULES AND REGULATIONS</w:t>
      </w:r>
    </w:p>
    <w:p w14:paraId="3B2ECD4D" w14:textId="77777777" w:rsidR="0029653C" w:rsidRPr="0029653C" w:rsidRDefault="0029653C" w:rsidP="0029653C">
      <w:pPr>
        <w:outlineLvl w:val="3"/>
        <w:rPr>
          <w:bCs/>
          <w:snapToGrid/>
          <w:szCs w:val="22"/>
        </w:rPr>
      </w:pPr>
    </w:p>
    <w:p w14:paraId="0D86C86F" w14:textId="77777777" w:rsidR="0029653C" w:rsidRPr="0029653C" w:rsidRDefault="0029653C" w:rsidP="00FF1932">
      <w:pPr>
        <w:widowControl/>
        <w:numPr>
          <w:ilvl w:val="0"/>
          <w:numId w:val="8"/>
        </w:numPr>
        <w:spacing w:after="120" w:line="276" w:lineRule="auto"/>
        <w:rPr>
          <w:snapToGrid/>
          <w:spacing w:val="-2"/>
          <w:szCs w:val="22"/>
          <w:lang w:eastAsia="ja-JP"/>
        </w:rPr>
      </w:pPr>
      <w:r w:rsidRPr="0029653C">
        <w:rPr>
          <w:snapToGrid/>
          <w:szCs w:val="22"/>
          <w:lang w:eastAsia="ja-JP"/>
        </w:rPr>
        <w:t>The</w:t>
      </w:r>
      <w:r w:rsidRPr="0029653C">
        <w:rPr>
          <w:snapToGrid/>
          <w:spacing w:val="-2"/>
          <w:szCs w:val="22"/>
          <w:lang w:eastAsia="ja-JP"/>
        </w:rPr>
        <w:t xml:space="preserve"> authority citation for Part 2 continues to read as follows:</w:t>
      </w:r>
    </w:p>
    <w:p w14:paraId="06C40C6A" w14:textId="77777777" w:rsidR="0029653C" w:rsidRPr="0029653C" w:rsidRDefault="0029653C" w:rsidP="0029653C">
      <w:pPr>
        <w:rPr>
          <w:snapToGrid/>
          <w:szCs w:val="22"/>
        </w:rPr>
      </w:pPr>
      <w:r w:rsidRPr="0029653C">
        <w:rPr>
          <w:b/>
          <w:snapToGrid/>
          <w:szCs w:val="22"/>
        </w:rPr>
        <w:t xml:space="preserve">Authority:  </w:t>
      </w:r>
      <w:r w:rsidRPr="0029653C">
        <w:rPr>
          <w:snapToGrid/>
          <w:szCs w:val="22"/>
        </w:rPr>
        <w:t>47 U.S.C. 154, 302a, 303, and 336, unless otherwise noted.</w:t>
      </w:r>
    </w:p>
    <w:p w14:paraId="2A1CF9ED" w14:textId="77777777" w:rsidR="0029653C" w:rsidRPr="0029653C" w:rsidRDefault="0029653C" w:rsidP="0029653C">
      <w:pPr>
        <w:rPr>
          <w:snapToGrid/>
          <w:szCs w:val="22"/>
        </w:rPr>
      </w:pPr>
    </w:p>
    <w:p w14:paraId="34ACD483" w14:textId="77777777" w:rsidR="0029653C" w:rsidRPr="0029653C" w:rsidRDefault="00DE6865" w:rsidP="00FF1932">
      <w:pPr>
        <w:widowControl/>
        <w:numPr>
          <w:ilvl w:val="0"/>
          <w:numId w:val="8"/>
        </w:numPr>
        <w:spacing w:after="120" w:line="276" w:lineRule="auto"/>
        <w:rPr>
          <w:snapToGrid/>
          <w:szCs w:val="22"/>
          <w:lang w:eastAsia="ja-JP"/>
        </w:rPr>
      </w:pPr>
      <w:r>
        <w:rPr>
          <w:snapToGrid/>
          <w:szCs w:val="22"/>
          <w:lang w:eastAsia="ja-JP"/>
        </w:rPr>
        <w:t>S</w:t>
      </w:r>
      <w:r w:rsidR="0029653C" w:rsidRPr="0029653C">
        <w:rPr>
          <w:snapToGrid/>
          <w:szCs w:val="22"/>
          <w:lang w:eastAsia="ja-JP"/>
        </w:rPr>
        <w:t xml:space="preserve">ection 2.950 is </w:t>
      </w:r>
      <w:r w:rsidR="00A96D14">
        <w:rPr>
          <w:snapToGrid/>
          <w:szCs w:val="22"/>
          <w:lang w:eastAsia="ja-JP"/>
        </w:rPr>
        <w:t xml:space="preserve">amended by revising </w:t>
      </w:r>
      <w:r w:rsidR="004C2684">
        <w:rPr>
          <w:snapToGrid/>
          <w:szCs w:val="22"/>
          <w:lang w:eastAsia="ja-JP"/>
        </w:rPr>
        <w:t xml:space="preserve">paragraph (e) </w:t>
      </w:r>
      <w:r w:rsidR="00A96D14" w:rsidRPr="0029653C">
        <w:rPr>
          <w:snapToGrid/>
          <w:szCs w:val="22"/>
          <w:lang w:eastAsia="ja-JP"/>
        </w:rPr>
        <w:t xml:space="preserve"> </w:t>
      </w:r>
      <w:r w:rsidR="0029653C" w:rsidRPr="0029653C">
        <w:rPr>
          <w:snapToGrid/>
          <w:szCs w:val="22"/>
          <w:lang w:eastAsia="ja-JP"/>
        </w:rPr>
        <w:t>to read as follows :</w:t>
      </w:r>
    </w:p>
    <w:p w14:paraId="65617024" w14:textId="77777777" w:rsidR="0029653C" w:rsidRPr="0029653C" w:rsidRDefault="0029653C" w:rsidP="0029653C">
      <w:pPr>
        <w:tabs>
          <w:tab w:val="num" w:pos="1260"/>
        </w:tabs>
        <w:spacing w:after="120"/>
        <w:rPr>
          <w:b/>
          <w:snapToGrid/>
          <w:szCs w:val="22"/>
          <w:lang w:eastAsia="ja-JP"/>
        </w:rPr>
      </w:pPr>
      <w:r w:rsidRPr="0029653C">
        <w:rPr>
          <w:b/>
          <w:snapToGrid/>
          <w:szCs w:val="22"/>
          <w:lang w:eastAsia="ja-JP"/>
        </w:rPr>
        <w:t xml:space="preserve">§ </w:t>
      </w:r>
      <w:r w:rsidRPr="00126FA4">
        <w:rPr>
          <w:b/>
          <w:snapToGrid/>
          <w:szCs w:val="22"/>
          <w:u w:val="single"/>
          <w:lang w:eastAsia="ja-JP"/>
        </w:rPr>
        <w:t>2.950 Transition periods</w:t>
      </w:r>
      <w:r w:rsidR="00126FA4">
        <w:rPr>
          <w:b/>
          <w:snapToGrid/>
          <w:szCs w:val="22"/>
          <w:u w:val="single"/>
          <w:lang w:eastAsia="ja-JP"/>
        </w:rPr>
        <w:t>.</w:t>
      </w:r>
    </w:p>
    <w:p w14:paraId="66180B03" w14:textId="77777777" w:rsidR="0029653C" w:rsidRDefault="0029653C" w:rsidP="0029653C">
      <w:pPr>
        <w:snapToGrid w:val="0"/>
        <w:spacing w:after="120"/>
        <w:rPr>
          <w:snapToGrid/>
          <w:color w:val="000000"/>
          <w:szCs w:val="22"/>
        </w:rPr>
      </w:pPr>
    </w:p>
    <w:p w14:paraId="436B6E8C" w14:textId="77777777" w:rsidR="00A96D14" w:rsidRPr="0029653C" w:rsidRDefault="00A96D14" w:rsidP="0029653C">
      <w:pPr>
        <w:snapToGrid w:val="0"/>
        <w:spacing w:after="120"/>
        <w:rPr>
          <w:snapToGrid/>
          <w:color w:val="000000"/>
          <w:szCs w:val="22"/>
        </w:rPr>
      </w:pPr>
      <w:r w:rsidRPr="00A96D14">
        <w:rPr>
          <w:snapToGrid/>
          <w:color w:val="000000"/>
          <w:kern w:val="0"/>
          <w:szCs w:val="22"/>
        </w:rPr>
        <w:t>*</w:t>
      </w:r>
      <w:r w:rsidRPr="003C3B4D">
        <w:rPr>
          <w:snapToGrid/>
          <w:color w:val="000000"/>
          <w:kern w:val="0"/>
          <w:szCs w:val="22"/>
        </w:rPr>
        <w:t xml:space="preserve"> * *</w:t>
      </w:r>
    </w:p>
    <w:p w14:paraId="0B7CBF63" w14:textId="77777777" w:rsidR="0029653C" w:rsidRDefault="0029653C" w:rsidP="0029653C">
      <w:pPr>
        <w:snapToGrid w:val="0"/>
        <w:contextualSpacing/>
        <w:rPr>
          <w:rFonts w:eastAsia="Calibri"/>
          <w:snapToGrid/>
          <w:kern w:val="0"/>
          <w:szCs w:val="22"/>
        </w:rPr>
      </w:pPr>
      <w:r w:rsidRPr="0029653C">
        <w:rPr>
          <w:rFonts w:eastAsia="Calibri"/>
          <w:snapToGrid/>
          <w:color w:val="000000"/>
          <w:kern w:val="0"/>
          <w:szCs w:val="22"/>
        </w:rPr>
        <w:t>(</w:t>
      </w:r>
      <w:r w:rsidR="00843494">
        <w:rPr>
          <w:rFonts w:eastAsia="Calibri"/>
          <w:snapToGrid/>
          <w:color w:val="000000"/>
          <w:kern w:val="0"/>
          <w:szCs w:val="22"/>
        </w:rPr>
        <w:t>e</w:t>
      </w:r>
      <w:r w:rsidRPr="0029653C">
        <w:rPr>
          <w:rFonts w:eastAsia="Calibri"/>
          <w:snapToGrid/>
          <w:color w:val="000000"/>
          <w:kern w:val="0"/>
          <w:szCs w:val="22"/>
        </w:rPr>
        <w:t xml:space="preserve">) </w:t>
      </w:r>
      <w:r w:rsidRPr="0029653C">
        <w:rPr>
          <w:rFonts w:eastAsia="Calibri"/>
          <w:snapToGrid/>
          <w:kern w:val="0"/>
          <w:szCs w:val="22"/>
        </w:rPr>
        <w:t xml:space="preserve">The Commission will no longer accept applications for § 2.948 test site listing as of </w:t>
      </w:r>
      <w:r w:rsidR="00A96D14">
        <w:rPr>
          <w:rFonts w:eastAsia="Calibri"/>
          <w:snapToGrid/>
          <w:kern w:val="0"/>
          <w:szCs w:val="22"/>
        </w:rPr>
        <w:t>July 13, 201</w:t>
      </w:r>
      <w:r w:rsidR="00746C7F">
        <w:rPr>
          <w:rFonts w:eastAsia="Calibri"/>
          <w:snapToGrid/>
          <w:kern w:val="0"/>
          <w:szCs w:val="22"/>
        </w:rPr>
        <w:t>5</w:t>
      </w:r>
      <w:r w:rsidRPr="0029653C">
        <w:rPr>
          <w:rFonts w:eastAsia="Calibri"/>
          <w:snapToGrid/>
          <w:kern w:val="0"/>
          <w:szCs w:val="22"/>
        </w:rPr>
        <w:t xml:space="preserve">. </w:t>
      </w:r>
      <w:r w:rsidRPr="0029653C">
        <w:rPr>
          <w:rFonts w:eastAsia="Calibri"/>
          <w:snapToGrid/>
          <w:color w:val="000000"/>
          <w:kern w:val="0"/>
          <w:szCs w:val="22"/>
        </w:rPr>
        <w:t xml:space="preserve"> L</w:t>
      </w:r>
      <w:r w:rsidRPr="0029653C">
        <w:rPr>
          <w:rFonts w:eastAsia="Calibri"/>
          <w:snapToGrid/>
          <w:kern w:val="0"/>
          <w:szCs w:val="22"/>
        </w:rPr>
        <w:t xml:space="preserve">aboratories that are listed by the Commission under the § 2.948 process will remain listed until the sooner of their expiration date or </w:t>
      </w:r>
      <w:r w:rsidR="00746C7F">
        <w:rPr>
          <w:rFonts w:eastAsia="Calibri"/>
          <w:snapToGrid/>
          <w:kern w:val="0"/>
          <w:szCs w:val="22"/>
        </w:rPr>
        <w:t xml:space="preserve">through </w:t>
      </w:r>
      <w:r w:rsidR="00A96D14">
        <w:rPr>
          <w:rFonts w:eastAsia="Calibri"/>
          <w:snapToGrid/>
          <w:kern w:val="0"/>
          <w:szCs w:val="22"/>
        </w:rPr>
        <w:t>July 1</w:t>
      </w:r>
      <w:r w:rsidR="00746C7F">
        <w:rPr>
          <w:rFonts w:eastAsia="Calibri"/>
          <w:snapToGrid/>
          <w:kern w:val="0"/>
          <w:szCs w:val="22"/>
        </w:rPr>
        <w:t>2</w:t>
      </w:r>
      <w:r w:rsidR="00A96D14">
        <w:rPr>
          <w:rFonts w:eastAsia="Calibri"/>
          <w:snapToGrid/>
          <w:kern w:val="0"/>
          <w:szCs w:val="22"/>
        </w:rPr>
        <w:t>, 2017</w:t>
      </w:r>
      <w:r w:rsidRPr="0029653C">
        <w:rPr>
          <w:rFonts w:eastAsia="Calibri"/>
          <w:snapToGrid/>
          <w:kern w:val="0"/>
          <w:szCs w:val="22"/>
        </w:rPr>
        <w:t xml:space="preserve"> and may continue to submit test data in support of certification applications </w:t>
      </w:r>
      <w:r w:rsidR="00746C7F">
        <w:rPr>
          <w:rFonts w:eastAsia="Calibri"/>
          <w:snapToGrid/>
          <w:kern w:val="0"/>
          <w:szCs w:val="22"/>
        </w:rPr>
        <w:t xml:space="preserve">through </w:t>
      </w:r>
      <w:r w:rsidR="00A96D14">
        <w:rPr>
          <w:rFonts w:eastAsia="Calibri"/>
          <w:snapToGrid/>
          <w:kern w:val="0"/>
          <w:szCs w:val="22"/>
        </w:rPr>
        <w:t>October 1</w:t>
      </w:r>
      <w:r w:rsidR="00746C7F">
        <w:rPr>
          <w:rFonts w:eastAsia="Calibri"/>
          <w:snapToGrid/>
          <w:kern w:val="0"/>
          <w:szCs w:val="22"/>
        </w:rPr>
        <w:t>2</w:t>
      </w:r>
      <w:r w:rsidR="00A96D14">
        <w:rPr>
          <w:rFonts w:eastAsia="Calibri"/>
          <w:snapToGrid/>
          <w:kern w:val="0"/>
          <w:szCs w:val="22"/>
        </w:rPr>
        <w:t>, 2017</w:t>
      </w:r>
      <w:r w:rsidRPr="0029653C">
        <w:rPr>
          <w:rFonts w:eastAsia="Calibri"/>
          <w:snapToGrid/>
          <w:kern w:val="0"/>
          <w:szCs w:val="22"/>
        </w:rPr>
        <w:t xml:space="preserve">.  Laboratories with an expiration date before </w:t>
      </w:r>
      <w:r w:rsidR="00A96D14">
        <w:rPr>
          <w:rFonts w:eastAsia="Calibri"/>
          <w:snapToGrid/>
          <w:kern w:val="0"/>
          <w:szCs w:val="22"/>
        </w:rPr>
        <w:t xml:space="preserve">July 13, 2017 </w:t>
      </w:r>
      <w:r w:rsidRPr="0029653C">
        <w:rPr>
          <w:rFonts w:eastAsia="Calibri"/>
          <w:snapToGrid/>
          <w:kern w:val="0"/>
          <w:szCs w:val="22"/>
        </w:rPr>
        <w:t xml:space="preserve">may request the Commission to extend their expiration date </w:t>
      </w:r>
      <w:r w:rsidR="00746C7F">
        <w:rPr>
          <w:rFonts w:eastAsia="Calibri"/>
          <w:snapToGrid/>
          <w:kern w:val="0"/>
          <w:szCs w:val="22"/>
        </w:rPr>
        <w:t>through</w:t>
      </w:r>
      <w:r w:rsidRPr="0029653C">
        <w:rPr>
          <w:rFonts w:eastAsia="Calibri"/>
          <w:snapToGrid/>
          <w:kern w:val="0"/>
          <w:szCs w:val="22"/>
        </w:rPr>
        <w:t xml:space="preserve"> </w:t>
      </w:r>
      <w:r w:rsidR="00A96D14">
        <w:rPr>
          <w:rFonts w:eastAsia="Calibri"/>
          <w:snapToGrid/>
          <w:kern w:val="0"/>
          <w:szCs w:val="22"/>
        </w:rPr>
        <w:t>July 1</w:t>
      </w:r>
      <w:r w:rsidR="00746C7F">
        <w:rPr>
          <w:rFonts w:eastAsia="Calibri"/>
          <w:snapToGrid/>
          <w:kern w:val="0"/>
          <w:szCs w:val="22"/>
        </w:rPr>
        <w:t>2</w:t>
      </w:r>
      <w:r w:rsidR="00A96D14">
        <w:rPr>
          <w:rFonts w:eastAsia="Calibri"/>
          <w:snapToGrid/>
          <w:kern w:val="0"/>
          <w:szCs w:val="22"/>
        </w:rPr>
        <w:t>, 2017</w:t>
      </w:r>
      <w:r w:rsidRPr="0029653C">
        <w:rPr>
          <w:rFonts w:eastAsia="Calibri"/>
          <w:snapToGrid/>
          <w:kern w:val="0"/>
          <w:szCs w:val="22"/>
        </w:rPr>
        <w:t>.</w:t>
      </w:r>
    </w:p>
    <w:p w14:paraId="4BC6FA3A" w14:textId="77777777" w:rsidR="00A96D14" w:rsidRDefault="00A96D14" w:rsidP="0029653C">
      <w:pPr>
        <w:snapToGrid w:val="0"/>
        <w:contextualSpacing/>
        <w:rPr>
          <w:rFonts w:eastAsia="Calibri"/>
          <w:snapToGrid/>
          <w:kern w:val="0"/>
          <w:szCs w:val="22"/>
        </w:rPr>
      </w:pPr>
    </w:p>
    <w:p w14:paraId="2B7A64EE" w14:textId="77777777" w:rsidR="0029653C" w:rsidRPr="0029653C" w:rsidRDefault="00A96D14" w:rsidP="00831146">
      <w:pPr>
        <w:rPr>
          <w:snapToGrid/>
          <w:color w:val="000000"/>
          <w:kern w:val="0"/>
          <w:szCs w:val="22"/>
        </w:rPr>
      </w:pPr>
      <w:r w:rsidRPr="00A96D14">
        <w:rPr>
          <w:snapToGrid/>
          <w:color w:val="000000"/>
          <w:kern w:val="0"/>
          <w:szCs w:val="22"/>
        </w:rPr>
        <w:t>*</w:t>
      </w:r>
      <w:r w:rsidRPr="003C3B4D">
        <w:rPr>
          <w:snapToGrid/>
          <w:color w:val="000000"/>
          <w:kern w:val="0"/>
          <w:szCs w:val="22"/>
        </w:rPr>
        <w:t xml:space="preserve"> * *</w:t>
      </w:r>
    </w:p>
    <w:p w14:paraId="117EBA7B" w14:textId="77777777" w:rsidR="005D4CC3" w:rsidRDefault="005D4CC3" w:rsidP="005313C8">
      <w:pPr>
        <w:pStyle w:val="ParaNum"/>
        <w:numPr>
          <w:ilvl w:val="0"/>
          <w:numId w:val="0"/>
        </w:numPr>
        <w:rPr>
          <w:snapToGrid/>
          <w:szCs w:val="22"/>
        </w:rPr>
      </w:pPr>
    </w:p>
    <w:sectPr w:rsidR="005D4CC3" w:rsidSect="00FB0AB8">
      <w:footerReference w:type="first" r:id="rId14"/>
      <w:footnotePr>
        <w:numRestart w:val="eachSect"/>
      </w:footnotePr>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61F75" w14:textId="77777777" w:rsidR="006C3E3D" w:rsidRDefault="006C3E3D">
      <w:pPr>
        <w:spacing w:line="20" w:lineRule="exact"/>
      </w:pPr>
    </w:p>
  </w:endnote>
  <w:endnote w:type="continuationSeparator" w:id="0">
    <w:p w14:paraId="32F50D7D" w14:textId="77777777" w:rsidR="006C3E3D" w:rsidRDefault="006C3E3D">
      <w:r>
        <w:t xml:space="preserve"> </w:t>
      </w:r>
    </w:p>
  </w:endnote>
  <w:endnote w:type="continuationNotice" w:id="1">
    <w:p w14:paraId="414F913B" w14:textId="77777777" w:rsidR="006C3E3D" w:rsidRDefault="006C3E3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A0205" w14:textId="77777777" w:rsidR="00F07D67" w:rsidRDefault="00F07D67" w:rsidP="0055614C">
    <w:pPr>
      <w:pStyle w:val="Footer"/>
      <w:framePr w:wrap="around" w:vAnchor="text" w:hAnchor="margin" w:xAlign="center" w:y="1"/>
    </w:pPr>
    <w:r>
      <w:fldChar w:fldCharType="begin"/>
    </w:r>
    <w:r>
      <w:instrText xml:space="preserve">PAGE  </w:instrText>
    </w:r>
    <w:r>
      <w:fldChar w:fldCharType="end"/>
    </w:r>
  </w:p>
  <w:p w14:paraId="203C6378" w14:textId="77777777" w:rsidR="00F07D67" w:rsidRDefault="00F07D67">
    <w:pPr>
      <w:pStyle w:val="Footer"/>
    </w:pPr>
  </w:p>
  <w:p w14:paraId="47C0AA6A" w14:textId="77777777" w:rsidR="00F07D67" w:rsidRDefault="00F07D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438AB" w14:textId="77777777" w:rsidR="00F07D67" w:rsidRDefault="00F07D67" w:rsidP="00C7006D">
    <w:pPr>
      <w:pStyle w:val="Footer"/>
      <w:framePr w:w="301" w:h="271" w:hRule="exact" w:wrap="around" w:vAnchor="text" w:hAnchor="page" w:x="6046" w:y="1"/>
    </w:pPr>
    <w:r>
      <w:fldChar w:fldCharType="begin"/>
    </w:r>
    <w:r>
      <w:instrText xml:space="preserve">PAGE  </w:instrText>
    </w:r>
    <w:r>
      <w:fldChar w:fldCharType="separate"/>
    </w:r>
    <w:r w:rsidR="002F2787">
      <w:rPr>
        <w:noProof/>
      </w:rPr>
      <w:t>2</w:t>
    </w:r>
    <w:r>
      <w:fldChar w:fldCharType="end"/>
    </w:r>
  </w:p>
  <w:p w14:paraId="36CEB5B7" w14:textId="77777777" w:rsidR="00F07D67" w:rsidRDefault="00F07D67" w:rsidP="00C7006D">
    <w:pPr>
      <w:pStyle w:val="Footer"/>
      <w:framePr w:w="301" w:h="271" w:hRule="exact" w:wrap="around" w:vAnchor="text" w:hAnchor="page" w:x="6046" w:y="1"/>
    </w:pPr>
    <w:r>
      <w:t>Non-</w:t>
    </w:r>
  </w:p>
  <w:p w14:paraId="331DECCC" w14:textId="77777777" w:rsidR="00F07D67" w:rsidRDefault="00F07D6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C0800" w14:textId="77777777" w:rsidR="0099561C" w:rsidRDefault="0099561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3816590"/>
      <w:docPartObj>
        <w:docPartGallery w:val="Page Numbers (Bottom of Page)"/>
        <w:docPartUnique/>
      </w:docPartObj>
    </w:sdtPr>
    <w:sdtEndPr>
      <w:rPr>
        <w:noProof/>
      </w:rPr>
    </w:sdtEndPr>
    <w:sdtContent>
      <w:p w14:paraId="0BFD903D" w14:textId="7DD1CBD1" w:rsidR="00E733A8" w:rsidRDefault="00E733A8" w:rsidP="000369DD">
        <w:pPr>
          <w:pStyle w:val="Footer"/>
          <w:jc w:val="center"/>
          <w:rPr>
            <w:noProof/>
          </w:rPr>
        </w:pPr>
        <w:r>
          <w:fldChar w:fldCharType="begin"/>
        </w:r>
        <w:r>
          <w:instrText xml:space="preserve"> PAGE   \* MERGEFORMAT </w:instrText>
        </w:r>
        <w:r>
          <w:fldChar w:fldCharType="separate"/>
        </w:r>
        <w:r w:rsidR="00BD548B">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798090" w14:textId="77777777" w:rsidR="006C3E3D" w:rsidRDefault="006C3E3D">
      <w:r>
        <w:separator/>
      </w:r>
    </w:p>
  </w:footnote>
  <w:footnote w:type="continuationSeparator" w:id="0">
    <w:p w14:paraId="1C3D35BD" w14:textId="77777777" w:rsidR="006C3E3D" w:rsidRDefault="006C3E3D" w:rsidP="00C721AC">
      <w:pPr>
        <w:spacing w:before="120"/>
        <w:rPr>
          <w:sz w:val="20"/>
        </w:rPr>
      </w:pPr>
      <w:r>
        <w:rPr>
          <w:sz w:val="20"/>
        </w:rPr>
        <w:t xml:space="preserve">(Continued from previous page)  </w:t>
      </w:r>
      <w:r>
        <w:rPr>
          <w:sz w:val="20"/>
        </w:rPr>
        <w:separator/>
      </w:r>
    </w:p>
  </w:footnote>
  <w:footnote w:type="continuationNotice" w:id="1">
    <w:p w14:paraId="798DECEE" w14:textId="77777777" w:rsidR="006C3E3D" w:rsidRDefault="006C3E3D" w:rsidP="00C721AC">
      <w:pPr>
        <w:jc w:val="right"/>
        <w:rPr>
          <w:sz w:val="20"/>
        </w:rPr>
      </w:pPr>
      <w:r>
        <w:rPr>
          <w:sz w:val="20"/>
        </w:rPr>
        <w:t>(continued….)</w:t>
      </w:r>
    </w:p>
  </w:footnote>
  <w:footnote w:id="2">
    <w:p w14:paraId="0167A8EE" w14:textId="77777777" w:rsidR="00F07D67" w:rsidRDefault="00F07D67" w:rsidP="005B3801">
      <w:pPr>
        <w:pStyle w:val="FootnoteText"/>
      </w:pPr>
      <w:r>
        <w:rPr>
          <w:rStyle w:val="FootnoteReference"/>
        </w:rPr>
        <w:footnoteRef/>
      </w:r>
      <w:r>
        <w:t xml:space="preserve"> </w:t>
      </w:r>
      <w:r w:rsidRPr="00121048">
        <w:t>The Commission administers an equipment authorization program for</w:t>
      </w:r>
      <w:r>
        <w:t xml:space="preserve"> radiofrequency</w:t>
      </w:r>
      <w:r w:rsidRPr="00121048">
        <w:t xml:space="preserve"> </w:t>
      </w:r>
      <w:r>
        <w:t>(</w:t>
      </w:r>
      <w:r w:rsidRPr="00121048">
        <w:t>RF</w:t>
      </w:r>
      <w:r>
        <w:t>)</w:t>
      </w:r>
      <w:r w:rsidRPr="00121048">
        <w:t xml:space="preserve"> devices under Part 2 of its rules, 47 C.F.R. Part 2 Subpart J.  All RF devices subject to equipment authorization must comply with the Commission’s technical requirements prior to importation or marketing.  The Office of Engineering and Technology (OET) administers the equipment authorization program under authority delegated to it by the Commission.  </w:t>
      </w:r>
      <w:r w:rsidRPr="00121048">
        <w:rPr>
          <w:i/>
        </w:rPr>
        <w:t xml:space="preserve">See </w:t>
      </w:r>
      <w:r w:rsidRPr="00121048">
        <w:t>47 C.F.R. § 0.241(b)</w:t>
      </w:r>
      <w:r w:rsidR="0009404D">
        <w:t>.</w:t>
      </w:r>
    </w:p>
  </w:footnote>
  <w:footnote w:id="3">
    <w:p w14:paraId="00C868F0" w14:textId="77777777" w:rsidR="00F07D67" w:rsidRDefault="00F07D67" w:rsidP="00FB3AD6">
      <w:pPr>
        <w:pStyle w:val="FootnoteText"/>
      </w:pPr>
      <w:r>
        <w:rPr>
          <w:rStyle w:val="FootnoteReference"/>
        </w:rPr>
        <w:footnoteRef/>
      </w:r>
      <w:r>
        <w:t xml:space="preserve"> </w:t>
      </w:r>
      <w:r w:rsidRPr="000D1EB5">
        <w:rPr>
          <w:i/>
        </w:rPr>
        <w:t>Amendment of Parts 0, 1, 2, and 15 of the Commission’s Rules regarding Authorization of Radiofrequency Equipment</w:t>
      </w:r>
      <w:r>
        <w:t xml:space="preserve">;  </w:t>
      </w:r>
      <w:r w:rsidRPr="000D1EB5">
        <w:rPr>
          <w:i/>
        </w:rPr>
        <w:t>Amendment of Part 68 regarding Approval of Terminal Equipment by Telecommunications Certification Bodies</w:t>
      </w:r>
      <w:r>
        <w:rPr>
          <w:i/>
        </w:rPr>
        <w:t xml:space="preserve">, </w:t>
      </w:r>
      <w:r>
        <w:t xml:space="preserve"> </w:t>
      </w:r>
      <w:r w:rsidRPr="000D1EB5">
        <w:t>Report and Order</w:t>
      </w:r>
      <w:r>
        <w:rPr>
          <w:i/>
        </w:rPr>
        <w:t xml:space="preserve">, </w:t>
      </w:r>
      <w:r>
        <w:t>29 FCC Rcd 16335 (2014) (</w:t>
      </w:r>
      <w:r>
        <w:rPr>
          <w:i/>
        </w:rPr>
        <w:t>Report and Order</w:t>
      </w:r>
      <w:r>
        <w:t xml:space="preserve">).  </w:t>
      </w:r>
    </w:p>
  </w:footnote>
  <w:footnote w:id="4">
    <w:p w14:paraId="236E74B1" w14:textId="77777777" w:rsidR="00F07D67" w:rsidRPr="00AC3FE4" w:rsidRDefault="00F07D67" w:rsidP="00AC3FE4">
      <w:pPr>
        <w:widowControl/>
        <w:autoSpaceDE w:val="0"/>
        <w:autoSpaceDN w:val="0"/>
        <w:adjustRightInd w:val="0"/>
        <w:rPr>
          <w:rStyle w:val="FootnoteReference"/>
          <w:snapToGrid/>
          <w:kern w:val="0"/>
        </w:rPr>
      </w:pPr>
      <w:r>
        <w:rPr>
          <w:rStyle w:val="FootnoteReference"/>
        </w:rPr>
        <w:footnoteRef/>
      </w:r>
      <w:r>
        <w:t xml:space="preserve"> </w:t>
      </w:r>
      <w:r w:rsidRPr="00AC3FE4">
        <w:rPr>
          <w:snapToGrid/>
          <w:kern w:val="0"/>
          <w:sz w:val="20"/>
        </w:rPr>
        <w:t>A TCB is a private third</w:t>
      </w:r>
      <w:r w:rsidR="00ED43DB">
        <w:rPr>
          <w:snapToGrid/>
          <w:kern w:val="0"/>
          <w:sz w:val="20"/>
        </w:rPr>
        <w:t>-</w:t>
      </w:r>
      <w:r w:rsidRPr="00AC3FE4">
        <w:rPr>
          <w:snapToGrid/>
          <w:kern w:val="0"/>
          <w:sz w:val="20"/>
        </w:rPr>
        <w:t xml:space="preserve">party organization which is authorized to issue </w:t>
      </w:r>
      <w:r>
        <w:rPr>
          <w:snapToGrid/>
          <w:kern w:val="0"/>
          <w:sz w:val="20"/>
        </w:rPr>
        <w:t>equipment grants of certification</w:t>
      </w:r>
      <w:r w:rsidRPr="00AC3FE4">
        <w:rPr>
          <w:snapToGrid/>
          <w:kern w:val="0"/>
          <w:sz w:val="20"/>
        </w:rPr>
        <w:t>.</w:t>
      </w:r>
      <w:r w:rsidRPr="00AC3FE4">
        <w:rPr>
          <w:sz w:val="20"/>
        </w:rPr>
        <w:t xml:space="preserve"> </w:t>
      </w:r>
    </w:p>
  </w:footnote>
  <w:footnote w:id="5">
    <w:p w14:paraId="5F7F5D6F" w14:textId="77777777" w:rsidR="00F07D67" w:rsidRDefault="00F07D67">
      <w:pPr>
        <w:pStyle w:val="FootnoteText"/>
      </w:pPr>
      <w:r>
        <w:rPr>
          <w:rStyle w:val="FootnoteReference"/>
        </w:rPr>
        <w:footnoteRef/>
      </w:r>
      <w:r>
        <w:t xml:space="preserve"> Petition for Clarification and Partial Reconsideration of Motorola Solutions, Inc. (filed July 13, 2015) (Motorola Petition); and Petition for Clarification and/or Reconsideration of Telecommunications Industry Association (filed July 13, 2015) (TIA Petition).</w:t>
      </w:r>
    </w:p>
  </w:footnote>
  <w:footnote w:id="6">
    <w:p w14:paraId="3430668B" w14:textId="64BC2B56" w:rsidR="00F07D67" w:rsidRDefault="00F07D67">
      <w:pPr>
        <w:pStyle w:val="FootnoteText"/>
      </w:pPr>
      <w:r>
        <w:rPr>
          <w:rStyle w:val="FootnoteReference"/>
        </w:rPr>
        <w:footnoteRef/>
      </w:r>
      <w:r>
        <w:t xml:space="preserve"> </w:t>
      </w:r>
      <w:r w:rsidRPr="00003957">
        <w:t>Mutual Recognition Agreements (MRAs) are government-to-government trade facilitating measures aimed at a global approach to conformity assessment.</w:t>
      </w:r>
      <w:r>
        <w:t xml:space="preserve"> </w:t>
      </w:r>
      <w:r w:rsidRPr="00003957">
        <w:t xml:space="preserve"> In the</w:t>
      </w:r>
      <w:r>
        <w:t>se</w:t>
      </w:r>
      <w:r w:rsidRPr="00003957">
        <w:t xml:space="preserve"> agreements,</w:t>
      </w:r>
      <w:r>
        <w:t xml:space="preserve"> the regulatory authorities in the participating countries mutually</w:t>
      </w:r>
      <w:r w:rsidRPr="00003957">
        <w:t xml:space="preserve"> agree to accept the test results and/or product approvals performed by</w:t>
      </w:r>
      <w:r>
        <w:t xml:space="preserve"> recognized</w:t>
      </w:r>
      <w:r w:rsidRPr="00003957">
        <w:t xml:space="preserve"> Conformity Assessment Bodies (CABs)</w:t>
      </w:r>
      <w:r>
        <w:t xml:space="preserve"> located in the other country.  </w:t>
      </w:r>
      <w:r w:rsidR="008A2C49" w:rsidRPr="0085015C">
        <w:t>The U</w:t>
      </w:r>
      <w:r w:rsidR="008A2C49">
        <w:t xml:space="preserve">nited </w:t>
      </w:r>
      <w:r w:rsidR="008A2C49" w:rsidRPr="0085015C">
        <w:t>S</w:t>
      </w:r>
      <w:r w:rsidR="008A2C49">
        <w:t>tates</w:t>
      </w:r>
      <w:r w:rsidR="008A2C49" w:rsidRPr="0085015C">
        <w:t xml:space="preserve"> has signed six MRAs under which 53 countries can recognize each other’s testing laboratories</w:t>
      </w:r>
      <w:r w:rsidR="008A2C49">
        <w:t>.</w:t>
      </w:r>
      <w:r w:rsidR="008A2C49" w:rsidRPr="0085015C">
        <w:t xml:space="preserve"> </w:t>
      </w:r>
      <w:r w:rsidR="008A2C49" w:rsidRPr="008A34E5">
        <w:rPr>
          <w:i/>
        </w:rPr>
        <w:t>See</w:t>
      </w:r>
      <w:r w:rsidR="008A2C49" w:rsidRPr="0085015C">
        <w:t xml:space="preserve"> National Institute of Standards and Technology, Introduction to EMC and Telecom Mutual Recognition Agreements, (December 29, 2015), </w:t>
      </w:r>
      <w:hyperlink r:id="rId1" w:history="1">
        <w:r w:rsidR="008A2C49" w:rsidRPr="00E675FF">
          <w:rPr>
            <w:rStyle w:val="Hyperlink"/>
          </w:rPr>
          <w:t>http://gsi.nist.gov/global/index.cfm/L1-4/L2-16/L3-101</w:t>
        </w:r>
      </w:hyperlink>
      <w:r w:rsidR="008A2C49">
        <w:t xml:space="preserve">.  </w:t>
      </w:r>
      <w:r w:rsidR="00FB690B">
        <w:t>W</w:t>
      </w:r>
      <w:r w:rsidR="008A2C49" w:rsidRPr="0085015C">
        <w:t>e remain committed to furthering the adoption of such agreements wherever possible.</w:t>
      </w:r>
      <w:r w:rsidR="008A2C49">
        <w:t xml:space="preserve">  </w:t>
      </w:r>
      <w:r>
        <w:t>This proceeding focuses exclusively on telecommunications equipment MRAs.</w:t>
      </w:r>
    </w:p>
  </w:footnote>
  <w:footnote w:id="7">
    <w:p w14:paraId="3FDAC45A" w14:textId="77777777" w:rsidR="00F07D67" w:rsidRDefault="00F07D67">
      <w:pPr>
        <w:pStyle w:val="FootnoteText"/>
      </w:pPr>
      <w:r>
        <w:rPr>
          <w:rStyle w:val="FootnoteReference"/>
        </w:rPr>
        <w:footnoteRef/>
      </w:r>
      <w:r>
        <w:t xml:space="preserve"> </w:t>
      </w:r>
      <w:r w:rsidRPr="00DE5242">
        <w:t>Consumer Technology Association</w:t>
      </w:r>
      <w:r>
        <w:t xml:space="preserve"> Comments Supporting the Petitions for Clarification of Motorola Solutions, Inc. and The Telecommunications Industry Association (filed December 15, 2015) (CTA Comments); Comments of Huawei Technologies, Inc. (USA) and Huawei Technologies Co., LTD (filed December 15, 2015) (Huawei Comments).</w:t>
      </w:r>
    </w:p>
  </w:footnote>
  <w:footnote w:id="8">
    <w:p w14:paraId="46AB9313" w14:textId="77777777" w:rsidR="00092375" w:rsidRDefault="00092375" w:rsidP="00092375">
      <w:pPr>
        <w:pStyle w:val="FootnoteText"/>
      </w:pPr>
      <w:r>
        <w:rPr>
          <w:rStyle w:val="FootnoteReference"/>
        </w:rPr>
        <w:footnoteRef/>
      </w:r>
      <w:r>
        <w:t xml:space="preserve"> </w:t>
      </w:r>
      <w:r>
        <w:rPr>
          <w:i/>
        </w:rPr>
        <w:t xml:space="preserve">See </w:t>
      </w:r>
      <w:r>
        <w:t>Motorola Petition at 1-4; TIA Petition at 1-3 (seeking an extension of these deadlines).</w:t>
      </w:r>
    </w:p>
  </w:footnote>
  <w:footnote w:id="9">
    <w:p w14:paraId="3F362CB3" w14:textId="77777777" w:rsidR="00F07D67" w:rsidRPr="00722A62" w:rsidRDefault="00F07D67">
      <w:pPr>
        <w:pStyle w:val="FootnoteText"/>
      </w:pPr>
      <w:r>
        <w:rPr>
          <w:rStyle w:val="FootnoteReference"/>
        </w:rPr>
        <w:footnoteRef/>
      </w:r>
      <w:r>
        <w:t xml:space="preserve"> </w:t>
      </w:r>
      <w:r>
        <w:rPr>
          <w:i/>
        </w:rPr>
        <w:t xml:space="preserve">See Report and </w:t>
      </w:r>
      <w:r w:rsidRPr="00722A62">
        <w:rPr>
          <w:i/>
        </w:rPr>
        <w:t>Order</w:t>
      </w:r>
      <w:r>
        <w:t xml:space="preserve"> at 16354-5, para. 45.  </w:t>
      </w:r>
      <w:r w:rsidRPr="00B9675A">
        <w:t>Laboratory accreditation under ISO/IEC 17025 is a rigorous process involving an extensive review of documentation and onsite visits by representative(s) of the accrediting body</w:t>
      </w:r>
      <w:r>
        <w:t xml:space="preserve">.  </w:t>
      </w:r>
      <w:r>
        <w:rPr>
          <w:i/>
        </w:rPr>
        <w:t>Id.</w:t>
      </w:r>
      <w:r>
        <w:t xml:space="preserve">  </w:t>
      </w:r>
      <w:r w:rsidRPr="00B9675A">
        <w:t xml:space="preserve">Devices authorized under the </w:t>
      </w:r>
      <w:r w:rsidRPr="00E7715B">
        <w:t>D</w:t>
      </w:r>
      <w:r>
        <w:t>eclaration of Conformity (DoC)</w:t>
      </w:r>
      <w:r w:rsidRPr="00E7715B">
        <w:t xml:space="preserve"> </w:t>
      </w:r>
      <w:r w:rsidRPr="00B9675A">
        <w:t xml:space="preserve">process </w:t>
      </w:r>
      <w:r>
        <w:t>were already r</w:t>
      </w:r>
      <w:r w:rsidRPr="00B9675A">
        <w:t>equire</w:t>
      </w:r>
      <w:r>
        <w:t>d</w:t>
      </w:r>
      <w:r w:rsidRPr="00B9675A">
        <w:t xml:space="preserve"> </w:t>
      </w:r>
      <w:r>
        <w:t xml:space="preserve">to be </w:t>
      </w:r>
      <w:r w:rsidRPr="00B9675A">
        <w:t>test</w:t>
      </w:r>
      <w:r>
        <w:t>ed</w:t>
      </w:r>
      <w:r w:rsidRPr="00B9675A">
        <w:t xml:space="preserve"> </w:t>
      </w:r>
      <w:r>
        <w:t xml:space="preserve">only in accredited </w:t>
      </w:r>
      <w:r w:rsidRPr="00B9675A">
        <w:t>laboratories</w:t>
      </w:r>
      <w:r>
        <w:t xml:space="preserve">. </w:t>
      </w:r>
    </w:p>
  </w:footnote>
  <w:footnote w:id="10">
    <w:p w14:paraId="1C5D9EFA" w14:textId="77777777" w:rsidR="00F07D67" w:rsidRDefault="00F07D67" w:rsidP="00F504B3">
      <w:pPr>
        <w:pStyle w:val="FootnoteText"/>
      </w:pPr>
      <w:r>
        <w:rPr>
          <w:rStyle w:val="FootnoteReference"/>
        </w:rPr>
        <w:footnoteRef/>
      </w:r>
      <w:r>
        <w:t xml:space="preserve"> </w:t>
      </w:r>
      <w:r>
        <w:rPr>
          <w:i/>
        </w:rPr>
        <w:t>Report and Order</w:t>
      </w:r>
      <w:r>
        <w:t xml:space="preserve"> at 16354-55, para. 45. </w:t>
      </w:r>
    </w:p>
  </w:footnote>
  <w:footnote w:id="11">
    <w:p w14:paraId="4EA8AF64" w14:textId="6109DC6B" w:rsidR="00F07D67" w:rsidRPr="00BF247D" w:rsidRDefault="00F07D67">
      <w:pPr>
        <w:pStyle w:val="FootnoteText"/>
      </w:pPr>
      <w:r>
        <w:rPr>
          <w:rStyle w:val="FootnoteReference"/>
        </w:rPr>
        <w:footnoteRef/>
      </w:r>
      <w:r>
        <w:t xml:space="preserve"> </w:t>
      </w:r>
      <w:r>
        <w:rPr>
          <w:i/>
        </w:rPr>
        <w:t>See Report and Order</w:t>
      </w:r>
      <w:r>
        <w:t xml:space="preserve"> at 16338-41, paras.</w:t>
      </w:r>
      <w:r w:rsidR="0009404D">
        <w:t xml:space="preserve"> </w:t>
      </w:r>
      <w:r>
        <w:t>6-10</w:t>
      </w:r>
      <w:r w:rsidR="00635FDD">
        <w:t>.</w:t>
      </w:r>
      <w:r w:rsidR="00DC4103">
        <w:t xml:space="preserve"> </w:t>
      </w:r>
      <w:r w:rsidR="00105D82">
        <w:t xml:space="preserve"> </w:t>
      </w:r>
      <w:r>
        <w:t xml:space="preserve">Until recently, TCBs were restricted from approving certain limited types of devices, especially when the application of the FCC measurement procedures had not been fully developed – most typically in the case of new technology. </w:t>
      </w:r>
    </w:p>
  </w:footnote>
  <w:footnote w:id="12">
    <w:p w14:paraId="385D6F9D" w14:textId="77777777" w:rsidR="00F07D67" w:rsidRDefault="00F07D67" w:rsidP="004C2684">
      <w:pPr>
        <w:pStyle w:val="FootnoteText"/>
      </w:pPr>
      <w:r>
        <w:rPr>
          <w:rStyle w:val="FootnoteReference"/>
        </w:rPr>
        <w:footnoteRef/>
      </w:r>
      <w:r>
        <w:t xml:space="preserve"> Huawei Comments at 6.</w:t>
      </w:r>
    </w:p>
  </w:footnote>
  <w:footnote w:id="13">
    <w:p w14:paraId="738F9D2B" w14:textId="77777777" w:rsidR="00F07D67" w:rsidRDefault="00F07D67">
      <w:pPr>
        <w:pStyle w:val="FootnoteText"/>
      </w:pPr>
      <w:r>
        <w:rPr>
          <w:rStyle w:val="FootnoteReference"/>
        </w:rPr>
        <w:footnoteRef/>
      </w:r>
      <w:r>
        <w:t xml:space="preserve"> The term “unaccredited laboratories” is used herein to describe laboratories </w:t>
      </w:r>
      <w:r w:rsidR="008A34E5">
        <w:t xml:space="preserve">without </w:t>
      </w:r>
      <w:r>
        <w:t>accreditation recognized by the FCC.</w:t>
      </w:r>
      <w:r w:rsidR="00CC7077">
        <w:t xml:space="preserve">  We note that many laboratories have accreditation from other bodies for other purposes, but such accreditations are not relevant to our process or to this discussion.</w:t>
      </w:r>
    </w:p>
  </w:footnote>
  <w:footnote w:id="14">
    <w:p w14:paraId="678D713B" w14:textId="77777777" w:rsidR="00F07D67" w:rsidRPr="00CC7077" w:rsidRDefault="00F07D67" w:rsidP="00BF247D">
      <w:pPr>
        <w:pStyle w:val="FootnoteText"/>
      </w:pPr>
      <w:r>
        <w:rPr>
          <w:rStyle w:val="FootnoteReference"/>
        </w:rPr>
        <w:footnoteRef/>
      </w:r>
      <w:r w:rsidR="00ED43DB">
        <w:rPr>
          <w:i/>
        </w:rPr>
        <w:t xml:space="preserve"> </w:t>
      </w:r>
      <w:r>
        <w:rPr>
          <w:i/>
        </w:rPr>
        <w:t xml:space="preserve">See Report and </w:t>
      </w:r>
      <w:r w:rsidRPr="00943607">
        <w:t>Order</w:t>
      </w:r>
      <w:r>
        <w:t xml:space="preserve"> at 16352, para. 39.  Section 2.948 of the Commission’s rules, 47 C.F.R. § 2.948, describes the information that a testing laboratory is required to submit to the Commission if it wishes to be recognized as qualified to perform the compliance testing associated with certification applications.  Prior to the adoption of the </w:t>
      </w:r>
      <w:r>
        <w:rPr>
          <w:i/>
        </w:rPr>
        <w:t>Report and</w:t>
      </w:r>
      <w:r w:rsidRPr="00F93340">
        <w:t xml:space="preserve"> </w:t>
      </w:r>
      <w:r w:rsidRPr="00F93340">
        <w:rPr>
          <w:i/>
        </w:rPr>
        <w:t>Order</w:t>
      </w:r>
      <w:r>
        <w:rPr>
          <w:i/>
        </w:rPr>
        <w:t>,</w:t>
      </w:r>
      <w:r>
        <w:t xml:space="preserve"> testing laboratories that were not accredited under ISO/IEC 17025 could be recognized via a so-called  “2.948 listing” which was based upon an OET staff paper review of certain specific information and therefore was less rigorous than laboratory accreditation.  </w:t>
      </w:r>
      <w:r>
        <w:rPr>
          <w:i/>
        </w:rPr>
        <w:t xml:space="preserve">See also </w:t>
      </w:r>
      <w:r>
        <w:t xml:space="preserve">note 9, </w:t>
      </w:r>
      <w:r>
        <w:rPr>
          <w:i/>
        </w:rPr>
        <w:t>supra.</w:t>
      </w:r>
      <w:r w:rsidR="00CC7077">
        <w:t xml:space="preserve">  (This listing will be maintained until the end</w:t>
      </w:r>
      <w:r w:rsidR="0009404D">
        <w:t xml:space="preserve"> </w:t>
      </w:r>
      <w:r w:rsidR="00CC7077">
        <w:t>of the transition period for acquiring accreditation.)</w:t>
      </w:r>
      <w:r w:rsidR="00CC7077">
        <w:rPr>
          <w:i/>
        </w:rPr>
        <w:t xml:space="preserve"> </w:t>
      </w:r>
    </w:p>
  </w:footnote>
  <w:footnote w:id="15">
    <w:p w14:paraId="383DD2F4" w14:textId="77777777" w:rsidR="00F07D67" w:rsidRDefault="00F07D67" w:rsidP="00D36238">
      <w:pPr>
        <w:pStyle w:val="FootnoteText"/>
      </w:pPr>
      <w:r>
        <w:rPr>
          <w:rStyle w:val="FootnoteReference"/>
        </w:rPr>
        <w:footnoteRef/>
      </w:r>
      <w:r>
        <w:t xml:space="preserve"> Additionally, 2.948-l</w:t>
      </w:r>
      <w:r w:rsidRPr="00E7715B">
        <w:t xml:space="preserve">isted laboratories whose recognition will expire </w:t>
      </w:r>
      <w:r>
        <w:t xml:space="preserve">prior to July 13, 2016 </w:t>
      </w:r>
      <w:r w:rsidRPr="00E7715B">
        <w:t xml:space="preserve">may request the Commission extend their recognition date until </w:t>
      </w:r>
      <w:r>
        <w:t xml:space="preserve">July 12, 2016. </w:t>
      </w:r>
      <w:r>
        <w:rPr>
          <w:i/>
        </w:rPr>
        <w:t>Report and Order</w:t>
      </w:r>
      <w:r>
        <w:t xml:space="preserve"> at 16355, para. 47.  </w:t>
      </w:r>
    </w:p>
  </w:footnote>
  <w:footnote w:id="16">
    <w:p w14:paraId="36D2B169" w14:textId="77777777" w:rsidR="00F07D67" w:rsidRPr="00541AFB" w:rsidRDefault="00F07D67" w:rsidP="00D36238">
      <w:pPr>
        <w:pStyle w:val="FootnoteText"/>
      </w:pPr>
      <w:r>
        <w:rPr>
          <w:rStyle w:val="FootnoteReference"/>
        </w:rPr>
        <w:footnoteRef/>
      </w:r>
      <w:r>
        <w:t xml:space="preserve"> </w:t>
      </w:r>
      <w:r>
        <w:rPr>
          <w:i/>
        </w:rPr>
        <w:t>Id.</w:t>
      </w:r>
    </w:p>
  </w:footnote>
  <w:footnote w:id="17">
    <w:p w14:paraId="4BECC9A8" w14:textId="77777777" w:rsidR="00F07D67" w:rsidRPr="00276473" w:rsidRDefault="00F07D67" w:rsidP="00541AFB">
      <w:pPr>
        <w:widowControl/>
        <w:autoSpaceDE w:val="0"/>
        <w:autoSpaceDN w:val="0"/>
        <w:adjustRightInd w:val="0"/>
        <w:spacing w:after="120"/>
        <w:rPr>
          <w:sz w:val="20"/>
        </w:rPr>
      </w:pPr>
      <w:r>
        <w:rPr>
          <w:rStyle w:val="FootnoteReference"/>
        </w:rPr>
        <w:footnoteRef/>
      </w:r>
      <w:r>
        <w:t xml:space="preserve"> </w:t>
      </w:r>
      <w:r w:rsidRPr="00D23653">
        <w:rPr>
          <w:i/>
          <w:sz w:val="20"/>
        </w:rPr>
        <w:t>Id.</w:t>
      </w:r>
      <w:r w:rsidRPr="00D23653">
        <w:rPr>
          <w:sz w:val="20"/>
        </w:rPr>
        <w:t xml:space="preserve">at 16355-56, para. 48.  </w:t>
      </w:r>
      <w:r w:rsidRPr="0009404D">
        <w:rPr>
          <w:sz w:val="20"/>
        </w:rPr>
        <w:t>In instances</w:t>
      </w:r>
      <w:r w:rsidRPr="00541AFB">
        <w:rPr>
          <w:sz w:val="20"/>
        </w:rPr>
        <w:t xml:space="preserve"> where a country has implemented an MRA with the </w:t>
      </w:r>
      <w:r>
        <w:rPr>
          <w:sz w:val="20"/>
        </w:rPr>
        <w:t>U</w:t>
      </w:r>
      <w:r w:rsidRPr="00541AFB">
        <w:rPr>
          <w:sz w:val="20"/>
        </w:rPr>
        <w:t xml:space="preserve">nited </w:t>
      </w:r>
      <w:r>
        <w:rPr>
          <w:sz w:val="20"/>
        </w:rPr>
        <w:t>S</w:t>
      </w:r>
      <w:r w:rsidRPr="00541AFB">
        <w:rPr>
          <w:sz w:val="20"/>
        </w:rPr>
        <w:t>tates, t</w:t>
      </w:r>
      <w:r w:rsidRPr="00EC48D7">
        <w:rPr>
          <w:sz w:val="20"/>
        </w:rPr>
        <w:t>he terms of the appli</w:t>
      </w:r>
      <w:r w:rsidRPr="000959E5">
        <w:rPr>
          <w:sz w:val="20"/>
        </w:rPr>
        <w:t>cable MRA provi</w:t>
      </w:r>
      <w:r>
        <w:rPr>
          <w:sz w:val="20"/>
        </w:rPr>
        <w:t xml:space="preserve">de the process whereby the accreditation of a testing laboratory located in the specified country is recognized.  </w:t>
      </w:r>
      <w:r w:rsidRPr="00276473">
        <w:rPr>
          <w:sz w:val="20"/>
        </w:rPr>
        <w:t xml:space="preserve">This process includes the method for the identification of laboratory accreditation bodies. </w:t>
      </w:r>
    </w:p>
  </w:footnote>
  <w:footnote w:id="18">
    <w:p w14:paraId="56011AEE" w14:textId="77777777" w:rsidR="00F07D67" w:rsidRDefault="00F07D67">
      <w:pPr>
        <w:pStyle w:val="FootnoteText"/>
      </w:pPr>
      <w:r>
        <w:rPr>
          <w:rStyle w:val="FootnoteReference"/>
        </w:rPr>
        <w:footnoteRef/>
      </w:r>
      <w:r>
        <w:t xml:space="preserve"> </w:t>
      </w:r>
      <w:r w:rsidRPr="008A34E5">
        <w:rPr>
          <w:i/>
        </w:rPr>
        <w:t>Id.</w:t>
      </w:r>
      <w:r>
        <w:t>; 47 C.F.R. §§ 2.948(f)(2), 2.949.</w:t>
      </w:r>
    </w:p>
  </w:footnote>
  <w:footnote w:id="19">
    <w:p w14:paraId="037301B1" w14:textId="77777777" w:rsidR="00F07D67" w:rsidRDefault="00F07D67">
      <w:pPr>
        <w:pStyle w:val="FootnoteText"/>
      </w:pPr>
      <w:r>
        <w:rPr>
          <w:rStyle w:val="FootnoteReference"/>
        </w:rPr>
        <w:footnoteRef/>
      </w:r>
      <w:r>
        <w:t xml:space="preserve"> </w:t>
      </w:r>
      <w:r w:rsidRPr="008A34E5">
        <w:rPr>
          <w:i/>
        </w:rPr>
        <w:t>See</w:t>
      </w:r>
      <w:r w:rsidRPr="008A34E5">
        <w:t xml:space="preserve"> Motorola Petition at 4-5; CTA Comments at 6; Huawei Comments at 2.  </w:t>
      </w:r>
    </w:p>
  </w:footnote>
  <w:footnote w:id="20">
    <w:p w14:paraId="6E14A5FC" w14:textId="77777777" w:rsidR="00F07D67" w:rsidRDefault="00F07D67">
      <w:pPr>
        <w:pStyle w:val="FootnoteText"/>
      </w:pPr>
      <w:r>
        <w:rPr>
          <w:rStyle w:val="FootnoteReference"/>
        </w:rPr>
        <w:footnoteRef/>
      </w:r>
      <w:r>
        <w:t xml:space="preserve"> TIA Petition at 7-9.</w:t>
      </w:r>
    </w:p>
  </w:footnote>
  <w:footnote w:id="21">
    <w:p w14:paraId="2930A7B7" w14:textId="77777777" w:rsidR="00F07D67" w:rsidRDefault="00F07D67">
      <w:pPr>
        <w:pStyle w:val="FootnoteText"/>
      </w:pPr>
      <w:r>
        <w:rPr>
          <w:rStyle w:val="FootnoteReference"/>
        </w:rPr>
        <w:footnoteRef/>
      </w:r>
      <w:r>
        <w:t xml:space="preserve"> Motorola Petition at 3-5.</w:t>
      </w:r>
    </w:p>
  </w:footnote>
  <w:footnote w:id="22">
    <w:p w14:paraId="4A9ED200" w14:textId="77777777" w:rsidR="00F07D67" w:rsidRDefault="00F07D67">
      <w:pPr>
        <w:pStyle w:val="FootnoteText"/>
      </w:pPr>
      <w:r>
        <w:rPr>
          <w:rStyle w:val="FootnoteReference"/>
        </w:rPr>
        <w:footnoteRef/>
      </w:r>
      <w:r>
        <w:t xml:space="preserve"> </w:t>
      </w:r>
      <w:r>
        <w:rPr>
          <w:i/>
        </w:rPr>
        <w:t xml:space="preserve">Id. </w:t>
      </w:r>
      <w:r>
        <w:t xml:space="preserve">at 6. </w:t>
      </w:r>
    </w:p>
  </w:footnote>
  <w:footnote w:id="23">
    <w:p w14:paraId="49EB1E85" w14:textId="77777777" w:rsidR="00F07D67" w:rsidRDefault="00F07D67">
      <w:pPr>
        <w:pStyle w:val="FootnoteText"/>
      </w:pPr>
      <w:r>
        <w:rPr>
          <w:rStyle w:val="FootnoteReference"/>
        </w:rPr>
        <w:footnoteRef/>
      </w:r>
      <w:r>
        <w:t xml:space="preserve"> TIA Comments at 8.</w:t>
      </w:r>
    </w:p>
  </w:footnote>
  <w:footnote w:id="24">
    <w:p w14:paraId="5BFEA9F5" w14:textId="16D6CF57" w:rsidR="00F07D67" w:rsidRDefault="00F07D67" w:rsidP="0077729C">
      <w:pPr>
        <w:pStyle w:val="FootnoteText"/>
      </w:pPr>
      <w:r>
        <w:rPr>
          <w:rStyle w:val="FootnoteReference"/>
        </w:rPr>
        <w:footnoteRef/>
      </w:r>
      <w:r>
        <w:t xml:space="preserve"> 47 C.F.R. § 2.948(e).  </w:t>
      </w:r>
    </w:p>
  </w:footnote>
  <w:footnote w:id="25">
    <w:p w14:paraId="53CB0D72" w14:textId="3C046686" w:rsidR="00F07D67" w:rsidRDefault="00F07D67">
      <w:pPr>
        <w:pStyle w:val="FootnoteText"/>
      </w:pPr>
      <w:r>
        <w:rPr>
          <w:rStyle w:val="FootnoteReference"/>
        </w:rPr>
        <w:footnoteRef/>
      </w:r>
      <w:r>
        <w:t xml:space="preserve"> 47 C.F.R. § 2.948(f)(1).  .</w:t>
      </w:r>
      <w:r w:rsidR="00956352">
        <w:t xml:space="preserve">  </w:t>
      </w:r>
    </w:p>
  </w:footnote>
  <w:footnote w:id="26">
    <w:p w14:paraId="46BB752E" w14:textId="1678C23E" w:rsidR="006A4335" w:rsidRDefault="006A4335">
      <w:pPr>
        <w:pStyle w:val="FootnoteText"/>
      </w:pPr>
      <w:r>
        <w:rPr>
          <w:rStyle w:val="FootnoteReference"/>
        </w:rPr>
        <w:footnoteRef/>
      </w:r>
      <w:r>
        <w:t xml:space="preserve"> OET currently maintains a listing of test laboratory accreditation bodies that it has recognized.  This list is available online at,</w:t>
      </w:r>
      <w:hyperlink r:id="rId2" w:history="1">
        <w:r w:rsidRPr="001E2256">
          <w:rPr>
            <w:rStyle w:val="Hyperlink"/>
          </w:rPr>
          <w:t>https://apps.fcc.gov/oetcf/mra/reports/AccreditingBodyReport.cfm</w:t>
        </w:r>
      </w:hyperlink>
      <w:r>
        <w:t>.</w:t>
      </w:r>
    </w:p>
  </w:footnote>
  <w:footnote w:id="27">
    <w:p w14:paraId="4C7C5707" w14:textId="77777777" w:rsidR="004E7E77" w:rsidRDefault="004E7E77">
      <w:pPr>
        <w:pStyle w:val="FootnoteText"/>
      </w:pPr>
      <w:r>
        <w:rPr>
          <w:rStyle w:val="FootnoteReference"/>
        </w:rPr>
        <w:footnoteRef/>
      </w:r>
      <w:r>
        <w:t xml:space="preserve"> 47 C.F.R. § 0.241.</w:t>
      </w:r>
    </w:p>
  </w:footnote>
  <w:footnote w:id="28">
    <w:p w14:paraId="592378B0" w14:textId="77777777" w:rsidR="00F07D67" w:rsidRDefault="00F07D67" w:rsidP="00F810CF">
      <w:pPr>
        <w:pStyle w:val="FootnoteText"/>
      </w:pPr>
      <w:r>
        <w:rPr>
          <w:rStyle w:val="FootnoteReference"/>
        </w:rPr>
        <w:footnoteRef/>
      </w:r>
      <w:r>
        <w:t xml:space="preserve"> “[A]ll laboratory work be done by laboratories that are recognized by the Commission as accredited laboratories.”</w:t>
      </w:r>
      <w:r>
        <w:rPr>
          <w:i/>
        </w:rPr>
        <w:t xml:space="preserve"> Report and Order, supra at</w:t>
      </w:r>
      <w:r>
        <w:t xml:space="preserve"> 16355, para. 46</w:t>
      </w:r>
      <w:r>
        <w:rPr>
          <w:i/>
        </w:rPr>
        <w:t>.</w:t>
      </w:r>
    </w:p>
  </w:footnote>
  <w:footnote w:id="29">
    <w:p w14:paraId="40D9ED47" w14:textId="77777777" w:rsidR="00F07D67" w:rsidRDefault="00F07D67" w:rsidP="004B7D71">
      <w:pPr>
        <w:pStyle w:val="FootnoteText"/>
      </w:pPr>
      <w:r>
        <w:rPr>
          <w:rStyle w:val="FootnoteReference"/>
        </w:rPr>
        <w:footnoteRef/>
      </w:r>
      <w:r>
        <w:t xml:space="preserve"> TIA Petition at 10.  In their comments, Huawei and CTA support extending the transition period in the same manner.  Huawei Comments at 2.  CTA Comments at 6-7.</w:t>
      </w:r>
    </w:p>
  </w:footnote>
  <w:footnote w:id="30">
    <w:p w14:paraId="03708182" w14:textId="77777777" w:rsidR="00F07D67" w:rsidRDefault="00F07D67" w:rsidP="004B7D71">
      <w:pPr>
        <w:pStyle w:val="FootnoteText"/>
      </w:pPr>
      <w:r>
        <w:rPr>
          <w:rStyle w:val="FootnoteReference"/>
        </w:rPr>
        <w:footnoteRef/>
      </w:r>
      <w:r>
        <w:t xml:space="preserve"> TIA Petition at 10.</w:t>
      </w:r>
    </w:p>
  </w:footnote>
  <w:footnote w:id="31">
    <w:p w14:paraId="0E24FAFF" w14:textId="77777777" w:rsidR="00F07D67" w:rsidRDefault="00F07D67" w:rsidP="004B7D71">
      <w:pPr>
        <w:pStyle w:val="FootnoteText"/>
      </w:pPr>
      <w:r>
        <w:rPr>
          <w:rStyle w:val="FootnoteReference"/>
        </w:rPr>
        <w:footnoteRef/>
      </w:r>
      <w:r>
        <w:t xml:space="preserve"> Motorola Petition at 6-8.</w:t>
      </w:r>
    </w:p>
  </w:footnote>
  <w:footnote w:id="32">
    <w:p w14:paraId="3BBDC6E7" w14:textId="77777777" w:rsidR="00F07D67" w:rsidRPr="00FC1DC8" w:rsidRDefault="00F07D67" w:rsidP="007912E0">
      <w:pPr>
        <w:pStyle w:val="FootnoteText"/>
      </w:pPr>
      <w:r>
        <w:rPr>
          <w:rStyle w:val="FootnoteReference"/>
        </w:rPr>
        <w:footnoteRef/>
      </w:r>
      <w:r>
        <w:t xml:space="preserve"> </w:t>
      </w:r>
      <w:r>
        <w:rPr>
          <w:i/>
        </w:rPr>
        <w:t>See</w:t>
      </w:r>
      <w:r>
        <w:t xml:space="preserve"> TIA Petition at 9.  T</w:t>
      </w:r>
      <w:r w:rsidRPr="0063140C">
        <w:t>his extension applies to all 2.948-listed laborat</w:t>
      </w:r>
      <w:r w:rsidRPr="008D11C8">
        <w:t>ori</w:t>
      </w:r>
      <w:r w:rsidRPr="0063140C">
        <w:t xml:space="preserve">es, including those in </w:t>
      </w:r>
      <w:r w:rsidRPr="008D11C8">
        <w:t xml:space="preserve">countries with MRAs.  </w:t>
      </w:r>
    </w:p>
  </w:footnote>
  <w:footnote w:id="33">
    <w:p w14:paraId="7A846395" w14:textId="77777777" w:rsidR="00F07D67" w:rsidRPr="005F0158" w:rsidRDefault="00F07D67">
      <w:pPr>
        <w:pStyle w:val="FootnoteText"/>
        <w:rPr>
          <w:i/>
        </w:rPr>
      </w:pPr>
      <w:r>
        <w:rPr>
          <w:rStyle w:val="FootnoteReference"/>
        </w:rPr>
        <w:footnoteRef/>
      </w:r>
      <w:r>
        <w:t xml:space="preserve"> </w:t>
      </w:r>
      <w:r>
        <w:rPr>
          <w:i/>
        </w:rPr>
        <w:t xml:space="preserve">See infra </w:t>
      </w:r>
      <w:r>
        <w:t xml:space="preserve">para. 6; </w:t>
      </w:r>
      <w:r>
        <w:rPr>
          <w:i/>
        </w:rPr>
        <w:t xml:space="preserve">See also </w:t>
      </w:r>
      <w:r>
        <w:t>Huawei Comments at 6 (supporting for our decision to require laboratory accreditation).</w:t>
      </w:r>
    </w:p>
  </w:footnote>
  <w:footnote w:id="34">
    <w:p w14:paraId="43ED38E6" w14:textId="77777777" w:rsidR="00F07D67" w:rsidRPr="00093A6F" w:rsidRDefault="00F07D67" w:rsidP="007912E0">
      <w:pPr>
        <w:pStyle w:val="FootnoteText"/>
        <w:rPr>
          <w:i/>
        </w:rPr>
      </w:pPr>
      <w:r>
        <w:rPr>
          <w:rStyle w:val="FootnoteReference"/>
        </w:rPr>
        <w:footnoteRef/>
      </w:r>
      <w:r>
        <w:t xml:space="preserve"> </w:t>
      </w:r>
      <w:r>
        <w:rPr>
          <w:i/>
        </w:rPr>
        <w:t xml:space="preserve">See, e.g., </w:t>
      </w:r>
      <w:r>
        <w:t xml:space="preserve">Motorola Petition at 7 (anticipating that the development of procedures and standards for the recognition of accreditation bodies will be “time-consuming and iterative process,” and that “in many non-MRA countries there may not be an established organization ready and qualified promptly to step into the role of an accreditation body”); </w:t>
      </w:r>
      <w:r>
        <w:rPr>
          <w:i/>
        </w:rPr>
        <w:t xml:space="preserve">See also </w:t>
      </w:r>
      <w:r>
        <w:t>CTA Comments at 4 and 7.</w:t>
      </w:r>
      <w:r>
        <w:rPr>
          <w:i/>
        </w:rPr>
        <w:t xml:space="preserve"> </w:t>
      </w:r>
    </w:p>
  </w:footnote>
  <w:footnote w:id="35">
    <w:p w14:paraId="7EACAD70" w14:textId="77777777" w:rsidR="00F07D67" w:rsidRDefault="00F07D67" w:rsidP="007912E0">
      <w:pPr>
        <w:pStyle w:val="FootnoteText"/>
      </w:pPr>
      <w:r>
        <w:rPr>
          <w:rStyle w:val="FootnoteReference"/>
        </w:rPr>
        <w:footnoteRef/>
      </w:r>
      <w:r>
        <w:t xml:space="preserve"> Huawei Comments at 4; TIA Petition at 7</w:t>
      </w:r>
      <w:r w:rsidRPr="00D23653">
        <w:t xml:space="preserve">.  </w:t>
      </w:r>
    </w:p>
  </w:footnote>
  <w:footnote w:id="36">
    <w:p w14:paraId="41869261" w14:textId="77777777" w:rsidR="00F07D67" w:rsidRDefault="00F07D67" w:rsidP="007436D5">
      <w:pPr>
        <w:pStyle w:val="FootnoteText"/>
      </w:pPr>
      <w:r>
        <w:rPr>
          <w:rStyle w:val="FootnoteReference"/>
        </w:rPr>
        <w:footnoteRef/>
      </w:r>
      <w:r>
        <w:t xml:space="preserve"> TIA Petition at 10-11.  Because TIA and others contend that laboratories have been unable to proceed pending further clarification from the Commission, the decision cited by TIA (relating to difficulties encountered during the transition of Broadcast Auxiliary Service frequencies) more appropriately relates to a phase of the transition of 2.948-listed laboratories that has not yet occurred and may not ever happen.</w:t>
      </w:r>
    </w:p>
  </w:footnote>
  <w:footnote w:id="37">
    <w:p w14:paraId="62AA7445" w14:textId="77777777" w:rsidR="00F07D67" w:rsidRDefault="00F07D67" w:rsidP="00D372FE">
      <w:pPr>
        <w:pStyle w:val="FootnoteText"/>
      </w:pPr>
      <w:r>
        <w:rPr>
          <w:rStyle w:val="FootnoteReference"/>
        </w:rPr>
        <w:footnoteRef/>
      </w:r>
      <w:r>
        <w:t> </w:t>
      </w:r>
      <w:r>
        <w:t xml:space="preserve">The RFA, </w:t>
      </w:r>
      <w:r>
        <w:rPr>
          <w:i/>
        </w:rPr>
        <w:t>see</w:t>
      </w:r>
      <w:r>
        <w:t xml:space="preserve"> § 5 U.S.C. S 601 </w:t>
      </w:r>
      <w:r>
        <w:rPr>
          <w:i/>
        </w:rPr>
        <w:t>et. seq</w:t>
      </w:r>
      <w:r>
        <w:t>., ha</w:t>
      </w:r>
      <w:r w:rsidR="00635FDD">
        <w:t>s been amended by the Contract w</w:t>
      </w:r>
      <w:r>
        <w:t>ith America Advancement Act of 1996, Pub. L. No. 104-121, 110 Stat. 847 (1996) (CWAAA). Title II of the CWAAA is the Small Business Regulatory Enforcement Fairness Act of 1996 (SBREFA).</w:t>
      </w:r>
    </w:p>
  </w:footnote>
  <w:footnote w:id="38">
    <w:p w14:paraId="403B5D86" w14:textId="77777777" w:rsidR="00F07D67" w:rsidRDefault="00F07D67" w:rsidP="00D372FE">
      <w:pPr>
        <w:pStyle w:val="FootnoteText"/>
      </w:pPr>
      <w:r>
        <w:rPr>
          <w:rStyle w:val="FootnoteReference"/>
        </w:rPr>
        <w:footnoteRef/>
      </w:r>
      <w:r>
        <w:t> </w:t>
      </w:r>
      <w:r>
        <w:t>5 U.S.C. § 605(b).</w:t>
      </w:r>
    </w:p>
  </w:footnote>
  <w:footnote w:id="39">
    <w:p w14:paraId="407FAB15" w14:textId="77777777" w:rsidR="00F07D67" w:rsidRDefault="00F07D67" w:rsidP="00D372FE">
      <w:pPr>
        <w:pStyle w:val="FootnoteText"/>
      </w:pPr>
      <w:r>
        <w:rPr>
          <w:rStyle w:val="FootnoteReference"/>
        </w:rPr>
        <w:footnoteRef/>
      </w:r>
      <w:r>
        <w:t> </w:t>
      </w:r>
      <w:r>
        <w:t>5 U.S.C. § 601(6).</w:t>
      </w:r>
    </w:p>
  </w:footnote>
  <w:footnote w:id="40">
    <w:p w14:paraId="7CD31074" w14:textId="77777777" w:rsidR="00F07D67" w:rsidRPr="001B6F10" w:rsidRDefault="00F07D67" w:rsidP="00D372FE">
      <w:pPr>
        <w:pStyle w:val="FootnoteText"/>
      </w:pPr>
      <w:r>
        <w:rPr>
          <w:rStyle w:val="FootnoteReference"/>
        </w:rPr>
        <w:footnoteRef/>
      </w:r>
      <w:r>
        <w:t> </w:t>
      </w:r>
      <w:r>
        <w:t>5 U.S.C. § 601(3) (incorporating by reference the definition of "small business concern" in Small Business Act, 15 U.S.C. S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1">
    <w:p w14:paraId="482B2B73" w14:textId="77777777" w:rsidR="00F07D67" w:rsidRDefault="00F07D67" w:rsidP="00D372FE">
      <w:pPr>
        <w:pStyle w:val="FootnoteText"/>
      </w:pPr>
      <w:r>
        <w:rPr>
          <w:rStyle w:val="FootnoteReference"/>
        </w:rPr>
        <w:footnoteRef/>
      </w:r>
      <w:r>
        <w:t> </w:t>
      </w:r>
      <w:r>
        <w:t xml:space="preserve">Small Business Act, § 15 U.S.C. S 632. </w:t>
      </w:r>
    </w:p>
  </w:footnote>
  <w:footnote w:id="42">
    <w:p w14:paraId="3B2EB79D" w14:textId="77777777" w:rsidR="00F07D67" w:rsidRDefault="00F07D67" w:rsidP="00EE228C">
      <w:pPr>
        <w:pStyle w:val="FootnoteText"/>
      </w:pPr>
      <w:r>
        <w:rPr>
          <w:rStyle w:val="FootnoteReference"/>
        </w:rPr>
        <w:footnoteRef/>
      </w:r>
      <w:r>
        <w:t xml:space="preserve"> </w:t>
      </w:r>
      <w:r w:rsidRPr="004C2392">
        <w:t xml:space="preserve">See 5 U.S.C. </w:t>
      </w:r>
      <w:r>
        <w:t xml:space="preserve">§ </w:t>
      </w:r>
      <w:r w:rsidRPr="004C2392">
        <w:t>801(a)(1)(A).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9EAB2" w14:textId="77777777" w:rsidR="0099561C" w:rsidRDefault="009956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5108C" w14:textId="61213750" w:rsidR="00F07D67" w:rsidRDefault="00F07D67" w:rsidP="00810B6F">
    <w:pPr>
      <w:pStyle w:val="Header"/>
      <w:rPr>
        <w:b w:val="0"/>
      </w:rPr>
    </w:pPr>
    <w:r>
      <w:tab/>
      <w:t>Federal Communications Commission</w:t>
    </w:r>
    <w:r>
      <w:tab/>
      <w:t>FCC 16-</w:t>
    </w:r>
    <w:r w:rsidR="000369DD">
      <w:t>74</w:t>
    </w:r>
  </w:p>
  <w:p w14:paraId="7698B987" w14:textId="77777777" w:rsidR="00F07D67" w:rsidRDefault="00F07D6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14:anchorId="59E09448" wp14:editId="17A5611B">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7DDE5E" id="Rectangle 1" o:spid="_x0000_s1026"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DC6F09" w14:textId="21E82BC2" w:rsidR="00F07D67" w:rsidRDefault="00F07D67" w:rsidP="00810B6F">
    <w:pPr>
      <w:pStyle w:val="Header"/>
      <w:rPr>
        <w:b w:val="0"/>
      </w:rPr>
    </w:pPr>
    <w:r>
      <w:rPr>
        <w:noProof/>
        <w:snapToGrid/>
      </w:rPr>
      <mc:AlternateContent>
        <mc:Choice Requires="wps">
          <w:drawing>
            <wp:anchor distT="0" distB="0" distL="114300" distR="114300" simplePos="0" relativeHeight="251658241" behindDoc="1" locked="0" layoutInCell="0" allowOverlap="1" wp14:anchorId="3E8AFF35" wp14:editId="756D6925">
              <wp:simplePos x="0" y="0"/>
              <wp:positionH relativeFrom="margin">
                <wp:posOffset>7620</wp:posOffset>
              </wp:positionH>
              <wp:positionV relativeFrom="paragraph">
                <wp:posOffset>160655</wp:posOffset>
              </wp:positionV>
              <wp:extent cx="5943600" cy="12065"/>
              <wp:effectExtent l="0" t="0" r="0" b="698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E17403C" id="Rectangle 3" o:spid="_x0000_s1026" style="position:absolute;margin-left:.6pt;margin-top:12.65pt;width:468pt;height:.9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RmV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fxGZX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16-</w:t>
    </w:r>
    <w:r w:rsidR="000369DD">
      <w:rPr>
        <w:spacing w:val="-2"/>
      </w:rPr>
      <w:t>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72C51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2E7882"/>
    <w:multiLevelType w:val="singleLevel"/>
    <w:tmpl w:val="A0A683C2"/>
    <w:lvl w:ilvl="0">
      <w:start w:val="1"/>
      <w:numFmt w:val="decimal"/>
      <w:pStyle w:val="StyleParaNumLeft1"/>
      <w:lvlText w:val="%1."/>
      <w:lvlJc w:val="left"/>
      <w:pPr>
        <w:tabs>
          <w:tab w:val="num" w:pos="1080"/>
        </w:tabs>
        <w:ind w:firstLine="720"/>
      </w:pPr>
      <w:rPr>
        <w:rFonts w:ascii="Times New Roman" w:hAnsi="Times New Roman" w:cs="Times New Roman" w:hint="default"/>
        <w:b w:val="0"/>
        <w:i w:val="0"/>
        <w:sz w:val="22"/>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0E1477B"/>
    <w:multiLevelType w:val="hybridMultilevel"/>
    <w:tmpl w:val="1BBC692E"/>
    <w:lvl w:ilvl="0" w:tplc="5218C196">
      <w:start w:val="1"/>
      <w:numFmt w:val="decimal"/>
      <w:lvlText w:val="%1."/>
      <w:lvlJc w:val="left"/>
      <w:pPr>
        <w:tabs>
          <w:tab w:val="num" w:pos="1080"/>
        </w:tabs>
        <w:ind w:left="1080" w:hanging="360"/>
      </w:pPr>
      <w:rPr>
        <w:rFonts w:hint="default"/>
      </w:rPr>
    </w:lvl>
    <w:lvl w:ilvl="1" w:tplc="2A9034EA">
      <w:start w:val="1"/>
      <w:numFmt w:val="lowerLetter"/>
      <w:lvlText w:val="%2."/>
      <w:lvlJc w:val="left"/>
      <w:pPr>
        <w:tabs>
          <w:tab w:val="num" w:pos="1800"/>
        </w:tabs>
        <w:ind w:left="1800" w:hanging="360"/>
      </w:pPr>
    </w:lvl>
    <w:lvl w:ilvl="2" w:tplc="3CF27806" w:tentative="1">
      <w:start w:val="1"/>
      <w:numFmt w:val="lowerRoman"/>
      <w:lvlText w:val="%3."/>
      <w:lvlJc w:val="right"/>
      <w:pPr>
        <w:tabs>
          <w:tab w:val="num" w:pos="2520"/>
        </w:tabs>
        <w:ind w:left="2520" w:hanging="180"/>
      </w:pPr>
    </w:lvl>
    <w:lvl w:ilvl="3" w:tplc="E7565A22" w:tentative="1">
      <w:start w:val="1"/>
      <w:numFmt w:val="decimal"/>
      <w:lvlText w:val="%4."/>
      <w:lvlJc w:val="left"/>
      <w:pPr>
        <w:tabs>
          <w:tab w:val="num" w:pos="3240"/>
        </w:tabs>
        <w:ind w:left="3240" w:hanging="360"/>
      </w:pPr>
    </w:lvl>
    <w:lvl w:ilvl="4" w:tplc="3482D1BE" w:tentative="1">
      <w:start w:val="1"/>
      <w:numFmt w:val="lowerLetter"/>
      <w:lvlText w:val="%5."/>
      <w:lvlJc w:val="left"/>
      <w:pPr>
        <w:tabs>
          <w:tab w:val="num" w:pos="3960"/>
        </w:tabs>
        <w:ind w:left="3960" w:hanging="360"/>
      </w:pPr>
    </w:lvl>
    <w:lvl w:ilvl="5" w:tplc="E4C4DAFC" w:tentative="1">
      <w:start w:val="1"/>
      <w:numFmt w:val="lowerRoman"/>
      <w:lvlText w:val="%6."/>
      <w:lvlJc w:val="right"/>
      <w:pPr>
        <w:tabs>
          <w:tab w:val="num" w:pos="4680"/>
        </w:tabs>
        <w:ind w:left="4680" w:hanging="180"/>
      </w:pPr>
    </w:lvl>
    <w:lvl w:ilvl="6" w:tplc="9ECC9CA6" w:tentative="1">
      <w:start w:val="1"/>
      <w:numFmt w:val="decimal"/>
      <w:lvlText w:val="%7."/>
      <w:lvlJc w:val="left"/>
      <w:pPr>
        <w:tabs>
          <w:tab w:val="num" w:pos="5400"/>
        </w:tabs>
        <w:ind w:left="5400" w:hanging="360"/>
      </w:pPr>
    </w:lvl>
    <w:lvl w:ilvl="7" w:tplc="1D386880" w:tentative="1">
      <w:start w:val="1"/>
      <w:numFmt w:val="lowerLetter"/>
      <w:lvlText w:val="%8."/>
      <w:lvlJc w:val="left"/>
      <w:pPr>
        <w:tabs>
          <w:tab w:val="num" w:pos="6120"/>
        </w:tabs>
        <w:ind w:left="6120" w:hanging="360"/>
      </w:pPr>
    </w:lvl>
    <w:lvl w:ilvl="8" w:tplc="637046DA" w:tentative="1">
      <w:start w:val="1"/>
      <w:numFmt w:val="lowerRoman"/>
      <w:lvlText w:val="%9."/>
      <w:lvlJc w:val="right"/>
      <w:pPr>
        <w:tabs>
          <w:tab w:val="num" w:pos="6840"/>
        </w:tabs>
        <w:ind w:left="6840" w:hanging="180"/>
      </w:pPr>
    </w:lvl>
  </w:abstractNum>
  <w:abstractNum w:abstractNumId="4">
    <w:nsid w:val="19C965F6"/>
    <w:multiLevelType w:val="hybridMultilevel"/>
    <w:tmpl w:val="2D209C60"/>
    <w:lvl w:ilvl="0" w:tplc="4942BE9A">
      <w:start w:val="1"/>
      <w:numFmt w:val="decimal"/>
      <w:lvlText w:val="%1."/>
      <w:lvlJc w:val="left"/>
      <w:pPr>
        <w:tabs>
          <w:tab w:val="num" w:pos="720"/>
        </w:tabs>
        <w:ind w:left="720" w:hanging="360"/>
      </w:pPr>
      <w:rPr>
        <w:rFonts w:ascii="Times New Roman" w:hAnsi="Times New Roman" w:cs="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EBA5B92"/>
    <w:multiLevelType w:val="hybridMultilevel"/>
    <w:tmpl w:val="7AF8E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01F06F3"/>
    <w:multiLevelType w:val="hybridMultilevel"/>
    <w:tmpl w:val="79983A7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41467CC"/>
    <w:multiLevelType w:val="hybridMultilevel"/>
    <w:tmpl w:val="F05A4C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5C66EE"/>
    <w:multiLevelType w:val="hybridMultilevel"/>
    <w:tmpl w:val="9BEE7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11"/>
  </w:num>
  <w:num w:numId="5">
    <w:abstractNumId w:val="3"/>
  </w:num>
  <w:num w:numId="6">
    <w:abstractNumId w:val="10"/>
  </w:num>
  <w:num w:numId="7">
    <w:abstractNumId w:val="0"/>
  </w:num>
  <w:num w:numId="8">
    <w:abstractNumId w:val="4"/>
  </w:num>
  <w:num w:numId="9">
    <w:abstractNumId w:val="11"/>
    <w:lvlOverride w:ilvl="0">
      <w:startOverride w:val="1"/>
    </w:lvlOverride>
  </w:num>
  <w:num w:numId="10">
    <w:abstractNumId w:val="5"/>
  </w:num>
  <w:num w:numId="11">
    <w:abstractNumId w:val="11"/>
  </w:num>
  <w:num w:numId="12">
    <w:abstractNumId w:val="11"/>
    <w:lvlOverride w:ilvl="0">
      <w:startOverride w:val="1"/>
    </w:lvlOverride>
  </w:num>
  <w:num w:numId="13">
    <w:abstractNumId w:val="11"/>
    <w:lvlOverride w:ilvl="0">
      <w:startOverride w:val="1"/>
    </w:lvlOverride>
  </w:num>
  <w:num w:numId="14">
    <w:abstractNumId w:val="8"/>
  </w:num>
  <w:num w:numId="15">
    <w:abstractNumId w:val="12"/>
  </w:num>
  <w:num w:numId="16">
    <w:abstractNumId w:val="13"/>
  </w:num>
  <w:num w:numId="17">
    <w:abstractNumId w:val="11"/>
    <w:lvlOverride w:ilvl="0">
      <w:startOverride w:val="1"/>
    </w:lvlOverride>
  </w:num>
  <w:num w:numId="18">
    <w:abstractNumId w:val="9"/>
  </w:num>
  <w:num w:numId="19">
    <w:abstractNumId w:val="6"/>
  </w:num>
  <w:num w:numId="20">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625"/>
    <w:rsid w:val="000063B7"/>
    <w:rsid w:val="000073E0"/>
    <w:rsid w:val="00007D29"/>
    <w:rsid w:val="00012311"/>
    <w:rsid w:val="000145F3"/>
    <w:rsid w:val="00016C5A"/>
    <w:rsid w:val="00022DDC"/>
    <w:rsid w:val="00023378"/>
    <w:rsid w:val="0002585C"/>
    <w:rsid w:val="00027877"/>
    <w:rsid w:val="00027953"/>
    <w:rsid w:val="00031361"/>
    <w:rsid w:val="0003257B"/>
    <w:rsid w:val="00036039"/>
    <w:rsid w:val="000369DD"/>
    <w:rsid w:val="00037F90"/>
    <w:rsid w:val="00040B5F"/>
    <w:rsid w:val="000413B2"/>
    <w:rsid w:val="00041D3F"/>
    <w:rsid w:val="0004309A"/>
    <w:rsid w:val="00043A77"/>
    <w:rsid w:val="000458B9"/>
    <w:rsid w:val="00046590"/>
    <w:rsid w:val="000469DF"/>
    <w:rsid w:val="000500DA"/>
    <w:rsid w:val="000552E3"/>
    <w:rsid w:val="00055723"/>
    <w:rsid w:val="00055B30"/>
    <w:rsid w:val="00072995"/>
    <w:rsid w:val="00072FCE"/>
    <w:rsid w:val="00073109"/>
    <w:rsid w:val="000736E5"/>
    <w:rsid w:val="00073905"/>
    <w:rsid w:val="00075BBF"/>
    <w:rsid w:val="00076AAA"/>
    <w:rsid w:val="00081566"/>
    <w:rsid w:val="00083652"/>
    <w:rsid w:val="00083C35"/>
    <w:rsid w:val="000875BF"/>
    <w:rsid w:val="000900C4"/>
    <w:rsid w:val="00090129"/>
    <w:rsid w:val="00092375"/>
    <w:rsid w:val="0009374D"/>
    <w:rsid w:val="00093A0F"/>
    <w:rsid w:val="0009404D"/>
    <w:rsid w:val="000946DD"/>
    <w:rsid w:val="000959E5"/>
    <w:rsid w:val="00096D8C"/>
    <w:rsid w:val="00097BAE"/>
    <w:rsid w:val="000B1E0C"/>
    <w:rsid w:val="000C0B65"/>
    <w:rsid w:val="000C409D"/>
    <w:rsid w:val="000C4840"/>
    <w:rsid w:val="000C62B9"/>
    <w:rsid w:val="000C7F1D"/>
    <w:rsid w:val="000D0BBA"/>
    <w:rsid w:val="000D1785"/>
    <w:rsid w:val="000D1EB5"/>
    <w:rsid w:val="000D44F2"/>
    <w:rsid w:val="000D5194"/>
    <w:rsid w:val="000E05FE"/>
    <w:rsid w:val="000E3172"/>
    <w:rsid w:val="000E3D42"/>
    <w:rsid w:val="000E510A"/>
    <w:rsid w:val="000E5A33"/>
    <w:rsid w:val="000E67A5"/>
    <w:rsid w:val="001016A0"/>
    <w:rsid w:val="001057B5"/>
    <w:rsid w:val="00105D82"/>
    <w:rsid w:val="00106255"/>
    <w:rsid w:val="00106810"/>
    <w:rsid w:val="00115B74"/>
    <w:rsid w:val="00121048"/>
    <w:rsid w:val="00122BD5"/>
    <w:rsid w:val="001240FB"/>
    <w:rsid w:val="00126FA4"/>
    <w:rsid w:val="00127923"/>
    <w:rsid w:val="00133F79"/>
    <w:rsid w:val="00141517"/>
    <w:rsid w:val="001415AC"/>
    <w:rsid w:val="00144FB2"/>
    <w:rsid w:val="001458C0"/>
    <w:rsid w:val="00152D22"/>
    <w:rsid w:val="00153333"/>
    <w:rsid w:val="00153A9F"/>
    <w:rsid w:val="001611CE"/>
    <w:rsid w:val="00165259"/>
    <w:rsid w:val="00177B89"/>
    <w:rsid w:val="00182626"/>
    <w:rsid w:val="001866FC"/>
    <w:rsid w:val="0019057D"/>
    <w:rsid w:val="00190717"/>
    <w:rsid w:val="001922B5"/>
    <w:rsid w:val="001948B1"/>
    <w:rsid w:val="00194A66"/>
    <w:rsid w:val="00195DA9"/>
    <w:rsid w:val="0019623B"/>
    <w:rsid w:val="001A1D90"/>
    <w:rsid w:val="001A6769"/>
    <w:rsid w:val="001B57FB"/>
    <w:rsid w:val="001B72EF"/>
    <w:rsid w:val="001C1E16"/>
    <w:rsid w:val="001C27B4"/>
    <w:rsid w:val="001D06C5"/>
    <w:rsid w:val="001D6BCF"/>
    <w:rsid w:val="001E01CA"/>
    <w:rsid w:val="001E0790"/>
    <w:rsid w:val="001E0EF6"/>
    <w:rsid w:val="001E2256"/>
    <w:rsid w:val="001E4BCE"/>
    <w:rsid w:val="001E5BA4"/>
    <w:rsid w:val="001F2455"/>
    <w:rsid w:val="00201363"/>
    <w:rsid w:val="00202FC2"/>
    <w:rsid w:val="002046C0"/>
    <w:rsid w:val="0021059E"/>
    <w:rsid w:val="00210F3E"/>
    <w:rsid w:val="00214977"/>
    <w:rsid w:val="00216CC0"/>
    <w:rsid w:val="00224BBE"/>
    <w:rsid w:val="00225721"/>
    <w:rsid w:val="002344E7"/>
    <w:rsid w:val="00236609"/>
    <w:rsid w:val="002412B1"/>
    <w:rsid w:val="00242F9D"/>
    <w:rsid w:val="00243ABC"/>
    <w:rsid w:val="002458B1"/>
    <w:rsid w:val="00246A86"/>
    <w:rsid w:val="0024769D"/>
    <w:rsid w:val="00250F3E"/>
    <w:rsid w:val="00256A9D"/>
    <w:rsid w:val="00256C09"/>
    <w:rsid w:val="00263070"/>
    <w:rsid w:val="0026632F"/>
    <w:rsid w:val="00271107"/>
    <w:rsid w:val="00273A6A"/>
    <w:rsid w:val="00274B07"/>
    <w:rsid w:val="00275409"/>
    <w:rsid w:val="00275CF5"/>
    <w:rsid w:val="00276473"/>
    <w:rsid w:val="00277DA8"/>
    <w:rsid w:val="002800EB"/>
    <w:rsid w:val="0028301F"/>
    <w:rsid w:val="002833DF"/>
    <w:rsid w:val="00285017"/>
    <w:rsid w:val="00295072"/>
    <w:rsid w:val="0029653C"/>
    <w:rsid w:val="0029698C"/>
    <w:rsid w:val="002A2CB4"/>
    <w:rsid w:val="002A2D2E"/>
    <w:rsid w:val="002A453F"/>
    <w:rsid w:val="002B2A3B"/>
    <w:rsid w:val="002B2DA8"/>
    <w:rsid w:val="002B47D6"/>
    <w:rsid w:val="002C00E8"/>
    <w:rsid w:val="002C3938"/>
    <w:rsid w:val="002C4B98"/>
    <w:rsid w:val="002D472E"/>
    <w:rsid w:val="002D7999"/>
    <w:rsid w:val="002F2787"/>
    <w:rsid w:val="002F561B"/>
    <w:rsid w:val="002F5D64"/>
    <w:rsid w:val="00301D0C"/>
    <w:rsid w:val="003104BB"/>
    <w:rsid w:val="00310F9B"/>
    <w:rsid w:val="00312344"/>
    <w:rsid w:val="00313683"/>
    <w:rsid w:val="00313E2A"/>
    <w:rsid w:val="0031489F"/>
    <w:rsid w:val="00314E65"/>
    <w:rsid w:val="003207EA"/>
    <w:rsid w:val="00327800"/>
    <w:rsid w:val="00330926"/>
    <w:rsid w:val="00330E06"/>
    <w:rsid w:val="003356AC"/>
    <w:rsid w:val="00336CBA"/>
    <w:rsid w:val="003404D5"/>
    <w:rsid w:val="0034289D"/>
    <w:rsid w:val="00342CB0"/>
    <w:rsid w:val="00343749"/>
    <w:rsid w:val="00347C4F"/>
    <w:rsid w:val="00350932"/>
    <w:rsid w:val="00352024"/>
    <w:rsid w:val="00353748"/>
    <w:rsid w:val="003660ED"/>
    <w:rsid w:val="00372F9C"/>
    <w:rsid w:val="0037453E"/>
    <w:rsid w:val="00381504"/>
    <w:rsid w:val="003819FD"/>
    <w:rsid w:val="003844E6"/>
    <w:rsid w:val="003921B5"/>
    <w:rsid w:val="0039404D"/>
    <w:rsid w:val="00396602"/>
    <w:rsid w:val="00396A07"/>
    <w:rsid w:val="00397766"/>
    <w:rsid w:val="003A1007"/>
    <w:rsid w:val="003A1B8E"/>
    <w:rsid w:val="003B0550"/>
    <w:rsid w:val="003B0F41"/>
    <w:rsid w:val="003B694F"/>
    <w:rsid w:val="003B7397"/>
    <w:rsid w:val="003B7567"/>
    <w:rsid w:val="003C0E42"/>
    <w:rsid w:val="003C161E"/>
    <w:rsid w:val="003C1C74"/>
    <w:rsid w:val="003C25C3"/>
    <w:rsid w:val="003C440A"/>
    <w:rsid w:val="003E30E2"/>
    <w:rsid w:val="003E31A7"/>
    <w:rsid w:val="003E44BB"/>
    <w:rsid w:val="003F171C"/>
    <w:rsid w:val="003F23D7"/>
    <w:rsid w:val="003F4EEB"/>
    <w:rsid w:val="00401354"/>
    <w:rsid w:val="0040423C"/>
    <w:rsid w:val="00406F42"/>
    <w:rsid w:val="00412FC5"/>
    <w:rsid w:val="004131E0"/>
    <w:rsid w:val="0041662A"/>
    <w:rsid w:val="00420679"/>
    <w:rsid w:val="00421C45"/>
    <w:rsid w:val="00421FFC"/>
    <w:rsid w:val="00422276"/>
    <w:rsid w:val="00423465"/>
    <w:rsid w:val="004242F1"/>
    <w:rsid w:val="00430DB6"/>
    <w:rsid w:val="00436704"/>
    <w:rsid w:val="00441B1A"/>
    <w:rsid w:val="00445A00"/>
    <w:rsid w:val="00445B8F"/>
    <w:rsid w:val="00450711"/>
    <w:rsid w:val="00451B0F"/>
    <w:rsid w:val="00453E68"/>
    <w:rsid w:val="004605EA"/>
    <w:rsid w:val="004612DF"/>
    <w:rsid w:val="004642ED"/>
    <w:rsid w:val="00465A45"/>
    <w:rsid w:val="00474FA1"/>
    <w:rsid w:val="0048029C"/>
    <w:rsid w:val="00483953"/>
    <w:rsid w:val="00485D39"/>
    <w:rsid w:val="004864CE"/>
    <w:rsid w:val="00487F2E"/>
    <w:rsid w:val="004902B7"/>
    <w:rsid w:val="00490D0A"/>
    <w:rsid w:val="00492898"/>
    <w:rsid w:val="004A0B39"/>
    <w:rsid w:val="004A3E7E"/>
    <w:rsid w:val="004A7ADC"/>
    <w:rsid w:val="004B7D71"/>
    <w:rsid w:val="004B7FEC"/>
    <w:rsid w:val="004C078A"/>
    <w:rsid w:val="004C2684"/>
    <w:rsid w:val="004C2EE3"/>
    <w:rsid w:val="004C3B79"/>
    <w:rsid w:val="004C4AE0"/>
    <w:rsid w:val="004C5E66"/>
    <w:rsid w:val="004C6F14"/>
    <w:rsid w:val="004D0889"/>
    <w:rsid w:val="004D39D9"/>
    <w:rsid w:val="004D4332"/>
    <w:rsid w:val="004D506B"/>
    <w:rsid w:val="004D6789"/>
    <w:rsid w:val="004E4A22"/>
    <w:rsid w:val="004E69F4"/>
    <w:rsid w:val="004E7E77"/>
    <w:rsid w:val="004F1264"/>
    <w:rsid w:val="004F2971"/>
    <w:rsid w:val="004F31DA"/>
    <w:rsid w:val="004F3242"/>
    <w:rsid w:val="004F76E8"/>
    <w:rsid w:val="00506B96"/>
    <w:rsid w:val="00511968"/>
    <w:rsid w:val="00512A66"/>
    <w:rsid w:val="00520A72"/>
    <w:rsid w:val="005230E9"/>
    <w:rsid w:val="005313C8"/>
    <w:rsid w:val="00540F9E"/>
    <w:rsid w:val="00541AFB"/>
    <w:rsid w:val="00542468"/>
    <w:rsid w:val="00542690"/>
    <w:rsid w:val="005433C4"/>
    <w:rsid w:val="00544615"/>
    <w:rsid w:val="005452B6"/>
    <w:rsid w:val="00545520"/>
    <w:rsid w:val="005469F5"/>
    <w:rsid w:val="0054738E"/>
    <w:rsid w:val="0055614C"/>
    <w:rsid w:val="00557818"/>
    <w:rsid w:val="00560234"/>
    <w:rsid w:val="005602D2"/>
    <w:rsid w:val="0056215F"/>
    <w:rsid w:val="005645FD"/>
    <w:rsid w:val="00565B8B"/>
    <w:rsid w:val="005679BF"/>
    <w:rsid w:val="005706B1"/>
    <w:rsid w:val="00571614"/>
    <w:rsid w:val="00575503"/>
    <w:rsid w:val="0057740E"/>
    <w:rsid w:val="00581818"/>
    <w:rsid w:val="00581EDF"/>
    <w:rsid w:val="005840E6"/>
    <w:rsid w:val="00584E37"/>
    <w:rsid w:val="005859A9"/>
    <w:rsid w:val="00587362"/>
    <w:rsid w:val="00592CE6"/>
    <w:rsid w:val="005A1A73"/>
    <w:rsid w:val="005A5DFC"/>
    <w:rsid w:val="005A7ECD"/>
    <w:rsid w:val="005B1964"/>
    <w:rsid w:val="005B1FCE"/>
    <w:rsid w:val="005B322C"/>
    <w:rsid w:val="005B3771"/>
    <w:rsid w:val="005B3801"/>
    <w:rsid w:val="005B3F7B"/>
    <w:rsid w:val="005C49D0"/>
    <w:rsid w:val="005D0E3C"/>
    <w:rsid w:val="005D46A3"/>
    <w:rsid w:val="005D4CC3"/>
    <w:rsid w:val="005D4FBB"/>
    <w:rsid w:val="005D6A10"/>
    <w:rsid w:val="005D74B1"/>
    <w:rsid w:val="005E14C2"/>
    <w:rsid w:val="005E26D7"/>
    <w:rsid w:val="005F0158"/>
    <w:rsid w:val="005F345A"/>
    <w:rsid w:val="005F447A"/>
    <w:rsid w:val="0060226A"/>
    <w:rsid w:val="00602624"/>
    <w:rsid w:val="00607BA5"/>
    <w:rsid w:val="0061180A"/>
    <w:rsid w:val="0061585D"/>
    <w:rsid w:val="00622C19"/>
    <w:rsid w:val="00626EB6"/>
    <w:rsid w:val="006277A0"/>
    <w:rsid w:val="0063112B"/>
    <w:rsid w:val="0063140C"/>
    <w:rsid w:val="00633E4F"/>
    <w:rsid w:val="006346E4"/>
    <w:rsid w:val="00635FDD"/>
    <w:rsid w:val="00641C01"/>
    <w:rsid w:val="00645557"/>
    <w:rsid w:val="00652CD2"/>
    <w:rsid w:val="00655D03"/>
    <w:rsid w:val="006574E7"/>
    <w:rsid w:val="00676A37"/>
    <w:rsid w:val="00677099"/>
    <w:rsid w:val="0068013D"/>
    <w:rsid w:val="00682F54"/>
    <w:rsid w:val="00683388"/>
    <w:rsid w:val="00683F84"/>
    <w:rsid w:val="0068690B"/>
    <w:rsid w:val="00686C2B"/>
    <w:rsid w:val="00686E17"/>
    <w:rsid w:val="006877B4"/>
    <w:rsid w:val="00692654"/>
    <w:rsid w:val="006972F6"/>
    <w:rsid w:val="006A118D"/>
    <w:rsid w:val="006A2D16"/>
    <w:rsid w:val="006A4335"/>
    <w:rsid w:val="006A5C20"/>
    <w:rsid w:val="006A6A81"/>
    <w:rsid w:val="006B12CD"/>
    <w:rsid w:val="006B15BF"/>
    <w:rsid w:val="006B1AC5"/>
    <w:rsid w:val="006B3315"/>
    <w:rsid w:val="006B36E6"/>
    <w:rsid w:val="006B40F1"/>
    <w:rsid w:val="006B762D"/>
    <w:rsid w:val="006C120C"/>
    <w:rsid w:val="006C3E3D"/>
    <w:rsid w:val="006C5B2E"/>
    <w:rsid w:val="006C69BE"/>
    <w:rsid w:val="006D13F8"/>
    <w:rsid w:val="006D1B53"/>
    <w:rsid w:val="006E1A19"/>
    <w:rsid w:val="006E290E"/>
    <w:rsid w:val="006E3C6F"/>
    <w:rsid w:val="006E4253"/>
    <w:rsid w:val="006E4474"/>
    <w:rsid w:val="006E6527"/>
    <w:rsid w:val="006F5880"/>
    <w:rsid w:val="006F7393"/>
    <w:rsid w:val="0070224F"/>
    <w:rsid w:val="00703936"/>
    <w:rsid w:val="00710D75"/>
    <w:rsid w:val="00711342"/>
    <w:rsid w:val="007113C8"/>
    <w:rsid w:val="0071140E"/>
    <w:rsid w:val="007115F7"/>
    <w:rsid w:val="00721947"/>
    <w:rsid w:val="00722A62"/>
    <w:rsid w:val="007318F7"/>
    <w:rsid w:val="00735CB9"/>
    <w:rsid w:val="007413DB"/>
    <w:rsid w:val="007436D5"/>
    <w:rsid w:val="00746C7F"/>
    <w:rsid w:val="007504CA"/>
    <w:rsid w:val="00755E7D"/>
    <w:rsid w:val="007608DD"/>
    <w:rsid w:val="007634C4"/>
    <w:rsid w:val="00765503"/>
    <w:rsid w:val="00771C0F"/>
    <w:rsid w:val="00772F2B"/>
    <w:rsid w:val="0077729C"/>
    <w:rsid w:val="00781401"/>
    <w:rsid w:val="007814D1"/>
    <w:rsid w:val="00785689"/>
    <w:rsid w:val="00785A80"/>
    <w:rsid w:val="007912E0"/>
    <w:rsid w:val="00791722"/>
    <w:rsid w:val="00791F12"/>
    <w:rsid w:val="00797115"/>
    <w:rsid w:val="0079754B"/>
    <w:rsid w:val="007A1E6D"/>
    <w:rsid w:val="007A7F51"/>
    <w:rsid w:val="007B0EB2"/>
    <w:rsid w:val="007B1468"/>
    <w:rsid w:val="007B3D40"/>
    <w:rsid w:val="007B56CF"/>
    <w:rsid w:val="007B673E"/>
    <w:rsid w:val="007C0CE8"/>
    <w:rsid w:val="007C0DC3"/>
    <w:rsid w:val="007C30E1"/>
    <w:rsid w:val="007C3377"/>
    <w:rsid w:val="007C4704"/>
    <w:rsid w:val="007C6329"/>
    <w:rsid w:val="007D04CE"/>
    <w:rsid w:val="007E09E1"/>
    <w:rsid w:val="007E6E56"/>
    <w:rsid w:val="007F376C"/>
    <w:rsid w:val="008019D7"/>
    <w:rsid w:val="00802CF7"/>
    <w:rsid w:val="008045A0"/>
    <w:rsid w:val="00810B6F"/>
    <w:rsid w:val="00810FD1"/>
    <w:rsid w:val="00811356"/>
    <w:rsid w:val="0081180D"/>
    <w:rsid w:val="00812014"/>
    <w:rsid w:val="00813E93"/>
    <w:rsid w:val="00815825"/>
    <w:rsid w:val="00815D80"/>
    <w:rsid w:val="008205A8"/>
    <w:rsid w:val="00820E83"/>
    <w:rsid w:val="00822740"/>
    <w:rsid w:val="00822CE0"/>
    <w:rsid w:val="00830AF9"/>
    <w:rsid w:val="00831146"/>
    <w:rsid w:val="00835EF8"/>
    <w:rsid w:val="00836511"/>
    <w:rsid w:val="0083670E"/>
    <w:rsid w:val="00836C35"/>
    <w:rsid w:val="00841AB1"/>
    <w:rsid w:val="00843494"/>
    <w:rsid w:val="00843CC1"/>
    <w:rsid w:val="0085015C"/>
    <w:rsid w:val="0085760C"/>
    <w:rsid w:val="00864C2A"/>
    <w:rsid w:val="008663BB"/>
    <w:rsid w:val="008666D6"/>
    <w:rsid w:val="00866FCD"/>
    <w:rsid w:val="00874B00"/>
    <w:rsid w:val="008753BC"/>
    <w:rsid w:val="0088065F"/>
    <w:rsid w:val="00885354"/>
    <w:rsid w:val="0089120F"/>
    <w:rsid w:val="00895362"/>
    <w:rsid w:val="008A2037"/>
    <w:rsid w:val="008A2364"/>
    <w:rsid w:val="008A2C49"/>
    <w:rsid w:val="008A34E5"/>
    <w:rsid w:val="008A69C7"/>
    <w:rsid w:val="008B1375"/>
    <w:rsid w:val="008B28C2"/>
    <w:rsid w:val="008B400F"/>
    <w:rsid w:val="008C0B34"/>
    <w:rsid w:val="008C2DC1"/>
    <w:rsid w:val="008C534B"/>
    <w:rsid w:val="008C6523"/>
    <w:rsid w:val="008C68F1"/>
    <w:rsid w:val="008C789D"/>
    <w:rsid w:val="008D11C8"/>
    <w:rsid w:val="008D66D7"/>
    <w:rsid w:val="008E03A7"/>
    <w:rsid w:val="008E1826"/>
    <w:rsid w:val="008E28EB"/>
    <w:rsid w:val="008E3BFA"/>
    <w:rsid w:val="008E6706"/>
    <w:rsid w:val="008F11CD"/>
    <w:rsid w:val="008F2E4F"/>
    <w:rsid w:val="008F6D6A"/>
    <w:rsid w:val="00900EF2"/>
    <w:rsid w:val="009026B0"/>
    <w:rsid w:val="00913946"/>
    <w:rsid w:val="00914A9B"/>
    <w:rsid w:val="0091507B"/>
    <w:rsid w:val="00921803"/>
    <w:rsid w:val="0092293E"/>
    <w:rsid w:val="00924136"/>
    <w:rsid w:val="0092619E"/>
    <w:rsid w:val="00926503"/>
    <w:rsid w:val="009272C6"/>
    <w:rsid w:val="0092766A"/>
    <w:rsid w:val="00933BD9"/>
    <w:rsid w:val="009371D4"/>
    <w:rsid w:val="009403E9"/>
    <w:rsid w:val="009435BF"/>
    <w:rsid w:val="009472B9"/>
    <w:rsid w:val="00952A19"/>
    <w:rsid w:val="00956352"/>
    <w:rsid w:val="00963BDC"/>
    <w:rsid w:val="00966CC0"/>
    <w:rsid w:val="009674A7"/>
    <w:rsid w:val="0097144F"/>
    <w:rsid w:val="009726D8"/>
    <w:rsid w:val="009768B0"/>
    <w:rsid w:val="009870B5"/>
    <w:rsid w:val="00987819"/>
    <w:rsid w:val="00994B04"/>
    <w:rsid w:val="0099561C"/>
    <w:rsid w:val="009A4D7A"/>
    <w:rsid w:val="009A6AC3"/>
    <w:rsid w:val="009A746D"/>
    <w:rsid w:val="009B0555"/>
    <w:rsid w:val="009B2008"/>
    <w:rsid w:val="009C6141"/>
    <w:rsid w:val="009D7049"/>
    <w:rsid w:val="009E17B3"/>
    <w:rsid w:val="009E787F"/>
    <w:rsid w:val="009F21EA"/>
    <w:rsid w:val="009F76DB"/>
    <w:rsid w:val="009F7EF0"/>
    <w:rsid w:val="00A0029E"/>
    <w:rsid w:val="00A04034"/>
    <w:rsid w:val="00A1398F"/>
    <w:rsid w:val="00A16312"/>
    <w:rsid w:val="00A17F38"/>
    <w:rsid w:val="00A218CE"/>
    <w:rsid w:val="00A32C3B"/>
    <w:rsid w:val="00A447ED"/>
    <w:rsid w:val="00A45F4F"/>
    <w:rsid w:val="00A46625"/>
    <w:rsid w:val="00A50490"/>
    <w:rsid w:val="00A50E96"/>
    <w:rsid w:val="00A551F6"/>
    <w:rsid w:val="00A55471"/>
    <w:rsid w:val="00A55749"/>
    <w:rsid w:val="00A5708F"/>
    <w:rsid w:val="00A57F7A"/>
    <w:rsid w:val="00A600A9"/>
    <w:rsid w:val="00A602B8"/>
    <w:rsid w:val="00A60AFA"/>
    <w:rsid w:val="00A72C9A"/>
    <w:rsid w:val="00A73CC5"/>
    <w:rsid w:val="00A74028"/>
    <w:rsid w:val="00A743D1"/>
    <w:rsid w:val="00A80DAD"/>
    <w:rsid w:val="00A8296D"/>
    <w:rsid w:val="00A92AF8"/>
    <w:rsid w:val="00A92C50"/>
    <w:rsid w:val="00A96D14"/>
    <w:rsid w:val="00AA17CB"/>
    <w:rsid w:val="00AA2F3A"/>
    <w:rsid w:val="00AA38DB"/>
    <w:rsid w:val="00AA394F"/>
    <w:rsid w:val="00AA4EED"/>
    <w:rsid w:val="00AA55B7"/>
    <w:rsid w:val="00AA5B9E"/>
    <w:rsid w:val="00AA764D"/>
    <w:rsid w:val="00AA7A6C"/>
    <w:rsid w:val="00AB1BBE"/>
    <w:rsid w:val="00AB2407"/>
    <w:rsid w:val="00AB53DF"/>
    <w:rsid w:val="00AB65B7"/>
    <w:rsid w:val="00AB67AE"/>
    <w:rsid w:val="00AC3FE4"/>
    <w:rsid w:val="00AD29FD"/>
    <w:rsid w:val="00AD566B"/>
    <w:rsid w:val="00AD584C"/>
    <w:rsid w:val="00AD5F2A"/>
    <w:rsid w:val="00AE0C6E"/>
    <w:rsid w:val="00AE364D"/>
    <w:rsid w:val="00AF2C8E"/>
    <w:rsid w:val="00B045CC"/>
    <w:rsid w:val="00B07E5C"/>
    <w:rsid w:val="00B11BCF"/>
    <w:rsid w:val="00B12506"/>
    <w:rsid w:val="00B12584"/>
    <w:rsid w:val="00B227BF"/>
    <w:rsid w:val="00B25BD0"/>
    <w:rsid w:val="00B30530"/>
    <w:rsid w:val="00B30D9B"/>
    <w:rsid w:val="00B313CE"/>
    <w:rsid w:val="00B36F80"/>
    <w:rsid w:val="00B40504"/>
    <w:rsid w:val="00B4491B"/>
    <w:rsid w:val="00B452DE"/>
    <w:rsid w:val="00B4553D"/>
    <w:rsid w:val="00B5000E"/>
    <w:rsid w:val="00B50140"/>
    <w:rsid w:val="00B504AB"/>
    <w:rsid w:val="00B55ABA"/>
    <w:rsid w:val="00B610F7"/>
    <w:rsid w:val="00B66338"/>
    <w:rsid w:val="00B72644"/>
    <w:rsid w:val="00B7595C"/>
    <w:rsid w:val="00B811F7"/>
    <w:rsid w:val="00B83AE0"/>
    <w:rsid w:val="00B83CF0"/>
    <w:rsid w:val="00B85FA6"/>
    <w:rsid w:val="00B87230"/>
    <w:rsid w:val="00B91574"/>
    <w:rsid w:val="00B94517"/>
    <w:rsid w:val="00B96190"/>
    <w:rsid w:val="00B9675A"/>
    <w:rsid w:val="00B96EAF"/>
    <w:rsid w:val="00BA5B54"/>
    <w:rsid w:val="00BA5DC6"/>
    <w:rsid w:val="00BA6196"/>
    <w:rsid w:val="00BB39CD"/>
    <w:rsid w:val="00BB55AC"/>
    <w:rsid w:val="00BB5F56"/>
    <w:rsid w:val="00BC2D6B"/>
    <w:rsid w:val="00BC56FB"/>
    <w:rsid w:val="00BC6C4D"/>
    <w:rsid w:val="00BC6D8C"/>
    <w:rsid w:val="00BD00C7"/>
    <w:rsid w:val="00BD30CC"/>
    <w:rsid w:val="00BD30E3"/>
    <w:rsid w:val="00BD548B"/>
    <w:rsid w:val="00BE0B47"/>
    <w:rsid w:val="00BE238C"/>
    <w:rsid w:val="00BE6043"/>
    <w:rsid w:val="00BF247D"/>
    <w:rsid w:val="00BF51F2"/>
    <w:rsid w:val="00C11546"/>
    <w:rsid w:val="00C122A8"/>
    <w:rsid w:val="00C21881"/>
    <w:rsid w:val="00C30D74"/>
    <w:rsid w:val="00C32E45"/>
    <w:rsid w:val="00C34006"/>
    <w:rsid w:val="00C367A5"/>
    <w:rsid w:val="00C41950"/>
    <w:rsid w:val="00C426B1"/>
    <w:rsid w:val="00C4381E"/>
    <w:rsid w:val="00C43F2E"/>
    <w:rsid w:val="00C44EC4"/>
    <w:rsid w:val="00C4667D"/>
    <w:rsid w:val="00C472E2"/>
    <w:rsid w:val="00C4751E"/>
    <w:rsid w:val="00C6298B"/>
    <w:rsid w:val="00C63DB1"/>
    <w:rsid w:val="00C66160"/>
    <w:rsid w:val="00C7006D"/>
    <w:rsid w:val="00C721AC"/>
    <w:rsid w:val="00C773C8"/>
    <w:rsid w:val="00C80956"/>
    <w:rsid w:val="00C903AB"/>
    <w:rsid w:val="00C90D6A"/>
    <w:rsid w:val="00CA0D70"/>
    <w:rsid w:val="00CA247E"/>
    <w:rsid w:val="00CA681B"/>
    <w:rsid w:val="00CA6EE6"/>
    <w:rsid w:val="00CB4ECB"/>
    <w:rsid w:val="00CC2284"/>
    <w:rsid w:val="00CC4E8C"/>
    <w:rsid w:val="00CC565D"/>
    <w:rsid w:val="00CC587A"/>
    <w:rsid w:val="00CC7009"/>
    <w:rsid w:val="00CC7077"/>
    <w:rsid w:val="00CC72B6"/>
    <w:rsid w:val="00CD01B3"/>
    <w:rsid w:val="00CD16D7"/>
    <w:rsid w:val="00CD497A"/>
    <w:rsid w:val="00CD5558"/>
    <w:rsid w:val="00CD6E19"/>
    <w:rsid w:val="00CE3D19"/>
    <w:rsid w:val="00CF5F4A"/>
    <w:rsid w:val="00D0218D"/>
    <w:rsid w:val="00D023C6"/>
    <w:rsid w:val="00D03AB3"/>
    <w:rsid w:val="00D05960"/>
    <w:rsid w:val="00D10664"/>
    <w:rsid w:val="00D12D93"/>
    <w:rsid w:val="00D16DC6"/>
    <w:rsid w:val="00D20405"/>
    <w:rsid w:val="00D20F3F"/>
    <w:rsid w:val="00D23653"/>
    <w:rsid w:val="00D25CC2"/>
    <w:rsid w:val="00D25FB5"/>
    <w:rsid w:val="00D30A16"/>
    <w:rsid w:val="00D35BBA"/>
    <w:rsid w:val="00D36238"/>
    <w:rsid w:val="00D372FE"/>
    <w:rsid w:val="00D4060E"/>
    <w:rsid w:val="00D41457"/>
    <w:rsid w:val="00D42926"/>
    <w:rsid w:val="00D42C1F"/>
    <w:rsid w:val="00D44223"/>
    <w:rsid w:val="00D44409"/>
    <w:rsid w:val="00D51210"/>
    <w:rsid w:val="00D51A8E"/>
    <w:rsid w:val="00D51FAA"/>
    <w:rsid w:val="00D549F2"/>
    <w:rsid w:val="00D635A4"/>
    <w:rsid w:val="00D63DF3"/>
    <w:rsid w:val="00D71876"/>
    <w:rsid w:val="00D71CE0"/>
    <w:rsid w:val="00D72739"/>
    <w:rsid w:val="00D754AB"/>
    <w:rsid w:val="00D76EB3"/>
    <w:rsid w:val="00D82D53"/>
    <w:rsid w:val="00D83F79"/>
    <w:rsid w:val="00DA2529"/>
    <w:rsid w:val="00DA3CB6"/>
    <w:rsid w:val="00DB0160"/>
    <w:rsid w:val="00DB130A"/>
    <w:rsid w:val="00DB265D"/>
    <w:rsid w:val="00DB2EBB"/>
    <w:rsid w:val="00DB377C"/>
    <w:rsid w:val="00DC10A1"/>
    <w:rsid w:val="00DC4103"/>
    <w:rsid w:val="00DC56F1"/>
    <w:rsid w:val="00DC655F"/>
    <w:rsid w:val="00DC6E82"/>
    <w:rsid w:val="00DC7398"/>
    <w:rsid w:val="00DD0B59"/>
    <w:rsid w:val="00DD10E9"/>
    <w:rsid w:val="00DD7EBD"/>
    <w:rsid w:val="00DE1A28"/>
    <w:rsid w:val="00DE245B"/>
    <w:rsid w:val="00DE5242"/>
    <w:rsid w:val="00DE6865"/>
    <w:rsid w:val="00DF16F5"/>
    <w:rsid w:val="00DF1783"/>
    <w:rsid w:val="00DF2FD1"/>
    <w:rsid w:val="00DF46C4"/>
    <w:rsid w:val="00DF5231"/>
    <w:rsid w:val="00DF6150"/>
    <w:rsid w:val="00DF62B6"/>
    <w:rsid w:val="00DF7E11"/>
    <w:rsid w:val="00E02556"/>
    <w:rsid w:val="00E035A0"/>
    <w:rsid w:val="00E03704"/>
    <w:rsid w:val="00E06228"/>
    <w:rsid w:val="00E07225"/>
    <w:rsid w:val="00E16E35"/>
    <w:rsid w:val="00E201EE"/>
    <w:rsid w:val="00E2460F"/>
    <w:rsid w:val="00E304D0"/>
    <w:rsid w:val="00E37DCD"/>
    <w:rsid w:val="00E411E7"/>
    <w:rsid w:val="00E43355"/>
    <w:rsid w:val="00E444E4"/>
    <w:rsid w:val="00E50497"/>
    <w:rsid w:val="00E536AE"/>
    <w:rsid w:val="00E5409F"/>
    <w:rsid w:val="00E61748"/>
    <w:rsid w:val="00E622BF"/>
    <w:rsid w:val="00E63D97"/>
    <w:rsid w:val="00E65329"/>
    <w:rsid w:val="00E65D53"/>
    <w:rsid w:val="00E66702"/>
    <w:rsid w:val="00E67491"/>
    <w:rsid w:val="00E675BB"/>
    <w:rsid w:val="00E71779"/>
    <w:rsid w:val="00E72D04"/>
    <w:rsid w:val="00E733A8"/>
    <w:rsid w:val="00E750EE"/>
    <w:rsid w:val="00E915EC"/>
    <w:rsid w:val="00EA2409"/>
    <w:rsid w:val="00EA2819"/>
    <w:rsid w:val="00EB192B"/>
    <w:rsid w:val="00EB2487"/>
    <w:rsid w:val="00EB3403"/>
    <w:rsid w:val="00EB46C8"/>
    <w:rsid w:val="00EB6C22"/>
    <w:rsid w:val="00EB7E2B"/>
    <w:rsid w:val="00EC0403"/>
    <w:rsid w:val="00EC45F8"/>
    <w:rsid w:val="00EC48D7"/>
    <w:rsid w:val="00EC74C3"/>
    <w:rsid w:val="00ED154D"/>
    <w:rsid w:val="00ED43DB"/>
    <w:rsid w:val="00ED6AEA"/>
    <w:rsid w:val="00ED6DF8"/>
    <w:rsid w:val="00EE228C"/>
    <w:rsid w:val="00EE30D9"/>
    <w:rsid w:val="00EE4255"/>
    <w:rsid w:val="00EE564F"/>
    <w:rsid w:val="00EE6488"/>
    <w:rsid w:val="00EF29D2"/>
    <w:rsid w:val="00EF3C11"/>
    <w:rsid w:val="00EF6A8A"/>
    <w:rsid w:val="00EF6B0C"/>
    <w:rsid w:val="00F021FA"/>
    <w:rsid w:val="00F04DBD"/>
    <w:rsid w:val="00F064FF"/>
    <w:rsid w:val="00F07D67"/>
    <w:rsid w:val="00F1221F"/>
    <w:rsid w:val="00F244C0"/>
    <w:rsid w:val="00F260FA"/>
    <w:rsid w:val="00F31D70"/>
    <w:rsid w:val="00F34174"/>
    <w:rsid w:val="00F344E4"/>
    <w:rsid w:val="00F42185"/>
    <w:rsid w:val="00F504B3"/>
    <w:rsid w:val="00F5086E"/>
    <w:rsid w:val="00F572B6"/>
    <w:rsid w:val="00F57447"/>
    <w:rsid w:val="00F6047C"/>
    <w:rsid w:val="00F61FFD"/>
    <w:rsid w:val="00F62E97"/>
    <w:rsid w:val="00F64209"/>
    <w:rsid w:val="00F65DA9"/>
    <w:rsid w:val="00F7529B"/>
    <w:rsid w:val="00F75629"/>
    <w:rsid w:val="00F80625"/>
    <w:rsid w:val="00F810CF"/>
    <w:rsid w:val="00F8165A"/>
    <w:rsid w:val="00F83060"/>
    <w:rsid w:val="00F831D3"/>
    <w:rsid w:val="00F8475B"/>
    <w:rsid w:val="00F85C60"/>
    <w:rsid w:val="00F93340"/>
    <w:rsid w:val="00F93BF5"/>
    <w:rsid w:val="00F94C8B"/>
    <w:rsid w:val="00FA189D"/>
    <w:rsid w:val="00FA221A"/>
    <w:rsid w:val="00FA7714"/>
    <w:rsid w:val="00FB009E"/>
    <w:rsid w:val="00FB0AB8"/>
    <w:rsid w:val="00FB3AD6"/>
    <w:rsid w:val="00FB690B"/>
    <w:rsid w:val="00FC12D9"/>
    <w:rsid w:val="00FC1501"/>
    <w:rsid w:val="00FC1DF1"/>
    <w:rsid w:val="00FC4995"/>
    <w:rsid w:val="00FD1987"/>
    <w:rsid w:val="00FD276E"/>
    <w:rsid w:val="00FD63D1"/>
    <w:rsid w:val="00FD6672"/>
    <w:rsid w:val="00FE0FC2"/>
    <w:rsid w:val="00FE1463"/>
    <w:rsid w:val="00FE1834"/>
    <w:rsid w:val="00FE19D2"/>
    <w:rsid w:val="00FE5021"/>
    <w:rsid w:val="00FE560B"/>
    <w:rsid w:val="00FF1932"/>
    <w:rsid w:val="00FF2294"/>
    <w:rsid w:val="00FF7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558B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87"/>
    <w:pPr>
      <w:widowControl w:val="0"/>
    </w:pPr>
    <w:rPr>
      <w:snapToGrid w:val="0"/>
      <w:kern w:val="28"/>
      <w:sz w:val="22"/>
    </w:rPr>
  </w:style>
  <w:style w:type="paragraph" w:styleId="Heading1">
    <w:name w:val="heading 1"/>
    <w:basedOn w:val="Normal"/>
    <w:next w:val="ParaNum"/>
    <w:link w:val="Heading1Char"/>
    <w:qFormat/>
    <w:rsid w:val="002F278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F2787"/>
    <w:pPr>
      <w:keepNext/>
      <w:numPr>
        <w:ilvl w:val="1"/>
        <w:numId w:val="2"/>
      </w:numPr>
      <w:spacing w:after="120"/>
      <w:outlineLvl w:val="1"/>
    </w:pPr>
    <w:rPr>
      <w:b/>
    </w:rPr>
  </w:style>
  <w:style w:type="paragraph" w:styleId="Heading3">
    <w:name w:val="heading 3"/>
    <w:basedOn w:val="Normal"/>
    <w:next w:val="ParaNum"/>
    <w:link w:val="Heading3Char"/>
    <w:qFormat/>
    <w:rsid w:val="002F278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F278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F278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F278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F278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F278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F278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27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787"/>
  </w:style>
  <w:style w:type="paragraph" w:customStyle="1" w:styleId="ParaNum">
    <w:name w:val="ParaNum"/>
    <w:basedOn w:val="Normal"/>
    <w:link w:val="ParaNumChar"/>
    <w:rsid w:val="002F2787"/>
    <w:pPr>
      <w:numPr>
        <w:numId w:val="1"/>
      </w:numPr>
      <w:tabs>
        <w:tab w:val="clear" w:pos="1080"/>
        <w:tab w:val="num" w:pos="1440"/>
      </w:tabs>
      <w:spacing w:after="120"/>
    </w:pPr>
  </w:style>
  <w:style w:type="paragraph" w:styleId="EndnoteText">
    <w:name w:val="endnote text"/>
    <w:basedOn w:val="Normal"/>
    <w:link w:val="EndnoteTextChar"/>
    <w:semiHidden/>
    <w:rsid w:val="002F2787"/>
    <w:rPr>
      <w:sz w:val="20"/>
    </w:rPr>
  </w:style>
  <w:style w:type="character" w:styleId="EndnoteReference">
    <w:name w:val="endnote reference"/>
    <w:semiHidden/>
    <w:rsid w:val="002F2787"/>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2"/>
    <w:rsid w:val="002F2787"/>
    <w:pPr>
      <w:spacing w:after="120"/>
    </w:pPr>
  </w:style>
  <w:style w:type="character" w:styleId="FootnoteReference">
    <w:name w:val="footnote reference"/>
    <w:aliases w:val="Appel note de bas de p,o,fr,(NECG) Footnote Reference,Style 12,Style 124,Style 3,Style 17,FR,Style 13,Footnote Reference/,Style 6"/>
    <w:rsid w:val="002F2787"/>
    <w:rPr>
      <w:rFonts w:ascii="Times New Roman" w:hAnsi="Times New Roman"/>
      <w:dstrike w:val="0"/>
      <w:color w:val="auto"/>
      <w:sz w:val="20"/>
      <w:vertAlign w:val="superscript"/>
    </w:rPr>
  </w:style>
  <w:style w:type="paragraph" w:styleId="TOC1">
    <w:name w:val="toc 1"/>
    <w:basedOn w:val="Normal"/>
    <w:next w:val="Normal"/>
    <w:rsid w:val="002F2787"/>
    <w:pPr>
      <w:tabs>
        <w:tab w:val="left" w:pos="360"/>
        <w:tab w:val="right" w:leader="dot" w:pos="9360"/>
      </w:tabs>
      <w:suppressAutoHyphens/>
      <w:ind w:left="360" w:right="720" w:hanging="360"/>
    </w:pPr>
    <w:rPr>
      <w:caps/>
      <w:noProof/>
    </w:rPr>
  </w:style>
  <w:style w:type="paragraph" w:styleId="TOC2">
    <w:name w:val="toc 2"/>
    <w:basedOn w:val="Normal"/>
    <w:next w:val="Normal"/>
    <w:rsid w:val="002F2787"/>
    <w:pPr>
      <w:tabs>
        <w:tab w:val="left" w:pos="720"/>
        <w:tab w:val="right" w:leader="dot" w:pos="9360"/>
      </w:tabs>
      <w:suppressAutoHyphens/>
      <w:ind w:left="720" w:right="720" w:hanging="360"/>
    </w:pPr>
    <w:rPr>
      <w:noProof/>
    </w:rPr>
  </w:style>
  <w:style w:type="paragraph" w:styleId="TOC3">
    <w:name w:val="toc 3"/>
    <w:basedOn w:val="Normal"/>
    <w:next w:val="Normal"/>
    <w:rsid w:val="002F278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F278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F27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27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27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27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27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2787"/>
    <w:pPr>
      <w:tabs>
        <w:tab w:val="right" w:pos="9360"/>
      </w:tabs>
      <w:suppressAutoHyphens/>
    </w:pPr>
  </w:style>
  <w:style w:type="character" w:customStyle="1" w:styleId="EquationCaption">
    <w:name w:val="_Equation Caption"/>
    <w:rsid w:val="002F2787"/>
  </w:style>
  <w:style w:type="paragraph" w:styleId="Header">
    <w:name w:val="header"/>
    <w:basedOn w:val="Normal"/>
    <w:link w:val="HeaderChar"/>
    <w:autoRedefine/>
    <w:rsid w:val="002F2787"/>
    <w:pPr>
      <w:tabs>
        <w:tab w:val="center" w:pos="4680"/>
        <w:tab w:val="right" w:pos="9360"/>
      </w:tabs>
    </w:pPr>
    <w:rPr>
      <w:b/>
    </w:rPr>
  </w:style>
  <w:style w:type="paragraph" w:styleId="Footer">
    <w:name w:val="footer"/>
    <w:basedOn w:val="Normal"/>
    <w:link w:val="FooterChar"/>
    <w:rsid w:val="002F2787"/>
    <w:pPr>
      <w:tabs>
        <w:tab w:val="center" w:pos="4320"/>
        <w:tab w:val="right" w:pos="8640"/>
      </w:tabs>
    </w:pPr>
  </w:style>
  <w:style w:type="character" w:styleId="PageNumber">
    <w:name w:val="page number"/>
    <w:basedOn w:val="DefaultParagraphFont"/>
    <w:rsid w:val="002F2787"/>
  </w:style>
  <w:style w:type="paragraph" w:styleId="BlockText">
    <w:name w:val="Block Text"/>
    <w:basedOn w:val="Normal"/>
    <w:rsid w:val="002F2787"/>
    <w:pPr>
      <w:spacing w:after="240"/>
      <w:ind w:left="1440" w:right="1440"/>
    </w:pPr>
  </w:style>
  <w:style w:type="paragraph" w:customStyle="1" w:styleId="Paratitle">
    <w:name w:val="Para title"/>
    <w:basedOn w:val="Normal"/>
    <w:rsid w:val="002F2787"/>
    <w:pPr>
      <w:tabs>
        <w:tab w:val="center" w:pos="9270"/>
      </w:tabs>
      <w:spacing w:after="240"/>
    </w:pPr>
    <w:rPr>
      <w:spacing w:val="-2"/>
    </w:rPr>
  </w:style>
  <w:style w:type="paragraph" w:customStyle="1" w:styleId="Bullet">
    <w:name w:val="Bullet"/>
    <w:basedOn w:val="Normal"/>
    <w:rsid w:val="002F2787"/>
    <w:pPr>
      <w:tabs>
        <w:tab w:val="left" w:pos="2160"/>
      </w:tabs>
      <w:spacing w:after="220"/>
      <w:ind w:left="2160" w:hanging="720"/>
    </w:pPr>
  </w:style>
  <w:style w:type="paragraph" w:customStyle="1" w:styleId="TableFormat">
    <w:name w:val="TableFormat"/>
    <w:basedOn w:val="Bullet"/>
    <w:rsid w:val="002F2787"/>
    <w:pPr>
      <w:tabs>
        <w:tab w:val="clear" w:pos="2160"/>
        <w:tab w:val="left" w:pos="5040"/>
      </w:tabs>
      <w:ind w:left="5040" w:hanging="3600"/>
    </w:pPr>
  </w:style>
  <w:style w:type="paragraph" w:customStyle="1" w:styleId="TOCTitle">
    <w:name w:val="TOC Title"/>
    <w:basedOn w:val="Normal"/>
    <w:rsid w:val="002F27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2787"/>
    <w:pPr>
      <w:jc w:val="center"/>
    </w:pPr>
    <w:rPr>
      <w:rFonts w:ascii="Times New Roman Bold" w:hAnsi="Times New Roman Bold"/>
      <w:b/>
      <w:bCs/>
      <w:caps/>
      <w:szCs w:val="22"/>
    </w:rPr>
  </w:style>
  <w:style w:type="character" w:styleId="Hyperlink">
    <w:name w:val="Hyperlink"/>
    <w:rsid w:val="002F2787"/>
    <w:rPr>
      <w:color w:val="0000FF"/>
      <w:u w:val="single"/>
    </w:rPr>
  </w:style>
  <w:style w:type="character" w:customStyle="1" w:styleId="Heading1Char">
    <w:name w:val="Heading 1 Char"/>
    <w:basedOn w:val="DefaultParagraphFont"/>
    <w:link w:val="Heading1"/>
    <w:rsid w:val="007814D1"/>
    <w:rPr>
      <w:rFonts w:ascii="Times New Roman Bold" w:hAnsi="Times New Roman Bold"/>
      <w:b/>
      <w:caps/>
      <w:snapToGrid w:val="0"/>
      <w:kern w:val="28"/>
      <w:sz w:val="22"/>
    </w:rPr>
  </w:style>
  <w:style w:type="character" w:customStyle="1" w:styleId="Heading2Char">
    <w:name w:val="Heading 2 Char"/>
    <w:basedOn w:val="DefaultParagraphFont"/>
    <w:link w:val="Heading2"/>
    <w:rsid w:val="007814D1"/>
    <w:rPr>
      <w:b/>
      <w:snapToGrid w:val="0"/>
      <w:kern w:val="28"/>
      <w:sz w:val="22"/>
    </w:rPr>
  </w:style>
  <w:style w:type="character" w:customStyle="1" w:styleId="Heading3Char">
    <w:name w:val="Heading 3 Char"/>
    <w:basedOn w:val="DefaultParagraphFont"/>
    <w:link w:val="Heading3"/>
    <w:rsid w:val="007814D1"/>
    <w:rPr>
      <w:b/>
      <w:snapToGrid w:val="0"/>
      <w:kern w:val="28"/>
      <w:sz w:val="22"/>
    </w:rPr>
  </w:style>
  <w:style w:type="character" w:customStyle="1" w:styleId="Heading4Char">
    <w:name w:val="Heading 4 Char"/>
    <w:basedOn w:val="DefaultParagraphFont"/>
    <w:link w:val="Heading4"/>
    <w:rsid w:val="007814D1"/>
    <w:rPr>
      <w:b/>
      <w:snapToGrid w:val="0"/>
      <w:kern w:val="28"/>
      <w:sz w:val="22"/>
    </w:rPr>
  </w:style>
  <w:style w:type="character" w:customStyle="1" w:styleId="Heading5Char">
    <w:name w:val="Heading 5 Char"/>
    <w:basedOn w:val="DefaultParagraphFont"/>
    <w:link w:val="Heading5"/>
    <w:rsid w:val="007814D1"/>
    <w:rPr>
      <w:b/>
      <w:snapToGrid w:val="0"/>
      <w:kern w:val="28"/>
      <w:sz w:val="22"/>
    </w:rPr>
  </w:style>
  <w:style w:type="character" w:customStyle="1" w:styleId="Heading6Char">
    <w:name w:val="Heading 6 Char"/>
    <w:basedOn w:val="DefaultParagraphFont"/>
    <w:link w:val="Heading6"/>
    <w:rsid w:val="007814D1"/>
    <w:rPr>
      <w:b/>
      <w:snapToGrid w:val="0"/>
      <w:kern w:val="28"/>
      <w:sz w:val="22"/>
    </w:rPr>
  </w:style>
  <w:style w:type="character" w:customStyle="1" w:styleId="Heading7Char">
    <w:name w:val="Heading 7 Char"/>
    <w:basedOn w:val="DefaultParagraphFont"/>
    <w:link w:val="Heading7"/>
    <w:rsid w:val="007814D1"/>
    <w:rPr>
      <w:b/>
      <w:snapToGrid w:val="0"/>
      <w:kern w:val="28"/>
      <w:sz w:val="22"/>
    </w:rPr>
  </w:style>
  <w:style w:type="character" w:customStyle="1" w:styleId="Heading8Char">
    <w:name w:val="Heading 8 Char"/>
    <w:basedOn w:val="DefaultParagraphFont"/>
    <w:link w:val="Heading8"/>
    <w:rsid w:val="007814D1"/>
    <w:rPr>
      <w:b/>
      <w:snapToGrid w:val="0"/>
      <w:kern w:val="28"/>
      <w:sz w:val="22"/>
    </w:rPr>
  </w:style>
  <w:style w:type="character" w:customStyle="1" w:styleId="Heading9Char">
    <w:name w:val="Heading 9 Char"/>
    <w:basedOn w:val="DefaultParagraphFont"/>
    <w:link w:val="Heading9"/>
    <w:rsid w:val="007814D1"/>
    <w:rPr>
      <w:b/>
      <w:snapToGrid w:val="0"/>
      <w:kern w:val="28"/>
      <w:sz w:val="22"/>
    </w:rPr>
  </w:style>
  <w:style w:type="character" w:customStyle="1" w:styleId="EndnoteTextChar">
    <w:name w:val="Endnote Text Char"/>
    <w:basedOn w:val="DefaultParagraphFont"/>
    <w:link w:val="EndnoteText"/>
    <w:semiHidden/>
    <w:rsid w:val="007814D1"/>
    <w:rPr>
      <w:snapToGrid w:val="0"/>
      <w:kern w:val="28"/>
    </w:rPr>
  </w:style>
  <w:style w:type="character" w:customStyle="1" w:styleId="FootnoteTextChar">
    <w:name w:val="Footnote Text Char"/>
    <w:basedOn w:val="DefaultParagraphFont"/>
    <w:uiPriority w:val="99"/>
    <w:semiHidden/>
    <w:rsid w:val="007814D1"/>
    <w:rPr>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locked/>
    <w:rsid w:val="007814D1"/>
  </w:style>
  <w:style w:type="character" w:customStyle="1" w:styleId="HeaderChar">
    <w:name w:val="Header Char"/>
    <w:basedOn w:val="DefaultParagraphFont"/>
    <w:link w:val="Header"/>
    <w:rsid w:val="007814D1"/>
    <w:rPr>
      <w:b/>
      <w:snapToGrid w:val="0"/>
      <w:kern w:val="28"/>
      <w:sz w:val="22"/>
    </w:rPr>
  </w:style>
  <w:style w:type="character" w:customStyle="1" w:styleId="FooterChar">
    <w:name w:val="Footer Char"/>
    <w:basedOn w:val="DefaultParagraphFont"/>
    <w:link w:val="Footer"/>
    <w:rsid w:val="007814D1"/>
    <w:rPr>
      <w:snapToGrid w:val="0"/>
      <w:kern w:val="28"/>
      <w:sz w:val="22"/>
    </w:rPr>
  </w:style>
  <w:style w:type="character" w:customStyle="1" w:styleId="ParaNumChar">
    <w:name w:val="ParaNum Char"/>
    <w:link w:val="ParaNum"/>
    <w:locked/>
    <w:rsid w:val="007814D1"/>
    <w:rPr>
      <w:snapToGrid w:val="0"/>
      <w:kern w:val="28"/>
      <w:sz w:val="22"/>
    </w:rPr>
  </w:style>
  <w:style w:type="paragraph" w:customStyle="1" w:styleId="StyleParaNumItalic">
    <w:name w:val="Style ParaNum + Italic"/>
    <w:basedOn w:val="ParaNum"/>
    <w:link w:val="StyleParaNumItalicChar"/>
    <w:rsid w:val="007814D1"/>
    <w:pPr>
      <w:widowControl/>
      <w:numPr>
        <w:numId w:val="0"/>
      </w:numPr>
      <w:tabs>
        <w:tab w:val="num" w:pos="990"/>
        <w:tab w:val="num" w:pos="1080"/>
      </w:tabs>
      <w:ind w:firstLine="720"/>
    </w:pPr>
    <w:rPr>
      <w:i/>
      <w:iCs/>
      <w:snapToGrid/>
      <w:lang w:eastAsia="ja-JP"/>
    </w:rPr>
  </w:style>
  <w:style w:type="character" w:customStyle="1" w:styleId="StyleParaNumItalicChar">
    <w:name w:val="Style ParaNum + Italic Char"/>
    <w:link w:val="StyleParaNumItalic"/>
    <w:locked/>
    <w:rsid w:val="007814D1"/>
    <w:rPr>
      <w:i/>
      <w:iCs/>
      <w:kern w:val="28"/>
      <w:sz w:val="22"/>
      <w:lang w:eastAsia="ja-JP"/>
    </w:rPr>
  </w:style>
  <w:style w:type="paragraph" w:customStyle="1" w:styleId="StyleParaNumLeft1">
    <w:name w:val="Style ParaNum + Left1"/>
    <w:basedOn w:val="ParaNum"/>
    <w:rsid w:val="007814D1"/>
    <w:pPr>
      <w:widowControl/>
      <w:numPr>
        <w:numId w:val="3"/>
      </w:numPr>
      <w:tabs>
        <w:tab w:val="num" w:pos="990"/>
      </w:tabs>
    </w:pPr>
    <w:rPr>
      <w:snapToGrid/>
      <w:lang w:eastAsia="ja-JP"/>
    </w:rPr>
  </w:style>
  <w:style w:type="character" w:styleId="CommentReference">
    <w:name w:val="annotation reference"/>
    <w:basedOn w:val="DefaultParagraphFont"/>
    <w:uiPriority w:val="99"/>
    <w:rsid w:val="007814D1"/>
    <w:rPr>
      <w:rFonts w:cs="Times New Roman"/>
      <w:sz w:val="16"/>
    </w:rPr>
  </w:style>
  <w:style w:type="paragraph" w:styleId="CommentText">
    <w:name w:val="annotation text"/>
    <w:basedOn w:val="Normal"/>
    <w:link w:val="CommentTextChar"/>
    <w:uiPriority w:val="99"/>
    <w:rsid w:val="007814D1"/>
    <w:rPr>
      <w:snapToGrid/>
      <w:sz w:val="20"/>
    </w:rPr>
  </w:style>
  <w:style w:type="character" w:customStyle="1" w:styleId="CommentTextChar">
    <w:name w:val="Comment Text Char"/>
    <w:basedOn w:val="DefaultParagraphFont"/>
    <w:link w:val="CommentText"/>
    <w:uiPriority w:val="99"/>
    <w:rsid w:val="007814D1"/>
    <w:rPr>
      <w:kern w:val="28"/>
    </w:rPr>
  </w:style>
  <w:style w:type="paragraph" w:styleId="CommentSubject">
    <w:name w:val="annotation subject"/>
    <w:basedOn w:val="CommentText"/>
    <w:next w:val="CommentText"/>
    <w:link w:val="CommentSubjectChar"/>
    <w:uiPriority w:val="99"/>
    <w:rsid w:val="007814D1"/>
    <w:rPr>
      <w:b/>
      <w:bCs/>
    </w:rPr>
  </w:style>
  <w:style w:type="character" w:customStyle="1" w:styleId="CommentSubjectChar">
    <w:name w:val="Comment Subject Char"/>
    <w:basedOn w:val="CommentTextChar"/>
    <w:link w:val="CommentSubject"/>
    <w:uiPriority w:val="99"/>
    <w:rsid w:val="007814D1"/>
    <w:rPr>
      <w:b/>
      <w:bCs/>
      <w:kern w:val="28"/>
    </w:rPr>
  </w:style>
  <w:style w:type="paragraph" w:styleId="BalloonText">
    <w:name w:val="Balloon Text"/>
    <w:basedOn w:val="Normal"/>
    <w:link w:val="BalloonTextChar"/>
    <w:uiPriority w:val="99"/>
    <w:rsid w:val="007814D1"/>
    <w:rPr>
      <w:rFonts w:ascii="Tahoma" w:hAnsi="Tahoma" w:cs="Tahoma"/>
      <w:snapToGrid/>
      <w:sz w:val="16"/>
      <w:szCs w:val="16"/>
    </w:rPr>
  </w:style>
  <w:style w:type="character" w:customStyle="1" w:styleId="BalloonTextChar">
    <w:name w:val="Balloon Text Char"/>
    <w:basedOn w:val="DefaultParagraphFont"/>
    <w:link w:val="BalloonText"/>
    <w:uiPriority w:val="99"/>
    <w:rsid w:val="007814D1"/>
    <w:rPr>
      <w:rFonts w:ascii="Tahoma" w:hAnsi="Tahoma" w:cs="Tahoma"/>
      <w:kern w:val="28"/>
      <w:sz w:val="16"/>
      <w:szCs w:val="16"/>
    </w:rPr>
  </w:style>
  <w:style w:type="paragraph" w:styleId="NormalWeb">
    <w:name w:val="Normal (Web)"/>
    <w:basedOn w:val="Normal"/>
    <w:uiPriority w:val="99"/>
    <w:rsid w:val="007814D1"/>
    <w:pPr>
      <w:widowControl/>
      <w:spacing w:before="100" w:beforeAutospacing="1" w:after="100" w:afterAutospacing="1"/>
    </w:pPr>
    <w:rPr>
      <w:rFonts w:ascii="Verdana" w:hAnsi="Verdana"/>
      <w:snapToGrid/>
      <w:color w:val="000000"/>
      <w:kern w:val="0"/>
      <w:sz w:val="20"/>
    </w:rPr>
  </w:style>
  <w:style w:type="character" w:styleId="FollowedHyperlink">
    <w:name w:val="FollowedHyperlink"/>
    <w:basedOn w:val="DefaultParagraphFont"/>
    <w:uiPriority w:val="99"/>
    <w:rsid w:val="007814D1"/>
    <w:rPr>
      <w:rFonts w:cs="Times New Roman"/>
      <w:color w:val="800080"/>
      <w:u w:val="single"/>
    </w:rPr>
  </w:style>
  <w:style w:type="paragraph" w:customStyle="1" w:styleId="Default">
    <w:name w:val="Default"/>
    <w:rsid w:val="007814D1"/>
    <w:pPr>
      <w:autoSpaceDE w:val="0"/>
      <w:autoSpaceDN w:val="0"/>
      <w:adjustRightInd w:val="0"/>
    </w:pPr>
    <w:rPr>
      <w:color w:val="000000"/>
      <w:sz w:val="24"/>
      <w:szCs w:val="24"/>
    </w:rPr>
  </w:style>
  <w:style w:type="paragraph" w:styleId="ListParagraph">
    <w:name w:val="List Paragraph"/>
    <w:basedOn w:val="Normal"/>
    <w:uiPriority w:val="34"/>
    <w:qFormat/>
    <w:rsid w:val="007814D1"/>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7814D1"/>
    <w:rPr>
      <w:lang w:val="en-US" w:eastAsia="en-US"/>
    </w:rPr>
  </w:style>
  <w:style w:type="character" w:styleId="Emphasis">
    <w:name w:val="Emphasis"/>
    <w:qFormat/>
    <w:rsid w:val="007814D1"/>
    <w:rPr>
      <w:i/>
      <w:iCs/>
    </w:rPr>
  </w:style>
  <w:style w:type="paragraph" w:styleId="Revision">
    <w:name w:val="Revision"/>
    <w:hidden/>
    <w:uiPriority w:val="99"/>
    <w:semiHidden/>
    <w:rsid w:val="007814D1"/>
    <w:rPr>
      <w:kern w:val="28"/>
      <w:sz w:val="22"/>
    </w:rPr>
  </w:style>
  <w:style w:type="paragraph" w:styleId="ListBullet">
    <w:name w:val="List Bullet"/>
    <w:basedOn w:val="Normal"/>
    <w:uiPriority w:val="99"/>
    <w:unhideWhenUsed/>
    <w:rsid w:val="007814D1"/>
    <w:pPr>
      <w:numPr>
        <w:numId w:val="7"/>
      </w:numPr>
      <w:contextualSpacing/>
    </w:pPr>
    <w:rPr>
      <w:snapToGrid/>
    </w:rPr>
  </w:style>
  <w:style w:type="character" w:styleId="PlaceholderText">
    <w:name w:val="Placeholder Text"/>
    <w:basedOn w:val="DefaultParagraphFont"/>
    <w:uiPriority w:val="99"/>
    <w:semiHidden/>
    <w:rsid w:val="007814D1"/>
    <w:rPr>
      <w:color w:val="808080"/>
    </w:rPr>
  </w:style>
  <w:style w:type="character" w:styleId="Strong">
    <w:name w:val="Strong"/>
    <w:basedOn w:val="DefaultParagraphFont"/>
    <w:uiPriority w:val="22"/>
    <w:qFormat/>
    <w:rsid w:val="007814D1"/>
    <w:rPr>
      <w:b/>
      <w:bCs/>
    </w:rPr>
  </w:style>
  <w:style w:type="character" w:customStyle="1" w:styleId="ParaNumChar1">
    <w:name w:val="ParaNum Char1"/>
    <w:locked/>
    <w:rsid w:val="007814D1"/>
    <w:rPr>
      <w:kern w:val="28"/>
    </w:rPr>
  </w:style>
  <w:style w:type="character" w:customStyle="1" w:styleId="searchterm">
    <w:name w:val="searchterm"/>
    <w:basedOn w:val="DefaultParagraphFont"/>
    <w:rsid w:val="007814D1"/>
  </w:style>
  <w:style w:type="numbering" w:customStyle="1" w:styleId="NoList1">
    <w:name w:val="No List1"/>
    <w:next w:val="NoList"/>
    <w:uiPriority w:val="99"/>
    <w:semiHidden/>
    <w:unhideWhenUsed/>
    <w:rsid w:val="007814D1"/>
  </w:style>
  <w:style w:type="numbering" w:customStyle="1" w:styleId="NoList11">
    <w:name w:val="No List11"/>
    <w:next w:val="NoList"/>
    <w:uiPriority w:val="99"/>
    <w:semiHidden/>
    <w:unhideWhenUsed/>
    <w:rsid w:val="007814D1"/>
  </w:style>
  <w:style w:type="character" w:customStyle="1" w:styleId="FootnoteTextChar2Char">
    <w:name w:val="Footnote Text Char2 Char"/>
    <w:aliases w:val="Footnote Text Char1 Char Char Char Char,Footnote Text Char Char Char Char1 Char Char,Footnote Text Char2 Char Char Char Char Char Char,Footnote Text Char3,Footnote Text Char Char2 Char,Footnote Text Char2 Char Char Char"/>
    <w:locked/>
    <w:rsid w:val="00CD16D7"/>
    <w:rPr>
      <w:rFonts w:ascii="Times New Roman" w:eastAsia="Times New Roman" w:hAnsi="Times New Roman" w:cs="Times New Roman"/>
      <w:sz w:val="20"/>
      <w:szCs w:val="20"/>
    </w:rPr>
  </w:style>
  <w:style w:type="paragraph" w:customStyle="1" w:styleId="Body">
    <w:name w:val="Body"/>
    <w:rsid w:val="003F4E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Bulle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787"/>
    <w:pPr>
      <w:widowControl w:val="0"/>
    </w:pPr>
    <w:rPr>
      <w:snapToGrid w:val="0"/>
      <w:kern w:val="28"/>
      <w:sz w:val="22"/>
    </w:rPr>
  </w:style>
  <w:style w:type="paragraph" w:styleId="Heading1">
    <w:name w:val="heading 1"/>
    <w:basedOn w:val="Normal"/>
    <w:next w:val="ParaNum"/>
    <w:link w:val="Heading1Char"/>
    <w:qFormat/>
    <w:rsid w:val="002F2787"/>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F2787"/>
    <w:pPr>
      <w:keepNext/>
      <w:numPr>
        <w:ilvl w:val="1"/>
        <w:numId w:val="2"/>
      </w:numPr>
      <w:spacing w:after="120"/>
      <w:outlineLvl w:val="1"/>
    </w:pPr>
    <w:rPr>
      <w:b/>
    </w:rPr>
  </w:style>
  <w:style w:type="paragraph" w:styleId="Heading3">
    <w:name w:val="heading 3"/>
    <w:basedOn w:val="Normal"/>
    <w:next w:val="ParaNum"/>
    <w:link w:val="Heading3Char"/>
    <w:qFormat/>
    <w:rsid w:val="002F2787"/>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2F2787"/>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2F2787"/>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2F2787"/>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2F2787"/>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2F2787"/>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F2787"/>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278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2787"/>
  </w:style>
  <w:style w:type="paragraph" w:customStyle="1" w:styleId="ParaNum">
    <w:name w:val="ParaNum"/>
    <w:basedOn w:val="Normal"/>
    <w:link w:val="ParaNumChar"/>
    <w:rsid w:val="002F2787"/>
    <w:pPr>
      <w:numPr>
        <w:numId w:val="1"/>
      </w:numPr>
      <w:tabs>
        <w:tab w:val="clear" w:pos="1080"/>
        <w:tab w:val="num" w:pos="1440"/>
      </w:tabs>
      <w:spacing w:after="120"/>
    </w:pPr>
  </w:style>
  <w:style w:type="paragraph" w:styleId="EndnoteText">
    <w:name w:val="endnote text"/>
    <w:basedOn w:val="Normal"/>
    <w:link w:val="EndnoteTextChar"/>
    <w:semiHidden/>
    <w:rsid w:val="002F2787"/>
    <w:rPr>
      <w:sz w:val="20"/>
    </w:rPr>
  </w:style>
  <w:style w:type="character" w:styleId="EndnoteReference">
    <w:name w:val="endnote reference"/>
    <w:semiHidden/>
    <w:rsid w:val="002F2787"/>
    <w:rPr>
      <w:vertAlign w:val="superscript"/>
    </w:rPr>
  </w:style>
  <w:style w:type="paragraph" w:styleId="FootnoteText">
    <w:name w:val="footnote text"/>
    <w:aliases w:val="Footnote Text Char1,Footnote Text Char Char,Footnote Text Char1 Char Char,Footnote Text Char Char Char Char,Footnote Text Char1 Char Char Char1 Char,Footnote Text Char Char Char Char Char1 Char,Footnote Text Char1 Char2,fn"/>
    <w:link w:val="FootnoteTextChar2"/>
    <w:rsid w:val="002F2787"/>
    <w:pPr>
      <w:spacing w:after="120"/>
    </w:pPr>
  </w:style>
  <w:style w:type="character" w:styleId="FootnoteReference">
    <w:name w:val="footnote reference"/>
    <w:aliases w:val="Appel note de bas de p,o,fr,(NECG) Footnote Reference,Style 12,Style 124,Style 3,Style 17,FR,Style 13,Footnote Reference/,Style 6"/>
    <w:rsid w:val="002F2787"/>
    <w:rPr>
      <w:rFonts w:ascii="Times New Roman" w:hAnsi="Times New Roman"/>
      <w:dstrike w:val="0"/>
      <w:color w:val="auto"/>
      <w:sz w:val="20"/>
      <w:vertAlign w:val="superscript"/>
    </w:rPr>
  </w:style>
  <w:style w:type="paragraph" w:styleId="TOC1">
    <w:name w:val="toc 1"/>
    <w:basedOn w:val="Normal"/>
    <w:next w:val="Normal"/>
    <w:rsid w:val="002F2787"/>
    <w:pPr>
      <w:tabs>
        <w:tab w:val="left" w:pos="360"/>
        <w:tab w:val="right" w:leader="dot" w:pos="9360"/>
      </w:tabs>
      <w:suppressAutoHyphens/>
      <w:ind w:left="360" w:right="720" w:hanging="360"/>
    </w:pPr>
    <w:rPr>
      <w:caps/>
      <w:noProof/>
    </w:rPr>
  </w:style>
  <w:style w:type="paragraph" w:styleId="TOC2">
    <w:name w:val="toc 2"/>
    <w:basedOn w:val="Normal"/>
    <w:next w:val="Normal"/>
    <w:rsid w:val="002F2787"/>
    <w:pPr>
      <w:tabs>
        <w:tab w:val="left" w:pos="720"/>
        <w:tab w:val="right" w:leader="dot" w:pos="9360"/>
      </w:tabs>
      <w:suppressAutoHyphens/>
      <w:ind w:left="720" w:right="720" w:hanging="360"/>
    </w:pPr>
    <w:rPr>
      <w:noProof/>
    </w:rPr>
  </w:style>
  <w:style w:type="paragraph" w:styleId="TOC3">
    <w:name w:val="toc 3"/>
    <w:basedOn w:val="Normal"/>
    <w:next w:val="Normal"/>
    <w:rsid w:val="002F2787"/>
    <w:pPr>
      <w:tabs>
        <w:tab w:val="left" w:pos="1080"/>
        <w:tab w:val="right" w:leader="dot" w:pos="9360"/>
      </w:tabs>
      <w:suppressAutoHyphens/>
      <w:ind w:left="1080" w:right="720" w:hanging="360"/>
    </w:pPr>
    <w:rPr>
      <w:noProof/>
    </w:rPr>
  </w:style>
  <w:style w:type="paragraph" w:styleId="TOC4">
    <w:name w:val="toc 4"/>
    <w:basedOn w:val="Normal"/>
    <w:next w:val="Normal"/>
    <w:autoRedefine/>
    <w:rsid w:val="002F2787"/>
    <w:pPr>
      <w:tabs>
        <w:tab w:val="left" w:pos="1440"/>
        <w:tab w:val="right" w:leader="dot" w:pos="9360"/>
      </w:tabs>
      <w:suppressAutoHyphens/>
      <w:ind w:left="1440" w:right="720" w:hanging="360"/>
    </w:pPr>
    <w:rPr>
      <w:noProof/>
    </w:rPr>
  </w:style>
  <w:style w:type="paragraph" w:styleId="TOC5">
    <w:name w:val="toc 5"/>
    <w:basedOn w:val="Normal"/>
    <w:next w:val="Normal"/>
    <w:autoRedefine/>
    <w:rsid w:val="002F2787"/>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2787"/>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2787"/>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2787"/>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2787"/>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2787"/>
    <w:pPr>
      <w:tabs>
        <w:tab w:val="right" w:pos="9360"/>
      </w:tabs>
      <w:suppressAutoHyphens/>
    </w:pPr>
  </w:style>
  <w:style w:type="character" w:customStyle="1" w:styleId="EquationCaption">
    <w:name w:val="_Equation Caption"/>
    <w:rsid w:val="002F2787"/>
  </w:style>
  <w:style w:type="paragraph" w:styleId="Header">
    <w:name w:val="header"/>
    <w:basedOn w:val="Normal"/>
    <w:link w:val="HeaderChar"/>
    <w:autoRedefine/>
    <w:rsid w:val="002F2787"/>
    <w:pPr>
      <w:tabs>
        <w:tab w:val="center" w:pos="4680"/>
        <w:tab w:val="right" w:pos="9360"/>
      </w:tabs>
    </w:pPr>
    <w:rPr>
      <w:b/>
    </w:rPr>
  </w:style>
  <w:style w:type="paragraph" w:styleId="Footer">
    <w:name w:val="footer"/>
    <w:basedOn w:val="Normal"/>
    <w:link w:val="FooterChar"/>
    <w:rsid w:val="002F2787"/>
    <w:pPr>
      <w:tabs>
        <w:tab w:val="center" w:pos="4320"/>
        <w:tab w:val="right" w:pos="8640"/>
      </w:tabs>
    </w:pPr>
  </w:style>
  <w:style w:type="character" w:styleId="PageNumber">
    <w:name w:val="page number"/>
    <w:basedOn w:val="DefaultParagraphFont"/>
    <w:rsid w:val="002F2787"/>
  </w:style>
  <w:style w:type="paragraph" w:styleId="BlockText">
    <w:name w:val="Block Text"/>
    <w:basedOn w:val="Normal"/>
    <w:rsid w:val="002F2787"/>
    <w:pPr>
      <w:spacing w:after="240"/>
      <w:ind w:left="1440" w:right="1440"/>
    </w:pPr>
  </w:style>
  <w:style w:type="paragraph" w:customStyle="1" w:styleId="Paratitle">
    <w:name w:val="Para title"/>
    <w:basedOn w:val="Normal"/>
    <w:rsid w:val="002F2787"/>
    <w:pPr>
      <w:tabs>
        <w:tab w:val="center" w:pos="9270"/>
      </w:tabs>
      <w:spacing w:after="240"/>
    </w:pPr>
    <w:rPr>
      <w:spacing w:val="-2"/>
    </w:rPr>
  </w:style>
  <w:style w:type="paragraph" w:customStyle="1" w:styleId="Bullet">
    <w:name w:val="Bullet"/>
    <w:basedOn w:val="Normal"/>
    <w:rsid w:val="002F2787"/>
    <w:pPr>
      <w:tabs>
        <w:tab w:val="left" w:pos="2160"/>
      </w:tabs>
      <w:spacing w:after="220"/>
      <w:ind w:left="2160" w:hanging="720"/>
    </w:pPr>
  </w:style>
  <w:style w:type="paragraph" w:customStyle="1" w:styleId="TableFormat">
    <w:name w:val="TableFormat"/>
    <w:basedOn w:val="Bullet"/>
    <w:rsid w:val="002F2787"/>
    <w:pPr>
      <w:tabs>
        <w:tab w:val="clear" w:pos="2160"/>
        <w:tab w:val="left" w:pos="5040"/>
      </w:tabs>
      <w:ind w:left="5040" w:hanging="3600"/>
    </w:pPr>
  </w:style>
  <w:style w:type="paragraph" w:customStyle="1" w:styleId="TOCTitle">
    <w:name w:val="TOC Title"/>
    <w:basedOn w:val="Normal"/>
    <w:rsid w:val="002F2787"/>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2787"/>
    <w:pPr>
      <w:jc w:val="center"/>
    </w:pPr>
    <w:rPr>
      <w:rFonts w:ascii="Times New Roman Bold" w:hAnsi="Times New Roman Bold"/>
      <w:b/>
      <w:bCs/>
      <w:caps/>
      <w:szCs w:val="22"/>
    </w:rPr>
  </w:style>
  <w:style w:type="character" w:styleId="Hyperlink">
    <w:name w:val="Hyperlink"/>
    <w:rsid w:val="002F2787"/>
    <w:rPr>
      <w:color w:val="0000FF"/>
      <w:u w:val="single"/>
    </w:rPr>
  </w:style>
  <w:style w:type="character" w:customStyle="1" w:styleId="Heading1Char">
    <w:name w:val="Heading 1 Char"/>
    <w:basedOn w:val="DefaultParagraphFont"/>
    <w:link w:val="Heading1"/>
    <w:rsid w:val="007814D1"/>
    <w:rPr>
      <w:rFonts w:ascii="Times New Roman Bold" w:hAnsi="Times New Roman Bold"/>
      <w:b/>
      <w:caps/>
      <w:snapToGrid w:val="0"/>
      <w:kern w:val="28"/>
      <w:sz w:val="22"/>
    </w:rPr>
  </w:style>
  <w:style w:type="character" w:customStyle="1" w:styleId="Heading2Char">
    <w:name w:val="Heading 2 Char"/>
    <w:basedOn w:val="DefaultParagraphFont"/>
    <w:link w:val="Heading2"/>
    <w:rsid w:val="007814D1"/>
    <w:rPr>
      <w:b/>
      <w:snapToGrid w:val="0"/>
      <w:kern w:val="28"/>
      <w:sz w:val="22"/>
    </w:rPr>
  </w:style>
  <w:style w:type="character" w:customStyle="1" w:styleId="Heading3Char">
    <w:name w:val="Heading 3 Char"/>
    <w:basedOn w:val="DefaultParagraphFont"/>
    <w:link w:val="Heading3"/>
    <w:rsid w:val="007814D1"/>
    <w:rPr>
      <w:b/>
      <w:snapToGrid w:val="0"/>
      <w:kern w:val="28"/>
      <w:sz w:val="22"/>
    </w:rPr>
  </w:style>
  <w:style w:type="character" w:customStyle="1" w:styleId="Heading4Char">
    <w:name w:val="Heading 4 Char"/>
    <w:basedOn w:val="DefaultParagraphFont"/>
    <w:link w:val="Heading4"/>
    <w:rsid w:val="007814D1"/>
    <w:rPr>
      <w:b/>
      <w:snapToGrid w:val="0"/>
      <w:kern w:val="28"/>
      <w:sz w:val="22"/>
    </w:rPr>
  </w:style>
  <w:style w:type="character" w:customStyle="1" w:styleId="Heading5Char">
    <w:name w:val="Heading 5 Char"/>
    <w:basedOn w:val="DefaultParagraphFont"/>
    <w:link w:val="Heading5"/>
    <w:rsid w:val="007814D1"/>
    <w:rPr>
      <w:b/>
      <w:snapToGrid w:val="0"/>
      <w:kern w:val="28"/>
      <w:sz w:val="22"/>
    </w:rPr>
  </w:style>
  <w:style w:type="character" w:customStyle="1" w:styleId="Heading6Char">
    <w:name w:val="Heading 6 Char"/>
    <w:basedOn w:val="DefaultParagraphFont"/>
    <w:link w:val="Heading6"/>
    <w:rsid w:val="007814D1"/>
    <w:rPr>
      <w:b/>
      <w:snapToGrid w:val="0"/>
      <w:kern w:val="28"/>
      <w:sz w:val="22"/>
    </w:rPr>
  </w:style>
  <w:style w:type="character" w:customStyle="1" w:styleId="Heading7Char">
    <w:name w:val="Heading 7 Char"/>
    <w:basedOn w:val="DefaultParagraphFont"/>
    <w:link w:val="Heading7"/>
    <w:rsid w:val="007814D1"/>
    <w:rPr>
      <w:b/>
      <w:snapToGrid w:val="0"/>
      <w:kern w:val="28"/>
      <w:sz w:val="22"/>
    </w:rPr>
  </w:style>
  <w:style w:type="character" w:customStyle="1" w:styleId="Heading8Char">
    <w:name w:val="Heading 8 Char"/>
    <w:basedOn w:val="DefaultParagraphFont"/>
    <w:link w:val="Heading8"/>
    <w:rsid w:val="007814D1"/>
    <w:rPr>
      <w:b/>
      <w:snapToGrid w:val="0"/>
      <w:kern w:val="28"/>
      <w:sz w:val="22"/>
    </w:rPr>
  </w:style>
  <w:style w:type="character" w:customStyle="1" w:styleId="Heading9Char">
    <w:name w:val="Heading 9 Char"/>
    <w:basedOn w:val="DefaultParagraphFont"/>
    <w:link w:val="Heading9"/>
    <w:rsid w:val="007814D1"/>
    <w:rPr>
      <w:b/>
      <w:snapToGrid w:val="0"/>
      <w:kern w:val="28"/>
      <w:sz w:val="22"/>
    </w:rPr>
  </w:style>
  <w:style w:type="character" w:customStyle="1" w:styleId="EndnoteTextChar">
    <w:name w:val="Endnote Text Char"/>
    <w:basedOn w:val="DefaultParagraphFont"/>
    <w:link w:val="EndnoteText"/>
    <w:semiHidden/>
    <w:rsid w:val="007814D1"/>
    <w:rPr>
      <w:snapToGrid w:val="0"/>
      <w:kern w:val="28"/>
    </w:rPr>
  </w:style>
  <w:style w:type="character" w:customStyle="1" w:styleId="FootnoteTextChar">
    <w:name w:val="Footnote Text Char"/>
    <w:basedOn w:val="DefaultParagraphFont"/>
    <w:uiPriority w:val="99"/>
    <w:semiHidden/>
    <w:rsid w:val="007814D1"/>
    <w:rPr>
      <w:kern w:val="28"/>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1 Char Char,Footnote Text Char Char Char Char Char1 Char Char,fn Char"/>
    <w:basedOn w:val="DefaultParagraphFont"/>
    <w:link w:val="FootnoteText"/>
    <w:locked/>
    <w:rsid w:val="007814D1"/>
  </w:style>
  <w:style w:type="character" w:customStyle="1" w:styleId="HeaderChar">
    <w:name w:val="Header Char"/>
    <w:basedOn w:val="DefaultParagraphFont"/>
    <w:link w:val="Header"/>
    <w:rsid w:val="007814D1"/>
    <w:rPr>
      <w:b/>
      <w:snapToGrid w:val="0"/>
      <w:kern w:val="28"/>
      <w:sz w:val="22"/>
    </w:rPr>
  </w:style>
  <w:style w:type="character" w:customStyle="1" w:styleId="FooterChar">
    <w:name w:val="Footer Char"/>
    <w:basedOn w:val="DefaultParagraphFont"/>
    <w:link w:val="Footer"/>
    <w:rsid w:val="007814D1"/>
    <w:rPr>
      <w:snapToGrid w:val="0"/>
      <w:kern w:val="28"/>
      <w:sz w:val="22"/>
    </w:rPr>
  </w:style>
  <w:style w:type="character" w:customStyle="1" w:styleId="ParaNumChar">
    <w:name w:val="ParaNum Char"/>
    <w:link w:val="ParaNum"/>
    <w:locked/>
    <w:rsid w:val="007814D1"/>
    <w:rPr>
      <w:snapToGrid w:val="0"/>
      <w:kern w:val="28"/>
      <w:sz w:val="22"/>
    </w:rPr>
  </w:style>
  <w:style w:type="paragraph" w:customStyle="1" w:styleId="StyleParaNumItalic">
    <w:name w:val="Style ParaNum + Italic"/>
    <w:basedOn w:val="ParaNum"/>
    <w:link w:val="StyleParaNumItalicChar"/>
    <w:rsid w:val="007814D1"/>
    <w:pPr>
      <w:widowControl/>
      <w:numPr>
        <w:numId w:val="0"/>
      </w:numPr>
      <w:tabs>
        <w:tab w:val="num" w:pos="990"/>
        <w:tab w:val="num" w:pos="1080"/>
      </w:tabs>
      <w:ind w:firstLine="720"/>
    </w:pPr>
    <w:rPr>
      <w:i/>
      <w:iCs/>
      <w:snapToGrid/>
      <w:lang w:eastAsia="ja-JP"/>
    </w:rPr>
  </w:style>
  <w:style w:type="character" w:customStyle="1" w:styleId="StyleParaNumItalicChar">
    <w:name w:val="Style ParaNum + Italic Char"/>
    <w:link w:val="StyleParaNumItalic"/>
    <w:locked/>
    <w:rsid w:val="007814D1"/>
    <w:rPr>
      <w:i/>
      <w:iCs/>
      <w:kern w:val="28"/>
      <w:sz w:val="22"/>
      <w:lang w:eastAsia="ja-JP"/>
    </w:rPr>
  </w:style>
  <w:style w:type="paragraph" w:customStyle="1" w:styleId="StyleParaNumLeft1">
    <w:name w:val="Style ParaNum + Left1"/>
    <w:basedOn w:val="ParaNum"/>
    <w:rsid w:val="007814D1"/>
    <w:pPr>
      <w:widowControl/>
      <w:numPr>
        <w:numId w:val="3"/>
      </w:numPr>
      <w:tabs>
        <w:tab w:val="num" w:pos="990"/>
      </w:tabs>
    </w:pPr>
    <w:rPr>
      <w:snapToGrid/>
      <w:lang w:eastAsia="ja-JP"/>
    </w:rPr>
  </w:style>
  <w:style w:type="character" w:styleId="CommentReference">
    <w:name w:val="annotation reference"/>
    <w:basedOn w:val="DefaultParagraphFont"/>
    <w:uiPriority w:val="99"/>
    <w:rsid w:val="007814D1"/>
    <w:rPr>
      <w:rFonts w:cs="Times New Roman"/>
      <w:sz w:val="16"/>
    </w:rPr>
  </w:style>
  <w:style w:type="paragraph" w:styleId="CommentText">
    <w:name w:val="annotation text"/>
    <w:basedOn w:val="Normal"/>
    <w:link w:val="CommentTextChar"/>
    <w:uiPriority w:val="99"/>
    <w:rsid w:val="007814D1"/>
    <w:rPr>
      <w:snapToGrid/>
      <w:sz w:val="20"/>
    </w:rPr>
  </w:style>
  <w:style w:type="character" w:customStyle="1" w:styleId="CommentTextChar">
    <w:name w:val="Comment Text Char"/>
    <w:basedOn w:val="DefaultParagraphFont"/>
    <w:link w:val="CommentText"/>
    <w:uiPriority w:val="99"/>
    <w:rsid w:val="007814D1"/>
    <w:rPr>
      <w:kern w:val="28"/>
    </w:rPr>
  </w:style>
  <w:style w:type="paragraph" w:styleId="CommentSubject">
    <w:name w:val="annotation subject"/>
    <w:basedOn w:val="CommentText"/>
    <w:next w:val="CommentText"/>
    <w:link w:val="CommentSubjectChar"/>
    <w:uiPriority w:val="99"/>
    <w:rsid w:val="007814D1"/>
    <w:rPr>
      <w:b/>
      <w:bCs/>
    </w:rPr>
  </w:style>
  <w:style w:type="character" w:customStyle="1" w:styleId="CommentSubjectChar">
    <w:name w:val="Comment Subject Char"/>
    <w:basedOn w:val="CommentTextChar"/>
    <w:link w:val="CommentSubject"/>
    <w:uiPriority w:val="99"/>
    <w:rsid w:val="007814D1"/>
    <w:rPr>
      <w:b/>
      <w:bCs/>
      <w:kern w:val="28"/>
    </w:rPr>
  </w:style>
  <w:style w:type="paragraph" w:styleId="BalloonText">
    <w:name w:val="Balloon Text"/>
    <w:basedOn w:val="Normal"/>
    <w:link w:val="BalloonTextChar"/>
    <w:uiPriority w:val="99"/>
    <w:rsid w:val="007814D1"/>
    <w:rPr>
      <w:rFonts w:ascii="Tahoma" w:hAnsi="Tahoma" w:cs="Tahoma"/>
      <w:snapToGrid/>
      <w:sz w:val="16"/>
      <w:szCs w:val="16"/>
    </w:rPr>
  </w:style>
  <w:style w:type="character" w:customStyle="1" w:styleId="BalloonTextChar">
    <w:name w:val="Balloon Text Char"/>
    <w:basedOn w:val="DefaultParagraphFont"/>
    <w:link w:val="BalloonText"/>
    <w:uiPriority w:val="99"/>
    <w:rsid w:val="007814D1"/>
    <w:rPr>
      <w:rFonts w:ascii="Tahoma" w:hAnsi="Tahoma" w:cs="Tahoma"/>
      <w:kern w:val="28"/>
      <w:sz w:val="16"/>
      <w:szCs w:val="16"/>
    </w:rPr>
  </w:style>
  <w:style w:type="paragraph" w:styleId="NormalWeb">
    <w:name w:val="Normal (Web)"/>
    <w:basedOn w:val="Normal"/>
    <w:uiPriority w:val="99"/>
    <w:rsid w:val="007814D1"/>
    <w:pPr>
      <w:widowControl/>
      <w:spacing w:before="100" w:beforeAutospacing="1" w:after="100" w:afterAutospacing="1"/>
    </w:pPr>
    <w:rPr>
      <w:rFonts w:ascii="Verdana" w:hAnsi="Verdana"/>
      <w:snapToGrid/>
      <w:color w:val="000000"/>
      <w:kern w:val="0"/>
      <w:sz w:val="20"/>
    </w:rPr>
  </w:style>
  <w:style w:type="character" w:styleId="FollowedHyperlink">
    <w:name w:val="FollowedHyperlink"/>
    <w:basedOn w:val="DefaultParagraphFont"/>
    <w:uiPriority w:val="99"/>
    <w:rsid w:val="007814D1"/>
    <w:rPr>
      <w:rFonts w:cs="Times New Roman"/>
      <w:color w:val="800080"/>
      <w:u w:val="single"/>
    </w:rPr>
  </w:style>
  <w:style w:type="paragraph" w:customStyle="1" w:styleId="Default">
    <w:name w:val="Default"/>
    <w:rsid w:val="007814D1"/>
    <w:pPr>
      <w:autoSpaceDE w:val="0"/>
      <w:autoSpaceDN w:val="0"/>
      <w:adjustRightInd w:val="0"/>
    </w:pPr>
    <w:rPr>
      <w:color w:val="000000"/>
      <w:sz w:val="24"/>
      <w:szCs w:val="24"/>
    </w:rPr>
  </w:style>
  <w:style w:type="paragraph" w:styleId="ListParagraph">
    <w:name w:val="List Paragraph"/>
    <w:basedOn w:val="Normal"/>
    <w:uiPriority w:val="34"/>
    <w:qFormat/>
    <w:rsid w:val="007814D1"/>
    <w:pPr>
      <w:snapToGrid w:val="0"/>
      <w:ind w:left="720"/>
      <w:contextualSpacing/>
    </w:pPr>
    <w:rPr>
      <w:snapToGrid/>
    </w:rPr>
  </w:style>
  <w:style w:type="character" w:customStyle="1" w:styleId="FootnoteTextCharChar2">
    <w:name w:val="Footnote Text Char Char2"/>
    <w:aliases w:val="Footnote Text Char3 Char Char1,Footnote Text Char4 Char1 Char Char1,Footnote Text Char Char2 Char Char Char2,Footnote Text Char3 Char Char Char2 Char Char1,Footnote Text Char Char2 Char Char Char2 Char Char1,fn Char Char Char2"/>
    <w:uiPriority w:val="99"/>
    <w:semiHidden/>
    <w:locked/>
    <w:rsid w:val="007814D1"/>
    <w:rPr>
      <w:lang w:val="en-US" w:eastAsia="en-US"/>
    </w:rPr>
  </w:style>
  <w:style w:type="character" w:styleId="Emphasis">
    <w:name w:val="Emphasis"/>
    <w:qFormat/>
    <w:rsid w:val="007814D1"/>
    <w:rPr>
      <w:i/>
      <w:iCs/>
    </w:rPr>
  </w:style>
  <w:style w:type="paragraph" w:styleId="Revision">
    <w:name w:val="Revision"/>
    <w:hidden/>
    <w:uiPriority w:val="99"/>
    <w:semiHidden/>
    <w:rsid w:val="007814D1"/>
    <w:rPr>
      <w:kern w:val="28"/>
      <w:sz w:val="22"/>
    </w:rPr>
  </w:style>
  <w:style w:type="paragraph" w:styleId="ListBullet">
    <w:name w:val="List Bullet"/>
    <w:basedOn w:val="Normal"/>
    <w:uiPriority w:val="99"/>
    <w:unhideWhenUsed/>
    <w:rsid w:val="007814D1"/>
    <w:pPr>
      <w:numPr>
        <w:numId w:val="7"/>
      </w:numPr>
      <w:contextualSpacing/>
    </w:pPr>
    <w:rPr>
      <w:snapToGrid/>
    </w:rPr>
  </w:style>
  <w:style w:type="character" w:styleId="PlaceholderText">
    <w:name w:val="Placeholder Text"/>
    <w:basedOn w:val="DefaultParagraphFont"/>
    <w:uiPriority w:val="99"/>
    <w:semiHidden/>
    <w:rsid w:val="007814D1"/>
    <w:rPr>
      <w:color w:val="808080"/>
    </w:rPr>
  </w:style>
  <w:style w:type="character" w:styleId="Strong">
    <w:name w:val="Strong"/>
    <w:basedOn w:val="DefaultParagraphFont"/>
    <w:uiPriority w:val="22"/>
    <w:qFormat/>
    <w:rsid w:val="007814D1"/>
    <w:rPr>
      <w:b/>
      <w:bCs/>
    </w:rPr>
  </w:style>
  <w:style w:type="character" w:customStyle="1" w:styleId="ParaNumChar1">
    <w:name w:val="ParaNum Char1"/>
    <w:locked/>
    <w:rsid w:val="007814D1"/>
    <w:rPr>
      <w:kern w:val="28"/>
    </w:rPr>
  </w:style>
  <w:style w:type="character" w:customStyle="1" w:styleId="searchterm">
    <w:name w:val="searchterm"/>
    <w:basedOn w:val="DefaultParagraphFont"/>
    <w:rsid w:val="007814D1"/>
  </w:style>
  <w:style w:type="numbering" w:customStyle="1" w:styleId="NoList1">
    <w:name w:val="No List1"/>
    <w:next w:val="NoList"/>
    <w:uiPriority w:val="99"/>
    <w:semiHidden/>
    <w:unhideWhenUsed/>
    <w:rsid w:val="007814D1"/>
  </w:style>
  <w:style w:type="numbering" w:customStyle="1" w:styleId="NoList11">
    <w:name w:val="No List11"/>
    <w:next w:val="NoList"/>
    <w:uiPriority w:val="99"/>
    <w:semiHidden/>
    <w:unhideWhenUsed/>
    <w:rsid w:val="007814D1"/>
  </w:style>
  <w:style w:type="character" w:customStyle="1" w:styleId="FootnoteTextChar2Char">
    <w:name w:val="Footnote Text Char2 Char"/>
    <w:aliases w:val="Footnote Text Char1 Char Char Char Char,Footnote Text Char Char Char Char1 Char Char,Footnote Text Char2 Char Char Char Char Char Char,Footnote Text Char3,Footnote Text Char Char2 Char,Footnote Text Char2 Char Char Char"/>
    <w:locked/>
    <w:rsid w:val="00CD16D7"/>
    <w:rPr>
      <w:rFonts w:ascii="Times New Roman" w:eastAsia="Times New Roman" w:hAnsi="Times New Roman" w:cs="Times New Roman"/>
      <w:sz w:val="20"/>
      <w:szCs w:val="20"/>
    </w:rPr>
  </w:style>
  <w:style w:type="paragraph" w:customStyle="1" w:styleId="Body">
    <w:name w:val="Body"/>
    <w:rsid w:val="003F4EEB"/>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5780">
      <w:bodyDiv w:val="1"/>
      <w:marLeft w:val="0"/>
      <w:marRight w:val="0"/>
      <w:marTop w:val="0"/>
      <w:marBottom w:val="0"/>
      <w:divBdr>
        <w:top w:val="none" w:sz="0" w:space="0" w:color="auto"/>
        <w:left w:val="none" w:sz="0" w:space="0" w:color="auto"/>
        <w:bottom w:val="none" w:sz="0" w:space="0" w:color="auto"/>
        <w:right w:val="none" w:sz="0" w:space="0" w:color="auto"/>
      </w:divBdr>
    </w:div>
    <w:div w:id="207677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oetcf/mra/reports/AccreditingBodyReport.cfm" TargetMode="External"/><Relationship Id="rId1" Type="http://schemas.openxmlformats.org/officeDocument/2006/relationships/hyperlink" Target="http://gsi.nist.gov/global/index.cfm/L1-4/L2-16/L3-1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3179</Words>
  <Characters>17880</Characters>
  <Application>Microsoft Office Word</Application>
  <DocSecurity>0</DocSecurity>
  <Lines>282</Lines>
  <Paragraphs>72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21097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2016-06-15T15:09:00Z</cp:lastPrinted>
  <dcterms:created xsi:type="dcterms:W3CDTF">2016-06-15T15:26:00Z</dcterms:created>
  <dcterms:modified xsi:type="dcterms:W3CDTF">2016-06-15T15:26:00Z</dcterms:modified>
  <cp:category> </cp:category>
  <cp:contentStatus> </cp:contentStatus>
</cp:coreProperties>
</file>