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80BDD" w14:textId="77777777" w:rsidR="004C2EE3" w:rsidRPr="00A81C34" w:rsidRDefault="004C2EE3">
      <w:pPr>
        <w:jc w:val="center"/>
        <w:rPr>
          <w:b/>
        </w:rPr>
      </w:pPr>
      <w:bookmarkStart w:id="0" w:name="_GoBack"/>
      <w:bookmarkEnd w:id="0"/>
      <w:r w:rsidRPr="00A81C34">
        <w:rPr>
          <w:b/>
        </w:rPr>
        <w:t>Before the</w:t>
      </w:r>
    </w:p>
    <w:p w14:paraId="504BF7DF" w14:textId="77777777" w:rsidR="00921803" w:rsidRPr="00A81C34" w:rsidRDefault="00921803" w:rsidP="00921803">
      <w:pPr>
        <w:pStyle w:val="StyleBoldCentered"/>
        <w:rPr>
          <w:rFonts w:ascii="Times New Roman" w:hAnsi="Times New Roman"/>
        </w:rPr>
      </w:pPr>
      <w:r w:rsidRPr="00A81C34">
        <w:rPr>
          <w:rFonts w:ascii="Times New Roman" w:hAnsi="Times New Roman"/>
        </w:rPr>
        <w:t>F</w:t>
      </w:r>
      <w:r w:rsidRPr="00A81C34">
        <w:rPr>
          <w:rFonts w:ascii="Times New Roman" w:hAnsi="Times New Roman"/>
          <w:caps w:val="0"/>
        </w:rPr>
        <w:t>ederal Communications Commission</w:t>
      </w:r>
    </w:p>
    <w:p w14:paraId="0D711702" w14:textId="77777777" w:rsidR="004C2EE3" w:rsidRPr="00A81C34" w:rsidRDefault="00810B6F" w:rsidP="00096D8C">
      <w:pPr>
        <w:pStyle w:val="StyleBoldCentered"/>
        <w:rPr>
          <w:rFonts w:ascii="Times New Roman" w:hAnsi="Times New Roman"/>
        </w:rPr>
      </w:pPr>
      <w:r w:rsidRPr="00A81C34">
        <w:rPr>
          <w:rFonts w:ascii="Times New Roman" w:hAnsi="Times New Roman"/>
          <w:caps w:val="0"/>
        </w:rPr>
        <w:t>Washington, D.C. 20554</w:t>
      </w:r>
    </w:p>
    <w:p w14:paraId="468C57E8" w14:textId="77777777" w:rsidR="004C2EE3" w:rsidRPr="00A81C34" w:rsidRDefault="004C2EE3" w:rsidP="0070224F"/>
    <w:tbl>
      <w:tblPr>
        <w:tblW w:w="0" w:type="auto"/>
        <w:tblLayout w:type="fixed"/>
        <w:tblLook w:val="0000" w:firstRow="0" w:lastRow="0" w:firstColumn="0" w:lastColumn="0" w:noHBand="0" w:noVBand="0"/>
      </w:tblPr>
      <w:tblGrid>
        <w:gridCol w:w="4698"/>
        <w:gridCol w:w="630"/>
        <w:gridCol w:w="4248"/>
      </w:tblGrid>
      <w:tr w:rsidR="004C2EE3" w:rsidRPr="00A81C34" w14:paraId="60BBB53F" w14:textId="77777777" w:rsidTr="009945CD">
        <w:trPr>
          <w:trHeight w:val="2772"/>
        </w:trPr>
        <w:tc>
          <w:tcPr>
            <w:tcW w:w="4698" w:type="dxa"/>
          </w:tcPr>
          <w:p w14:paraId="11153142" w14:textId="77777777" w:rsidR="004C2EE3" w:rsidRPr="00A81C34" w:rsidRDefault="004C2EE3">
            <w:pPr>
              <w:tabs>
                <w:tab w:val="center" w:pos="4680"/>
              </w:tabs>
              <w:suppressAutoHyphens/>
              <w:rPr>
                <w:spacing w:val="-2"/>
              </w:rPr>
            </w:pPr>
            <w:r w:rsidRPr="00A81C34">
              <w:rPr>
                <w:spacing w:val="-2"/>
              </w:rPr>
              <w:t>In the Matter of</w:t>
            </w:r>
          </w:p>
          <w:p w14:paraId="750F5983" w14:textId="77777777" w:rsidR="009D0075" w:rsidRDefault="009D0075" w:rsidP="009D0075">
            <w:pPr>
              <w:tabs>
                <w:tab w:val="center" w:pos="4680"/>
              </w:tabs>
              <w:suppressAutoHyphens/>
              <w:rPr>
                <w:spacing w:val="-2"/>
              </w:rPr>
            </w:pPr>
          </w:p>
          <w:p w14:paraId="68E9DAB1" w14:textId="77777777" w:rsidR="00B81E9A" w:rsidRPr="00A81C34" w:rsidRDefault="00772363" w:rsidP="009D0075">
            <w:pPr>
              <w:tabs>
                <w:tab w:val="center" w:pos="4680"/>
              </w:tabs>
              <w:suppressAutoHyphens/>
              <w:rPr>
                <w:spacing w:val="-2"/>
              </w:rPr>
            </w:pPr>
            <w:r>
              <w:rPr>
                <w:spacing w:val="-2"/>
              </w:rPr>
              <w:t>Urban One Broadcasting Network, LLC</w:t>
            </w:r>
          </w:p>
          <w:p w14:paraId="6E77ABEA" w14:textId="77777777" w:rsidR="009D0075" w:rsidRPr="00A81C34" w:rsidRDefault="009D0075" w:rsidP="009D0075">
            <w:pPr>
              <w:tabs>
                <w:tab w:val="center" w:pos="4680"/>
              </w:tabs>
              <w:suppressAutoHyphens/>
              <w:rPr>
                <w:spacing w:val="-2"/>
              </w:rPr>
            </w:pPr>
          </w:p>
          <w:p w14:paraId="000B1444" w14:textId="77777777" w:rsidR="009D0075" w:rsidRPr="00A81C34" w:rsidRDefault="009D0075" w:rsidP="009D0075">
            <w:pPr>
              <w:tabs>
                <w:tab w:val="center" w:pos="4680"/>
              </w:tabs>
              <w:suppressAutoHyphens/>
              <w:rPr>
                <w:spacing w:val="-2"/>
              </w:rPr>
            </w:pPr>
            <w:r w:rsidRPr="00A81C34">
              <w:rPr>
                <w:spacing w:val="-2"/>
              </w:rPr>
              <w:t>Application for Construction Permit for</w:t>
            </w:r>
          </w:p>
          <w:p w14:paraId="441529AD" w14:textId="77777777" w:rsidR="009D0075" w:rsidRPr="00A81C34" w:rsidRDefault="00B81E9A" w:rsidP="009D0075">
            <w:pPr>
              <w:tabs>
                <w:tab w:val="center" w:pos="4680"/>
              </w:tabs>
              <w:suppressAutoHyphens/>
              <w:rPr>
                <w:spacing w:val="-2"/>
              </w:rPr>
            </w:pPr>
            <w:r>
              <w:rPr>
                <w:spacing w:val="-2"/>
              </w:rPr>
              <w:t xml:space="preserve">New </w:t>
            </w:r>
            <w:r w:rsidR="009D0075" w:rsidRPr="00A81C34">
              <w:rPr>
                <w:spacing w:val="-2"/>
              </w:rPr>
              <w:t>FM Station</w:t>
            </w:r>
            <w:r w:rsidR="00843462">
              <w:rPr>
                <w:spacing w:val="-2"/>
              </w:rPr>
              <w:t xml:space="preserve"> </w:t>
            </w:r>
            <w:r w:rsidR="00AE1FF0">
              <w:rPr>
                <w:spacing w:val="-2"/>
              </w:rPr>
              <w:t>W</w:t>
            </w:r>
            <w:r w:rsidR="00772363">
              <w:rPr>
                <w:spacing w:val="-2"/>
              </w:rPr>
              <w:t>URB(FM)</w:t>
            </w:r>
            <w:r w:rsidR="00AE1FF0">
              <w:rPr>
                <w:spacing w:val="-2"/>
              </w:rPr>
              <w:t>, at</w:t>
            </w:r>
          </w:p>
          <w:p w14:paraId="7AECBBCB" w14:textId="77777777" w:rsidR="004C2EE3" w:rsidRDefault="00772363" w:rsidP="009D0075">
            <w:pPr>
              <w:tabs>
                <w:tab w:val="center" w:pos="4680"/>
              </w:tabs>
              <w:suppressAutoHyphens/>
              <w:rPr>
                <w:spacing w:val="-2"/>
              </w:rPr>
            </w:pPr>
            <w:r>
              <w:rPr>
                <w:spacing w:val="-2"/>
              </w:rPr>
              <w:t>Cross City, Florida</w:t>
            </w:r>
          </w:p>
          <w:p w14:paraId="66ED6270" w14:textId="77777777" w:rsidR="00772363" w:rsidRDefault="00772363" w:rsidP="009D0075">
            <w:pPr>
              <w:tabs>
                <w:tab w:val="center" w:pos="4680"/>
              </w:tabs>
              <w:suppressAutoHyphens/>
              <w:rPr>
                <w:spacing w:val="-2"/>
              </w:rPr>
            </w:pPr>
          </w:p>
          <w:p w14:paraId="3BE66118" w14:textId="77777777" w:rsidR="00772363" w:rsidRDefault="00772363" w:rsidP="009D0075">
            <w:pPr>
              <w:tabs>
                <w:tab w:val="center" w:pos="4680"/>
              </w:tabs>
              <w:suppressAutoHyphens/>
              <w:rPr>
                <w:spacing w:val="-2"/>
              </w:rPr>
            </w:pPr>
            <w:r>
              <w:rPr>
                <w:spacing w:val="-2"/>
              </w:rPr>
              <w:t>Application for Construction Permit for</w:t>
            </w:r>
          </w:p>
          <w:p w14:paraId="1027999B" w14:textId="77777777" w:rsidR="00772363" w:rsidRDefault="00772363" w:rsidP="009D0075">
            <w:pPr>
              <w:tabs>
                <w:tab w:val="center" w:pos="4680"/>
              </w:tabs>
              <w:suppressAutoHyphens/>
              <w:rPr>
                <w:spacing w:val="-2"/>
              </w:rPr>
            </w:pPr>
            <w:r>
              <w:rPr>
                <w:spacing w:val="-2"/>
              </w:rPr>
              <w:t>Minor Modification to WURB(FM),</w:t>
            </w:r>
          </w:p>
          <w:p w14:paraId="5A3C9883" w14:textId="77777777" w:rsidR="00772363" w:rsidRPr="00A81C34" w:rsidRDefault="00772363" w:rsidP="009D0075">
            <w:pPr>
              <w:tabs>
                <w:tab w:val="center" w:pos="4680"/>
              </w:tabs>
              <w:suppressAutoHyphens/>
              <w:rPr>
                <w:spacing w:val="-2"/>
              </w:rPr>
            </w:pPr>
            <w:r>
              <w:rPr>
                <w:spacing w:val="-2"/>
              </w:rPr>
              <w:t>Cross City, Florida</w:t>
            </w:r>
          </w:p>
        </w:tc>
        <w:tc>
          <w:tcPr>
            <w:tcW w:w="630" w:type="dxa"/>
          </w:tcPr>
          <w:p w14:paraId="61B3C52F" w14:textId="77777777" w:rsidR="004C2EE3" w:rsidRPr="00A81C34" w:rsidRDefault="004C2EE3">
            <w:pPr>
              <w:tabs>
                <w:tab w:val="center" w:pos="4680"/>
              </w:tabs>
              <w:suppressAutoHyphens/>
              <w:rPr>
                <w:b/>
                <w:spacing w:val="-2"/>
              </w:rPr>
            </w:pPr>
            <w:r w:rsidRPr="00A81C34">
              <w:rPr>
                <w:b/>
                <w:spacing w:val="-2"/>
              </w:rPr>
              <w:t>)</w:t>
            </w:r>
          </w:p>
          <w:p w14:paraId="48A095FB" w14:textId="77777777" w:rsidR="004C2EE3" w:rsidRPr="00A81C34" w:rsidRDefault="004C2EE3">
            <w:pPr>
              <w:tabs>
                <w:tab w:val="center" w:pos="4680"/>
              </w:tabs>
              <w:suppressAutoHyphens/>
              <w:rPr>
                <w:b/>
                <w:spacing w:val="-2"/>
              </w:rPr>
            </w:pPr>
            <w:r w:rsidRPr="00A81C34">
              <w:rPr>
                <w:b/>
                <w:spacing w:val="-2"/>
              </w:rPr>
              <w:t>)</w:t>
            </w:r>
          </w:p>
          <w:p w14:paraId="53A6AC54" w14:textId="77777777" w:rsidR="004C2EE3" w:rsidRPr="00A81C34" w:rsidRDefault="004C2EE3">
            <w:pPr>
              <w:tabs>
                <w:tab w:val="center" w:pos="4680"/>
              </w:tabs>
              <w:suppressAutoHyphens/>
              <w:rPr>
                <w:b/>
                <w:spacing w:val="-2"/>
              </w:rPr>
            </w:pPr>
            <w:r w:rsidRPr="00A81C34">
              <w:rPr>
                <w:b/>
                <w:spacing w:val="-2"/>
              </w:rPr>
              <w:t>)</w:t>
            </w:r>
          </w:p>
          <w:p w14:paraId="3C2DECCE" w14:textId="77777777" w:rsidR="004C2EE3" w:rsidRPr="00A81C34" w:rsidRDefault="004C2EE3">
            <w:pPr>
              <w:tabs>
                <w:tab w:val="center" w:pos="4680"/>
              </w:tabs>
              <w:suppressAutoHyphens/>
              <w:rPr>
                <w:b/>
                <w:spacing w:val="-2"/>
              </w:rPr>
            </w:pPr>
            <w:r w:rsidRPr="00A81C34">
              <w:rPr>
                <w:b/>
                <w:spacing w:val="-2"/>
              </w:rPr>
              <w:t>)</w:t>
            </w:r>
          </w:p>
          <w:p w14:paraId="48E26FF4" w14:textId="77777777" w:rsidR="004C2EE3" w:rsidRPr="00A81C34" w:rsidRDefault="004C2EE3">
            <w:pPr>
              <w:tabs>
                <w:tab w:val="center" w:pos="4680"/>
              </w:tabs>
              <w:suppressAutoHyphens/>
              <w:rPr>
                <w:b/>
                <w:spacing w:val="-2"/>
              </w:rPr>
            </w:pPr>
            <w:r w:rsidRPr="00A81C34">
              <w:rPr>
                <w:b/>
                <w:spacing w:val="-2"/>
              </w:rPr>
              <w:t>)</w:t>
            </w:r>
          </w:p>
          <w:p w14:paraId="31EDCAAB" w14:textId="77777777" w:rsidR="004C2EE3" w:rsidRPr="00A81C34" w:rsidRDefault="004C2EE3">
            <w:pPr>
              <w:tabs>
                <w:tab w:val="center" w:pos="4680"/>
              </w:tabs>
              <w:suppressAutoHyphens/>
              <w:rPr>
                <w:b/>
                <w:spacing w:val="-2"/>
              </w:rPr>
            </w:pPr>
            <w:r w:rsidRPr="00A81C34">
              <w:rPr>
                <w:b/>
                <w:spacing w:val="-2"/>
              </w:rPr>
              <w:t>)</w:t>
            </w:r>
          </w:p>
          <w:p w14:paraId="0A84D299" w14:textId="77777777" w:rsidR="004C2EE3" w:rsidRDefault="004C2EE3">
            <w:pPr>
              <w:tabs>
                <w:tab w:val="center" w:pos="4680"/>
              </w:tabs>
              <w:suppressAutoHyphens/>
              <w:rPr>
                <w:b/>
                <w:spacing w:val="-2"/>
              </w:rPr>
            </w:pPr>
            <w:r w:rsidRPr="00A81C34">
              <w:rPr>
                <w:b/>
                <w:spacing w:val="-2"/>
              </w:rPr>
              <w:t>)</w:t>
            </w:r>
          </w:p>
          <w:p w14:paraId="248FEE35" w14:textId="77777777" w:rsidR="00772363" w:rsidRDefault="00772363">
            <w:pPr>
              <w:tabs>
                <w:tab w:val="center" w:pos="4680"/>
              </w:tabs>
              <w:suppressAutoHyphens/>
              <w:rPr>
                <w:b/>
                <w:spacing w:val="-2"/>
              </w:rPr>
            </w:pPr>
            <w:r>
              <w:rPr>
                <w:b/>
                <w:spacing w:val="-2"/>
              </w:rPr>
              <w:t>)</w:t>
            </w:r>
          </w:p>
          <w:p w14:paraId="40B22AB1" w14:textId="77777777" w:rsidR="00772363" w:rsidRDefault="00772363">
            <w:pPr>
              <w:tabs>
                <w:tab w:val="center" w:pos="4680"/>
              </w:tabs>
              <w:suppressAutoHyphens/>
              <w:rPr>
                <w:b/>
                <w:spacing w:val="-2"/>
              </w:rPr>
            </w:pPr>
            <w:r>
              <w:rPr>
                <w:b/>
                <w:spacing w:val="-2"/>
              </w:rPr>
              <w:t>)</w:t>
            </w:r>
          </w:p>
          <w:p w14:paraId="0E1C8E10" w14:textId="77777777" w:rsidR="00772363" w:rsidRDefault="00772363">
            <w:pPr>
              <w:tabs>
                <w:tab w:val="center" w:pos="4680"/>
              </w:tabs>
              <w:suppressAutoHyphens/>
              <w:rPr>
                <w:b/>
                <w:spacing w:val="-2"/>
              </w:rPr>
            </w:pPr>
            <w:r>
              <w:rPr>
                <w:b/>
                <w:spacing w:val="-2"/>
              </w:rPr>
              <w:t>)</w:t>
            </w:r>
          </w:p>
          <w:p w14:paraId="27813A0C" w14:textId="44FA176F" w:rsidR="00772363" w:rsidRDefault="00772363" w:rsidP="006F5693">
            <w:pPr>
              <w:tabs>
                <w:tab w:val="center" w:pos="4680"/>
              </w:tabs>
              <w:suppressAutoHyphens/>
            </w:pPr>
            <w:r>
              <w:rPr>
                <w:b/>
                <w:spacing w:val="-2"/>
              </w:rPr>
              <w:t>)</w:t>
            </w:r>
          </w:p>
          <w:p w14:paraId="1E8D9CE4" w14:textId="77777777" w:rsidR="006F5693" w:rsidRPr="009945CD" w:rsidRDefault="006F5693" w:rsidP="009945CD"/>
        </w:tc>
        <w:tc>
          <w:tcPr>
            <w:tcW w:w="4248" w:type="dxa"/>
          </w:tcPr>
          <w:p w14:paraId="49299471" w14:textId="77777777" w:rsidR="004C2EE3" w:rsidRPr="00A81C34" w:rsidRDefault="004C2EE3">
            <w:pPr>
              <w:tabs>
                <w:tab w:val="center" w:pos="4680"/>
              </w:tabs>
              <w:suppressAutoHyphens/>
              <w:rPr>
                <w:spacing w:val="-2"/>
              </w:rPr>
            </w:pPr>
          </w:p>
          <w:p w14:paraId="5B309009" w14:textId="77777777" w:rsidR="004C2EE3" w:rsidRPr="00A81C34" w:rsidRDefault="004C2EE3">
            <w:pPr>
              <w:pStyle w:val="TOAHeading"/>
              <w:tabs>
                <w:tab w:val="clear" w:pos="9360"/>
                <w:tab w:val="center" w:pos="4680"/>
              </w:tabs>
              <w:rPr>
                <w:spacing w:val="-2"/>
              </w:rPr>
            </w:pPr>
          </w:p>
          <w:p w14:paraId="71129311" w14:textId="77777777" w:rsidR="00420C49" w:rsidRDefault="00420C49" w:rsidP="009D0075">
            <w:pPr>
              <w:pStyle w:val="TOAHeading"/>
              <w:tabs>
                <w:tab w:val="center" w:pos="4680"/>
              </w:tabs>
              <w:rPr>
                <w:spacing w:val="-2"/>
              </w:rPr>
            </w:pPr>
          </w:p>
          <w:p w14:paraId="70A0DF4B" w14:textId="77777777" w:rsidR="00420C49" w:rsidRDefault="00420C49" w:rsidP="009D0075">
            <w:pPr>
              <w:pStyle w:val="TOAHeading"/>
              <w:tabs>
                <w:tab w:val="center" w:pos="4680"/>
              </w:tabs>
              <w:rPr>
                <w:spacing w:val="-2"/>
              </w:rPr>
            </w:pPr>
          </w:p>
          <w:p w14:paraId="66A344A4" w14:textId="77777777" w:rsidR="00E7333E" w:rsidRDefault="00E7333E" w:rsidP="00E7333E">
            <w:pPr>
              <w:tabs>
                <w:tab w:val="center" w:pos="4680"/>
              </w:tabs>
              <w:suppressAutoHyphens/>
              <w:rPr>
                <w:szCs w:val="22"/>
              </w:rPr>
            </w:pPr>
            <w:r>
              <w:rPr>
                <w:szCs w:val="22"/>
              </w:rPr>
              <w:t>File No. BNPH-20110524AHQ</w:t>
            </w:r>
          </w:p>
          <w:p w14:paraId="208D4649" w14:textId="77777777" w:rsidR="00E7333E" w:rsidRDefault="00E7333E" w:rsidP="00E7333E">
            <w:pPr>
              <w:tabs>
                <w:tab w:val="left" w:pos="0"/>
                <w:tab w:val="left" w:pos="3870"/>
                <w:tab w:val="left" w:pos="4500"/>
                <w:tab w:val="left" w:pos="4590"/>
              </w:tabs>
              <w:suppressAutoHyphens/>
              <w:ind w:left="5040" w:hanging="5040"/>
              <w:rPr>
                <w:szCs w:val="22"/>
              </w:rPr>
            </w:pPr>
            <w:r>
              <w:rPr>
                <w:szCs w:val="22"/>
              </w:rPr>
              <w:t>Facility ID No. 189555</w:t>
            </w:r>
          </w:p>
          <w:p w14:paraId="66CE17EA" w14:textId="77777777" w:rsidR="00E7333E" w:rsidRDefault="00E7333E" w:rsidP="00E7333E">
            <w:pPr>
              <w:tabs>
                <w:tab w:val="left" w:pos="0"/>
                <w:tab w:val="left" w:pos="3870"/>
                <w:tab w:val="left" w:pos="4500"/>
                <w:tab w:val="left" w:pos="4590"/>
              </w:tabs>
              <w:suppressAutoHyphens/>
              <w:ind w:left="5040" w:hanging="5040"/>
              <w:rPr>
                <w:szCs w:val="22"/>
              </w:rPr>
            </w:pPr>
          </w:p>
          <w:p w14:paraId="0B784B18" w14:textId="77777777" w:rsidR="00E7333E" w:rsidRDefault="00E7333E" w:rsidP="00E7333E">
            <w:pPr>
              <w:tabs>
                <w:tab w:val="left" w:pos="0"/>
                <w:tab w:val="left" w:pos="3870"/>
                <w:tab w:val="left" w:pos="4500"/>
                <w:tab w:val="left" w:pos="4590"/>
              </w:tabs>
              <w:suppressAutoHyphens/>
              <w:ind w:left="5040" w:hanging="5040"/>
              <w:rPr>
                <w:szCs w:val="22"/>
              </w:rPr>
            </w:pPr>
          </w:p>
          <w:p w14:paraId="20E59E74" w14:textId="77777777" w:rsidR="00772363" w:rsidRDefault="00772363" w:rsidP="00E7333E">
            <w:pPr>
              <w:tabs>
                <w:tab w:val="left" w:pos="0"/>
                <w:tab w:val="left" w:pos="3870"/>
                <w:tab w:val="left" w:pos="4500"/>
                <w:tab w:val="left" w:pos="4590"/>
              </w:tabs>
              <w:suppressAutoHyphens/>
              <w:ind w:left="5040" w:hanging="5040"/>
              <w:rPr>
                <w:szCs w:val="22"/>
              </w:rPr>
            </w:pPr>
            <w:r>
              <w:rPr>
                <w:szCs w:val="22"/>
              </w:rPr>
              <w:t>File No. BMPH-20140519ABG</w:t>
            </w:r>
          </w:p>
          <w:p w14:paraId="2D74465A" w14:textId="016619D8" w:rsidR="00772363" w:rsidRPr="00A81C34" w:rsidRDefault="009D0075" w:rsidP="006F5693">
            <w:pPr>
              <w:tabs>
                <w:tab w:val="center" w:pos="4680"/>
              </w:tabs>
              <w:suppressAutoHyphens/>
              <w:rPr>
                <w:spacing w:val="-2"/>
              </w:rPr>
            </w:pPr>
            <w:r w:rsidRPr="00A81C34">
              <w:rPr>
                <w:spacing w:val="-2"/>
              </w:rPr>
              <w:t xml:space="preserve">Facility ID No. </w:t>
            </w:r>
            <w:r w:rsidR="00772363">
              <w:rPr>
                <w:szCs w:val="22"/>
              </w:rPr>
              <w:t>189555</w:t>
            </w:r>
          </w:p>
        </w:tc>
      </w:tr>
    </w:tbl>
    <w:p w14:paraId="7C2632EB" w14:textId="77777777" w:rsidR="00841AB1" w:rsidRPr="00A81C34" w:rsidRDefault="009D0075" w:rsidP="00F021FA">
      <w:pPr>
        <w:pStyle w:val="StyleBoldCentered"/>
        <w:rPr>
          <w:rFonts w:ascii="Times New Roman" w:hAnsi="Times New Roman"/>
        </w:rPr>
      </w:pPr>
      <w:r w:rsidRPr="00A81C34">
        <w:rPr>
          <w:rFonts w:ascii="Times New Roman" w:hAnsi="Times New Roman"/>
        </w:rPr>
        <w:t>Memorandum Opinion and order</w:t>
      </w:r>
    </w:p>
    <w:p w14:paraId="607C6A1D" w14:textId="77777777" w:rsidR="004C2EE3" w:rsidRPr="00A81C34" w:rsidRDefault="004C2EE3">
      <w:pPr>
        <w:tabs>
          <w:tab w:val="left" w:pos="-720"/>
        </w:tabs>
        <w:suppressAutoHyphens/>
        <w:spacing w:line="227" w:lineRule="auto"/>
        <w:rPr>
          <w:spacing w:val="-2"/>
        </w:rPr>
      </w:pPr>
    </w:p>
    <w:p w14:paraId="1FFFC769" w14:textId="28F02A68" w:rsidR="004C2EE3" w:rsidRPr="00A81C34" w:rsidRDefault="004C2EE3" w:rsidP="00133F79">
      <w:pPr>
        <w:tabs>
          <w:tab w:val="left" w:pos="720"/>
          <w:tab w:val="right" w:pos="9360"/>
        </w:tabs>
        <w:suppressAutoHyphens/>
        <w:spacing w:line="227" w:lineRule="auto"/>
        <w:rPr>
          <w:spacing w:val="-2"/>
        </w:rPr>
      </w:pPr>
      <w:r w:rsidRPr="00A81C34">
        <w:rPr>
          <w:b/>
          <w:spacing w:val="-2"/>
        </w:rPr>
        <w:t>Adopted:</w:t>
      </w:r>
      <w:r w:rsidR="00BE4FB5">
        <w:rPr>
          <w:b/>
          <w:spacing w:val="-2"/>
        </w:rPr>
        <w:t xml:space="preserve"> </w:t>
      </w:r>
      <w:r w:rsidR="008B4888">
        <w:rPr>
          <w:b/>
          <w:spacing w:val="-2"/>
        </w:rPr>
        <w:t xml:space="preserve"> </w:t>
      </w:r>
      <w:r w:rsidR="00BE4FB5">
        <w:rPr>
          <w:b/>
          <w:spacing w:val="-2"/>
        </w:rPr>
        <w:t>April 5, 2016</w:t>
      </w:r>
      <w:r w:rsidRPr="00A81C34">
        <w:rPr>
          <w:b/>
          <w:spacing w:val="-2"/>
        </w:rPr>
        <w:tab/>
      </w:r>
      <w:r w:rsidR="00822CE0" w:rsidRPr="00A81C34">
        <w:rPr>
          <w:b/>
          <w:spacing w:val="-2"/>
        </w:rPr>
        <w:t>Released</w:t>
      </w:r>
      <w:r w:rsidRPr="00A81C34">
        <w:rPr>
          <w:b/>
          <w:spacing w:val="-2"/>
        </w:rPr>
        <w:t>:</w:t>
      </w:r>
      <w:r w:rsidR="00822CE0" w:rsidRPr="00A81C34">
        <w:rPr>
          <w:b/>
          <w:spacing w:val="-2"/>
        </w:rPr>
        <w:t xml:space="preserve"> </w:t>
      </w:r>
      <w:r w:rsidR="008B4888">
        <w:rPr>
          <w:b/>
          <w:spacing w:val="-2"/>
        </w:rPr>
        <w:t xml:space="preserve"> </w:t>
      </w:r>
      <w:r w:rsidR="00BE4FB5">
        <w:rPr>
          <w:b/>
          <w:spacing w:val="-2"/>
        </w:rPr>
        <w:t>April 5, 2016</w:t>
      </w:r>
    </w:p>
    <w:p w14:paraId="3291B7B3" w14:textId="77777777" w:rsidR="00822CE0" w:rsidRPr="00A81C34" w:rsidRDefault="00822CE0"/>
    <w:p w14:paraId="4F595A43" w14:textId="77777777" w:rsidR="002C5211" w:rsidRDefault="002C5211" w:rsidP="002C5211">
      <w:pPr>
        <w:rPr>
          <w:rFonts w:ascii="Calibri" w:hAnsi="Calibri" w:cs="Calibri"/>
          <w:snapToGrid/>
          <w:color w:val="1F497D"/>
          <w:kern w:val="0"/>
          <w:szCs w:val="22"/>
        </w:rPr>
      </w:pPr>
      <w:r>
        <w:t>By the Commission: </w:t>
      </w:r>
      <w:r>
        <w:rPr>
          <w:rFonts w:ascii="Calibri" w:hAnsi="Calibri" w:cs="Calibri"/>
          <w:color w:val="1F497D"/>
          <w:szCs w:val="22"/>
        </w:rPr>
        <w:t xml:space="preserve"> </w:t>
      </w:r>
      <w:r>
        <w:rPr>
          <w:szCs w:val="22"/>
        </w:rPr>
        <w:t xml:space="preserve">Commissioner Clyburn concurring and issuing a statement. </w:t>
      </w:r>
    </w:p>
    <w:p w14:paraId="713EE0CC" w14:textId="2F9A4BF9" w:rsidR="009D0075" w:rsidRDefault="009D0075" w:rsidP="00D266AB">
      <w:pPr>
        <w:pStyle w:val="ParaNum"/>
      </w:pPr>
      <w:r w:rsidRPr="00A81C34">
        <w:t>In this Memor</w:t>
      </w:r>
      <w:r w:rsidR="00B81E9A">
        <w:t>a</w:t>
      </w:r>
      <w:r w:rsidR="00CB67D7">
        <w:t>ndum Opinion and Order, we</w:t>
      </w:r>
      <w:r w:rsidR="00772363">
        <w:t xml:space="preserve"> </w:t>
      </w:r>
      <w:r w:rsidR="00F04C80">
        <w:t xml:space="preserve">dismiss in part and otherwise </w:t>
      </w:r>
      <w:r w:rsidR="00772363">
        <w:t xml:space="preserve">deny </w:t>
      </w:r>
      <w:r w:rsidRPr="00A81C34">
        <w:t xml:space="preserve">the Application for Review filed by </w:t>
      </w:r>
      <w:r w:rsidR="00772363">
        <w:t xml:space="preserve">Urban One Broadcasting Network, LLC (“Urban One”) </w:t>
      </w:r>
      <w:r w:rsidRPr="00A81C34">
        <w:t xml:space="preserve">on </w:t>
      </w:r>
      <w:r w:rsidR="00175275">
        <w:t>April 1, 2015</w:t>
      </w:r>
      <w:r w:rsidR="00E9783E">
        <w:t xml:space="preserve"> (“Application for Review”)</w:t>
      </w:r>
      <w:r w:rsidRPr="00A81C34">
        <w:t xml:space="preserve">.  </w:t>
      </w:r>
      <w:r w:rsidR="00175275">
        <w:t xml:space="preserve">Urban One </w:t>
      </w:r>
      <w:r w:rsidR="00843462">
        <w:t>seeks review of a</w:t>
      </w:r>
      <w:r w:rsidR="009D4CDB">
        <w:t xml:space="preserve"> March 3, 2015</w:t>
      </w:r>
      <w:r w:rsidR="007E5E11">
        <w:t>,</w:t>
      </w:r>
      <w:r w:rsidR="007A7BA1">
        <w:t xml:space="preserve"> </w:t>
      </w:r>
      <w:r w:rsidR="00E9783E">
        <w:t>Media Bureau (“Bureau”)</w:t>
      </w:r>
      <w:r w:rsidR="00CB67D7">
        <w:t xml:space="preserve"> </w:t>
      </w:r>
      <w:r w:rsidR="004E5965">
        <w:t>decision</w:t>
      </w:r>
      <w:r w:rsidR="004D58A6">
        <w:rPr>
          <w:rStyle w:val="FootnoteReference"/>
        </w:rPr>
        <w:footnoteReference w:id="2"/>
      </w:r>
      <w:r w:rsidR="004E5965">
        <w:t xml:space="preserve"> </w:t>
      </w:r>
      <w:r w:rsidR="00CB67D7">
        <w:t>that</w:t>
      </w:r>
      <w:r w:rsidR="00F44364">
        <w:t>: (1)</w:t>
      </w:r>
      <w:r w:rsidR="00175275">
        <w:t xml:space="preserve"> </w:t>
      </w:r>
      <w:r w:rsidR="00F44364">
        <w:t xml:space="preserve">dismissed </w:t>
      </w:r>
      <w:r w:rsidR="00BC44CF">
        <w:t xml:space="preserve">a Petition for Reconsideration </w:t>
      </w:r>
      <w:r w:rsidR="001549ED">
        <w:t xml:space="preserve">(“Tolling Petition”) </w:t>
      </w:r>
      <w:r w:rsidR="00BC44CF">
        <w:t xml:space="preserve">filed </w:t>
      </w:r>
      <w:r w:rsidR="00F44364">
        <w:t xml:space="preserve">by Urban One on </w:t>
      </w:r>
      <w:r w:rsidR="00BC44CF">
        <w:t xml:space="preserve">July 24, 2014, </w:t>
      </w:r>
      <w:r w:rsidR="00903C4D">
        <w:t>of a June 25, 2014, Bureau decision</w:t>
      </w:r>
      <w:r w:rsidR="00BC44CF">
        <w:t xml:space="preserve"> denying Urban One’s</w:t>
      </w:r>
      <w:r w:rsidR="00433EDD">
        <w:t xml:space="preserve"> June 22, 2014</w:t>
      </w:r>
      <w:r w:rsidR="001871F0">
        <w:t>,</w:t>
      </w:r>
      <w:r w:rsidR="00BC44CF">
        <w:t xml:space="preserve"> </w:t>
      </w:r>
      <w:r w:rsidR="00FC4297">
        <w:t>request to toll its construction period</w:t>
      </w:r>
      <w:r w:rsidR="009C0D35">
        <w:t xml:space="preserve"> for former Station WURB(FM), Cross City, Florida (the “Station”)</w:t>
      </w:r>
      <w:r w:rsidR="00433EDD">
        <w:t xml:space="preserve"> (“Tolling Request”</w:t>
      </w:r>
      <w:r w:rsidR="005A370C">
        <w:t>)</w:t>
      </w:r>
      <w:r w:rsidR="00BC44CF">
        <w:t>;</w:t>
      </w:r>
      <w:r w:rsidR="00BC44CF">
        <w:rPr>
          <w:rStyle w:val="FootnoteReference"/>
        </w:rPr>
        <w:footnoteReference w:id="3"/>
      </w:r>
      <w:r w:rsidR="00BC44CF">
        <w:t xml:space="preserve"> and</w:t>
      </w:r>
      <w:r w:rsidR="00F44364">
        <w:t xml:space="preserve"> (2) denied </w:t>
      </w:r>
      <w:r w:rsidR="00BC44CF">
        <w:t xml:space="preserve">a </w:t>
      </w:r>
      <w:r w:rsidR="005A370C">
        <w:t>second</w:t>
      </w:r>
      <w:r w:rsidR="00433EDD">
        <w:t xml:space="preserve"> </w:t>
      </w:r>
      <w:r w:rsidR="00BC44CF">
        <w:t xml:space="preserve">Petition for Reconsideration </w:t>
      </w:r>
      <w:r w:rsidR="001549ED">
        <w:t xml:space="preserve">(“Modification Petition”) </w:t>
      </w:r>
      <w:r w:rsidR="00BC44CF">
        <w:t xml:space="preserve">filed </w:t>
      </w:r>
      <w:r w:rsidR="00433EDD">
        <w:t xml:space="preserve">by Urban One on </w:t>
      </w:r>
      <w:r w:rsidR="00BC44CF">
        <w:t xml:space="preserve">August  </w:t>
      </w:r>
      <w:r w:rsidR="00A02DF8">
        <w:t xml:space="preserve">4, 2014, of a July 17, 2014, Bureau </w:t>
      </w:r>
      <w:r w:rsidR="00903C4D">
        <w:t>decision</w:t>
      </w:r>
      <w:r w:rsidR="009D4CDB">
        <w:rPr>
          <w:rStyle w:val="FootnoteReference"/>
        </w:rPr>
        <w:footnoteReference w:id="4"/>
      </w:r>
      <w:r w:rsidR="00A02DF8">
        <w:t xml:space="preserve"> </w:t>
      </w:r>
      <w:r w:rsidR="00603A21">
        <w:t>granting in part an informal objection</w:t>
      </w:r>
      <w:r w:rsidR="00FC4297">
        <w:t xml:space="preserve"> to </w:t>
      </w:r>
      <w:r w:rsidR="00433EDD">
        <w:t xml:space="preserve">Urban One’s </w:t>
      </w:r>
      <w:r w:rsidR="00FC4297">
        <w:t>Modification Application</w:t>
      </w:r>
      <w:r w:rsidR="00603A21">
        <w:t xml:space="preserve"> </w:t>
      </w:r>
      <w:r w:rsidR="00603A21">
        <w:rPr>
          <w:color w:val="000000"/>
          <w:szCs w:val="22"/>
        </w:rPr>
        <w:t>(“Informal Objection”</w:t>
      </w:r>
      <w:r w:rsidR="00070CC7">
        <w:rPr>
          <w:color w:val="000000"/>
          <w:szCs w:val="22"/>
        </w:rPr>
        <w:t>)</w:t>
      </w:r>
      <w:r w:rsidR="00603A21">
        <w:rPr>
          <w:color w:val="000000"/>
          <w:szCs w:val="22"/>
        </w:rPr>
        <w:t xml:space="preserve"> filed by Suncoast Radio, Inc. (“Suncoast”) on June 16, 2014</w:t>
      </w:r>
      <w:r w:rsidR="00903C4D">
        <w:t>.</w:t>
      </w:r>
      <w:r w:rsidR="00127714">
        <w:rPr>
          <w:rStyle w:val="FootnoteReference"/>
        </w:rPr>
        <w:footnoteReference w:id="5"/>
      </w:r>
    </w:p>
    <w:p w14:paraId="1442D41E" w14:textId="6E88365E" w:rsidR="00D92A59" w:rsidRDefault="00903C4D" w:rsidP="00D266AB">
      <w:pPr>
        <w:pStyle w:val="ParaNum"/>
      </w:pPr>
      <w:r>
        <w:t xml:space="preserve">On review, Urban One </w:t>
      </w:r>
      <w:r w:rsidR="00431F1D">
        <w:t>argues that the Informal Object</w:t>
      </w:r>
      <w:r w:rsidR="007813E2">
        <w:t>ion</w:t>
      </w:r>
      <w:r w:rsidR="00431F1D">
        <w:t xml:space="preserve"> </w:t>
      </w:r>
      <w:r w:rsidR="009C0D35">
        <w:t xml:space="preserve">was defective because it </w:t>
      </w:r>
      <w:r w:rsidR="00E7178B">
        <w:t>lack</w:t>
      </w:r>
      <w:r w:rsidR="00FC4297">
        <w:t>ed</w:t>
      </w:r>
      <w:r w:rsidR="00E7178B">
        <w:t xml:space="preserve"> an affidavit of a person with personal knowledge of the facts alleged and </w:t>
      </w:r>
      <w:r w:rsidR="00431F1D">
        <w:t>was improperly signed by Suncoast’s attorney rather</w:t>
      </w:r>
      <w:r w:rsidR="00700C19">
        <w:t xml:space="preserve"> than</w:t>
      </w:r>
      <w:r w:rsidR="00431F1D">
        <w:t xml:space="preserve"> an officer or director of the company.</w:t>
      </w:r>
      <w:r w:rsidR="00384CDB">
        <w:rPr>
          <w:rStyle w:val="FootnoteReference"/>
        </w:rPr>
        <w:footnoteReference w:id="6"/>
      </w:r>
      <w:r w:rsidR="00431F1D">
        <w:t xml:space="preserve">  </w:t>
      </w:r>
      <w:r w:rsidR="007813E2">
        <w:t xml:space="preserve">Urban One </w:t>
      </w:r>
      <w:r w:rsidR="00431F1D">
        <w:t xml:space="preserve">also </w:t>
      </w:r>
      <w:r w:rsidR="00FC4297">
        <w:t>disagrees with</w:t>
      </w:r>
      <w:r w:rsidR="004D58A6">
        <w:t xml:space="preserve"> </w:t>
      </w:r>
      <w:r w:rsidR="004B7A4A">
        <w:t xml:space="preserve">the Bureau’s </w:t>
      </w:r>
      <w:r w:rsidR="00537AF5">
        <w:t xml:space="preserve">“untruthful and incorrect” </w:t>
      </w:r>
      <w:r w:rsidR="00A8265C">
        <w:t>finding</w:t>
      </w:r>
      <w:r w:rsidR="009C0D35">
        <w:t xml:space="preserve"> in the </w:t>
      </w:r>
      <w:r w:rsidR="009C0D35">
        <w:rPr>
          <w:i/>
        </w:rPr>
        <w:t>Reconsideration Decision</w:t>
      </w:r>
      <w:r w:rsidR="004716DC">
        <w:t xml:space="preserve"> </w:t>
      </w:r>
      <w:r w:rsidR="004B7A4A">
        <w:t xml:space="preserve">that </w:t>
      </w:r>
      <w:r w:rsidR="007813E2">
        <w:t>it did not pay the filing fees</w:t>
      </w:r>
      <w:r w:rsidR="00431F1D">
        <w:t xml:space="preserve"> for</w:t>
      </w:r>
      <w:r w:rsidR="004B7A4A">
        <w:t>: (1)</w:t>
      </w:r>
      <w:r w:rsidR="00431F1D">
        <w:t xml:space="preserve"> a request for </w:t>
      </w:r>
      <w:r w:rsidR="00700C19">
        <w:t xml:space="preserve">engineering </w:t>
      </w:r>
      <w:r w:rsidR="00431F1D">
        <w:t>special temporary authority (“STA Request”</w:t>
      </w:r>
      <w:r w:rsidR="00003B98">
        <w:t>) submitted</w:t>
      </w:r>
      <w:r w:rsidR="004C51CD">
        <w:t xml:space="preserve"> in </w:t>
      </w:r>
      <w:r w:rsidR="00700C19">
        <w:t>the Media Bureau’s Consolidated Database System (“</w:t>
      </w:r>
      <w:r w:rsidR="004C51CD">
        <w:t>CDBS</w:t>
      </w:r>
      <w:r w:rsidR="00700C19">
        <w:t>”) online electronic filing system</w:t>
      </w:r>
      <w:r w:rsidR="004C51CD">
        <w:t xml:space="preserve"> on</w:t>
      </w:r>
      <w:r w:rsidR="004B7A4A">
        <w:t xml:space="preserve"> July 18, 2014</w:t>
      </w:r>
      <w:r w:rsidR="00A8265C">
        <w:t xml:space="preserve"> (</w:t>
      </w:r>
      <w:r w:rsidR="004C51CD">
        <w:t>amended July 21, 2014)</w:t>
      </w:r>
      <w:r w:rsidR="004B7A4A">
        <w:t>;</w:t>
      </w:r>
      <w:r w:rsidR="004C51CD">
        <w:t xml:space="preserve"> and</w:t>
      </w:r>
      <w:r w:rsidR="004B7A4A">
        <w:t xml:space="preserve"> (2)</w:t>
      </w:r>
      <w:r w:rsidR="00A8265C">
        <w:t xml:space="preserve"> a</w:t>
      </w:r>
      <w:r w:rsidR="004C51CD">
        <w:t xml:space="preserve"> licens</w:t>
      </w:r>
      <w:r w:rsidR="00003B98">
        <w:t>e to cover application submitted</w:t>
      </w:r>
      <w:r w:rsidR="004C51CD">
        <w:t xml:space="preserve"> in CDBS on July 21, 2014 (“License Application”).</w:t>
      </w:r>
      <w:r w:rsidR="004D58A6">
        <w:rPr>
          <w:rStyle w:val="FootnoteReference"/>
        </w:rPr>
        <w:footnoteReference w:id="7"/>
      </w:r>
      <w:r w:rsidR="007813E2">
        <w:t xml:space="preserve">  </w:t>
      </w:r>
      <w:r w:rsidR="004D58A6">
        <w:t>This finding</w:t>
      </w:r>
      <w:r w:rsidR="00891BB4">
        <w:t xml:space="preserve">, Urban One claims, </w:t>
      </w:r>
      <w:r w:rsidR="004716DC">
        <w:t>violated</w:t>
      </w:r>
      <w:r w:rsidR="00B6114A">
        <w:t xml:space="preserve"> Section 1.17</w:t>
      </w:r>
      <w:r w:rsidR="00891BB4">
        <w:t xml:space="preserve"> of the Rules, which </w:t>
      </w:r>
      <w:r w:rsidR="00891BB4">
        <w:lastRenderedPageBreak/>
        <w:t>requires “truthful and accurate statements to the Commission.”</w:t>
      </w:r>
      <w:r w:rsidR="00891BB4">
        <w:rPr>
          <w:rStyle w:val="FootnoteReference"/>
        </w:rPr>
        <w:footnoteReference w:id="8"/>
      </w:r>
      <w:r w:rsidR="00891BB4">
        <w:t xml:space="preserve">  </w:t>
      </w:r>
      <w:r w:rsidR="009263DC">
        <w:t>If the Bureau was unable to find that the License Application was grantable, according to Urban One, it was required to designate the matter for a hearing under Section 1.68</w:t>
      </w:r>
      <w:r w:rsidR="009C0D35">
        <w:t>(b)</w:t>
      </w:r>
      <w:r w:rsidR="009263DC">
        <w:t xml:space="preserve"> of the Rules.</w:t>
      </w:r>
      <w:r w:rsidR="009263DC">
        <w:rPr>
          <w:rStyle w:val="FootnoteReference"/>
        </w:rPr>
        <w:footnoteReference w:id="9"/>
      </w:r>
      <w:r w:rsidR="009263DC">
        <w:t xml:space="preserve">  </w:t>
      </w:r>
      <w:r w:rsidR="00263ABC">
        <w:t>Urban One also claims that</w:t>
      </w:r>
      <w:r w:rsidR="00162D9D">
        <w:t xml:space="preserve">, in the </w:t>
      </w:r>
      <w:r w:rsidR="00162D9D">
        <w:rPr>
          <w:i/>
        </w:rPr>
        <w:t>Reconsideration Decision</w:t>
      </w:r>
      <w:r w:rsidR="00162D9D">
        <w:t>, the</w:t>
      </w:r>
      <w:r w:rsidR="0086048C">
        <w:t xml:space="preserve"> </w:t>
      </w:r>
      <w:r w:rsidR="00263ABC">
        <w:t>Bureau erroneously dismissed</w:t>
      </w:r>
      <w:r w:rsidR="00162D9D">
        <w:t xml:space="preserve"> as a new argument</w:t>
      </w:r>
      <w:r w:rsidR="005A13C0">
        <w:rPr>
          <w:i/>
        </w:rPr>
        <w:t xml:space="preserve"> </w:t>
      </w:r>
      <w:r w:rsidR="00263ABC">
        <w:t>its</w:t>
      </w:r>
      <w:r w:rsidR="00CC3C61">
        <w:t xml:space="preserve"> </w:t>
      </w:r>
      <w:r w:rsidR="00162D9D">
        <w:t>claim in the Tolling Petition</w:t>
      </w:r>
      <w:r w:rsidR="005A13C0">
        <w:t xml:space="preserve"> </w:t>
      </w:r>
      <w:r w:rsidR="00162D9D">
        <w:t xml:space="preserve">that </w:t>
      </w:r>
      <w:r w:rsidR="00263ABC">
        <w:t>the tolling rules</w:t>
      </w:r>
      <w:r w:rsidR="009C0D35" w:rsidRPr="009C0D35">
        <w:t xml:space="preserve"> </w:t>
      </w:r>
      <w:r w:rsidR="005A13C0">
        <w:t xml:space="preserve">should have been waived </w:t>
      </w:r>
      <w:r w:rsidR="009C0D35">
        <w:t>to afford Urban One an extension of its construction deadline (“Waiver Request”)</w:t>
      </w:r>
      <w:r w:rsidR="00263ABC">
        <w:t>.</w:t>
      </w:r>
      <w:r w:rsidR="00263ABC">
        <w:rPr>
          <w:rStyle w:val="FootnoteReference"/>
        </w:rPr>
        <w:footnoteReference w:id="10"/>
      </w:r>
      <w:r w:rsidR="00263ABC" w:rsidRPr="009263DC">
        <w:t xml:space="preserve"> </w:t>
      </w:r>
      <w:r w:rsidR="00263ABC">
        <w:t xml:space="preserve"> </w:t>
      </w:r>
    </w:p>
    <w:p w14:paraId="62D04CDA" w14:textId="10242EC7" w:rsidR="00903C4D" w:rsidRDefault="003B3E3E" w:rsidP="00D266AB">
      <w:pPr>
        <w:pStyle w:val="ParaNum"/>
      </w:pPr>
      <w:r>
        <w:t>H</w:t>
      </w:r>
      <w:r w:rsidR="00C0173E">
        <w:t>ad</w:t>
      </w:r>
      <w:r w:rsidR="00891BB4">
        <w:t xml:space="preserve"> </w:t>
      </w:r>
      <w:r>
        <w:t xml:space="preserve">the </w:t>
      </w:r>
      <w:r w:rsidR="00891BB4">
        <w:t xml:space="preserve">STA </w:t>
      </w:r>
      <w:r w:rsidR="00B6114A">
        <w:t xml:space="preserve">Request </w:t>
      </w:r>
      <w:r w:rsidR="00891BB4">
        <w:t xml:space="preserve">been </w:t>
      </w:r>
      <w:r>
        <w:t xml:space="preserve">accepted and </w:t>
      </w:r>
      <w:r w:rsidR="00891BB4">
        <w:t>granted</w:t>
      </w:r>
      <w:r>
        <w:t>, Urban One contends,</w:t>
      </w:r>
      <w:r w:rsidR="00A8265C">
        <w:t xml:space="preserve"> it could have operated</w:t>
      </w:r>
      <w:r w:rsidR="00C64218">
        <w:t xml:space="preserve"> </w:t>
      </w:r>
      <w:r w:rsidR="00A8265C">
        <w:t>“</w:t>
      </w:r>
      <w:r w:rsidR="00C64218">
        <w:t>from its modification site</w:t>
      </w:r>
      <w:r w:rsidR="00891BB4">
        <w:t>”</w:t>
      </w:r>
      <w:r w:rsidR="00F36484">
        <w:t xml:space="preserve"> </w:t>
      </w:r>
      <w:r w:rsidR="00C0173E">
        <w:t xml:space="preserve">without </w:t>
      </w:r>
      <w:r w:rsidR="00C64218">
        <w:t xml:space="preserve">following </w:t>
      </w:r>
      <w:r w:rsidR="00C64218">
        <w:rPr>
          <w:color w:val="000000"/>
          <w:szCs w:val="22"/>
        </w:rPr>
        <w:t>the</w:t>
      </w:r>
      <w:r w:rsidR="00234A65">
        <w:rPr>
          <w:color w:val="000000"/>
          <w:szCs w:val="22"/>
        </w:rPr>
        <w:t xml:space="preserve"> public notice</w:t>
      </w:r>
      <w:r w:rsidR="00C64218" w:rsidRPr="003B3E3E">
        <w:rPr>
          <w:color w:val="000000"/>
          <w:szCs w:val="22"/>
        </w:rPr>
        <w:t xml:space="preserve"> procedure</w:t>
      </w:r>
      <w:r w:rsidR="00C64218">
        <w:rPr>
          <w:color w:val="000000"/>
          <w:szCs w:val="22"/>
        </w:rPr>
        <w:t xml:space="preserve"> set out in Section 1.1307(a)(4) of the Rules and Section 106 of the National Historic Preservation Act (“Section 106 Review”)</w:t>
      </w:r>
      <w:r>
        <w:rPr>
          <w:color w:val="000000"/>
          <w:szCs w:val="22"/>
        </w:rPr>
        <w:t>.</w:t>
      </w:r>
      <w:r w:rsidR="00C64218">
        <w:rPr>
          <w:rStyle w:val="FootnoteReference"/>
          <w:szCs w:val="22"/>
        </w:rPr>
        <w:footnoteReference w:id="11"/>
      </w:r>
      <w:r w:rsidR="007813E2">
        <w:t xml:space="preserve">  </w:t>
      </w:r>
      <w:r w:rsidR="00A8265C">
        <w:t xml:space="preserve">Urban One </w:t>
      </w:r>
      <w:r w:rsidR="0029266D">
        <w:t xml:space="preserve">also </w:t>
      </w:r>
      <w:r w:rsidR="00A8265C">
        <w:t>argues that</w:t>
      </w:r>
      <w:r w:rsidR="00384CDB">
        <w:t xml:space="preserve"> if the Bureau had accepted and granted the License Application</w:t>
      </w:r>
      <w:r w:rsidR="005A370C">
        <w:t xml:space="preserve"> predicated on such temporary operation</w:t>
      </w:r>
      <w:r w:rsidR="00384CDB">
        <w:t xml:space="preserve">, </w:t>
      </w:r>
      <w:r w:rsidR="00891BB4">
        <w:t>the</w:t>
      </w:r>
      <w:r w:rsidR="00384CDB">
        <w:t xml:space="preserve"> “requested program tests would have extended [Urban One’s] construction permit deadline beyond July 21, 2014.”</w:t>
      </w:r>
      <w:r w:rsidR="00384CDB">
        <w:rPr>
          <w:rStyle w:val="FootnoteReference"/>
        </w:rPr>
        <w:footnoteReference w:id="12"/>
      </w:r>
      <w:r w:rsidR="007813E2">
        <w:t xml:space="preserve"> </w:t>
      </w:r>
      <w:r w:rsidR="00F36484">
        <w:t xml:space="preserve"> </w:t>
      </w:r>
      <w:r w:rsidR="009263DC">
        <w:t xml:space="preserve">Finally, </w:t>
      </w:r>
      <w:r w:rsidR="0029266D">
        <w:t xml:space="preserve">Urban One </w:t>
      </w:r>
      <w:r w:rsidR="00EE2A29">
        <w:t>alleges</w:t>
      </w:r>
      <w:r w:rsidR="0029266D">
        <w:t xml:space="preserve"> that t</w:t>
      </w:r>
      <w:r w:rsidR="00F36484">
        <w:t xml:space="preserve">he Bureau’s failure to </w:t>
      </w:r>
      <w:r w:rsidR="009263DC">
        <w:t xml:space="preserve">waive </w:t>
      </w:r>
      <w:r w:rsidR="0029266D">
        <w:t>the</w:t>
      </w:r>
      <w:r>
        <w:t xml:space="preserve"> </w:t>
      </w:r>
      <w:r w:rsidR="00127714">
        <w:t>c</w:t>
      </w:r>
      <w:r w:rsidR="0029266D">
        <w:t xml:space="preserve">onstruction </w:t>
      </w:r>
      <w:r w:rsidR="005A370C">
        <w:t xml:space="preserve">deadline </w:t>
      </w:r>
      <w:r w:rsidR="009263DC">
        <w:t>was discriminatory.</w:t>
      </w:r>
      <w:r w:rsidR="009263DC">
        <w:rPr>
          <w:rStyle w:val="FootnoteReference"/>
        </w:rPr>
        <w:footnoteReference w:id="13"/>
      </w:r>
    </w:p>
    <w:p w14:paraId="41E511E5" w14:textId="68B4897E" w:rsidR="00CF5994" w:rsidRDefault="003B3E3E" w:rsidP="0077743A">
      <w:pPr>
        <w:pStyle w:val="ParaNum"/>
      </w:pPr>
      <w:r>
        <w:t xml:space="preserve">Upon review of the Application for Review and the entire record, we </w:t>
      </w:r>
      <w:r w:rsidR="009C0D35">
        <w:t>affirm the Bureau’s conclusion that the construction permit automatically expired on July 21, 2014</w:t>
      </w:r>
      <w:r w:rsidR="00086A01">
        <w:t>,</w:t>
      </w:r>
      <w:r w:rsidR="009C0D35">
        <w:t xml:space="preserve"> and therefore was forfeited</w:t>
      </w:r>
      <w:r w:rsidR="00EA2B3E">
        <w:t xml:space="preserve">, and we dismiss in part and otherwise deny Urban One’s Application for Review.  </w:t>
      </w:r>
      <w:r w:rsidR="008F4698">
        <w:t xml:space="preserve">We uphold the Bureau’s dismissal of the Tolling Petition on procedural grounds, for the reasons stated in the </w:t>
      </w:r>
      <w:r w:rsidR="008F4698" w:rsidRPr="00F427ED">
        <w:rPr>
          <w:i/>
        </w:rPr>
        <w:t>Reconsideration Decision</w:t>
      </w:r>
      <w:r w:rsidR="008F4698">
        <w:t>.</w:t>
      </w:r>
      <w:r w:rsidR="00EA2B3E" w:rsidRPr="00EA2B3E">
        <w:rPr>
          <w:rStyle w:val="FootnoteReference"/>
        </w:rPr>
        <w:t xml:space="preserve"> </w:t>
      </w:r>
      <w:r w:rsidR="00EA2B3E">
        <w:rPr>
          <w:rStyle w:val="FootnoteReference"/>
        </w:rPr>
        <w:footnoteReference w:id="14"/>
      </w:r>
      <w:r w:rsidR="008F4698">
        <w:t xml:space="preserve">  </w:t>
      </w:r>
      <w:r w:rsidR="00FD0ADB">
        <w:t>As an alternative and independent basis for affirming the Bureau’s decision not to grant reconsideration</w:t>
      </w:r>
      <w:r w:rsidR="00E11492">
        <w:t xml:space="preserve"> on the tolling issue</w:t>
      </w:r>
      <w:r w:rsidR="00FD0ADB">
        <w:t xml:space="preserve">, we find, for the reasons stated by the Bureau in the </w:t>
      </w:r>
      <w:r w:rsidR="00FD0ADB">
        <w:rPr>
          <w:i/>
        </w:rPr>
        <w:t>Reconsideration Decision</w:t>
      </w:r>
      <w:r w:rsidR="00FD0ADB">
        <w:t>, that the Tolling Petition failed to demonstrate on the merits that the Commission’s rules should be waived to permit the extension of Urban One’s construction deadline.</w:t>
      </w:r>
      <w:r w:rsidR="00FD0ADB">
        <w:rPr>
          <w:rStyle w:val="FootnoteReference"/>
        </w:rPr>
        <w:footnoteReference w:id="15"/>
      </w:r>
      <w:r w:rsidR="00FD0ADB">
        <w:t xml:space="preserve">  </w:t>
      </w:r>
      <w:r w:rsidR="00CF5994">
        <w:t xml:space="preserve">We find Urban One’s assertion that the Bureau treated it differently from other applicants to be unfounded.  Urban One’s Application for Review cites no case law in support of its claim that the Commission has treated other applicants more favorably, and the only case cited below is inapplicable for the reasons stated in the </w:t>
      </w:r>
      <w:r w:rsidR="00CF5994">
        <w:rPr>
          <w:i/>
        </w:rPr>
        <w:t>Reconsideration Decision</w:t>
      </w:r>
      <w:r w:rsidR="00CF5994">
        <w:t>.</w:t>
      </w:r>
      <w:r w:rsidR="00CF5994">
        <w:rPr>
          <w:rStyle w:val="FootnoteReference"/>
        </w:rPr>
        <w:footnoteReference w:id="16"/>
      </w:r>
    </w:p>
    <w:p w14:paraId="27D49385" w14:textId="4BCEE18D" w:rsidR="009C0D35" w:rsidRDefault="008F4698" w:rsidP="0077743A">
      <w:pPr>
        <w:pStyle w:val="ParaNum"/>
      </w:pPr>
      <w:r>
        <w:lastRenderedPageBreak/>
        <w:t xml:space="preserve">The remainder of </w:t>
      </w:r>
      <w:r w:rsidR="004169E5">
        <w:t>Urban One</w:t>
      </w:r>
      <w:r>
        <w:t xml:space="preserve">’s arguments are impermissibly raised for the first time on review, and </w:t>
      </w:r>
      <w:r w:rsidR="005A370C">
        <w:t>accordingly are dismissed</w:t>
      </w:r>
      <w:r>
        <w:t>.</w:t>
      </w:r>
      <w:r>
        <w:rPr>
          <w:rStyle w:val="FootnoteReference"/>
        </w:rPr>
        <w:footnoteReference w:id="17"/>
      </w:r>
      <w:r w:rsidR="005A370C">
        <w:t xml:space="preserve">  In any case, all of the new arguments are meritless, and as a separate and independent basis for denying the Application for Review, we reject them for the following reasons.  </w:t>
      </w:r>
      <w:r w:rsidR="002A4597">
        <w:t>With regard to the adequacy of the Suncoast Informal Objection, t</w:t>
      </w:r>
      <w:r w:rsidR="004169E5">
        <w:t xml:space="preserve">he Rules permit an attorney to sign </w:t>
      </w:r>
      <w:r w:rsidR="00127714">
        <w:t xml:space="preserve">a pleading </w:t>
      </w:r>
      <w:r w:rsidR="004169E5">
        <w:t>for the party represented.</w:t>
      </w:r>
      <w:r w:rsidR="004169E5">
        <w:rPr>
          <w:rStyle w:val="FootnoteReference"/>
        </w:rPr>
        <w:footnoteReference w:id="18"/>
      </w:r>
      <w:r w:rsidR="00B6114A">
        <w:t xml:space="preserve">  </w:t>
      </w:r>
      <w:r w:rsidR="002A4597">
        <w:t xml:space="preserve">Moreover, </w:t>
      </w:r>
      <w:r w:rsidR="00A7382C" w:rsidRPr="00A7382C">
        <w:t>the Informal Objection relied solely on facts of which the Commission can take official notice, and a supporting affidavit therefore was unnecessary.</w:t>
      </w:r>
      <w:r w:rsidR="00E7178B">
        <w:rPr>
          <w:rStyle w:val="FootnoteReference"/>
        </w:rPr>
        <w:footnoteReference w:id="19"/>
      </w:r>
      <w:r w:rsidR="00BD0B47">
        <w:t xml:space="preserve">  Urban One is not entitled to a hearing </w:t>
      </w:r>
      <w:r w:rsidR="002A4597">
        <w:t xml:space="preserve">regarding its License Application </w:t>
      </w:r>
      <w:r w:rsidR="00BD0B47">
        <w:t xml:space="preserve">under </w:t>
      </w:r>
      <w:r w:rsidR="00AC2D6C">
        <w:t>Section 1.68</w:t>
      </w:r>
      <w:r w:rsidR="002A4597">
        <w:t xml:space="preserve"> of the Rules</w:t>
      </w:r>
      <w:r w:rsidR="00D535E4">
        <w:t xml:space="preserve">.  This is </w:t>
      </w:r>
      <w:r w:rsidR="007C248F">
        <w:t xml:space="preserve">because the License Application </w:t>
      </w:r>
      <w:r w:rsidR="00D535E4">
        <w:t>proposes to cover different facilities at a different site under different terms.</w:t>
      </w:r>
      <w:r w:rsidR="00D25500">
        <w:rPr>
          <w:rStyle w:val="FootnoteReference"/>
        </w:rPr>
        <w:footnoteReference w:id="20"/>
      </w:r>
      <w:r w:rsidR="00D535E4">
        <w:t xml:space="preserve">  In other words, the license application did not cover the construction permit held by Urban One at all, but, as Urban One self-describes, is actually an application for </w:t>
      </w:r>
      <w:r w:rsidR="00C965DF">
        <w:t>“</w:t>
      </w:r>
      <w:r w:rsidR="00240AA0">
        <w:t>license to cover . . . STA operations.”</w:t>
      </w:r>
      <w:r w:rsidR="00240AA0">
        <w:rPr>
          <w:rStyle w:val="FootnoteReference"/>
        </w:rPr>
        <w:footnoteReference w:id="21"/>
      </w:r>
    </w:p>
    <w:p w14:paraId="1035AD77" w14:textId="075C5865" w:rsidR="00C8409D" w:rsidRDefault="00D05986" w:rsidP="000F3AE4">
      <w:pPr>
        <w:pStyle w:val="ParaNum"/>
        <w:widowControl/>
      </w:pPr>
      <w:r>
        <w:t xml:space="preserve">Finally, </w:t>
      </w:r>
      <w:r w:rsidR="009C0D35">
        <w:t xml:space="preserve">we note that the outcome of this case would not change even if the STA Request and License Application had been </w:t>
      </w:r>
      <w:r w:rsidR="00E1653C">
        <w:t xml:space="preserve">promptly </w:t>
      </w:r>
      <w:r w:rsidR="009C0D35">
        <w:t>accepted for filing.</w:t>
      </w:r>
      <w:r w:rsidR="00507182">
        <w:rPr>
          <w:rStyle w:val="FootnoteReference"/>
        </w:rPr>
        <w:footnoteReference w:id="22"/>
      </w:r>
      <w:r w:rsidR="009C0D35">
        <w:t xml:space="preserve">  Neither special temporary authority</w:t>
      </w:r>
      <w:r w:rsidR="006B4194">
        <w:t xml:space="preserve"> </w:t>
      </w:r>
      <w:r w:rsidR="009D34E0">
        <w:t>nor program test authority</w:t>
      </w:r>
      <w:r w:rsidR="00DC7210">
        <w:t xml:space="preserve"> </w:t>
      </w:r>
      <w:r w:rsidR="000535FB">
        <w:t xml:space="preserve">typically associated with a </w:t>
      </w:r>
      <w:r w:rsidR="009C0D35">
        <w:t xml:space="preserve">“license to cover” </w:t>
      </w:r>
      <w:r w:rsidR="000535FB">
        <w:t>application</w:t>
      </w:r>
      <w:r w:rsidR="009C0D35">
        <w:t xml:space="preserve"> would</w:t>
      </w:r>
      <w:r w:rsidR="006B4194">
        <w:t xml:space="preserve"> </w:t>
      </w:r>
      <w:r w:rsidR="009C0D35">
        <w:t xml:space="preserve">modify the terms of the Construction Permit or extend its expiration date. </w:t>
      </w:r>
      <w:r w:rsidR="00507182">
        <w:t xml:space="preserve"> </w:t>
      </w:r>
      <w:r w:rsidR="00CC6387">
        <w:t xml:space="preserve">While the Bureau does grant STAs under </w:t>
      </w:r>
      <w:r w:rsidR="00CC6387">
        <w:lastRenderedPageBreak/>
        <w:t>appropriate circumstances, it does not do so to allow a permittee that fails to timely construct as authorized to keep its permit alive past the unmet construction deadline, as Urban One proposes here.</w:t>
      </w:r>
      <w:r w:rsidR="00CC6387">
        <w:rPr>
          <w:rStyle w:val="FootnoteReference"/>
        </w:rPr>
        <w:footnoteReference w:id="23"/>
      </w:r>
      <w:r w:rsidR="00CC6387">
        <w:t xml:space="preserve">  Urban One’s reliance on 47 C.F.R. § 73.1620 is misplaced because that rule requires that facilities be constructed “in accordance with the terms of the construction permit,” and Urban One’s STA Request proposed facilities that did not conform to the specifications authorized by the Station </w:t>
      </w:r>
      <w:r w:rsidR="008346F8">
        <w:t>C</w:t>
      </w:r>
      <w:r w:rsidR="00CC6387">
        <w:t xml:space="preserve">onstruction </w:t>
      </w:r>
      <w:r w:rsidR="008346F8">
        <w:t>P</w:t>
      </w:r>
      <w:r w:rsidR="00CC6387">
        <w:t>ermit.</w:t>
      </w:r>
      <w:r w:rsidR="00CC6387">
        <w:rPr>
          <w:rStyle w:val="FootnoteReference"/>
        </w:rPr>
        <w:footnoteReference w:id="24"/>
      </w:r>
      <w:r w:rsidR="00CC6387">
        <w:t xml:space="preserve">  Section 319(b) of the Act specifically provides that a “permit will be automatically forfeited if the station is not ready for operation within the time specified….”</w:t>
      </w:r>
      <w:r w:rsidR="00CC6387">
        <w:rPr>
          <w:rStyle w:val="FootnoteReference"/>
        </w:rPr>
        <w:footnoteReference w:id="25"/>
      </w:r>
      <w:r w:rsidR="00CC6387">
        <w:t xml:space="preserve">   A license will be granted </w:t>
      </w:r>
      <w:r w:rsidR="00AD656E">
        <w:t xml:space="preserve">only </w:t>
      </w:r>
      <w:r w:rsidR="00CC6387">
        <w:t>if “all the terms, conditions, and obligations set forth in the application and permit have been fully met….”</w:t>
      </w:r>
      <w:r w:rsidR="00CC6387">
        <w:rPr>
          <w:rStyle w:val="FootnoteReference"/>
        </w:rPr>
        <w:footnoteReference w:id="26"/>
      </w:r>
      <w:r w:rsidR="00CC6387">
        <w:t xml:space="preserve">  Thus, to warrant the issuance of a license, the Station must have been timely constructed in accordance with </w:t>
      </w:r>
      <w:r w:rsidR="008346F8">
        <w:t>the C</w:t>
      </w:r>
      <w:r w:rsidR="00CC6387">
        <w:t xml:space="preserve">onstruction </w:t>
      </w:r>
      <w:r w:rsidR="008346F8">
        <w:t>P</w:t>
      </w:r>
      <w:r w:rsidR="00CC6387">
        <w:t>ermit and be ready to commence operation and service to its authorized community of license, not only “some portion” thereof, as Urban One suggests.</w:t>
      </w:r>
      <w:r w:rsidR="00CC6387">
        <w:rPr>
          <w:rStyle w:val="FootnoteReference"/>
        </w:rPr>
        <w:footnoteReference w:id="27"/>
      </w:r>
      <w:r w:rsidR="003A56EE">
        <w:t xml:space="preserve">  </w:t>
      </w:r>
      <w:r w:rsidR="00CC6387">
        <w:t xml:space="preserve">Urban One fashioned its proposed temporary facility as merely a stopgap to allow it to certify construction of </w:t>
      </w:r>
      <w:r w:rsidR="00CC6387" w:rsidRPr="000F3AE4">
        <w:rPr>
          <w:i/>
        </w:rPr>
        <w:t xml:space="preserve">some </w:t>
      </w:r>
      <w:r w:rsidR="00CC6387">
        <w:t>facility by the July 21, 2014</w:t>
      </w:r>
      <w:r w:rsidR="00086A01">
        <w:t>,</w:t>
      </w:r>
      <w:r w:rsidR="00CC6387">
        <w:t xml:space="preserve"> deadline, with the transparent objective of submitting an inferior technical proposal that could be granted by that impending deadline “to allow it to operate at the modified temporary tower site until a new collocation site [is] secured.”</w:t>
      </w:r>
      <w:r w:rsidR="00CC6387">
        <w:rPr>
          <w:rStyle w:val="FootnoteReference"/>
        </w:rPr>
        <w:footnoteReference w:id="28"/>
      </w:r>
      <w:r w:rsidR="00CC6387">
        <w:t xml:space="preserve">  Because Urban One failed to file a license application by the July 21, 2014</w:t>
      </w:r>
      <w:r w:rsidR="00086A01">
        <w:t>,</w:t>
      </w:r>
      <w:r w:rsidR="00CC6387">
        <w:t xml:space="preserve"> deadline certifying the completion of the facilities authorized in </w:t>
      </w:r>
      <w:r w:rsidR="008346F8">
        <w:t>the C</w:t>
      </w:r>
      <w:r w:rsidR="00CC6387">
        <w:t xml:space="preserve">onstruction </w:t>
      </w:r>
      <w:r w:rsidR="008346F8">
        <w:t>P</w:t>
      </w:r>
      <w:r w:rsidR="00CC6387">
        <w:t xml:space="preserve">ermit, the Bureau appropriately declared the permit automatically expired by operation of </w:t>
      </w:r>
      <w:r w:rsidR="008346F8">
        <w:t>S</w:t>
      </w:r>
      <w:r w:rsidR="00CC6387">
        <w:t>ection 319 of the Act, as of that deadline.</w:t>
      </w:r>
      <w:r w:rsidR="00CC6387">
        <w:rPr>
          <w:rStyle w:val="FootnoteReference"/>
        </w:rPr>
        <w:footnoteReference w:id="29"/>
      </w:r>
      <w:r w:rsidR="00086A01">
        <w:t xml:space="preserve">  </w:t>
      </w:r>
      <w:r w:rsidR="007840DF">
        <w:t>Therefore, w</w:t>
      </w:r>
      <w:r w:rsidR="003B3E3E">
        <w:t xml:space="preserve">e uphold the Bureau’s decision for the reasons stated </w:t>
      </w:r>
      <w:r w:rsidR="001242ED">
        <w:t>herein</w:t>
      </w:r>
      <w:r w:rsidR="003B3E3E">
        <w:t xml:space="preserve">. </w:t>
      </w:r>
    </w:p>
    <w:p w14:paraId="1D474862" w14:textId="49DF225A" w:rsidR="001E0D3F" w:rsidRDefault="009D0075" w:rsidP="003A56EE">
      <w:pPr>
        <w:pStyle w:val="ParaNum"/>
      </w:pPr>
      <w:r w:rsidRPr="00A81C34">
        <w:t>Accordingly, IT IS ORDERED that, pursuant to Section 5(c)</w:t>
      </w:r>
      <w:r w:rsidR="001E7506">
        <w:t>(4),</w:t>
      </w:r>
      <w:r w:rsidRPr="00A81C34">
        <w:t>(5) of the Communications Act of 1934, as amended,</w:t>
      </w:r>
      <w:r w:rsidRPr="00A81C34">
        <w:rPr>
          <w:vertAlign w:val="superscript"/>
        </w:rPr>
        <w:footnoteReference w:id="30"/>
      </w:r>
      <w:r w:rsidRPr="00A81C34">
        <w:t xml:space="preserve"> and Section</w:t>
      </w:r>
      <w:r w:rsidR="008B488D">
        <w:t>s</w:t>
      </w:r>
      <w:r w:rsidRPr="00A81C34">
        <w:t xml:space="preserve"> 1.115</w:t>
      </w:r>
      <w:r w:rsidR="008B488D">
        <w:t>(</w:t>
      </w:r>
      <w:r w:rsidR="009A5D81">
        <w:t>c</w:t>
      </w:r>
      <w:r w:rsidR="008B488D">
        <w:t>) and (g) of the Commission’s R</w:t>
      </w:r>
      <w:r w:rsidRPr="00A81C34">
        <w:t>ules,</w:t>
      </w:r>
      <w:r w:rsidRPr="00A81C34">
        <w:rPr>
          <w:vertAlign w:val="superscript"/>
        </w:rPr>
        <w:footnoteReference w:id="31"/>
      </w:r>
      <w:r w:rsidRPr="00A81C34">
        <w:t xml:space="preserve"> the Application for Review</w:t>
      </w:r>
      <w:r w:rsidR="001E0D3F">
        <w:t xml:space="preserve"> filed </w:t>
      </w:r>
      <w:r w:rsidR="001E0D3F" w:rsidRPr="00A81C34">
        <w:t xml:space="preserve">by </w:t>
      </w:r>
      <w:r w:rsidR="00946087">
        <w:t xml:space="preserve">Urban One Broadcasting Network, LLC </w:t>
      </w:r>
      <w:r w:rsidR="00946087" w:rsidRPr="00A81C34">
        <w:t xml:space="preserve">on </w:t>
      </w:r>
      <w:r w:rsidR="00946087">
        <w:t>April 1, 2015</w:t>
      </w:r>
      <w:r w:rsidR="005808E2">
        <w:t>,</w:t>
      </w:r>
      <w:r w:rsidR="001E0D3F">
        <w:t xml:space="preserve"> </w:t>
      </w:r>
      <w:r w:rsidRPr="00A81C34">
        <w:t xml:space="preserve">IS </w:t>
      </w:r>
      <w:r w:rsidR="004169E5">
        <w:t>DENIED</w:t>
      </w:r>
      <w:r w:rsidR="009A5D81">
        <w:t xml:space="preserve"> with respect to the Bureau’s decision not to grant a waiver of the tolling rules or the construction deadline and IS DISMISSED and in the alternative IS DENIED</w:t>
      </w:r>
      <w:r w:rsidR="009A5D81" w:rsidRPr="000565ED">
        <w:t xml:space="preserve"> </w:t>
      </w:r>
      <w:r w:rsidR="009A5D81">
        <w:t xml:space="preserve">with respect to the newly raised arguments discussed in </w:t>
      </w:r>
      <w:r w:rsidR="009A5D81" w:rsidRPr="00321D79">
        <w:t>paragraphs 5 and 6 of this Order</w:t>
      </w:r>
      <w:r w:rsidR="009A5D81">
        <w:t>.</w:t>
      </w:r>
    </w:p>
    <w:p w14:paraId="04FEC7F3" w14:textId="77777777" w:rsidR="003976BF" w:rsidRDefault="003976BF" w:rsidP="003976BF"/>
    <w:p w14:paraId="52B095A4" w14:textId="77777777" w:rsidR="005E0FBC" w:rsidRDefault="005E0FBC" w:rsidP="003A56EE">
      <w:pPr>
        <w:widowControl/>
      </w:pPr>
      <w:r>
        <w:tab/>
      </w:r>
      <w:r>
        <w:tab/>
      </w:r>
      <w:r>
        <w:tab/>
      </w:r>
      <w:r>
        <w:tab/>
      </w:r>
      <w:r>
        <w:tab/>
      </w:r>
      <w:r>
        <w:tab/>
        <w:t>FEDERAL COMMUNICATIONS COMMISSION</w:t>
      </w:r>
    </w:p>
    <w:p w14:paraId="5B699DB3" w14:textId="77777777" w:rsidR="005E0FBC" w:rsidRDefault="005E0FBC" w:rsidP="0017296B"/>
    <w:p w14:paraId="7DD3D628" w14:textId="77777777" w:rsidR="005E0FBC" w:rsidRDefault="005E0FBC" w:rsidP="0017296B"/>
    <w:p w14:paraId="42CBBF95" w14:textId="77777777" w:rsidR="005E0FBC" w:rsidRDefault="005E0FBC" w:rsidP="0017296B"/>
    <w:p w14:paraId="1D818522" w14:textId="77777777" w:rsidR="005E0FBC" w:rsidRDefault="005E0FBC" w:rsidP="0017296B"/>
    <w:p w14:paraId="0CDD2034" w14:textId="77777777" w:rsidR="005E0FBC" w:rsidRDefault="005E0FBC" w:rsidP="0017296B">
      <w:r>
        <w:tab/>
      </w:r>
      <w:r>
        <w:tab/>
      </w:r>
      <w:r>
        <w:tab/>
      </w:r>
      <w:r>
        <w:tab/>
      </w:r>
      <w:r>
        <w:tab/>
      </w:r>
      <w:r>
        <w:tab/>
        <w:t>Marlene H. Dortch</w:t>
      </w:r>
    </w:p>
    <w:p w14:paraId="6321A9E5" w14:textId="274D3B23" w:rsidR="00EB18DB" w:rsidRDefault="005E0FBC" w:rsidP="00EB18DB">
      <w:r>
        <w:tab/>
      </w:r>
      <w:r>
        <w:tab/>
      </w:r>
      <w:r>
        <w:tab/>
      </w:r>
      <w:r>
        <w:tab/>
      </w:r>
      <w:r>
        <w:tab/>
      </w:r>
      <w:r>
        <w:tab/>
        <w:t>Secretary</w:t>
      </w:r>
    </w:p>
    <w:p w14:paraId="7579E31B" w14:textId="77777777" w:rsidR="00000855" w:rsidRDefault="00000855" w:rsidP="00EB18DB">
      <w:pPr>
        <w:sectPr w:rsidR="00000855" w:rsidSect="00000855">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cols w:space="720"/>
          <w:noEndnote/>
          <w:titlePg/>
          <w:docGrid w:linePitch="299"/>
        </w:sectPr>
      </w:pPr>
    </w:p>
    <w:p w14:paraId="685DD96D" w14:textId="1D7F9F2B" w:rsidR="00933ABA" w:rsidRDefault="00933ABA" w:rsidP="00EB18DB">
      <w:pPr>
        <w:jc w:val="center"/>
        <w:rPr>
          <w:rFonts w:eastAsiaTheme="minorHAnsi"/>
          <w:b/>
          <w:snapToGrid/>
          <w:kern w:val="0"/>
          <w:szCs w:val="22"/>
        </w:rPr>
      </w:pPr>
      <w:r>
        <w:rPr>
          <w:b/>
        </w:rPr>
        <w:lastRenderedPageBreak/>
        <w:t xml:space="preserve">CONCURRING STATEMENT </w:t>
      </w:r>
      <w:r w:rsidRPr="00FA65AD">
        <w:rPr>
          <w:rFonts w:eastAsiaTheme="minorHAnsi"/>
          <w:b/>
          <w:snapToGrid/>
          <w:kern w:val="0"/>
          <w:szCs w:val="22"/>
        </w:rPr>
        <w:t>OF</w:t>
      </w:r>
    </w:p>
    <w:p w14:paraId="736B0BA1" w14:textId="77777777" w:rsidR="00933ABA" w:rsidRDefault="00933ABA" w:rsidP="00933ABA">
      <w:pPr>
        <w:jc w:val="center"/>
        <w:rPr>
          <w:rFonts w:eastAsiaTheme="minorHAnsi"/>
          <w:b/>
          <w:snapToGrid/>
          <w:kern w:val="0"/>
          <w:szCs w:val="22"/>
        </w:rPr>
      </w:pPr>
      <w:r w:rsidRPr="00FA65AD">
        <w:rPr>
          <w:rFonts w:eastAsiaTheme="minorHAnsi"/>
          <w:b/>
          <w:snapToGrid/>
          <w:kern w:val="0"/>
          <w:szCs w:val="22"/>
        </w:rPr>
        <w:t>COMMISSIONER MIGNON L. CLYBURN</w:t>
      </w:r>
    </w:p>
    <w:p w14:paraId="6CAA01F1" w14:textId="77777777" w:rsidR="00933ABA" w:rsidRPr="00FA65AD" w:rsidRDefault="00933ABA" w:rsidP="00933ABA">
      <w:pPr>
        <w:jc w:val="center"/>
        <w:rPr>
          <w:rFonts w:eastAsiaTheme="minorHAnsi"/>
          <w:b/>
          <w:snapToGrid/>
          <w:kern w:val="0"/>
          <w:szCs w:val="22"/>
        </w:rPr>
      </w:pPr>
    </w:p>
    <w:p w14:paraId="46284DDA" w14:textId="77777777" w:rsidR="00421A90" w:rsidRDefault="00933ABA" w:rsidP="00421A90">
      <w:pPr>
        <w:tabs>
          <w:tab w:val="left" w:pos="450"/>
          <w:tab w:val="center" w:pos="4680"/>
        </w:tabs>
        <w:suppressAutoHyphens/>
        <w:rPr>
          <w:i/>
          <w:spacing w:val="-2"/>
        </w:rPr>
      </w:pPr>
      <w:r w:rsidRPr="00FA65AD">
        <w:rPr>
          <w:rFonts w:eastAsiaTheme="minorHAnsi"/>
          <w:snapToGrid/>
          <w:kern w:val="0"/>
          <w:szCs w:val="22"/>
        </w:rPr>
        <w:t>Re:</w:t>
      </w:r>
      <w:r>
        <w:rPr>
          <w:rFonts w:eastAsiaTheme="minorHAnsi"/>
          <w:snapToGrid/>
          <w:kern w:val="0"/>
          <w:szCs w:val="22"/>
        </w:rPr>
        <w:t xml:space="preserve">  </w:t>
      </w:r>
      <w:r w:rsidRPr="00E87EDA">
        <w:rPr>
          <w:i/>
          <w:spacing w:val="-2"/>
        </w:rPr>
        <w:t>Urban One Broadcasting Network, LLC, Application for Construction Permit for New FM Station</w:t>
      </w:r>
    </w:p>
    <w:p w14:paraId="51196E77" w14:textId="761DEE51" w:rsidR="00933ABA" w:rsidRDefault="00421A90" w:rsidP="00421A90">
      <w:pPr>
        <w:tabs>
          <w:tab w:val="left" w:pos="360"/>
          <w:tab w:val="center" w:pos="4680"/>
        </w:tabs>
        <w:suppressAutoHyphens/>
        <w:rPr>
          <w:rFonts w:eastAsiaTheme="minorHAnsi"/>
          <w:iCs/>
          <w:snapToGrid/>
          <w:kern w:val="0"/>
          <w:szCs w:val="22"/>
        </w:rPr>
      </w:pPr>
      <w:r>
        <w:rPr>
          <w:i/>
          <w:spacing w:val="-2"/>
        </w:rPr>
        <w:tab/>
      </w:r>
      <w:r w:rsidR="00933ABA" w:rsidRPr="00E87EDA">
        <w:rPr>
          <w:i/>
          <w:spacing w:val="-2"/>
        </w:rPr>
        <w:t xml:space="preserve"> WURB(FM), at Cross City, Florida,</w:t>
      </w:r>
      <w:r w:rsidR="00933ABA">
        <w:rPr>
          <w:spacing w:val="-2"/>
        </w:rPr>
        <w:t xml:space="preserve"> </w:t>
      </w:r>
      <w:r w:rsidR="008A337B">
        <w:rPr>
          <w:rFonts w:eastAsiaTheme="minorHAnsi"/>
          <w:iCs/>
          <w:snapToGrid/>
          <w:kern w:val="0"/>
          <w:szCs w:val="22"/>
        </w:rPr>
        <w:t>Memorandum Opinion and Order.</w:t>
      </w:r>
    </w:p>
    <w:p w14:paraId="57AFA512" w14:textId="77777777" w:rsidR="00933ABA" w:rsidRPr="00FA65AD" w:rsidRDefault="00933ABA" w:rsidP="00933ABA">
      <w:pPr>
        <w:tabs>
          <w:tab w:val="center" w:pos="4680"/>
        </w:tabs>
        <w:suppressAutoHyphens/>
        <w:rPr>
          <w:rFonts w:eastAsiaTheme="minorHAnsi"/>
          <w:b/>
          <w:snapToGrid/>
          <w:kern w:val="0"/>
          <w:szCs w:val="22"/>
        </w:rPr>
      </w:pPr>
    </w:p>
    <w:p w14:paraId="085C7537" w14:textId="77777777" w:rsidR="00933ABA" w:rsidRDefault="00933ABA" w:rsidP="003976BF">
      <w:pPr>
        <w:widowControl/>
        <w:spacing w:after="120"/>
        <w:ind w:firstLine="720"/>
        <w:rPr>
          <w:rFonts w:eastAsiaTheme="minorHAnsi"/>
          <w:bCs/>
          <w:snapToGrid/>
          <w:kern w:val="0"/>
          <w:szCs w:val="22"/>
        </w:rPr>
      </w:pPr>
      <w:r w:rsidRPr="00FA65AD">
        <w:rPr>
          <w:rFonts w:eastAsiaTheme="minorHAnsi"/>
          <w:bCs/>
          <w:snapToGrid/>
          <w:kern w:val="0"/>
          <w:szCs w:val="22"/>
        </w:rPr>
        <w:t xml:space="preserve">While I vote to </w:t>
      </w:r>
      <w:r>
        <w:rPr>
          <w:rFonts w:eastAsiaTheme="minorHAnsi"/>
          <w:bCs/>
          <w:snapToGrid/>
          <w:kern w:val="0"/>
          <w:szCs w:val="22"/>
        </w:rPr>
        <w:t>concur with</w:t>
      </w:r>
      <w:r w:rsidRPr="00FA65AD">
        <w:rPr>
          <w:rFonts w:eastAsiaTheme="minorHAnsi"/>
          <w:bCs/>
          <w:snapToGrid/>
          <w:kern w:val="0"/>
          <w:szCs w:val="22"/>
        </w:rPr>
        <w:t xml:space="preserve"> this Order, I am concerned about situations </w:t>
      </w:r>
      <w:r>
        <w:rPr>
          <w:rFonts w:eastAsiaTheme="minorHAnsi"/>
          <w:bCs/>
          <w:snapToGrid/>
          <w:kern w:val="0"/>
          <w:szCs w:val="22"/>
        </w:rPr>
        <w:t>where</w:t>
      </w:r>
      <w:r w:rsidRPr="00FA65AD">
        <w:rPr>
          <w:rFonts w:eastAsiaTheme="minorHAnsi"/>
          <w:bCs/>
          <w:snapToGrid/>
          <w:kern w:val="0"/>
          <w:szCs w:val="22"/>
        </w:rPr>
        <w:t xml:space="preserve"> applicants seeking to provid</w:t>
      </w:r>
      <w:r>
        <w:rPr>
          <w:rFonts w:eastAsiaTheme="minorHAnsi"/>
          <w:bCs/>
          <w:snapToGrid/>
          <w:kern w:val="0"/>
          <w:szCs w:val="22"/>
        </w:rPr>
        <w:t xml:space="preserve">e their communities with local </w:t>
      </w:r>
      <w:r w:rsidRPr="00FA65AD">
        <w:rPr>
          <w:rFonts w:eastAsiaTheme="minorHAnsi"/>
          <w:bCs/>
          <w:snapToGrid/>
          <w:kern w:val="0"/>
          <w:szCs w:val="22"/>
        </w:rPr>
        <w:t xml:space="preserve">radio service are ultimately rejected </w:t>
      </w:r>
      <w:r>
        <w:rPr>
          <w:rFonts w:eastAsiaTheme="minorHAnsi"/>
          <w:bCs/>
          <w:snapToGrid/>
          <w:kern w:val="0"/>
          <w:szCs w:val="22"/>
        </w:rPr>
        <w:t xml:space="preserve">because they are unable to construct within a rigid construction permit period.  </w:t>
      </w:r>
      <w:r>
        <w:t>The Commission has an obligation to ensure that permittees do not engage in spectrum squatting and I fully support this</w:t>
      </w:r>
      <w:r>
        <w:rPr>
          <w:rFonts w:eastAsiaTheme="minorHAnsi"/>
          <w:bCs/>
          <w:snapToGrid/>
          <w:kern w:val="0"/>
          <w:szCs w:val="22"/>
        </w:rPr>
        <w:t xml:space="preserve">, but we also need to </w:t>
      </w:r>
      <w:r w:rsidRPr="00FF3A36">
        <w:t xml:space="preserve">balance the interest of </w:t>
      </w:r>
      <w:r>
        <w:t>bringing service</w:t>
      </w:r>
      <w:r w:rsidRPr="00FF3A36">
        <w:t xml:space="preserve"> listening public and th</w:t>
      </w:r>
      <w:r>
        <w:t xml:space="preserve">e business needs of permittees.  I am unsure if this balance is reached in all cases within three years, especially in instances, as is here, where the permittee acquired the station after the construction permit was initially granted, and did not have the full benefit of three years to construct a station.  </w:t>
      </w:r>
    </w:p>
    <w:p w14:paraId="5E097201" w14:textId="77777777" w:rsidR="00933ABA" w:rsidRDefault="00933ABA" w:rsidP="003976BF">
      <w:pPr>
        <w:widowControl/>
        <w:spacing w:after="120"/>
        <w:ind w:firstLine="720"/>
        <w:rPr>
          <w:rFonts w:eastAsiaTheme="minorHAnsi"/>
          <w:bCs/>
          <w:snapToGrid/>
          <w:kern w:val="0"/>
          <w:szCs w:val="22"/>
        </w:rPr>
      </w:pPr>
      <w:r>
        <w:rPr>
          <w:rFonts w:eastAsiaTheme="minorHAnsi"/>
          <w:bCs/>
          <w:snapToGrid/>
          <w:kern w:val="0"/>
          <w:szCs w:val="22"/>
        </w:rPr>
        <w:t xml:space="preserve">We cannot effectuate change based on the limited facts of this case, but it is my hope that </w:t>
      </w:r>
      <w:r w:rsidRPr="00FA65AD">
        <w:rPr>
          <w:rFonts w:eastAsiaTheme="minorHAnsi"/>
          <w:bCs/>
          <w:snapToGrid/>
          <w:kern w:val="0"/>
          <w:szCs w:val="22"/>
        </w:rPr>
        <w:t>in the future</w:t>
      </w:r>
      <w:r>
        <w:rPr>
          <w:rFonts w:eastAsiaTheme="minorHAnsi"/>
          <w:bCs/>
          <w:snapToGrid/>
          <w:kern w:val="0"/>
          <w:szCs w:val="22"/>
        </w:rPr>
        <w:t xml:space="preserve"> </w:t>
      </w:r>
      <w:r w:rsidRPr="00FA65AD">
        <w:rPr>
          <w:rFonts w:eastAsiaTheme="minorHAnsi"/>
          <w:bCs/>
          <w:snapToGrid/>
          <w:kern w:val="0"/>
          <w:szCs w:val="22"/>
        </w:rPr>
        <w:t xml:space="preserve">we are able to conduct </w:t>
      </w:r>
      <w:r>
        <w:rPr>
          <w:rFonts w:eastAsiaTheme="minorHAnsi"/>
          <w:bCs/>
          <w:snapToGrid/>
          <w:kern w:val="0"/>
          <w:szCs w:val="22"/>
        </w:rPr>
        <w:t xml:space="preserve">a more comprehensive review which takes into account the needs of consumers, permittees and those in the Commission that must enforce our rules. </w:t>
      </w:r>
      <w:r w:rsidRPr="00FA65AD">
        <w:rPr>
          <w:rFonts w:eastAsiaTheme="minorHAnsi"/>
          <w:bCs/>
          <w:snapToGrid/>
          <w:kern w:val="0"/>
          <w:szCs w:val="22"/>
        </w:rPr>
        <w:t xml:space="preserve"> </w:t>
      </w:r>
      <w:r>
        <w:rPr>
          <w:rFonts w:eastAsiaTheme="minorHAnsi"/>
          <w:bCs/>
          <w:snapToGrid/>
          <w:kern w:val="0"/>
          <w:szCs w:val="22"/>
        </w:rPr>
        <w:t>I would actually support a limited extension, perhaps six months in cases like this one, but m</w:t>
      </w:r>
      <w:r w:rsidRPr="00FA65AD">
        <w:rPr>
          <w:rFonts w:eastAsiaTheme="minorHAnsi"/>
          <w:bCs/>
          <w:snapToGrid/>
          <w:kern w:val="0"/>
          <w:szCs w:val="22"/>
        </w:rPr>
        <w:t>y office is always willing to listen to those who have ideas for how to improve our processes and make them more accessible, especially to smaller organizations that have limited resources and are less familiar with our rules and application requirements.</w:t>
      </w:r>
    </w:p>
    <w:sectPr w:rsidR="00933ABA" w:rsidSect="00000855">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23F5D0" w14:textId="77777777" w:rsidR="00D6067A" w:rsidRDefault="00D6067A">
      <w:pPr>
        <w:spacing w:line="20" w:lineRule="exact"/>
      </w:pPr>
    </w:p>
  </w:endnote>
  <w:endnote w:type="continuationSeparator" w:id="0">
    <w:p w14:paraId="5A191F5E" w14:textId="77777777" w:rsidR="00D6067A" w:rsidRDefault="00D6067A">
      <w:r>
        <w:t xml:space="preserve"> </w:t>
      </w:r>
    </w:p>
  </w:endnote>
  <w:endnote w:type="continuationNotice" w:id="1">
    <w:p w14:paraId="60146E6E" w14:textId="77777777" w:rsidR="00D6067A" w:rsidRDefault="00D6067A">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43AF4" w14:textId="77777777" w:rsidR="00655696" w:rsidRDefault="00655696" w:rsidP="0055614C">
    <w:pPr>
      <w:pStyle w:val="Footer"/>
      <w:framePr w:wrap="around" w:vAnchor="text" w:hAnchor="margin" w:xAlign="center" w:y="1"/>
    </w:pPr>
    <w:r>
      <w:fldChar w:fldCharType="begin"/>
    </w:r>
    <w:r>
      <w:instrText xml:space="preserve">PAGE  </w:instrText>
    </w:r>
    <w:r>
      <w:fldChar w:fldCharType="end"/>
    </w:r>
  </w:p>
  <w:p w14:paraId="34766B79" w14:textId="77777777" w:rsidR="00655696" w:rsidRDefault="006556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83344" w14:textId="77777777" w:rsidR="00655696" w:rsidRDefault="00655696" w:rsidP="0055614C">
    <w:pPr>
      <w:pStyle w:val="Footer"/>
      <w:framePr w:wrap="around" w:vAnchor="text" w:hAnchor="margin" w:xAlign="center" w:y="1"/>
    </w:pPr>
    <w:r>
      <w:fldChar w:fldCharType="begin"/>
    </w:r>
    <w:r>
      <w:instrText xml:space="preserve">PAGE  </w:instrText>
    </w:r>
    <w:r>
      <w:fldChar w:fldCharType="separate"/>
    </w:r>
    <w:r w:rsidR="007577F0">
      <w:rPr>
        <w:noProof/>
      </w:rPr>
      <w:t>4</w:t>
    </w:r>
    <w:r>
      <w:fldChar w:fldCharType="end"/>
    </w:r>
  </w:p>
  <w:p w14:paraId="5E73A3F9" w14:textId="77777777" w:rsidR="00655696" w:rsidRDefault="00655696">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937B" w14:textId="77777777" w:rsidR="009327AB" w:rsidRDefault="009327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1E823A" w14:textId="77777777" w:rsidR="00D6067A" w:rsidRDefault="00D6067A">
      <w:r>
        <w:separator/>
      </w:r>
    </w:p>
  </w:footnote>
  <w:footnote w:type="continuationSeparator" w:id="0">
    <w:p w14:paraId="0064A7BB" w14:textId="77777777" w:rsidR="00D6067A" w:rsidRDefault="00D6067A" w:rsidP="00C721AC">
      <w:pPr>
        <w:spacing w:before="120"/>
        <w:rPr>
          <w:sz w:val="20"/>
        </w:rPr>
      </w:pPr>
      <w:r>
        <w:rPr>
          <w:sz w:val="20"/>
        </w:rPr>
        <w:t xml:space="preserve">(Continued from previous page)  </w:t>
      </w:r>
      <w:r>
        <w:rPr>
          <w:sz w:val="20"/>
        </w:rPr>
        <w:separator/>
      </w:r>
    </w:p>
  </w:footnote>
  <w:footnote w:type="continuationNotice" w:id="1">
    <w:p w14:paraId="386B6774" w14:textId="77777777" w:rsidR="00D6067A" w:rsidRDefault="00D6067A" w:rsidP="00C721AC">
      <w:pPr>
        <w:jc w:val="right"/>
        <w:rPr>
          <w:sz w:val="20"/>
        </w:rPr>
      </w:pPr>
      <w:r>
        <w:rPr>
          <w:sz w:val="20"/>
        </w:rPr>
        <w:t>(continued….)</w:t>
      </w:r>
    </w:p>
  </w:footnote>
  <w:footnote w:id="2">
    <w:p w14:paraId="79A95A5D" w14:textId="7063422C" w:rsidR="004D58A6" w:rsidRPr="004D58A6" w:rsidRDefault="004D58A6" w:rsidP="00FC4297">
      <w:pPr>
        <w:pStyle w:val="FootnoteText"/>
      </w:pPr>
      <w:r>
        <w:rPr>
          <w:rStyle w:val="FootnoteReference"/>
        </w:rPr>
        <w:footnoteRef/>
      </w:r>
      <w:r>
        <w:t xml:space="preserve"> </w:t>
      </w:r>
      <w:r>
        <w:rPr>
          <w:i/>
        </w:rPr>
        <w:t>William Johnson</w:t>
      </w:r>
      <w:r>
        <w:t xml:space="preserve">, Letter, </w:t>
      </w:r>
      <w:r w:rsidR="009D4CDB" w:rsidRPr="009D4CDB">
        <w:rPr>
          <w:iCs/>
        </w:rPr>
        <w:t>30 FCC Rcd 2015</w:t>
      </w:r>
      <w:r w:rsidR="009D4CDB" w:rsidRPr="009D4CDB">
        <w:t xml:space="preserve"> </w:t>
      </w:r>
      <w:r w:rsidRPr="00D72AA5">
        <w:t>(</w:t>
      </w:r>
      <w:r w:rsidR="00755560" w:rsidRPr="00D72AA5">
        <w:t xml:space="preserve">MB </w:t>
      </w:r>
      <w:r w:rsidRPr="00D72AA5">
        <w:t>2015</w:t>
      </w:r>
      <w:r>
        <w:t>) (“</w:t>
      </w:r>
      <w:r>
        <w:rPr>
          <w:i/>
        </w:rPr>
        <w:t>Reconsideration Decision</w:t>
      </w:r>
      <w:r>
        <w:t>”).</w:t>
      </w:r>
    </w:p>
  </w:footnote>
  <w:footnote w:id="3">
    <w:p w14:paraId="70FC9001" w14:textId="7F001709" w:rsidR="00BC44CF" w:rsidRPr="00BC44CF" w:rsidRDefault="00BC44CF" w:rsidP="00FC4297">
      <w:pPr>
        <w:pStyle w:val="FootnoteText"/>
        <w:rPr>
          <w:i/>
        </w:rPr>
      </w:pPr>
      <w:r>
        <w:rPr>
          <w:rStyle w:val="FootnoteReference"/>
        </w:rPr>
        <w:footnoteRef/>
      </w:r>
      <w:r>
        <w:t xml:space="preserve"> This Petition for Reconsideration was </w:t>
      </w:r>
      <w:r w:rsidRPr="00BC44CF">
        <w:t>filed on July 24, 2014, under File No. BMPH-20140519ABG (“Modification Application”), and then again on July 25, 2014, under File No. BNPH-20110524AHQ (</w:t>
      </w:r>
      <w:r w:rsidR="009C0D35">
        <w:t>the file number for the 2011 construction permit for the Station</w:t>
      </w:r>
      <w:r w:rsidRPr="00BC44CF">
        <w:t>)</w:t>
      </w:r>
      <w:r>
        <w:t>.</w:t>
      </w:r>
    </w:p>
  </w:footnote>
  <w:footnote w:id="4">
    <w:p w14:paraId="242D57B2" w14:textId="1D335622" w:rsidR="009D4CDB" w:rsidRDefault="009D4CDB" w:rsidP="00FC4297">
      <w:pPr>
        <w:pStyle w:val="FootnoteText"/>
      </w:pPr>
      <w:r>
        <w:rPr>
          <w:rStyle w:val="FootnoteReference"/>
        </w:rPr>
        <w:footnoteRef/>
      </w:r>
      <w:r>
        <w:t xml:space="preserve"> </w:t>
      </w:r>
      <w:r w:rsidR="00FC4297">
        <w:rPr>
          <w:i/>
        </w:rPr>
        <w:t>Mr. William Johnson</w:t>
      </w:r>
      <w:r w:rsidR="00FC4297">
        <w:t>, Letter, Ref. No. 1800B3-AED (</w:t>
      </w:r>
      <w:r w:rsidR="00755560" w:rsidRPr="00D72AA5">
        <w:t xml:space="preserve">MB </w:t>
      </w:r>
      <w:r w:rsidR="00FC4297">
        <w:t>July 17, 2014)</w:t>
      </w:r>
      <w:r w:rsidR="0036144D">
        <w:t xml:space="preserve"> (“</w:t>
      </w:r>
      <w:r w:rsidR="0036144D">
        <w:rPr>
          <w:i/>
        </w:rPr>
        <w:t>Modification Decision</w:t>
      </w:r>
      <w:r w:rsidR="0036144D">
        <w:t>”)</w:t>
      </w:r>
      <w:r w:rsidR="00FC4297">
        <w:t>.</w:t>
      </w:r>
    </w:p>
  </w:footnote>
  <w:footnote w:id="5">
    <w:p w14:paraId="7A8A1FB4" w14:textId="77777777" w:rsidR="00127714" w:rsidRPr="00127714" w:rsidRDefault="00127714">
      <w:pPr>
        <w:pStyle w:val="FootnoteText"/>
      </w:pPr>
      <w:r>
        <w:rPr>
          <w:rStyle w:val="FootnoteReference"/>
        </w:rPr>
        <w:footnoteRef/>
      </w:r>
      <w:r>
        <w:t xml:space="preserve"> The </w:t>
      </w:r>
      <w:r>
        <w:rPr>
          <w:i/>
        </w:rPr>
        <w:t>Modification Decision</w:t>
      </w:r>
      <w:r>
        <w:t xml:space="preserve"> did not dismiss the Modification Application, but gave Urban One 30 days to respond to the issues raised.  The Modification Application was ultimately dismissed in the </w:t>
      </w:r>
      <w:r>
        <w:rPr>
          <w:i/>
        </w:rPr>
        <w:t>Reconsideration Decision</w:t>
      </w:r>
      <w:r>
        <w:t xml:space="preserve">. </w:t>
      </w:r>
    </w:p>
  </w:footnote>
  <w:footnote w:id="6">
    <w:p w14:paraId="1FEF26A4" w14:textId="77777777" w:rsidR="00384CDB" w:rsidRDefault="00384CDB" w:rsidP="00FC4297">
      <w:pPr>
        <w:pStyle w:val="FootnoteText"/>
      </w:pPr>
      <w:r>
        <w:rPr>
          <w:rStyle w:val="FootnoteReference"/>
        </w:rPr>
        <w:footnoteRef/>
      </w:r>
      <w:r>
        <w:t xml:space="preserve"> Application for Review at </w:t>
      </w:r>
      <w:r w:rsidR="00891BB4">
        <w:t xml:space="preserve">1-2, </w:t>
      </w:r>
      <w:r>
        <w:t>9.</w:t>
      </w:r>
    </w:p>
  </w:footnote>
  <w:footnote w:id="7">
    <w:p w14:paraId="34AA2AEF" w14:textId="014D9B12" w:rsidR="004D58A6" w:rsidRPr="00D939B5" w:rsidRDefault="004D58A6" w:rsidP="00FC4297">
      <w:pPr>
        <w:pStyle w:val="FootnoteText"/>
      </w:pPr>
      <w:r>
        <w:rPr>
          <w:rStyle w:val="FootnoteReference"/>
        </w:rPr>
        <w:footnoteRef/>
      </w:r>
      <w:r>
        <w:t xml:space="preserve"> </w:t>
      </w:r>
      <w:r w:rsidR="005A370C">
        <w:rPr>
          <w:i/>
        </w:rPr>
        <w:t xml:space="preserve">See Reconsideration </w:t>
      </w:r>
      <w:r w:rsidR="005A370C" w:rsidRPr="005A370C">
        <w:rPr>
          <w:i/>
        </w:rPr>
        <w:t>Decision</w:t>
      </w:r>
      <w:r w:rsidR="005A370C">
        <w:t xml:space="preserve"> at 2015 n.4.  </w:t>
      </w:r>
      <w:r w:rsidR="00D939B5" w:rsidRPr="005A370C">
        <w:t>Application</w:t>
      </w:r>
      <w:r w:rsidR="00D939B5">
        <w:t xml:space="preserve"> for Review at </w:t>
      </w:r>
      <w:r w:rsidR="00003B98">
        <w:t>4-</w:t>
      </w:r>
      <w:r w:rsidR="005A370C">
        <w:t>8, 10</w:t>
      </w:r>
      <w:r w:rsidR="00003B98">
        <w:t>.</w:t>
      </w:r>
      <w:r w:rsidR="007840DF">
        <w:t xml:space="preserve">  The License Application </w:t>
      </w:r>
      <w:r w:rsidR="00B3069C">
        <w:t>doe</w:t>
      </w:r>
      <w:r w:rsidR="00946087">
        <w:t xml:space="preserve">s not </w:t>
      </w:r>
      <w:r w:rsidR="00FC4297">
        <w:t>specify</w:t>
      </w:r>
      <w:r w:rsidR="00B3069C">
        <w:t xml:space="preserve"> </w:t>
      </w:r>
      <w:r w:rsidR="007840DF">
        <w:t xml:space="preserve">the </w:t>
      </w:r>
      <w:r w:rsidR="00B3069C">
        <w:t xml:space="preserve">original </w:t>
      </w:r>
      <w:r w:rsidR="007840DF">
        <w:t>facilities authorized by the Construction Permit</w:t>
      </w:r>
      <w:r w:rsidR="00D92A59">
        <w:t xml:space="preserve">, but purports to “cover” the facilities </w:t>
      </w:r>
      <w:r w:rsidR="00700C19">
        <w:t xml:space="preserve">specified </w:t>
      </w:r>
      <w:r w:rsidR="00D92A59">
        <w:t>in the STA</w:t>
      </w:r>
      <w:r w:rsidR="00700C19">
        <w:t xml:space="preserve"> Request</w:t>
      </w:r>
      <w:r w:rsidR="00D92A59">
        <w:t xml:space="preserve">, which are identical to those </w:t>
      </w:r>
      <w:r w:rsidR="005A370C">
        <w:t xml:space="preserve">specified </w:t>
      </w:r>
      <w:r w:rsidR="00D92A59">
        <w:t>in the Modification Application</w:t>
      </w:r>
      <w:r w:rsidR="005A370C">
        <w:t>, which Bureau staff rejected</w:t>
      </w:r>
      <w:r w:rsidR="00D92A59">
        <w:t xml:space="preserve">.  </w:t>
      </w:r>
      <w:r w:rsidR="00B3069C">
        <w:t>License Application, File No. []-20140721ABZ, Exhibits 1,</w:t>
      </w:r>
      <w:r w:rsidR="0029266D">
        <w:t xml:space="preserve"> </w:t>
      </w:r>
      <w:r w:rsidR="00B3069C">
        <w:t>8, 9, and 10.</w:t>
      </w:r>
    </w:p>
  </w:footnote>
  <w:footnote w:id="8">
    <w:p w14:paraId="7F3DE5FE" w14:textId="77777777" w:rsidR="00891BB4" w:rsidRDefault="00891BB4" w:rsidP="00FC4297">
      <w:pPr>
        <w:pStyle w:val="FootnoteText"/>
      </w:pPr>
      <w:r>
        <w:rPr>
          <w:rStyle w:val="FootnoteReference"/>
        </w:rPr>
        <w:footnoteRef/>
      </w:r>
      <w:r>
        <w:t xml:space="preserve"> Application for Review at 4</w:t>
      </w:r>
      <w:r w:rsidR="003F2AE7">
        <w:t xml:space="preserve">; </w:t>
      </w:r>
      <w:r w:rsidR="00405EC0">
        <w:rPr>
          <w:i/>
        </w:rPr>
        <w:t xml:space="preserve">see </w:t>
      </w:r>
      <w:r w:rsidR="003F2AE7">
        <w:t>47 C.F.R. § 1.17 (“Section 1.17”)</w:t>
      </w:r>
      <w:r>
        <w:t>.</w:t>
      </w:r>
    </w:p>
  </w:footnote>
  <w:footnote w:id="9">
    <w:p w14:paraId="04AD32F2" w14:textId="0B172E82" w:rsidR="009263DC" w:rsidRDefault="009263DC" w:rsidP="009263DC">
      <w:pPr>
        <w:pStyle w:val="FootnoteText"/>
      </w:pPr>
      <w:r>
        <w:rPr>
          <w:rStyle w:val="FootnoteReference"/>
        </w:rPr>
        <w:footnoteRef/>
      </w:r>
      <w:r>
        <w:t xml:space="preserve"> </w:t>
      </w:r>
      <w:r w:rsidR="001242ED">
        <w:rPr>
          <w:i/>
        </w:rPr>
        <w:t>Id</w:t>
      </w:r>
      <w:r w:rsidR="001242ED">
        <w:t>.</w:t>
      </w:r>
      <w:r>
        <w:t xml:space="preserve"> at 6; 47 C.F.R. § 1.68</w:t>
      </w:r>
      <w:r w:rsidR="009C0D35">
        <w:t>(b)</w:t>
      </w:r>
      <w:r>
        <w:t xml:space="preserve"> (“Section 1.68”).</w:t>
      </w:r>
    </w:p>
  </w:footnote>
  <w:footnote w:id="10">
    <w:p w14:paraId="03881029" w14:textId="55DFCC5F" w:rsidR="00263ABC" w:rsidRDefault="00263ABC" w:rsidP="00263ABC">
      <w:pPr>
        <w:pStyle w:val="FootnoteText"/>
      </w:pPr>
      <w:r>
        <w:rPr>
          <w:rStyle w:val="FootnoteReference"/>
        </w:rPr>
        <w:footnoteRef/>
      </w:r>
      <w:r>
        <w:t xml:space="preserve"> Application for Review at 11.</w:t>
      </w:r>
      <w:r w:rsidR="009C0D35" w:rsidRPr="009C0D35">
        <w:t xml:space="preserve"> </w:t>
      </w:r>
      <w:r w:rsidR="009C0D35">
        <w:t xml:space="preserve"> Urban One concedes that its Tolling Request did not meet the requirements of the applicable rule.  Tolling Petition at 2 (“petitioner’s unique circumstances do not satisfy the strict tolling requirements of 47 C.F.R. [§] 73.3895(b). . .”). </w:t>
      </w:r>
    </w:p>
  </w:footnote>
  <w:footnote w:id="11">
    <w:p w14:paraId="15E0A8BF" w14:textId="13006C4F" w:rsidR="00C64218" w:rsidRDefault="00C64218" w:rsidP="00FC4297">
      <w:pPr>
        <w:pStyle w:val="FootnoteText"/>
      </w:pPr>
      <w:r>
        <w:rPr>
          <w:rStyle w:val="FootnoteReference"/>
        </w:rPr>
        <w:footnoteRef/>
      </w:r>
      <w:r>
        <w:t xml:space="preserve"> </w:t>
      </w:r>
      <w:r w:rsidR="003B3E3E">
        <w:t>Application for Review at 11</w:t>
      </w:r>
      <w:r w:rsidRPr="00032498">
        <w:t>.</w:t>
      </w:r>
    </w:p>
  </w:footnote>
  <w:footnote w:id="12">
    <w:p w14:paraId="66B67589" w14:textId="77777777" w:rsidR="00384CDB" w:rsidRDefault="00384CDB" w:rsidP="00FC4297">
      <w:pPr>
        <w:pStyle w:val="FootnoteText"/>
      </w:pPr>
      <w:r>
        <w:rPr>
          <w:rStyle w:val="FootnoteReference"/>
        </w:rPr>
        <w:footnoteRef/>
      </w:r>
      <w:r w:rsidR="00265483">
        <w:t xml:space="preserve"> Application for Review at 8.</w:t>
      </w:r>
    </w:p>
  </w:footnote>
  <w:footnote w:id="13">
    <w:p w14:paraId="00C7F3EC" w14:textId="77777777" w:rsidR="009263DC" w:rsidRDefault="009263DC" w:rsidP="009263DC">
      <w:pPr>
        <w:pStyle w:val="FootnoteText"/>
      </w:pPr>
      <w:r>
        <w:rPr>
          <w:rStyle w:val="FootnoteReference"/>
        </w:rPr>
        <w:footnoteRef/>
      </w:r>
      <w:r>
        <w:t xml:space="preserve"> </w:t>
      </w:r>
      <w:r w:rsidR="001242ED">
        <w:rPr>
          <w:i/>
        </w:rPr>
        <w:t>Id</w:t>
      </w:r>
      <w:r w:rsidR="001242ED">
        <w:t>.</w:t>
      </w:r>
      <w:r>
        <w:t xml:space="preserve"> at 10.</w:t>
      </w:r>
    </w:p>
  </w:footnote>
  <w:footnote w:id="14">
    <w:p w14:paraId="6CD1E493" w14:textId="03F7749E" w:rsidR="00EA2B3E" w:rsidRPr="00062FCC" w:rsidRDefault="00EA2B3E" w:rsidP="00EA2B3E">
      <w:pPr>
        <w:pStyle w:val="FootnoteText"/>
      </w:pPr>
      <w:r>
        <w:rPr>
          <w:rStyle w:val="FootnoteReference"/>
        </w:rPr>
        <w:footnoteRef/>
      </w:r>
      <w:r>
        <w:t xml:space="preserve"> </w:t>
      </w:r>
      <w:r w:rsidRPr="00C1425A">
        <w:rPr>
          <w:i/>
        </w:rPr>
        <w:t>R</w:t>
      </w:r>
      <w:r w:rsidRPr="00022C9A">
        <w:rPr>
          <w:i/>
        </w:rPr>
        <w:t xml:space="preserve">econsideration Decision, </w:t>
      </w:r>
      <w:r w:rsidRPr="00022C9A">
        <w:t xml:space="preserve">30 FCC Rcd at 2020-21, </w:t>
      </w:r>
      <w:r w:rsidRPr="00022C9A">
        <w:rPr>
          <w:i/>
        </w:rPr>
        <w:t>citing Christopher Imlay, et al.,</w:t>
      </w:r>
      <w:r w:rsidRPr="00022C9A">
        <w:t xml:space="preserve"> Letter, 24 FCC Rcd 11809 (2009)</w:t>
      </w:r>
      <w:r w:rsidR="00C97F83" w:rsidRPr="00022C9A">
        <w:t xml:space="preserve"> (dismissing Tolling Petition for failure to allege error of fact or law or to raise new or previously unknown facts).</w:t>
      </w:r>
      <w:r>
        <w:t xml:space="preserve"> </w:t>
      </w:r>
    </w:p>
  </w:footnote>
  <w:footnote w:id="15">
    <w:p w14:paraId="702673D7" w14:textId="44A20856" w:rsidR="00FD0ADB" w:rsidRDefault="00FD0ADB">
      <w:pPr>
        <w:pStyle w:val="FootnoteText"/>
      </w:pPr>
      <w:r>
        <w:rPr>
          <w:rStyle w:val="FootnoteReference"/>
        </w:rPr>
        <w:footnoteRef/>
      </w:r>
      <w:r>
        <w:t xml:space="preserve"> </w:t>
      </w:r>
      <w:r>
        <w:rPr>
          <w:i/>
        </w:rPr>
        <w:t xml:space="preserve">Reconsideration Decision </w:t>
      </w:r>
      <w:r>
        <w:t xml:space="preserve">at 2020-21.  We also note that Urban One alleges that the </w:t>
      </w:r>
      <w:r>
        <w:rPr>
          <w:i/>
        </w:rPr>
        <w:t>Modification Decision</w:t>
      </w:r>
      <w:r>
        <w:t xml:space="preserve"> “contained a thirty (30) day stay,” Application for Review at 5. To the extent Urban One believes the Bureau extended the construction deadline, the Bureau clearly stated to the contrary.  </w:t>
      </w:r>
      <w:r>
        <w:rPr>
          <w:i/>
        </w:rPr>
        <w:t xml:space="preserve">Modification Decision </w:t>
      </w:r>
      <w:r>
        <w:t>at 2 (“This letter does not extend the expiration date of [the] construction permit or provide any additional time to construct.”).</w:t>
      </w:r>
    </w:p>
  </w:footnote>
  <w:footnote w:id="16">
    <w:p w14:paraId="2954F81B" w14:textId="6B0B32FB" w:rsidR="00CF5994" w:rsidRPr="001C54DB" w:rsidRDefault="00CF5994" w:rsidP="00CF5994">
      <w:pPr>
        <w:pStyle w:val="FootnoteText"/>
        <w:rPr>
          <w:i/>
        </w:rPr>
      </w:pPr>
      <w:r>
        <w:rPr>
          <w:rStyle w:val="FootnoteReference"/>
        </w:rPr>
        <w:footnoteRef/>
      </w:r>
      <w:r>
        <w:t xml:space="preserve"> </w:t>
      </w:r>
      <w:r>
        <w:rPr>
          <w:i/>
        </w:rPr>
        <w:t>Se</w:t>
      </w:r>
      <w:r w:rsidRPr="001C54DB">
        <w:rPr>
          <w:i/>
        </w:rPr>
        <w:t>e</w:t>
      </w:r>
      <w:r w:rsidR="00755560" w:rsidRPr="001C54DB">
        <w:t xml:space="preserve"> </w:t>
      </w:r>
      <w:r w:rsidRPr="001C54DB">
        <w:t>Tolling Petition at 2-3</w:t>
      </w:r>
      <w:r w:rsidR="00755560" w:rsidRPr="001C54DB">
        <w:t xml:space="preserve"> &amp; Ex. A (citing and appending a copy of </w:t>
      </w:r>
      <w:r w:rsidR="00755560" w:rsidRPr="001C54DB">
        <w:rPr>
          <w:i/>
          <w:iCs/>
        </w:rPr>
        <w:t>Four Corners Broadcasting L.L.C.</w:t>
      </w:r>
      <w:r w:rsidR="00755560" w:rsidRPr="001C54DB">
        <w:t>, Letter, Ref. No. 1800B3-CDG (MB July 18, 2003)</w:t>
      </w:r>
      <w:r w:rsidRPr="001C54DB">
        <w:t xml:space="preserve">; </w:t>
      </w:r>
      <w:r w:rsidRPr="001C54DB">
        <w:rPr>
          <w:i/>
        </w:rPr>
        <w:t>Reconsideration Decision</w:t>
      </w:r>
      <w:r w:rsidRPr="001C54DB">
        <w:t>, 30 FCC Rcd at 2017 n.22 (noting that</w:t>
      </w:r>
      <w:r w:rsidR="00755560" w:rsidRPr="001C54DB">
        <w:t xml:space="preserve"> i</w:t>
      </w:r>
      <w:r w:rsidRPr="001C54DB">
        <w:t xml:space="preserve">n </w:t>
      </w:r>
      <w:r w:rsidRPr="001C54DB">
        <w:rPr>
          <w:i/>
        </w:rPr>
        <w:t>Four Corners</w:t>
      </w:r>
      <w:r w:rsidRPr="001C54DB">
        <w:t xml:space="preserve">, the Bureau was temporarily unable to process the applicant’s modification due to </w:t>
      </w:r>
      <w:r w:rsidR="00755560" w:rsidRPr="001C54DB">
        <w:t>“agency administrative matters beyond the control of the applicant”)</w:t>
      </w:r>
      <w:r w:rsidRPr="001C54DB">
        <w:t xml:space="preserve">.  </w:t>
      </w:r>
      <w:r w:rsidR="00755560" w:rsidRPr="001C54DB">
        <w:t xml:space="preserve">The waiver in </w:t>
      </w:r>
      <w:r w:rsidR="00755560" w:rsidRPr="001C54DB">
        <w:rPr>
          <w:i/>
        </w:rPr>
        <w:t>Four Corners</w:t>
      </w:r>
      <w:r w:rsidR="00755560" w:rsidRPr="001C54DB">
        <w:t xml:space="preserve"> was necessitated by the need to await OMB approval of relevant ownership rule changes.  </w:t>
      </w:r>
      <w:r w:rsidRPr="001C54DB">
        <w:t xml:space="preserve">In contrast, as the Bureau noted, there were no similar unique circumstances here warranting a waiver of the Station’s construction deadline.  </w:t>
      </w:r>
      <w:r w:rsidRPr="001C54DB">
        <w:rPr>
          <w:i/>
        </w:rPr>
        <w:t>Reconsideration Decision</w:t>
      </w:r>
      <w:r w:rsidRPr="001C54DB">
        <w:t>, 30 FCC Rcd at 2020.</w:t>
      </w:r>
    </w:p>
  </w:footnote>
  <w:footnote w:id="17">
    <w:p w14:paraId="33F7B2D1" w14:textId="7370BE1D" w:rsidR="008F4698" w:rsidRDefault="008F4698">
      <w:pPr>
        <w:pStyle w:val="FootnoteText"/>
      </w:pPr>
      <w:r>
        <w:rPr>
          <w:rStyle w:val="FootnoteReference"/>
        </w:rPr>
        <w:footnoteRef/>
      </w:r>
      <w:r>
        <w:t xml:space="preserve"> 47 C.F.R. § 1.115(c) (“No application for review will be granted if it relies on questions of fact or law upon which the designated authority has been afforded no opportunity to pass.”).</w:t>
      </w:r>
    </w:p>
  </w:footnote>
  <w:footnote w:id="18">
    <w:p w14:paraId="11E54E79" w14:textId="16914B5D" w:rsidR="004169E5" w:rsidRDefault="004169E5" w:rsidP="00FC4297">
      <w:pPr>
        <w:pStyle w:val="FootnoteText"/>
      </w:pPr>
      <w:r>
        <w:rPr>
          <w:rStyle w:val="FootnoteReference"/>
        </w:rPr>
        <w:footnoteRef/>
      </w:r>
      <w:r w:rsidR="00234A65">
        <w:t xml:space="preserve"> 47 C.F.R. § 1.23</w:t>
      </w:r>
      <w:r w:rsidR="0029266D">
        <w:t xml:space="preserve"> </w:t>
      </w:r>
      <w:r w:rsidR="00234A65">
        <w:t>(</w:t>
      </w:r>
      <w:r w:rsidR="00B6114A">
        <w:t xml:space="preserve">providing that </w:t>
      </w:r>
      <w:r w:rsidR="00234A65">
        <w:t>an attorney may represe</w:t>
      </w:r>
      <w:r w:rsidR="001242ED">
        <w:t>nt others before the Commission</w:t>
      </w:r>
      <w:r w:rsidR="00234A65">
        <w:t xml:space="preserve"> and </w:t>
      </w:r>
      <w:r w:rsidR="001242ED">
        <w:t xml:space="preserve">that </w:t>
      </w:r>
      <w:r w:rsidR="00234A65">
        <w:t xml:space="preserve">the signature of such attorney “constitute[s] a representation to the Commission that . . . he is authorized and qualified to represent the particular </w:t>
      </w:r>
      <w:r w:rsidR="001242ED">
        <w:t>party in whose behalf he acts”)</w:t>
      </w:r>
      <w:r>
        <w:t>.</w:t>
      </w:r>
    </w:p>
  </w:footnote>
  <w:footnote w:id="19">
    <w:p w14:paraId="2500321B" w14:textId="3FE67F58" w:rsidR="00E7178B" w:rsidRPr="00B80C7A" w:rsidRDefault="00E7178B" w:rsidP="00FC4297">
      <w:pPr>
        <w:pStyle w:val="FootnoteText"/>
      </w:pPr>
      <w:r>
        <w:rPr>
          <w:rStyle w:val="FootnoteReference"/>
        </w:rPr>
        <w:footnoteRef/>
      </w:r>
      <w:r>
        <w:t xml:space="preserve"> </w:t>
      </w:r>
      <w:r w:rsidR="00337917" w:rsidRPr="00337917">
        <w:t xml:space="preserve">See Informal Objection (discussing contents of  Modification Application on file with the Commission and applicable legal authority); </w:t>
      </w:r>
      <w:r w:rsidR="00337917" w:rsidRPr="00337917">
        <w:rPr>
          <w:i/>
        </w:rPr>
        <w:t>Public Media of New England, Inc.</w:t>
      </w:r>
      <w:r w:rsidR="00337917" w:rsidRPr="00337917">
        <w:t xml:space="preserve">, BNPL-20131113AKZ, 2015 WL 9260705 at 2 (Dec. 17, 2015) (“Pursuant to Sections 309(d) of the Act, informal objections, like petitions to deny, must provide properly supported allegations of fact that, if true, would establish . . . that grant of the application would be </w:t>
      </w:r>
      <w:r w:rsidR="00337917" w:rsidRPr="00337917">
        <w:rPr>
          <w:i/>
        </w:rPr>
        <w:t>prima facie</w:t>
      </w:r>
      <w:r w:rsidR="00337917" w:rsidRPr="00337917">
        <w:t xml:space="preserve"> inconsistent with the public interest.”); 47 U.S.C. § 309(d)(1) (petitions to deny shall contain specific allegations of fact, which must be supported by an affidavit of a person with personal knowledge of the facts alleged, </w:t>
      </w:r>
      <w:r w:rsidR="00337917" w:rsidRPr="00337917">
        <w:rPr>
          <w:i/>
        </w:rPr>
        <w:t>except with respect to facts of which official notice may be taken</w:t>
      </w:r>
      <w:r w:rsidR="00337917" w:rsidRPr="00337917">
        <w:t>) (emphasis added).</w:t>
      </w:r>
    </w:p>
  </w:footnote>
  <w:footnote w:id="20">
    <w:p w14:paraId="51D6F2BF" w14:textId="62CCBF23" w:rsidR="00D25500" w:rsidRPr="00D25500" w:rsidRDefault="00D25500">
      <w:pPr>
        <w:pStyle w:val="FootnoteText"/>
      </w:pPr>
      <w:r>
        <w:rPr>
          <w:rStyle w:val="FootnoteReference"/>
        </w:rPr>
        <w:footnoteRef/>
      </w:r>
      <w:r>
        <w:t xml:space="preserve"> </w:t>
      </w:r>
      <w:r>
        <w:rPr>
          <w:i/>
        </w:rPr>
        <w:t xml:space="preserve">See </w:t>
      </w:r>
      <w:r>
        <w:t>47 U.S.C. § 319(c) (license covering construction permit “shall conform generally to the terms of [the] construction permit”).</w:t>
      </w:r>
    </w:p>
  </w:footnote>
  <w:footnote w:id="21">
    <w:p w14:paraId="6E0CA671" w14:textId="4A4494C1" w:rsidR="00240AA0" w:rsidRPr="009658EF" w:rsidRDefault="00240AA0">
      <w:pPr>
        <w:pStyle w:val="FootnoteText"/>
      </w:pPr>
      <w:r>
        <w:rPr>
          <w:rStyle w:val="FootnoteReference"/>
        </w:rPr>
        <w:footnoteRef/>
      </w:r>
      <w:r>
        <w:t xml:space="preserve"> </w:t>
      </w:r>
      <w:r>
        <w:rPr>
          <w:i/>
        </w:rPr>
        <w:t xml:space="preserve">See </w:t>
      </w:r>
      <w:r>
        <w:t>Application for Review at 3</w:t>
      </w:r>
      <w:r w:rsidR="009B4A9F">
        <w:t>; 47 C</w:t>
      </w:r>
      <w:r w:rsidR="00BE4FB5">
        <w:t>.F.R.</w:t>
      </w:r>
      <w:r w:rsidR="009B4A9F">
        <w:t xml:space="preserve"> § 1.68 </w:t>
      </w:r>
      <w:r w:rsidR="00BD3643">
        <w:t>(</w:t>
      </w:r>
      <w:r w:rsidR="00847263">
        <w:t>“</w:t>
      </w:r>
      <w:r w:rsidR="009658EF">
        <w:t>Action on application for license to cover construction permit.</w:t>
      </w:r>
      <w:r w:rsidR="00BD3643">
        <w:t xml:space="preserve"> </w:t>
      </w:r>
      <w:r w:rsidR="009658EF">
        <w:t xml:space="preserve"> </w:t>
      </w:r>
      <w:r w:rsidR="008F1D70" w:rsidRPr="008F1D70">
        <w:t xml:space="preserve">(a) An </w:t>
      </w:r>
      <w:r w:rsidR="008F1D70" w:rsidRPr="008F1D70">
        <w:rPr>
          <w:i/>
        </w:rPr>
        <w:t xml:space="preserve">application for license </w:t>
      </w:r>
      <w:r w:rsidR="008F1D70" w:rsidRPr="008F1D70">
        <w:t>by the lawful holder of a</w:t>
      </w:r>
      <w:r w:rsidR="008F1D70" w:rsidRPr="008F1D70">
        <w:rPr>
          <w:i/>
        </w:rPr>
        <w:t xml:space="preserve"> construction permit </w:t>
      </w:r>
      <w:r w:rsidR="008F1D70" w:rsidRPr="008F1D70">
        <w:t xml:space="preserve">will be granted without hearing where the Commission, upon examination of such application, finds that all the terms, conditions, and obligations set forth in the application </w:t>
      </w:r>
      <w:r w:rsidR="008F1D70" w:rsidRPr="00AD656E">
        <w:rPr>
          <w:i/>
        </w:rPr>
        <w:t>and permit</w:t>
      </w:r>
      <w:r w:rsidR="008F1D70" w:rsidRPr="008F1D70">
        <w:t xml:space="preserve"> have been fully met, and that no cause or circumstance arising or first coming to the knowledge of the Commission since the granting of the permit would, in the judgment of the Commission, make the operation of such station against the public interest.</w:t>
      </w:r>
      <w:r w:rsidR="00BD3643">
        <w:t xml:space="preserve"> </w:t>
      </w:r>
      <w:r w:rsidR="008F1D70">
        <w:t xml:space="preserve"> </w:t>
      </w:r>
      <w:r w:rsidR="008F1D70" w:rsidRPr="008F1D70">
        <w:t>(b) In the event the Commission is unable to make the findings in paragraph (a) of this section, the Commission will designate the application for hearing upon specified issues.</w:t>
      </w:r>
      <w:r w:rsidR="008F1D70">
        <w:t>”) (emphasis added).</w:t>
      </w:r>
      <w:r w:rsidR="009658EF">
        <w:t xml:space="preserve"> </w:t>
      </w:r>
      <w:r w:rsidR="00BD3643">
        <w:t xml:space="preserve"> </w:t>
      </w:r>
      <w:r w:rsidR="009658EF">
        <w:t>Urban One responded “no” to the Section III, Item 7 certification as to whether the “facility was constructed as authorized in the underlying construction permit or complies with 47 C.F.R. Section 73.1690.”  Urban One include</w:t>
      </w:r>
      <w:r w:rsidR="00A308A3">
        <w:t>d</w:t>
      </w:r>
      <w:r w:rsidR="009658EF">
        <w:t xml:space="preserve"> an explanatory exhibit that references the applied-for STA facilities “at a specified variance from the terms of the station authorization or requirement of the FCC rules applicable to the particular class of station.”  </w:t>
      </w:r>
      <w:r w:rsidR="009658EF">
        <w:rPr>
          <w:i/>
        </w:rPr>
        <w:t xml:space="preserve">See </w:t>
      </w:r>
      <w:r w:rsidR="009658EF">
        <w:t>License Application, Exhibit 8.</w:t>
      </w:r>
    </w:p>
  </w:footnote>
  <w:footnote w:id="22">
    <w:p w14:paraId="416EC4B1" w14:textId="08CF819F" w:rsidR="00507182" w:rsidRDefault="00507182" w:rsidP="00507182">
      <w:pPr>
        <w:pStyle w:val="FootnoteText"/>
      </w:pPr>
      <w:r>
        <w:rPr>
          <w:rStyle w:val="FootnoteReference"/>
        </w:rPr>
        <w:footnoteRef/>
      </w:r>
      <w:r>
        <w:t xml:space="preserve"> </w:t>
      </w:r>
      <w:r w:rsidRPr="00860725">
        <w:rPr>
          <w:i/>
        </w:rPr>
        <w:t>See</w:t>
      </w:r>
      <w:r>
        <w:t xml:space="preserve"> Application for Review at 4-8 (alleging that the Bureau knowingly made material false statements when it claimed that the Commission did not receive the filing fees for those submissions and that it erred by not accepting them for filing).  Urban One’s claim that the Bureau violated Section 1.17 when it stated in the </w:t>
      </w:r>
      <w:r>
        <w:rPr>
          <w:i/>
        </w:rPr>
        <w:t xml:space="preserve">Reconsideration Decision </w:t>
      </w:r>
      <w:r>
        <w:t xml:space="preserve">that the Commission had not received the fees is misplaced.  </w:t>
      </w:r>
      <w:r>
        <w:rPr>
          <w:i/>
        </w:rPr>
        <w:t xml:space="preserve">See </w:t>
      </w:r>
      <w:r>
        <w:t xml:space="preserve">Application for Review at 4. </w:t>
      </w:r>
      <w:r w:rsidR="00CF514B">
        <w:t xml:space="preserve"> </w:t>
      </w:r>
      <w:r w:rsidR="003A56EE">
        <w:t>Apart from the underlying factual question,</w:t>
      </w:r>
      <w:r w:rsidR="00CF514B">
        <w:t xml:space="preserve"> </w:t>
      </w:r>
      <w:r>
        <w:t xml:space="preserve">Section 1.17, by its terms, applies only to statements made </w:t>
      </w:r>
      <w:r w:rsidRPr="00F427ED">
        <w:rPr>
          <w:i/>
        </w:rPr>
        <w:t xml:space="preserve">to </w:t>
      </w:r>
      <w:r>
        <w:t xml:space="preserve">the Commission, not statements made </w:t>
      </w:r>
      <w:r w:rsidRPr="00F427ED">
        <w:rPr>
          <w:i/>
        </w:rPr>
        <w:t>by</w:t>
      </w:r>
      <w:r>
        <w:t xml:space="preserve"> the Commission.  47 C.F.R. § 1.17 (prohibiting applicants, licensees, and other specified Commission regulatees from intentionally providing incorrect material factual information to the Commission).</w:t>
      </w:r>
    </w:p>
  </w:footnote>
  <w:footnote w:id="23">
    <w:p w14:paraId="5C125BAD" w14:textId="77777777" w:rsidR="00CC6387" w:rsidRPr="00C675D7" w:rsidRDefault="00CC6387" w:rsidP="00CC6387">
      <w:pPr>
        <w:pStyle w:val="FootnoteText"/>
      </w:pPr>
      <w:r>
        <w:rPr>
          <w:rStyle w:val="FootnoteReference"/>
        </w:rPr>
        <w:footnoteRef/>
      </w:r>
      <w:r>
        <w:t xml:space="preserve"> </w:t>
      </w:r>
      <w:r w:rsidRPr="006F4846">
        <w:rPr>
          <w:i/>
        </w:rPr>
        <w:t>See</w:t>
      </w:r>
      <w:r w:rsidRPr="006F4846">
        <w:t xml:space="preserve"> Application for Review at 7 (“[T]he Bureau frequently grants STAs allowing licensees and permittees who have lost tower sites to operation [sic] with temporary, generally lesser facilities until it is possible to operate with the licensed or permitted service.  In this manner, some portion of the population within a station’s listening area receives service and the station’s license or permit does not terminate … or is forfeited when a timely STA have been requested, with the filing of a timely application to cover.”)</w:t>
      </w:r>
      <w:r>
        <w:t xml:space="preserve">.  Accordingly, Urban One’s claim that grant of the STA would have obviated the need for historic preservation review is irrelevant.  </w:t>
      </w:r>
      <w:r>
        <w:rPr>
          <w:i/>
        </w:rPr>
        <w:t>See</w:t>
      </w:r>
      <w:r>
        <w:t xml:space="preserve"> Application for Review at 11.</w:t>
      </w:r>
    </w:p>
  </w:footnote>
  <w:footnote w:id="24">
    <w:p w14:paraId="0489687C" w14:textId="77777777" w:rsidR="00CC6387" w:rsidRDefault="00CC6387" w:rsidP="00CC6387">
      <w:pPr>
        <w:pStyle w:val="FootnoteText"/>
      </w:pPr>
      <w:r>
        <w:rPr>
          <w:rStyle w:val="FootnoteReference"/>
        </w:rPr>
        <w:footnoteRef/>
      </w:r>
      <w:r>
        <w:t xml:space="preserve"> </w:t>
      </w:r>
      <w:r>
        <w:rPr>
          <w:i/>
        </w:rPr>
        <w:t xml:space="preserve">See </w:t>
      </w:r>
      <w:r>
        <w:t xml:space="preserve">Application for Review at 8; 47 C.F.R. § 73.1620(a) (“Upon completion of construction of an AM, FM, TV or Class A TV station </w:t>
      </w:r>
      <w:r>
        <w:rPr>
          <w:i/>
        </w:rPr>
        <w:t xml:space="preserve">in accordance with the terms of the construction permit </w:t>
      </w:r>
      <w:r w:rsidRPr="00CE2F80">
        <w:t>. . .</w:t>
      </w:r>
      <w:r>
        <w:t>”) (emphasis added).</w:t>
      </w:r>
    </w:p>
  </w:footnote>
  <w:footnote w:id="25">
    <w:p w14:paraId="267A0117" w14:textId="58D2C7B4" w:rsidR="00CC6387" w:rsidRDefault="00CC6387" w:rsidP="00CC6387">
      <w:pPr>
        <w:pStyle w:val="FootnoteText"/>
      </w:pPr>
      <w:r>
        <w:rPr>
          <w:rStyle w:val="FootnoteReference"/>
        </w:rPr>
        <w:footnoteRef/>
      </w:r>
      <w:r w:rsidR="008346F8">
        <w:t xml:space="preserve"> 47 U.S.C.</w:t>
      </w:r>
      <w:r>
        <w:t xml:space="preserve"> § 319(b).</w:t>
      </w:r>
    </w:p>
  </w:footnote>
  <w:footnote w:id="26">
    <w:p w14:paraId="318890FE" w14:textId="77777777" w:rsidR="00CC6387" w:rsidRDefault="00CC6387" w:rsidP="00CC6387">
      <w:pPr>
        <w:pStyle w:val="FootnoteText"/>
      </w:pPr>
      <w:r>
        <w:rPr>
          <w:rStyle w:val="FootnoteReference"/>
        </w:rPr>
        <w:footnoteRef/>
      </w:r>
      <w:r>
        <w:t xml:space="preserve"> </w:t>
      </w:r>
      <w:r w:rsidRPr="00C1425A">
        <w:rPr>
          <w:i/>
        </w:rPr>
        <w:t xml:space="preserve">See </w:t>
      </w:r>
      <w:r>
        <w:rPr>
          <w:i/>
        </w:rPr>
        <w:t>id</w:t>
      </w:r>
      <w:r>
        <w:t xml:space="preserve">; </w:t>
      </w:r>
      <w:r w:rsidRPr="00C1425A">
        <w:rPr>
          <w:i/>
        </w:rPr>
        <w:t>see</w:t>
      </w:r>
      <w:r>
        <w:t xml:space="preserve"> </w:t>
      </w:r>
      <w:r w:rsidRPr="00C1425A">
        <w:rPr>
          <w:i/>
        </w:rPr>
        <w:t>also</w:t>
      </w:r>
      <w:r>
        <w:t xml:space="preserve"> 47 C.F.R. § 73.3598(c).</w:t>
      </w:r>
    </w:p>
  </w:footnote>
  <w:footnote w:id="27">
    <w:p w14:paraId="5F2F3E9B" w14:textId="77777777" w:rsidR="00CC6387" w:rsidRDefault="00CC6387" w:rsidP="00CC6387">
      <w:pPr>
        <w:pStyle w:val="FootnoteText"/>
      </w:pPr>
      <w:r>
        <w:rPr>
          <w:rStyle w:val="FootnoteReference"/>
        </w:rPr>
        <w:footnoteRef/>
      </w:r>
      <w:r>
        <w:t xml:space="preserve"> </w:t>
      </w:r>
      <w:r>
        <w:rPr>
          <w:i/>
        </w:rPr>
        <w:t xml:space="preserve">See </w:t>
      </w:r>
      <w:r w:rsidRPr="006F4846">
        <w:t>Application for Review at 7</w:t>
      </w:r>
      <w:r>
        <w:t>.</w:t>
      </w:r>
    </w:p>
  </w:footnote>
  <w:footnote w:id="28">
    <w:p w14:paraId="3281B473" w14:textId="77777777" w:rsidR="00CC6387" w:rsidRDefault="00CC6387" w:rsidP="00CC6387">
      <w:pPr>
        <w:pStyle w:val="FootnoteText"/>
      </w:pPr>
      <w:r>
        <w:rPr>
          <w:rStyle w:val="FootnoteReference"/>
        </w:rPr>
        <w:footnoteRef/>
      </w:r>
      <w:r>
        <w:t xml:space="preserve"> Application for Review at 3. </w:t>
      </w:r>
    </w:p>
  </w:footnote>
  <w:footnote w:id="29">
    <w:p w14:paraId="34F46816" w14:textId="77777777" w:rsidR="00CC6387" w:rsidRDefault="00CC6387" w:rsidP="00CC6387">
      <w:pPr>
        <w:pStyle w:val="FootnoteText"/>
      </w:pPr>
      <w:r>
        <w:rPr>
          <w:rStyle w:val="FootnoteReference"/>
        </w:rPr>
        <w:footnoteRef/>
      </w:r>
      <w:r>
        <w:t xml:space="preserve"> </w:t>
      </w:r>
      <w:r w:rsidRPr="00CC1E02">
        <w:rPr>
          <w:i/>
        </w:rPr>
        <w:t>See</w:t>
      </w:r>
      <w:r>
        <w:t xml:space="preserve"> 47 U.S.C. § 319(b); 47 C.F.R. § 73.3598(e).</w:t>
      </w:r>
      <w:r>
        <w:rPr>
          <w:i/>
        </w:rPr>
        <w:t xml:space="preserve"> </w:t>
      </w:r>
    </w:p>
  </w:footnote>
  <w:footnote w:id="30">
    <w:p w14:paraId="0AA6DE17" w14:textId="77777777" w:rsidR="00655696" w:rsidRPr="00706282" w:rsidRDefault="00655696" w:rsidP="00FC4297">
      <w:pPr>
        <w:pStyle w:val="FootnoteText"/>
      </w:pPr>
      <w:r w:rsidRPr="00706282">
        <w:rPr>
          <w:rStyle w:val="FootnoteReference"/>
        </w:rPr>
        <w:footnoteRef/>
      </w:r>
      <w:r w:rsidRPr="00706282">
        <w:t xml:space="preserve"> 47 U.S.C. § 155(c)</w:t>
      </w:r>
      <w:r w:rsidR="001E7506">
        <w:t>(4),</w:t>
      </w:r>
      <w:r w:rsidRPr="00706282">
        <w:t>(5).</w:t>
      </w:r>
    </w:p>
  </w:footnote>
  <w:footnote w:id="31">
    <w:p w14:paraId="3EA2BF65" w14:textId="691140EB" w:rsidR="00655696" w:rsidRPr="00706282" w:rsidRDefault="00655696" w:rsidP="00FC4297">
      <w:pPr>
        <w:pStyle w:val="FootnoteText"/>
      </w:pPr>
      <w:r w:rsidRPr="00706282">
        <w:rPr>
          <w:rStyle w:val="FootnoteReference"/>
        </w:rPr>
        <w:footnoteRef/>
      </w:r>
      <w:r w:rsidRPr="00706282">
        <w:t xml:space="preserve"> 47 C.F.R. § 1.115</w:t>
      </w:r>
      <w:r w:rsidR="008B488D">
        <w:t>(</w:t>
      </w:r>
      <w:r w:rsidR="005A370C">
        <w:t>c</w:t>
      </w:r>
      <w:r w:rsidR="008B488D">
        <w:t>),</w:t>
      </w:r>
      <w:r w:rsidRPr="00706282">
        <w:t>(g).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233B" w14:textId="77777777" w:rsidR="009327AB" w:rsidRDefault="009327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6A1E9" w14:textId="5C64447B" w:rsidR="00655696" w:rsidRDefault="00655696" w:rsidP="00810B6F">
    <w:pPr>
      <w:pStyle w:val="Header"/>
      <w:rPr>
        <w:b w:val="0"/>
      </w:rPr>
    </w:pPr>
    <w:r>
      <w:tab/>
      <w:t>Federal Communications Commission</w:t>
    </w:r>
    <w:r>
      <w:tab/>
    </w:r>
    <w:r w:rsidR="00BE4FB5">
      <w:t>FCC 16-43</w:t>
    </w:r>
  </w:p>
  <w:p w14:paraId="085E6095" w14:textId="77777777" w:rsidR="00655696" w:rsidRDefault="00655696">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67F9EE0B" wp14:editId="7A2E1407">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01A3F2E"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6712FD" w14:textId="5E57BD91" w:rsidR="00655696" w:rsidRDefault="00655696" w:rsidP="00810B6F">
    <w:pPr>
      <w:pStyle w:val="Header"/>
      <w:rPr>
        <w:b w:val="0"/>
      </w:rPr>
    </w:pPr>
    <w:r>
      <w:rPr>
        <w:noProof/>
      </w:rPr>
      <mc:AlternateContent>
        <mc:Choice Requires="wps">
          <w:drawing>
            <wp:anchor distT="0" distB="0" distL="114300" distR="114300" simplePos="0" relativeHeight="251658240" behindDoc="1" locked="0" layoutInCell="0" allowOverlap="1" wp14:anchorId="54C3504B" wp14:editId="63EC41E8">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9EFA9F9"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sidR="0084772B">
      <w:rPr>
        <w:spacing w:val="-2"/>
      </w:rPr>
      <w:t xml:space="preserve">FCC </w:t>
    </w:r>
    <w:r w:rsidR="00BE4FB5" w:rsidRPr="00BE4FB5">
      <w:rPr>
        <w:spacing w:val="-2"/>
      </w:rPr>
      <w:t>16-43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75"/>
    <w:rsid w:val="00000855"/>
    <w:rsid w:val="0000381C"/>
    <w:rsid w:val="00003B98"/>
    <w:rsid w:val="000042FE"/>
    <w:rsid w:val="0001294A"/>
    <w:rsid w:val="00014290"/>
    <w:rsid w:val="000143FC"/>
    <w:rsid w:val="000170F2"/>
    <w:rsid w:val="000217C4"/>
    <w:rsid w:val="00022C9A"/>
    <w:rsid w:val="0003017B"/>
    <w:rsid w:val="00030193"/>
    <w:rsid w:val="00032CC6"/>
    <w:rsid w:val="00035F6B"/>
    <w:rsid w:val="00036039"/>
    <w:rsid w:val="00037F90"/>
    <w:rsid w:val="00042BF3"/>
    <w:rsid w:val="00042EB8"/>
    <w:rsid w:val="00052FF2"/>
    <w:rsid w:val="000535FB"/>
    <w:rsid w:val="00055AC7"/>
    <w:rsid w:val="000571EB"/>
    <w:rsid w:val="00060A22"/>
    <w:rsid w:val="00060CC7"/>
    <w:rsid w:val="00062F8C"/>
    <w:rsid w:val="00070CC7"/>
    <w:rsid w:val="00070E66"/>
    <w:rsid w:val="000712A4"/>
    <w:rsid w:val="00071473"/>
    <w:rsid w:val="00074B35"/>
    <w:rsid w:val="00076F6E"/>
    <w:rsid w:val="000810C9"/>
    <w:rsid w:val="00085282"/>
    <w:rsid w:val="000861A7"/>
    <w:rsid w:val="00086A01"/>
    <w:rsid w:val="000875BF"/>
    <w:rsid w:val="00087BF5"/>
    <w:rsid w:val="00096D8C"/>
    <w:rsid w:val="00097F09"/>
    <w:rsid w:val="000A7289"/>
    <w:rsid w:val="000B61AA"/>
    <w:rsid w:val="000B6AE7"/>
    <w:rsid w:val="000C0B65"/>
    <w:rsid w:val="000C0EFB"/>
    <w:rsid w:val="000C2AD6"/>
    <w:rsid w:val="000C6822"/>
    <w:rsid w:val="000D0F9E"/>
    <w:rsid w:val="000E004F"/>
    <w:rsid w:val="000E05FE"/>
    <w:rsid w:val="000E0E26"/>
    <w:rsid w:val="000E3D42"/>
    <w:rsid w:val="000E7786"/>
    <w:rsid w:val="000F029E"/>
    <w:rsid w:val="000F3AE4"/>
    <w:rsid w:val="000F59B8"/>
    <w:rsid w:val="0010720D"/>
    <w:rsid w:val="00113B3B"/>
    <w:rsid w:val="00113FEF"/>
    <w:rsid w:val="001141FA"/>
    <w:rsid w:val="001170FA"/>
    <w:rsid w:val="00122BD5"/>
    <w:rsid w:val="001242ED"/>
    <w:rsid w:val="00127714"/>
    <w:rsid w:val="00130806"/>
    <w:rsid w:val="00132C11"/>
    <w:rsid w:val="00133F79"/>
    <w:rsid w:val="00136210"/>
    <w:rsid w:val="00136577"/>
    <w:rsid w:val="00136A77"/>
    <w:rsid w:val="00145186"/>
    <w:rsid w:val="00147C22"/>
    <w:rsid w:val="001549ED"/>
    <w:rsid w:val="00162D9D"/>
    <w:rsid w:val="0016749C"/>
    <w:rsid w:val="00173A26"/>
    <w:rsid w:val="00175275"/>
    <w:rsid w:val="00176B4F"/>
    <w:rsid w:val="00183510"/>
    <w:rsid w:val="001871F0"/>
    <w:rsid w:val="00191F7A"/>
    <w:rsid w:val="001944A7"/>
    <w:rsid w:val="00194A66"/>
    <w:rsid w:val="00195602"/>
    <w:rsid w:val="00195B31"/>
    <w:rsid w:val="001969B4"/>
    <w:rsid w:val="001A00AC"/>
    <w:rsid w:val="001A4B71"/>
    <w:rsid w:val="001A7F6A"/>
    <w:rsid w:val="001B1F54"/>
    <w:rsid w:val="001C30BA"/>
    <w:rsid w:val="001C541E"/>
    <w:rsid w:val="001C54DB"/>
    <w:rsid w:val="001D3966"/>
    <w:rsid w:val="001D4CDF"/>
    <w:rsid w:val="001D6BCF"/>
    <w:rsid w:val="001D6FEC"/>
    <w:rsid w:val="001E01CA"/>
    <w:rsid w:val="001E0D3F"/>
    <w:rsid w:val="001E2AEE"/>
    <w:rsid w:val="001E2D53"/>
    <w:rsid w:val="001E6E18"/>
    <w:rsid w:val="001E7506"/>
    <w:rsid w:val="001F0F4D"/>
    <w:rsid w:val="001F5754"/>
    <w:rsid w:val="00202793"/>
    <w:rsid w:val="00203A0B"/>
    <w:rsid w:val="00220EAD"/>
    <w:rsid w:val="00221CA2"/>
    <w:rsid w:val="00223A87"/>
    <w:rsid w:val="00226E6E"/>
    <w:rsid w:val="00226F08"/>
    <w:rsid w:val="00234A65"/>
    <w:rsid w:val="00236407"/>
    <w:rsid w:val="00240AA0"/>
    <w:rsid w:val="00242848"/>
    <w:rsid w:val="00244333"/>
    <w:rsid w:val="002478BF"/>
    <w:rsid w:val="002526F9"/>
    <w:rsid w:val="00254267"/>
    <w:rsid w:val="00261006"/>
    <w:rsid w:val="00261274"/>
    <w:rsid w:val="00263ABC"/>
    <w:rsid w:val="00265483"/>
    <w:rsid w:val="00275CF5"/>
    <w:rsid w:val="0028301F"/>
    <w:rsid w:val="00285017"/>
    <w:rsid w:val="0028692A"/>
    <w:rsid w:val="00287C0A"/>
    <w:rsid w:val="0029171B"/>
    <w:rsid w:val="0029266D"/>
    <w:rsid w:val="0029540C"/>
    <w:rsid w:val="002A2D2E"/>
    <w:rsid w:val="002A4597"/>
    <w:rsid w:val="002B292B"/>
    <w:rsid w:val="002B5623"/>
    <w:rsid w:val="002C00E8"/>
    <w:rsid w:val="002C3897"/>
    <w:rsid w:val="002C3D79"/>
    <w:rsid w:val="002C5211"/>
    <w:rsid w:val="002D0FF4"/>
    <w:rsid w:val="002D4E47"/>
    <w:rsid w:val="002E4FC0"/>
    <w:rsid w:val="002E6305"/>
    <w:rsid w:val="002F0079"/>
    <w:rsid w:val="002F0A21"/>
    <w:rsid w:val="002F0BA6"/>
    <w:rsid w:val="002F6C43"/>
    <w:rsid w:val="00301228"/>
    <w:rsid w:val="00303944"/>
    <w:rsid w:val="00306BDF"/>
    <w:rsid w:val="00307DA6"/>
    <w:rsid w:val="0031021B"/>
    <w:rsid w:val="0031075C"/>
    <w:rsid w:val="003118C4"/>
    <w:rsid w:val="0031682F"/>
    <w:rsid w:val="003210BF"/>
    <w:rsid w:val="003232D5"/>
    <w:rsid w:val="00324984"/>
    <w:rsid w:val="0032611B"/>
    <w:rsid w:val="003366F4"/>
    <w:rsid w:val="00337917"/>
    <w:rsid w:val="00340549"/>
    <w:rsid w:val="00343749"/>
    <w:rsid w:val="0034390F"/>
    <w:rsid w:val="003534BB"/>
    <w:rsid w:val="003540D2"/>
    <w:rsid w:val="0036144D"/>
    <w:rsid w:val="00364DDB"/>
    <w:rsid w:val="00365C65"/>
    <w:rsid w:val="003660ED"/>
    <w:rsid w:val="00366372"/>
    <w:rsid w:val="00370DB2"/>
    <w:rsid w:val="00374F47"/>
    <w:rsid w:val="0037798C"/>
    <w:rsid w:val="00382BD2"/>
    <w:rsid w:val="003833D4"/>
    <w:rsid w:val="00384B95"/>
    <w:rsid w:val="00384CDB"/>
    <w:rsid w:val="0038591D"/>
    <w:rsid w:val="00385DF0"/>
    <w:rsid w:val="00385E07"/>
    <w:rsid w:val="0039132A"/>
    <w:rsid w:val="0039176A"/>
    <w:rsid w:val="00397390"/>
    <w:rsid w:val="003976BF"/>
    <w:rsid w:val="003A3CD4"/>
    <w:rsid w:val="003A56EE"/>
    <w:rsid w:val="003A69D0"/>
    <w:rsid w:val="003B0550"/>
    <w:rsid w:val="003B155F"/>
    <w:rsid w:val="003B3E3E"/>
    <w:rsid w:val="003B694F"/>
    <w:rsid w:val="003B75E1"/>
    <w:rsid w:val="003C09D4"/>
    <w:rsid w:val="003C4DB0"/>
    <w:rsid w:val="003C6AD1"/>
    <w:rsid w:val="003C71D7"/>
    <w:rsid w:val="003D02EA"/>
    <w:rsid w:val="003E1BBB"/>
    <w:rsid w:val="003E3330"/>
    <w:rsid w:val="003F171C"/>
    <w:rsid w:val="003F2AE7"/>
    <w:rsid w:val="003F3449"/>
    <w:rsid w:val="003F3735"/>
    <w:rsid w:val="00405EC0"/>
    <w:rsid w:val="00406F56"/>
    <w:rsid w:val="00410B87"/>
    <w:rsid w:val="00411A41"/>
    <w:rsid w:val="00411DAE"/>
    <w:rsid w:val="00412FC5"/>
    <w:rsid w:val="004169E5"/>
    <w:rsid w:val="00420C49"/>
    <w:rsid w:val="00421A90"/>
    <w:rsid w:val="00422276"/>
    <w:rsid w:val="0042264A"/>
    <w:rsid w:val="00423D18"/>
    <w:rsid w:val="00423FB7"/>
    <w:rsid w:val="004242F1"/>
    <w:rsid w:val="00431F1D"/>
    <w:rsid w:val="00433EDD"/>
    <w:rsid w:val="004349F2"/>
    <w:rsid w:val="004401D8"/>
    <w:rsid w:val="0044308F"/>
    <w:rsid w:val="004434A9"/>
    <w:rsid w:val="004449DD"/>
    <w:rsid w:val="00445A00"/>
    <w:rsid w:val="00451B0F"/>
    <w:rsid w:val="004562FF"/>
    <w:rsid w:val="004716DC"/>
    <w:rsid w:val="00471D51"/>
    <w:rsid w:val="004766F0"/>
    <w:rsid w:val="0048182D"/>
    <w:rsid w:val="0048182E"/>
    <w:rsid w:val="00484EB1"/>
    <w:rsid w:val="0048580A"/>
    <w:rsid w:val="004A5AFC"/>
    <w:rsid w:val="004A6984"/>
    <w:rsid w:val="004A6EE9"/>
    <w:rsid w:val="004B3BA8"/>
    <w:rsid w:val="004B43EC"/>
    <w:rsid w:val="004B526E"/>
    <w:rsid w:val="004B7A4A"/>
    <w:rsid w:val="004C1CF1"/>
    <w:rsid w:val="004C2EE3"/>
    <w:rsid w:val="004C51CD"/>
    <w:rsid w:val="004C7950"/>
    <w:rsid w:val="004D1BD1"/>
    <w:rsid w:val="004D1CD5"/>
    <w:rsid w:val="004D5469"/>
    <w:rsid w:val="004D58A6"/>
    <w:rsid w:val="004D6F25"/>
    <w:rsid w:val="004E4A22"/>
    <w:rsid w:val="004E5965"/>
    <w:rsid w:val="004F1376"/>
    <w:rsid w:val="004F1553"/>
    <w:rsid w:val="004F31F5"/>
    <w:rsid w:val="004F44D5"/>
    <w:rsid w:val="004F5C17"/>
    <w:rsid w:val="00502B26"/>
    <w:rsid w:val="005034AB"/>
    <w:rsid w:val="00505EE8"/>
    <w:rsid w:val="00507182"/>
    <w:rsid w:val="00511968"/>
    <w:rsid w:val="00512A20"/>
    <w:rsid w:val="00515644"/>
    <w:rsid w:val="0051705E"/>
    <w:rsid w:val="005203CB"/>
    <w:rsid w:val="005217E9"/>
    <w:rsid w:val="00522014"/>
    <w:rsid w:val="00525210"/>
    <w:rsid w:val="00530CB1"/>
    <w:rsid w:val="00536B6E"/>
    <w:rsid w:val="00537AF5"/>
    <w:rsid w:val="00540472"/>
    <w:rsid w:val="00543950"/>
    <w:rsid w:val="0055318F"/>
    <w:rsid w:val="0055335E"/>
    <w:rsid w:val="005557A0"/>
    <w:rsid w:val="0055614C"/>
    <w:rsid w:val="0055705B"/>
    <w:rsid w:val="0055787B"/>
    <w:rsid w:val="00560B56"/>
    <w:rsid w:val="005614B6"/>
    <w:rsid w:val="00562E14"/>
    <w:rsid w:val="005643EF"/>
    <w:rsid w:val="005653E6"/>
    <w:rsid w:val="00571FA0"/>
    <w:rsid w:val="005808E2"/>
    <w:rsid w:val="00583550"/>
    <w:rsid w:val="0058538F"/>
    <w:rsid w:val="005A13C0"/>
    <w:rsid w:val="005A2C1A"/>
    <w:rsid w:val="005A370C"/>
    <w:rsid w:val="005B0F48"/>
    <w:rsid w:val="005B3840"/>
    <w:rsid w:val="005B39A9"/>
    <w:rsid w:val="005C0A5D"/>
    <w:rsid w:val="005C47A3"/>
    <w:rsid w:val="005C5B07"/>
    <w:rsid w:val="005C73DE"/>
    <w:rsid w:val="005D68DE"/>
    <w:rsid w:val="005D704B"/>
    <w:rsid w:val="005E0FBC"/>
    <w:rsid w:val="005E14C2"/>
    <w:rsid w:val="005F1117"/>
    <w:rsid w:val="005F3514"/>
    <w:rsid w:val="005F4A9A"/>
    <w:rsid w:val="005F7A4C"/>
    <w:rsid w:val="006013C0"/>
    <w:rsid w:val="006013EB"/>
    <w:rsid w:val="00603838"/>
    <w:rsid w:val="00603A21"/>
    <w:rsid w:val="00604035"/>
    <w:rsid w:val="0060549F"/>
    <w:rsid w:val="00607BA5"/>
    <w:rsid w:val="00610A5B"/>
    <w:rsid w:val="0061180A"/>
    <w:rsid w:val="00613257"/>
    <w:rsid w:val="0061520D"/>
    <w:rsid w:val="006172F6"/>
    <w:rsid w:val="00623DBE"/>
    <w:rsid w:val="006263BA"/>
    <w:rsid w:val="00626EB6"/>
    <w:rsid w:val="00627683"/>
    <w:rsid w:val="00633A8C"/>
    <w:rsid w:val="00635215"/>
    <w:rsid w:val="00640E67"/>
    <w:rsid w:val="0064627C"/>
    <w:rsid w:val="006501AB"/>
    <w:rsid w:val="006535E1"/>
    <w:rsid w:val="00655696"/>
    <w:rsid w:val="00655D03"/>
    <w:rsid w:val="00657CF8"/>
    <w:rsid w:val="0066266C"/>
    <w:rsid w:val="006640F1"/>
    <w:rsid w:val="006709FF"/>
    <w:rsid w:val="00670D67"/>
    <w:rsid w:val="0067379F"/>
    <w:rsid w:val="00675990"/>
    <w:rsid w:val="0067782A"/>
    <w:rsid w:val="0068089F"/>
    <w:rsid w:val="00683388"/>
    <w:rsid w:val="00683F84"/>
    <w:rsid w:val="006A28A8"/>
    <w:rsid w:val="006A5924"/>
    <w:rsid w:val="006A6A81"/>
    <w:rsid w:val="006B30EF"/>
    <w:rsid w:val="006B4194"/>
    <w:rsid w:val="006C256C"/>
    <w:rsid w:val="006C6DB6"/>
    <w:rsid w:val="006C78ED"/>
    <w:rsid w:val="006D0B95"/>
    <w:rsid w:val="006E1D53"/>
    <w:rsid w:val="006F13FC"/>
    <w:rsid w:val="006F5693"/>
    <w:rsid w:val="006F7393"/>
    <w:rsid w:val="00700C19"/>
    <w:rsid w:val="0070224F"/>
    <w:rsid w:val="007059CA"/>
    <w:rsid w:val="00706282"/>
    <w:rsid w:val="00707440"/>
    <w:rsid w:val="00707486"/>
    <w:rsid w:val="00710678"/>
    <w:rsid w:val="007115F7"/>
    <w:rsid w:val="00711F2C"/>
    <w:rsid w:val="00714601"/>
    <w:rsid w:val="00715414"/>
    <w:rsid w:val="00717D64"/>
    <w:rsid w:val="007229D8"/>
    <w:rsid w:val="00730130"/>
    <w:rsid w:val="00730754"/>
    <w:rsid w:val="00730FC9"/>
    <w:rsid w:val="007333DA"/>
    <w:rsid w:val="007406B4"/>
    <w:rsid w:val="00741803"/>
    <w:rsid w:val="00755560"/>
    <w:rsid w:val="007562A8"/>
    <w:rsid w:val="007577F0"/>
    <w:rsid w:val="00760179"/>
    <w:rsid w:val="0076299B"/>
    <w:rsid w:val="0076359A"/>
    <w:rsid w:val="0076488F"/>
    <w:rsid w:val="00765095"/>
    <w:rsid w:val="00765C13"/>
    <w:rsid w:val="00772363"/>
    <w:rsid w:val="0077324C"/>
    <w:rsid w:val="00775A7C"/>
    <w:rsid w:val="007813E2"/>
    <w:rsid w:val="0078191F"/>
    <w:rsid w:val="007840DF"/>
    <w:rsid w:val="00784C3F"/>
    <w:rsid w:val="00785689"/>
    <w:rsid w:val="0078651C"/>
    <w:rsid w:val="0079754B"/>
    <w:rsid w:val="007A0A7A"/>
    <w:rsid w:val="007A1D80"/>
    <w:rsid w:val="007A1E6D"/>
    <w:rsid w:val="007A5307"/>
    <w:rsid w:val="007A5FF4"/>
    <w:rsid w:val="007A7BA1"/>
    <w:rsid w:val="007B0EB2"/>
    <w:rsid w:val="007B1F67"/>
    <w:rsid w:val="007B2F4F"/>
    <w:rsid w:val="007B7C7E"/>
    <w:rsid w:val="007C0A66"/>
    <w:rsid w:val="007C17C5"/>
    <w:rsid w:val="007C248F"/>
    <w:rsid w:val="007D192C"/>
    <w:rsid w:val="007E5E11"/>
    <w:rsid w:val="007F1E3F"/>
    <w:rsid w:val="007F7E6D"/>
    <w:rsid w:val="00801BA6"/>
    <w:rsid w:val="008060F4"/>
    <w:rsid w:val="00810B6F"/>
    <w:rsid w:val="008131BE"/>
    <w:rsid w:val="00822CE0"/>
    <w:rsid w:val="008346F8"/>
    <w:rsid w:val="00840A35"/>
    <w:rsid w:val="008416F2"/>
    <w:rsid w:val="00841AB1"/>
    <w:rsid w:val="00843462"/>
    <w:rsid w:val="00847263"/>
    <w:rsid w:val="0084772B"/>
    <w:rsid w:val="0084783B"/>
    <w:rsid w:val="00852D95"/>
    <w:rsid w:val="00853968"/>
    <w:rsid w:val="0086048C"/>
    <w:rsid w:val="00862251"/>
    <w:rsid w:val="00864A00"/>
    <w:rsid w:val="0087715D"/>
    <w:rsid w:val="008871FB"/>
    <w:rsid w:val="008909FC"/>
    <w:rsid w:val="00891BB4"/>
    <w:rsid w:val="00897CCE"/>
    <w:rsid w:val="008A0E24"/>
    <w:rsid w:val="008A337B"/>
    <w:rsid w:val="008A44FE"/>
    <w:rsid w:val="008A5718"/>
    <w:rsid w:val="008A61D0"/>
    <w:rsid w:val="008B2459"/>
    <w:rsid w:val="008B3EF8"/>
    <w:rsid w:val="008B4888"/>
    <w:rsid w:val="008B488D"/>
    <w:rsid w:val="008B4DFC"/>
    <w:rsid w:val="008B515F"/>
    <w:rsid w:val="008C1585"/>
    <w:rsid w:val="008C2419"/>
    <w:rsid w:val="008C4D15"/>
    <w:rsid w:val="008C68F1"/>
    <w:rsid w:val="008D2166"/>
    <w:rsid w:val="008D3035"/>
    <w:rsid w:val="008D57C1"/>
    <w:rsid w:val="008D728B"/>
    <w:rsid w:val="008D7763"/>
    <w:rsid w:val="008D77F4"/>
    <w:rsid w:val="008E0BE4"/>
    <w:rsid w:val="008E1739"/>
    <w:rsid w:val="008F1D70"/>
    <w:rsid w:val="008F2FCC"/>
    <w:rsid w:val="008F4698"/>
    <w:rsid w:val="008F54CB"/>
    <w:rsid w:val="008F626D"/>
    <w:rsid w:val="00900D6C"/>
    <w:rsid w:val="00901008"/>
    <w:rsid w:val="00903C4D"/>
    <w:rsid w:val="00904719"/>
    <w:rsid w:val="009049E8"/>
    <w:rsid w:val="00907011"/>
    <w:rsid w:val="00911BE4"/>
    <w:rsid w:val="0091381B"/>
    <w:rsid w:val="00914CAB"/>
    <w:rsid w:val="00915CA0"/>
    <w:rsid w:val="00916FD0"/>
    <w:rsid w:val="00921803"/>
    <w:rsid w:val="00922071"/>
    <w:rsid w:val="009246B3"/>
    <w:rsid w:val="0092507A"/>
    <w:rsid w:val="0092558F"/>
    <w:rsid w:val="00925EC2"/>
    <w:rsid w:val="009263DC"/>
    <w:rsid w:val="00926503"/>
    <w:rsid w:val="009327AB"/>
    <w:rsid w:val="00932CA9"/>
    <w:rsid w:val="00932D40"/>
    <w:rsid w:val="00933ABA"/>
    <w:rsid w:val="0093446A"/>
    <w:rsid w:val="00937B2B"/>
    <w:rsid w:val="00944B1A"/>
    <w:rsid w:val="009459D7"/>
    <w:rsid w:val="00946087"/>
    <w:rsid w:val="00946D69"/>
    <w:rsid w:val="009479D1"/>
    <w:rsid w:val="00953357"/>
    <w:rsid w:val="009537AA"/>
    <w:rsid w:val="0096477D"/>
    <w:rsid w:val="009658EF"/>
    <w:rsid w:val="00966A79"/>
    <w:rsid w:val="00967449"/>
    <w:rsid w:val="0097066D"/>
    <w:rsid w:val="009726D8"/>
    <w:rsid w:val="00974D07"/>
    <w:rsid w:val="00977139"/>
    <w:rsid w:val="009809B8"/>
    <w:rsid w:val="00983288"/>
    <w:rsid w:val="00992D91"/>
    <w:rsid w:val="009945CD"/>
    <w:rsid w:val="009A52E7"/>
    <w:rsid w:val="009A5D81"/>
    <w:rsid w:val="009B2999"/>
    <w:rsid w:val="009B4A9F"/>
    <w:rsid w:val="009C0D35"/>
    <w:rsid w:val="009C4813"/>
    <w:rsid w:val="009C5023"/>
    <w:rsid w:val="009C785F"/>
    <w:rsid w:val="009D0075"/>
    <w:rsid w:val="009D069C"/>
    <w:rsid w:val="009D34E0"/>
    <w:rsid w:val="009D4CDB"/>
    <w:rsid w:val="009D4EDB"/>
    <w:rsid w:val="009E302B"/>
    <w:rsid w:val="009E3D02"/>
    <w:rsid w:val="009F76DB"/>
    <w:rsid w:val="009F7995"/>
    <w:rsid w:val="009F7E45"/>
    <w:rsid w:val="00A02DF8"/>
    <w:rsid w:val="00A05227"/>
    <w:rsid w:val="00A05233"/>
    <w:rsid w:val="00A14015"/>
    <w:rsid w:val="00A1585C"/>
    <w:rsid w:val="00A15912"/>
    <w:rsid w:val="00A21486"/>
    <w:rsid w:val="00A2374F"/>
    <w:rsid w:val="00A23E5B"/>
    <w:rsid w:val="00A23FED"/>
    <w:rsid w:val="00A2771E"/>
    <w:rsid w:val="00A308A3"/>
    <w:rsid w:val="00A32C3B"/>
    <w:rsid w:val="00A33519"/>
    <w:rsid w:val="00A414E2"/>
    <w:rsid w:val="00A433CF"/>
    <w:rsid w:val="00A45F4F"/>
    <w:rsid w:val="00A467E7"/>
    <w:rsid w:val="00A510E4"/>
    <w:rsid w:val="00A54B79"/>
    <w:rsid w:val="00A54D5A"/>
    <w:rsid w:val="00A600A9"/>
    <w:rsid w:val="00A60115"/>
    <w:rsid w:val="00A647DF"/>
    <w:rsid w:val="00A676A8"/>
    <w:rsid w:val="00A7126F"/>
    <w:rsid w:val="00A721FE"/>
    <w:rsid w:val="00A7382C"/>
    <w:rsid w:val="00A73B2A"/>
    <w:rsid w:val="00A757A5"/>
    <w:rsid w:val="00A80D06"/>
    <w:rsid w:val="00A81C34"/>
    <w:rsid w:val="00A81DA6"/>
    <w:rsid w:val="00A8265C"/>
    <w:rsid w:val="00A82B10"/>
    <w:rsid w:val="00A85119"/>
    <w:rsid w:val="00A90361"/>
    <w:rsid w:val="00A930B5"/>
    <w:rsid w:val="00A973E5"/>
    <w:rsid w:val="00AA0445"/>
    <w:rsid w:val="00AA177B"/>
    <w:rsid w:val="00AA1A7F"/>
    <w:rsid w:val="00AA26B8"/>
    <w:rsid w:val="00AA28E3"/>
    <w:rsid w:val="00AA491F"/>
    <w:rsid w:val="00AA55B7"/>
    <w:rsid w:val="00AA5694"/>
    <w:rsid w:val="00AA59E2"/>
    <w:rsid w:val="00AA5B9E"/>
    <w:rsid w:val="00AA5E70"/>
    <w:rsid w:val="00AB0606"/>
    <w:rsid w:val="00AB2407"/>
    <w:rsid w:val="00AB3B65"/>
    <w:rsid w:val="00AB53DF"/>
    <w:rsid w:val="00AB727B"/>
    <w:rsid w:val="00AB74BD"/>
    <w:rsid w:val="00AC2D6C"/>
    <w:rsid w:val="00AC470A"/>
    <w:rsid w:val="00AC51D2"/>
    <w:rsid w:val="00AC5CEE"/>
    <w:rsid w:val="00AD39FE"/>
    <w:rsid w:val="00AD656E"/>
    <w:rsid w:val="00AE1FF0"/>
    <w:rsid w:val="00AE2643"/>
    <w:rsid w:val="00AE416C"/>
    <w:rsid w:val="00AE6FE8"/>
    <w:rsid w:val="00AF01B3"/>
    <w:rsid w:val="00AF3824"/>
    <w:rsid w:val="00AF4B69"/>
    <w:rsid w:val="00AF7C87"/>
    <w:rsid w:val="00B035BF"/>
    <w:rsid w:val="00B03D3F"/>
    <w:rsid w:val="00B044B2"/>
    <w:rsid w:val="00B0612D"/>
    <w:rsid w:val="00B0642D"/>
    <w:rsid w:val="00B0748F"/>
    <w:rsid w:val="00B07E5C"/>
    <w:rsid w:val="00B12E51"/>
    <w:rsid w:val="00B169F5"/>
    <w:rsid w:val="00B22916"/>
    <w:rsid w:val="00B27B62"/>
    <w:rsid w:val="00B3069C"/>
    <w:rsid w:val="00B31C1A"/>
    <w:rsid w:val="00B3612E"/>
    <w:rsid w:val="00B51273"/>
    <w:rsid w:val="00B52CA1"/>
    <w:rsid w:val="00B52E1D"/>
    <w:rsid w:val="00B53A5D"/>
    <w:rsid w:val="00B54D57"/>
    <w:rsid w:val="00B55F15"/>
    <w:rsid w:val="00B56E3F"/>
    <w:rsid w:val="00B6114A"/>
    <w:rsid w:val="00B624C9"/>
    <w:rsid w:val="00B80703"/>
    <w:rsid w:val="00B80C7A"/>
    <w:rsid w:val="00B811F7"/>
    <w:rsid w:val="00B81E9A"/>
    <w:rsid w:val="00B85258"/>
    <w:rsid w:val="00B85826"/>
    <w:rsid w:val="00B85EE3"/>
    <w:rsid w:val="00B86B17"/>
    <w:rsid w:val="00B86BA4"/>
    <w:rsid w:val="00B9370E"/>
    <w:rsid w:val="00BA0D02"/>
    <w:rsid w:val="00BA15BD"/>
    <w:rsid w:val="00BA4283"/>
    <w:rsid w:val="00BA4F89"/>
    <w:rsid w:val="00BA502A"/>
    <w:rsid w:val="00BA5DC6"/>
    <w:rsid w:val="00BA6196"/>
    <w:rsid w:val="00BC44CF"/>
    <w:rsid w:val="00BC4B5F"/>
    <w:rsid w:val="00BC6D8C"/>
    <w:rsid w:val="00BC7186"/>
    <w:rsid w:val="00BD0B47"/>
    <w:rsid w:val="00BD3523"/>
    <w:rsid w:val="00BD3643"/>
    <w:rsid w:val="00BD3958"/>
    <w:rsid w:val="00BD5A40"/>
    <w:rsid w:val="00BD7213"/>
    <w:rsid w:val="00BE0019"/>
    <w:rsid w:val="00BE4FB5"/>
    <w:rsid w:val="00BE6AEA"/>
    <w:rsid w:val="00BF12D2"/>
    <w:rsid w:val="00BF3E79"/>
    <w:rsid w:val="00BF6958"/>
    <w:rsid w:val="00C0173E"/>
    <w:rsid w:val="00C063FE"/>
    <w:rsid w:val="00C13AE2"/>
    <w:rsid w:val="00C22806"/>
    <w:rsid w:val="00C22E7B"/>
    <w:rsid w:val="00C24D51"/>
    <w:rsid w:val="00C26BB8"/>
    <w:rsid w:val="00C30610"/>
    <w:rsid w:val="00C34006"/>
    <w:rsid w:val="00C35227"/>
    <w:rsid w:val="00C35E39"/>
    <w:rsid w:val="00C36301"/>
    <w:rsid w:val="00C426B1"/>
    <w:rsid w:val="00C43FC1"/>
    <w:rsid w:val="00C47BEA"/>
    <w:rsid w:val="00C53E6D"/>
    <w:rsid w:val="00C6055E"/>
    <w:rsid w:val="00C64218"/>
    <w:rsid w:val="00C66160"/>
    <w:rsid w:val="00C6666A"/>
    <w:rsid w:val="00C721AC"/>
    <w:rsid w:val="00C7570D"/>
    <w:rsid w:val="00C80586"/>
    <w:rsid w:val="00C8309B"/>
    <w:rsid w:val="00C83A2C"/>
    <w:rsid w:val="00C8409D"/>
    <w:rsid w:val="00C90D6A"/>
    <w:rsid w:val="00C965DF"/>
    <w:rsid w:val="00C97F83"/>
    <w:rsid w:val="00CA015A"/>
    <w:rsid w:val="00CA247E"/>
    <w:rsid w:val="00CA36F1"/>
    <w:rsid w:val="00CB43FC"/>
    <w:rsid w:val="00CB5C32"/>
    <w:rsid w:val="00CB67D7"/>
    <w:rsid w:val="00CB69FF"/>
    <w:rsid w:val="00CC30E5"/>
    <w:rsid w:val="00CC3C61"/>
    <w:rsid w:val="00CC4184"/>
    <w:rsid w:val="00CC6387"/>
    <w:rsid w:val="00CC72B6"/>
    <w:rsid w:val="00CE0740"/>
    <w:rsid w:val="00CE1291"/>
    <w:rsid w:val="00CE2839"/>
    <w:rsid w:val="00CE4A11"/>
    <w:rsid w:val="00CF139B"/>
    <w:rsid w:val="00CF514B"/>
    <w:rsid w:val="00CF5994"/>
    <w:rsid w:val="00D00A78"/>
    <w:rsid w:val="00D00FF5"/>
    <w:rsid w:val="00D0218D"/>
    <w:rsid w:val="00D05986"/>
    <w:rsid w:val="00D0663A"/>
    <w:rsid w:val="00D12594"/>
    <w:rsid w:val="00D130A0"/>
    <w:rsid w:val="00D14A75"/>
    <w:rsid w:val="00D177D3"/>
    <w:rsid w:val="00D177E5"/>
    <w:rsid w:val="00D202A8"/>
    <w:rsid w:val="00D25500"/>
    <w:rsid w:val="00D25FB5"/>
    <w:rsid w:val="00D266AB"/>
    <w:rsid w:val="00D309BD"/>
    <w:rsid w:val="00D371B9"/>
    <w:rsid w:val="00D423F5"/>
    <w:rsid w:val="00D441C4"/>
    <w:rsid w:val="00D441D3"/>
    <w:rsid w:val="00D44223"/>
    <w:rsid w:val="00D47786"/>
    <w:rsid w:val="00D531BC"/>
    <w:rsid w:val="00D53410"/>
    <w:rsid w:val="00D535E4"/>
    <w:rsid w:val="00D5369D"/>
    <w:rsid w:val="00D600A2"/>
    <w:rsid w:val="00D604E1"/>
    <w:rsid w:val="00D6067A"/>
    <w:rsid w:val="00D60F1C"/>
    <w:rsid w:val="00D662EF"/>
    <w:rsid w:val="00D67A83"/>
    <w:rsid w:val="00D7074C"/>
    <w:rsid w:val="00D72AA5"/>
    <w:rsid w:val="00D75872"/>
    <w:rsid w:val="00D7687E"/>
    <w:rsid w:val="00D80B11"/>
    <w:rsid w:val="00D81DE0"/>
    <w:rsid w:val="00D824B8"/>
    <w:rsid w:val="00D826E2"/>
    <w:rsid w:val="00D865CF"/>
    <w:rsid w:val="00D92A59"/>
    <w:rsid w:val="00D93127"/>
    <w:rsid w:val="00D939B5"/>
    <w:rsid w:val="00DA1B48"/>
    <w:rsid w:val="00DA2529"/>
    <w:rsid w:val="00DA503B"/>
    <w:rsid w:val="00DA64D4"/>
    <w:rsid w:val="00DB130A"/>
    <w:rsid w:val="00DB2EBB"/>
    <w:rsid w:val="00DB64DC"/>
    <w:rsid w:val="00DB70D8"/>
    <w:rsid w:val="00DB7C02"/>
    <w:rsid w:val="00DC10A1"/>
    <w:rsid w:val="00DC1FF4"/>
    <w:rsid w:val="00DC45E5"/>
    <w:rsid w:val="00DC655F"/>
    <w:rsid w:val="00DC7210"/>
    <w:rsid w:val="00DC7F2D"/>
    <w:rsid w:val="00DD064C"/>
    <w:rsid w:val="00DD0B59"/>
    <w:rsid w:val="00DD31F2"/>
    <w:rsid w:val="00DD46EA"/>
    <w:rsid w:val="00DD5F32"/>
    <w:rsid w:val="00DD6156"/>
    <w:rsid w:val="00DD6CBD"/>
    <w:rsid w:val="00DD7C45"/>
    <w:rsid w:val="00DD7EBD"/>
    <w:rsid w:val="00DE0AD8"/>
    <w:rsid w:val="00DE1200"/>
    <w:rsid w:val="00DE42C0"/>
    <w:rsid w:val="00DE4AF2"/>
    <w:rsid w:val="00DF6186"/>
    <w:rsid w:val="00DF62B6"/>
    <w:rsid w:val="00E07225"/>
    <w:rsid w:val="00E11492"/>
    <w:rsid w:val="00E12080"/>
    <w:rsid w:val="00E1427A"/>
    <w:rsid w:val="00E16333"/>
    <w:rsid w:val="00E1653C"/>
    <w:rsid w:val="00E17DA4"/>
    <w:rsid w:val="00E2773E"/>
    <w:rsid w:val="00E36556"/>
    <w:rsid w:val="00E469F5"/>
    <w:rsid w:val="00E51DC4"/>
    <w:rsid w:val="00E5409F"/>
    <w:rsid w:val="00E56D0F"/>
    <w:rsid w:val="00E57625"/>
    <w:rsid w:val="00E62879"/>
    <w:rsid w:val="00E63026"/>
    <w:rsid w:val="00E632E0"/>
    <w:rsid w:val="00E66991"/>
    <w:rsid w:val="00E7178B"/>
    <w:rsid w:val="00E7257F"/>
    <w:rsid w:val="00E7333E"/>
    <w:rsid w:val="00E802DC"/>
    <w:rsid w:val="00E803C5"/>
    <w:rsid w:val="00E87F69"/>
    <w:rsid w:val="00E90F63"/>
    <w:rsid w:val="00E917EE"/>
    <w:rsid w:val="00E9562B"/>
    <w:rsid w:val="00E95FAA"/>
    <w:rsid w:val="00E9783E"/>
    <w:rsid w:val="00E97CAD"/>
    <w:rsid w:val="00EA1F21"/>
    <w:rsid w:val="00EA2B3E"/>
    <w:rsid w:val="00EA5290"/>
    <w:rsid w:val="00EA77CE"/>
    <w:rsid w:val="00EB14A4"/>
    <w:rsid w:val="00EB18DB"/>
    <w:rsid w:val="00EB725C"/>
    <w:rsid w:val="00EC0844"/>
    <w:rsid w:val="00EC2BEF"/>
    <w:rsid w:val="00EC4CBB"/>
    <w:rsid w:val="00ED14E5"/>
    <w:rsid w:val="00ED3094"/>
    <w:rsid w:val="00ED6566"/>
    <w:rsid w:val="00EE19EE"/>
    <w:rsid w:val="00EE2A29"/>
    <w:rsid w:val="00EE6488"/>
    <w:rsid w:val="00EF7984"/>
    <w:rsid w:val="00EF7FDA"/>
    <w:rsid w:val="00F00878"/>
    <w:rsid w:val="00F021FA"/>
    <w:rsid w:val="00F03276"/>
    <w:rsid w:val="00F04C80"/>
    <w:rsid w:val="00F0593E"/>
    <w:rsid w:val="00F06352"/>
    <w:rsid w:val="00F11CAF"/>
    <w:rsid w:val="00F13C54"/>
    <w:rsid w:val="00F159A9"/>
    <w:rsid w:val="00F16F6B"/>
    <w:rsid w:val="00F21687"/>
    <w:rsid w:val="00F21C69"/>
    <w:rsid w:val="00F22B11"/>
    <w:rsid w:val="00F3102F"/>
    <w:rsid w:val="00F33AF9"/>
    <w:rsid w:val="00F35607"/>
    <w:rsid w:val="00F35DC1"/>
    <w:rsid w:val="00F36484"/>
    <w:rsid w:val="00F37959"/>
    <w:rsid w:val="00F427ED"/>
    <w:rsid w:val="00F44364"/>
    <w:rsid w:val="00F47281"/>
    <w:rsid w:val="00F50576"/>
    <w:rsid w:val="00F6196F"/>
    <w:rsid w:val="00F62E97"/>
    <w:rsid w:val="00F6373B"/>
    <w:rsid w:val="00F64209"/>
    <w:rsid w:val="00F66700"/>
    <w:rsid w:val="00F67073"/>
    <w:rsid w:val="00F73194"/>
    <w:rsid w:val="00F80A1F"/>
    <w:rsid w:val="00F8153A"/>
    <w:rsid w:val="00F83780"/>
    <w:rsid w:val="00F90DB0"/>
    <w:rsid w:val="00F93BF5"/>
    <w:rsid w:val="00F96326"/>
    <w:rsid w:val="00FA64D6"/>
    <w:rsid w:val="00FB4CD0"/>
    <w:rsid w:val="00FC0C21"/>
    <w:rsid w:val="00FC33BD"/>
    <w:rsid w:val="00FC4297"/>
    <w:rsid w:val="00FD0ADB"/>
    <w:rsid w:val="00FD1618"/>
    <w:rsid w:val="00FE571C"/>
    <w:rsid w:val="00FF0379"/>
    <w:rsid w:val="00FF516C"/>
    <w:rsid w:val="00FF6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7AC9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F0"/>
    <w:pPr>
      <w:widowControl w:val="0"/>
    </w:pPr>
    <w:rPr>
      <w:snapToGrid w:val="0"/>
      <w:kern w:val="28"/>
      <w:sz w:val="22"/>
    </w:rPr>
  </w:style>
  <w:style w:type="paragraph" w:styleId="Heading1">
    <w:name w:val="heading 1"/>
    <w:basedOn w:val="Normal"/>
    <w:next w:val="ParaNum"/>
    <w:qFormat/>
    <w:rsid w:val="007577F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77F0"/>
    <w:pPr>
      <w:keepNext/>
      <w:numPr>
        <w:ilvl w:val="1"/>
        <w:numId w:val="3"/>
      </w:numPr>
      <w:spacing w:after="120"/>
      <w:outlineLvl w:val="1"/>
    </w:pPr>
    <w:rPr>
      <w:b/>
    </w:rPr>
  </w:style>
  <w:style w:type="paragraph" w:styleId="Heading3">
    <w:name w:val="heading 3"/>
    <w:basedOn w:val="Normal"/>
    <w:next w:val="ParaNum"/>
    <w:qFormat/>
    <w:rsid w:val="007577F0"/>
    <w:pPr>
      <w:keepNext/>
      <w:numPr>
        <w:ilvl w:val="2"/>
        <w:numId w:val="3"/>
      </w:numPr>
      <w:tabs>
        <w:tab w:val="left" w:pos="2160"/>
      </w:tabs>
      <w:spacing w:after="120"/>
      <w:outlineLvl w:val="2"/>
    </w:pPr>
    <w:rPr>
      <w:b/>
    </w:rPr>
  </w:style>
  <w:style w:type="paragraph" w:styleId="Heading4">
    <w:name w:val="heading 4"/>
    <w:basedOn w:val="Normal"/>
    <w:next w:val="ParaNum"/>
    <w:qFormat/>
    <w:rsid w:val="007577F0"/>
    <w:pPr>
      <w:keepNext/>
      <w:numPr>
        <w:ilvl w:val="3"/>
        <w:numId w:val="3"/>
      </w:numPr>
      <w:tabs>
        <w:tab w:val="left" w:pos="2880"/>
      </w:tabs>
      <w:spacing w:after="120"/>
      <w:outlineLvl w:val="3"/>
    </w:pPr>
    <w:rPr>
      <w:b/>
    </w:rPr>
  </w:style>
  <w:style w:type="paragraph" w:styleId="Heading5">
    <w:name w:val="heading 5"/>
    <w:basedOn w:val="Normal"/>
    <w:next w:val="ParaNum"/>
    <w:qFormat/>
    <w:rsid w:val="007577F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77F0"/>
    <w:pPr>
      <w:numPr>
        <w:ilvl w:val="5"/>
        <w:numId w:val="3"/>
      </w:numPr>
      <w:tabs>
        <w:tab w:val="left" w:pos="4320"/>
      </w:tabs>
      <w:spacing w:after="120"/>
      <w:outlineLvl w:val="5"/>
    </w:pPr>
    <w:rPr>
      <w:b/>
    </w:rPr>
  </w:style>
  <w:style w:type="paragraph" w:styleId="Heading7">
    <w:name w:val="heading 7"/>
    <w:basedOn w:val="Normal"/>
    <w:next w:val="ParaNum"/>
    <w:qFormat/>
    <w:rsid w:val="007577F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77F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77F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77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77F0"/>
  </w:style>
  <w:style w:type="paragraph" w:customStyle="1" w:styleId="ParaNum">
    <w:name w:val="ParaNum"/>
    <w:basedOn w:val="Normal"/>
    <w:rsid w:val="007577F0"/>
    <w:pPr>
      <w:numPr>
        <w:numId w:val="2"/>
      </w:numPr>
      <w:tabs>
        <w:tab w:val="clear" w:pos="1080"/>
        <w:tab w:val="num" w:pos="1440"/>
      </w:tabs>
      <w:spacing w:after="120"/>
    </w:pPr>
  </w:style>
  <w:style w:type="paragraph" w:styleId="EndnoteText">
    <w:name w:val="endnote text"/>
    <w:basedOn w:val="Normal"/>
    <w:semiHidden/>
    <w:rsid w:val="007577F0"/>
    <w:rPr>
      <w:sz w:val="20"/>
    </w:rPr>
  </w:style>
  <w:style w:type="character" w:styleId="EndnoteReference">
    <w:name w:val="endnote reference"/>
    <w:semiHidden/>
    <w:rsid w:val="007577F0"/>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7577F0"/>
    <w:pPr>
      <w:spacing w:after="120"/>
    </w:pPr>
  </w:style>
  <w:style w:type="character" w:styleId="FootnoteReference">
    <w:name w:val="footnote reference"/>
    <w:aliases w:val="Style 12,(NECG) Footnote Reference,o,fr,Style 3,Appel note de bas de p,Style 124"/>
    <w:rsid w:val="007577F0"/>
    <w:rPr>
      <w:rFonts w:ascii="Times New Roman" w:hAnsi="Times New Roman"/>
      <w:dstrike w:val="0"/>
      <w:color w:val="auto"/>
      <w:sz w:val="20"/>
      <w:vertAlign w:val="superscript"/>
    </w:rPr>
  </w:style>
  <w:style w:type="paragraph" w:styleId="TOC1">
    <w:name w:val="toc 1"/>
    <w:basedOn w:val="Normal"/>
    <w:next w:val="Normal"/>
    <w:semiHidden/>
    <w:rsid w:val="007577F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77F0"/>
    <w:pPr>
      <w:tabs>
        <w:tab w:val="left" w:pos="720"/>
        <w:tab w:val="right" w:leader="dot" w:pos="9360"/>
      </w:tabs>
      <w:suppressAutoHyphens/>
      <w:ind w:left="720" w:right="720" w:hanging="360"/>
    </w:pPr>
    <w:rPr>
      <w:noProof/>
    </w:rPr>
  </w:style>
  <w:style w:type="paragraph" w:styleId="TOC3">
    <w:name w:val="toc 3"/>
    <w:basedOn w:val="Normal"/>
    <w:next w:val="Normal"/>
    <w:semiHidden/>
    <w:rsid w:val="007577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77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77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77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77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77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77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77F0"/>
    <w:pPr>
      <w:tabs>
        <w:tab w:val="right" w:pos="9360"/>
      </w:tabs>
      <w:suppressAutoHyphens/>
    </w:pPr>
  </w:style>
  <w:style w:type="character" w:customStyle="1" w:styleId="EquationCaption">
    <w:name w:val="_Equation Caption"/>
    <w:rsid w:val="007577F0"/>
  </w:style>
  <w:style w:type="paragraph" w:styleId="Header">
    <w:name w:val="header"/>
    <w:basedOn w:val="Normal"/>
    <w:autoRedefine/>
    <w:rsid w:val="007577F0"/>
    <w:pPr>
      <w:tabs>
        <w:tab w:val="center" w:pos="4680"/>
        <w:tab w:val="right" w:pos="9360"/>
      </w:tabs>
    </w:pPr>
    <w:rPr>
      <w:b/>
    </w:rPr>
  </w:style>
  <w:style w:type="paragraph" w:styleId="Footer">
    <w:name w:val="footer"/>
    <w:basedOn w:val="Normal"/>
    <w:link w:val="FooterChar"/>
    <w:rsid w:val="007577F0"/>
    <w:pPr>
      <w:tabs>
        <w:tab w:val="center" w:pos="4320"/>
        <w:tab w:val="right" w:pos="8640"/>
      </w:tabs>
    </w:pPr>
  </w:style>
  <w:style w:type="character" w:styleId="PageNumber">
    <w:name w:val="page number"/>
    <w:basedOn w:val="DefaultParagraphFont"/>
    <w:rsid w:val="007577F0"/>
  </w:style>
  <w:style w:type="paragraph" w:styleId="BlockText">
    <w:name w:val="Block Text"/>
    <w:basedOn w:val="Normal"/>
    <w:rsid w:val="007577F0"/>
    <w:pPr>
      <w:spacing w:after="240"/>
      <w:ind w:left="1440" w:right="1440"/>
    </w:pPr>
  </w:style>
  <w:style w:type="paragraph" w:customStyle="1" w:styleId="Paratitle">
    <w:name w:val="Para title"/>
    <w:basedOn w:val="Normal"/>
    <w:rsid w:val="007577F0"/>
    <w:pPr>
      <w:tabs>
        <w:tab w:val="center" w:pos="9270"/>
      </w:tabs>
      <w:spacing w:after="240"/>
    </w:pPr>
    <w:rPr>
      <w:spacing w:val="-2"/>
    </w:rPr>
  </w:style>
  <w:style w:type="paragraph" w:customStyle="1" w:styleId="Bullet">
    <w:name w:val="Bullet"/>
    <w:basedOn w:val="Normal"/>
    <w:rsid w:val="007577F0"/>
    <w:pPr>
      <w:tabs>
        <w:tab w:val="left" w:pos="2160"/>
      </w:tabs>
      <w:spacing w:after="220"/>
      <w:ind w:left="2160" w:hanging="720"/>
    </w:pPr>
  </w:style>
  <w:style w:type="paragraph" w:customStyle="1" w:styleId="TableFormat">
    <w:name w:val="TableFormat"/>
    <w:basedOn w:val="Bullet"/>
    <w:rsid w:val="007577F0"/>
    <w:pPr>
      <w:tabs>
        <w:tab w:val="clear" w:pos="2160"/>
        <w:tab w:val="left" w:pos="5040"/>
      </w:tabs>
      <w:ind w:left="5040" w:hanging="3600"/>
    </w:pPr>
  </w:style>
  <w:style w:type="paragraph" w:customStyle="1" w:styleId="TOCTitle">
    <w:name w:val="TOC Title"/>
    <w:basedOn w:val="Normal"/>
    <w:rsid w:val="007577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77F0"/>
    <w:pPr>
      <w:jc w:val="center"/>
    </w:pPr>
    <w:rPr>
      <w:rFonts w:ascii="Times New Roman Bold" w:hAnsi="Times New Roman Bold"/>
      <w:b/>
      <w:bCs/>
      <w:caps/>
      <w:szCs w:val="22"/>
    </w:rPr>
  </w:style>
  <w:style w:type="character" w:styleId="Hyperlink">
    <w:name w:val="Hyperlink"/>
    <w:rsid w:val="007577F0"/>
    <w:rPr>
      <w:color w:val="0000FF"/>
      <w:u w:val="single"/>
    </w:rPr>
  </w:style>
  <w:style w:type="paragraph" w:styleId="BalloonText">
    <w:name w:val="Balloon Text"/>
    <w:basedOn w:val="Normal"/>
    <w:link w:val="BalloonTextChar"/>
    <w:rsid w:val="000C6822"/>
    <w:rPr>
      <w:rFonts w:ascii="Tahoma" w:hAnsi="Tahoma" w:cs="Tahoma"/>
      <w:sz w:val="16"/>
      <w:szCs w:val="16"/>
    </w:rPr>
  </w:style>
  <w:style w:type="character" w:customStyle="1" w:styleId="BalloonTextChar">
    <w:name w:val="Balloon Text Char"/>
    <w:basedOn w:val="DefaultParagraphFont"/>
    <w:link w:val="BalloonText"/>
    <w:rsid w:val="000C6822"/>
    <w:rPr>
      <w:rFonts w:ascii="Tahoma" w:hAnsi="Tahoma" w:cs="Tahoma"/>
      <w:snapToGrid w:val="0"/>
      <w:kern w:val="28"/>
      <w:sz w:val="16"/>
      <w:szCs w:val="16"/>
    </w:rPr>
  </w:style>
  <w:style w:type="character" w:styleId="CommentReference">
    <w:name w:val="annotation reference"/>
    <w:basedOn w:val="DefaultParagraphFont"/>
    <w:rsid w:val="007333DA"/>
    <w:rPr>
      <w:sz w:val="16"/>
      <w:szCs w:val="16"/>
    </w:rPr>
  </w:style>
  <w:style w:type="paragraph" w:styleId="CommentText">
    <w:name w:val="annotation text"/>
    <w:basedOn w:val="Normal"/>
    <w:link w:val="CommentTextChar"/>
    <w:rsid w:val="007333DA"/>
    <w:rPr>
      <w:sz w:val="20"/>
    </w:rPr>
  </w:style>
  <w:style w:type="character" w:customStyle="1" w:styleId="CommentTextChar">
    <w:name w:val="Comment Text Char"/>
    <w:basedOn w:val="DefaultParagraphFont"/>
    <w:link w:val="CommentText"/>
    <w:rsid w:val="007333DA"/>
    <w:rPr>
      <w:snapToGrid w:val="0"/>
      <w:kern w:val="28"/>
    </w:rPr>
  </w:style>
  <w:style w:type="paragraph" w:styleId="CommentSubject">
    <w:name w:val="annotation subject"/>
    <w:basedOn w:val="CommentText"/>
    <w:next w:val="CommentText"/>
    <w:link w:val="CommentSubjectChar"/>
    <w:rsid w:val="007333DA"/>
    <w:rPr>
      <w:b/>
      <w:bCs/>
    </w:rPr>
  </w:style>
  <w:style w:type="character" w:customStyle="1" w:styleId="CommentSubjectChar">
    <w:name w:val="Comment Subject Char"/>
    <w:basedOn w:val="CommentTextChar"/>
    <w:link w:val="CommentSubject"/>
    <w:rsid w:val="007333DA"/>
    <w:rPr>
      <w:b/>
      <w:bCs/>
      <w:snapToGrid w:val="0"/>
      <w:kern w:val="28"/>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4D1BD1"/>
  </w:style>
  <w:style w:type="character" w:styleId="Emphasis">
    <w:name w:val="Emphasis"/>
    <w:basedOn w:val="DefaultParagraphFont"/>
    <w:uiPriority w:val="20"/>
    <w:qFormat/>
    <w:rsid w:val="00062F8C"/>
    <w:rPr>
      <w:i/>
      <w:iCs/>
    </w:rPr>
  </w:style>
  <w:style w:type="character" w:customStyle="1" w:styleId="displayhltext">
    <w:name w:val="display_hl_text"/>
    <w:basedOn w:val="DefaultParagraphFont"/>
    <w:rsid w:val="00D441D3"/>
  </w:style>
  <w:style w:type="character" w:customStyle="1" w:styleId="emphi">
    <w:name w:val="emphi"/>
    <w:basedOn w:val="DefaultParagraphFont"/>
    <w:rsid w:val="0092507A"/>
  </w:style>
  <w:style w:type="character" w:customStyle="1" w:styleId="displayhltextactive">
    <w:name w:val="display_hl_text_active"/>
    <w:basedOn w:val="DefaultParagraphFont"/>
    <w:rsid w:val="00B3612E"/>
  </w:style>
  <w:style w:type="character" w:customStyle="1" w:styleId="costarpage">
    <w:name w:val="co_starpage"/>
    <w:basedOn w:val="DefaultParagraphFont"/>
    <w:rsid w:val="00AF01B3"/>
  </w:style>
  <w:style w:type="character" w:styleId="FollowedHyperlink">
    <w:name w:val="FollowedHyperlink"/>
    <w:basedOn w:val="DefaultParagraphFont"/>
    <w:rsid w:val="003D02EA"/>
    <w:rPr>
      <w:color w:val="800080" w:themeColor="followedHyperlink"/>
      <w:u w:val="single"/>
    </w:rPr>
  </w:style>
  <w:style w:type="paragraph" w:styleId="Revision">
    <w:name w:val="Revision"/>
    <w:hidden/>
    <w:uiPriority w:val="99"/>
    <w:semiHidden/>
    <w:rsid w:val="00097F09"/>
    <w:rPr>
      <w:snapToGrid w:val="0"/>
      <w:kern w:val="28"/>
      <w:sz w:val="22"/>
    </w:rPr>
  </w:style>
  <w:style w:type="character" w:customStyle="1" w:styleId="FooterChar">
    <w:name w:val="Footer Char"/>
    <w:basedOn w:val="DefaultParagraphFont"/>
    <w:link w:val="Footer"/>
    <w:rsid w:val="00C6055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7F0"/>
    <w:pPr>
      <w:widowControl w:val="0"/>
    </w:pPr>
    <w:rPr>
      <w:snapToGrid w:val="0"/>
      <w:kern w:val="28"/>
      <w:sz w:val="22"/>
    </w:rPr>
  </w:style>
  <w:style w:type="paragraph" w:styleId="Heading1">
    <w:name w:val="heading 1"/>
    <w:basedOn w:val="Normal"/>
    <w:next w:val="ParaNum"/>
    <w:qFormat/>
    <w:rsid w:val="007577F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577F0"/>
    <w:pPr>
      <w:keepNext/>
      <w:numPr>
        <w:ilvl w:val="1"/>
        <w:numId w:val="3"/>
      </w:numPr>
      <w:spacing w:after="120"/>
      <w:outlineLvl w:val="1"/>
    </w:pPr>
    <w:rPr>
      <w:b/>
    </w:rPr>
  </w:style>
  <w:style w:type="paragraph" w:styleId="Heading3">
    <w:name w:val="heading 3"/>
    <w:basedOn w:val="Normal"/>
    <w:next w:val="ParaNum"/>
    <w:qFormat/>
    <w:rsid w:val="007577F0"/>
    <w:pPr>
      <w:keepNext/>
      <w:numPr>
        <w:ilvl w:val="2"/>
        <w:numId w:val="3"/>
      </w:numPr>
      <w:tabs>
        <w:tab w:val="left" w:pos="2160"/>
      </w:tabs>
      <w:spacing w:after="120"/>
      <w:outlineLvl w:val="2"/>
    </w:pPr>
    <w:rPr>
      <w:b/>
    </w:rPr>
  </w:style>
  <w:style w:type="paragraph" w:styleId="Heading4">
    <w:name w:val="heading 4"/>
    <w:basedOn w:val="Normal"/>
    <w:next w:val="ParaNum"/>
    <w:qFormat/>
    <w:rsid w:val="007577F0"/>
    <w:pPr>
      <w:keepNext/>
      <w:numPr>
        <w:ilvl w:val="3"/>
        <w:numId w:val="3"/>
      </w:numPr>
      <w:tabs>
        <w:tab w:val="left" w:pos="2880"/>
      </w:tabs>
      <w:spacing w:after="120"/>
      <w:outlineLvl w:val="3"/>
    </w:pPr>
    <w:rPr>
      <w:b/>
    </w:rPr>
  </w:style>
  <w:style w:type="paragraph" w:styleId="Heading5">
    <w:name w:val="heading 5"/>
    <w:basedOn w:val="Normal"/>
    <w:next w:val="ParaNum"/>
    <w:qFormat/>
    <w:rsid w:val="007577F0"/>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577F0"/>
    <w:pPr>
      <w:numPr>
        <w:ilvl w:val="5"/>
        <w:numId w:val="3"/>
      </w:numPr>
      <w:tabs>
        <w:tab w:val="left" w:pos="4320"/>
      </w:tabs>
      <w:spacing w:after="120"/>
      <w:outlineLvl w:val="5"/>
    </w:pPr>
    <w:rPr>
      <w:b/>
    </w:rPr>
  </w:style>
  <w:style w:type="paragraph" w:styleId="Heading7">
    <w:name w:val="heading 7"/>
    <w:basedOn w:val="Normal"/>
    <w:next w:val="ParaNum"/>
    <w:qFormat/>
    <w:rsid w:val="007577F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577F0"/>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577F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577F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77F0"/>
  </w:style>
  <w:style w:type="paragraph" w:customStyle="1" w:styleId="ParaNum">
    <w:name w:val="ParaNum"/>
    <w:basedOn w:val="Normal"/>
    <w:rsid w:val="007577F0"/>
    <w:pPr>
      <w:numPr>
        <w:numId w:val="2"/>
      </w:numPr>
      <w:tabs>
        <w:tab w:val="clear" w:pos="1080"/>
        <w:tab w:val="num" w:pos="1440"/>
      </w:tabs>
      <w:spacing w:after="120"/>
    </w:pPr>
  </w:style>
  <w:style w:type="paragraph" w:styleId="EndnoteText">
    <w:name w:val="endnote text"/>
    <w:basedOn w:val="Normal"/>
    <w:semiHidden/>
    <w:rsid w:val="007577F0"/>
    <w:rPr>
      <w:sz w:val="20"/>
    </w:rPr>
  </w:style>
  <w:style w:type="character" w:styleId="EndnoteReference">
    <w:name w:val="endnote reference"/>
    <w:semiHidden/>
    <w:rsid w:val="007577F0"/>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rrfootnote,fn,fn Char,f"/>
    <w:link w:val="FootnoteTextChar2"/>
    <w:rsid w:val="007577F0"/>
    <w:pPr>
      <w:spacing w:after="120"/>
    </w:pPr>
  </w:style>
  <w:style w:type="character" w:styleId="FootnoteReference">
    <w:name w:val="footnote reference"/>
    <w:aliases w:val="Style 12,(NECG) Footnote Reference,o,fr,Style 3,Appel note de bas de p,Style 124"/>
    <w:rsid w:val="007577F0"/>
    <w:rPr>
      <w:rFonts w:ascii="Times New Roman" w:hAnsi="Times New Roman"/>
      <w:dstrike w:val="0"/>
      <w:color w:val="auto"/>
      <w:sz w:val="20"/>
      <w:vertAlign w:val="superscript"/>
    </w:rPr>
  </w:style>
  <w:style w:type="paragraph" w:styleId="TOC1">
    <w:name w:val="toc 1"/>
    <w:basedOn w:val="Normal"/>
    <w:next w:val="Normal"/>
    <w:semiHidden/>
    <w:rsid w:val="007577F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577F0"/>
    <w:pPr>
      <w:tabs>
        <w:tab w:val="left" w:pos="720"/>
        <w:tab w:val="right" w:leader="dot" w:pos="9360"/>
      </w:tabs>
      <w:suppressAutoHyphens/>
      <w:ind w:left="720" w:right="720" w:hanging="360"/>
    </w:pPr>
    <w:rPr>
      <w:noProof/>
    </w:rPr>
  </w:style>
  <w:style w:type="paragraph" w:styleId="TOC3">
    <w:name w:val="toc 3"/>
    <w:basedOn w:val="Normal"/>
    <w:next w:val="Normal"/>
    <w:semiHidden/>
    <w:rsid w:val="007577F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577F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577F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577F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577F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577F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577F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577F0"/>
    <w:pPr>
      <w:tabs>
        <w:tab w:val="right" w:pos="9360"/>
      </w:tabs>
      <w:suppressAutoHyphens/>
    </w:pPr>
  </w:style>
  <w:style w:type="character" w:customStyle="1" w:styleId="EquationCaption">
    <w:name w:val="_Equation Caption"/>
    <w:rsid w:val="007577F0"/>
  </w:style>
  <w:style w:type="paragraph" w:styleId="Header">
    <w:name w:val="header"/>
    <w:basedOn w:val="Normal"/>
    <w:autoRedefine/>
    <w:rsid w:val="007577F0"/>
    <w:pPr>
      <w:tabs>
        <w:tab w:val="center" w:pos="4680"/>
        <w:tab w:val="right" w:pos="9360"/>
      </w:tabs>
    </w:pPr>
    <w:rPr>
      <w:b/>
    </w:rPr>
  </w:style>
  <w:style w:type="paragraph" w:styleId="Footer">
    <w:name w:val="footer"/>
    <w:basedOn w:val="Normal"/>
    <w:link w:val="FooterChar"/>
    <w:rsid w:val="007577F0"/>
    <w:pPr>
      <w:tabs>
        <w:tab w:val="center" w:pos="4320"/>
        <w:tab w:val="right" w:pos="8640"/>
      </w:tabs>
    </w:pPr>
  </w:style>
  <w:style w:type="character" w:styleId="PageNumber">
    <w:name w:val="page number"/>
    <w:basedOn w:val="DefaultParagraphFont"/>
    <w:rsid w:val="007577F0"/>
  </w:style>
  <w:style w:type="paragraph" w:styleId="BlockText">
    <w:name w:val="Block Text"/>
    <w:basedOn w:val="Normal"/>
    <w:rsid w:val="007577F0"/>
    <w:pPr>
      <w:spacing w:after="240"/>
      <w:ind w:left="1440" w:right="1440"/>
    </w:pPr>
  </w:style>
  <w:style w:type="paragraph" w:customStyle="1" w:styleId="Paratitle">
    <w:name w:val="Para title"/>
    <w:basedOn w:val="Normal"/>
    <w:rsid w:val="007577F0"/>
    <w:pPr>
      <w:tabs>
        <w:tab w:val="center" w:pos="9270"/>
      </w:tabs>
      <w:spacing w:after="240"/>
    </w:pPr>
    <w:rPr>
      <w:spacing w:val="-2"/>
    </w:rPr>
  </w:style>
  <w:style w:type="paragraph" w:customStyle="1" w:styleId="Bullet">
    <w:name w:val="Bullet"/>
    <w:basedOn w:val="Normal"/>
    <w:rsid w:val="007577F0"/>
    <w:pPr>
      <w:tabs>
        <w:tab w:val="left" w:pos="2160"/>
      </w:tabs>
      <w:spacing w:after="220"/>
      <w:ind w:left="2160" w:hanging="720"/>
    </w:pPr>
  </w:style>
  <w:style w:type="paragraph" w:customStyle="1" w:styleId="TableFormat">
    <w:name w:val="TableFormat"/>
    <w:basedOn w:val="Bullet"/>
    <w:rsid w:val="007577F0"/>
    <w:pPr>
      <w:tabs>
        <w:tab w:val="clear" w:pos="2160"/>
        <w:tab w:val="left" w:pos="5040"/>
      </w:tabs>
      <w:ind w:left="5040" w:hanging="3600"/>
    </w:pPr>
  </w:style>
  <w:style w:type="paragraph" w:customStyle="1" w:styleId="TOCTitle">
    <w:name w:val="TOC Title"/>
    <w:basedOn w:val="Normal"/>
    <w:rsid w:val="007577F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577F0"/>
    <w:pPr>
      <w:jc w:val="center"/>
    </w:pPr>
    <w:rPr>
      <w:rFonts w:ascii="Times New Roman Bold" w:hAnsi="Times New Roman Bold"/>
      <w:b/>
      <w:bCs/>
      <w:caps/>
      <w:szCs w:val="22"/>
    </w:rPr>
  </w:style>
  <w:style w:type="character" w:styleId="Hyperlink">
    <w:name w:val="Hyperlink"/>
    <w:rsid w:val="007577F0"/>
    <w:rPr>
      <w:color w:val="0000FF"/>
      <w:u w:val="single"/>
    </w:rPr>
  </w:style>
  <w:style w:type="paragraph" w:styleId="BalloonText">
    <w:name w:val="Balloon Text"/>
    <w:basedOn w:val="Normal"/>
    <w:link w:val="BalloonTextChar"/>
    <w:rsid w:val="000C6822"/>
    <w:rPr>
      <w:rFonts w:ascii="Tahoma" w:hAnsi="Tahoma" w:cs="Tahoma"/>
      <w:sz w:val="16"/>
      <w:szCs w:val="16"/>
    </w:rPr>
  </w:style>
  <w:style w:type="character" w:customStyle="1" w:styleId="BalloonTextChar">
    <w:name w:val="Balloon Text Char"/>
    <w:basedOn w:val="DefaultParagraphFont"/>
    <w:link w:val="BalloonText"/>
    <w:rsid w:val="000C6822"/>
    <w:rPr>
      <w:rFonts w:ascii="Tahoma" w:hAnsi="Tahoma" w:cs="Tahoma"/>
      <w:snapToGrid w:val="0"/>
      <w:kern w:val="28"/>
      <w:sz w:val="16"/>
      <w:szCs w:val="16"/>
    </w:rPr>
  </w:style>
  <w:style w:type="character" w:styleId="CommentReference">
    <w:name w:val="annotation reference"/>
    <w:basedOn w:val="DefaultParagraphFont"/>
    <w:rsid w:val="007333DA"/>
    <w:rPr>
      <w:sz w:val="16"/>
      <w:szCs w:val="16"/>
    </w:rPr>
  </w:style>
  <w:style w:type="paragraph" w:styleId="CommentText">
    <w:name w:val="annotation text"/>
    <w:basedOn w:val="Normal"/>
    <w:link w:val="CommentTextChar"/>
    <w:rsid w:val="007333DA"/>
    <w:rPr>
      <w:sz w:val="20"/>
    </w:rPr>
  </w:style>
  <w:style w:type="character" w:customStyle="1" w:styleId="CommentTextChar">
    <w:name w:val="Comment Text Char"/>
    <w:basedOn w:val="DefaultParagraphFont"/>
    <w:link w:val="CommentText"/>
    <w:rsid w:val="007333DA"/>
    <w:rPr>
      <w:snapToGrid w:val="0"/>
      <w:kern w:val="28"/>
    </w:rPr>
  </w:style>
  <w:style w:type="paragraph" w:styleId="CommentSubject">
    <w:name w:val="annotation subject"/>
    <w:basedOn w:val="CommentText"/>
    <w:next w:val="CommentText"/>
    <w:link w:val="CommentSubjectChar"/>
    <w:rsid w:val="007333DA"/>
    <w:rPr>
      <w:b/>
      <w:bCs/>
    </w:rPr>
  </w:style>
  <w:style w:type="character" w:customStyle="1" w:styleId="CommentSubjectChar">
    <w:name w:val="Comment Subject Char"/>
    <w:basedOn w:val="CommentTextChar"/>
    <w:link w:val="CommentSubject"/>
    <w:rsid w:val="007333DA"/>
    <w:rPr>
      <w:b/>
      <w:bCs/>
      <w:snapToGrid w:val="0"/>
      <w:kern w:val="28"/>
    </w:rPr>
  </w:style>
  <w:style w:type="character" w:customStyle="1" w:styleId="FootnoteTextChar2">
    <w:name w:val="Footnote Text Char2"/>
    <w:aliases w:val="Footnote Text Char1 Char,Footnote Text Char7 Char Char,Footnote Text Char4 Char1 Char Char,Footnote Text Char Char Char4 Char Char,Footnote Text Char7 Char Char Char Char Char,Footnote Text Char4 Char1 Char Char Char Char Char,f Char"/>
    <w:link w:val="FootnoteText"/>
    <w:locked/>
    <w:rsid w:val="004D1BD1"/>
  </w:style>
  <w:style w:type="character" w:styleId="Emphasis">
    <w:name w:val="Emphasis"/>
    <w:basedOn w:val="DefaultParagraphFont"/>
    <w:uiPriority w:val="20"/>
    <w:qFormat/>
    <w:rsid w:val="00062F8C"/>
    <w:rPr>
      <w:i/>
      <w:iCs/>
    </w:rPr>
  </w:style>
  <w:style w:type="character" w:customStyle="1" w:styleId="displayhltext">
    <w:name w:val="display_hl_text"/>
    <w:basedOn w:val="DefaultParagraphFont"/>
    <w:rsid w:val="00D441D3"/>
  </w:style>
  <w:style w:type="character" w:customStyle="1" w:styleId="emphi">
    <w:name w:val="emphi"/>
    <w:basedOn w:val="DefaultParagraphFont"/>
    <w:rsid w:val="0092507A"/>
  </w:style>
  <w:style w:type="character" w:customStyle="1" w:styleId="displayhltextactive">
    <w:name w:val="display_hl_text_active"/>
    <w:basedOn w:val="DefaultParagraphFont"/>
    <w:rsid w:val="00B3612E"/>
  </w:style>
  <w:style w:type="character" w:customStyle="1" w:styleId="costarpage">
    <w:name w:val="co_starpage"/>
    <w:basedOn w:val="DefaultParagraphFont"/>
    <w:rsid w:val="00AF01B3"/>
  </w:style>
  <w:style w:type="character" w:styleId="FollowedHyperlink">
    <w:name w:val="FollowedHyperlink"/>
    <w:basedOn w:val="DefaultParagraphFont"/>
    <w:rsid w:val="003D02EA"/>
    <w:rPr>
      <w:color w:val="800080" w:themeColor="followedHyperlink"/>
      <w:u w:val="single"/>
    </w:rPr>
  </w:style>
  <w:style w:type="paragraph" w:styleId="Revision">
    <w:name w:val="Revision"/>
    <w:hidden/>
    <w:uiPriority w:val="99"/>
    <w:semiHidden/>
    <w:rsid w:val="00097F09"/>
    <w:rPr>
      <w:snapToGrid w:val="0"/>
      <w:kern w:val="28"/>
      <w:sz w:val="22"/>
    </w:rPr>
  </w:style>
  <w:style w:type="character" w:customStyle="1" w:styleId="FooterChar">
    <w:name w:val="Footer Char"/>
    <w:basedOn w:val="DefaultParagraphFont"/>
    <w:link w:val="Footer"/>
    <w:rsid w:val="00C6055E"/>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038978">
      <w:bodyDiv w:val="1"/>
      <w:marLeft w:val="0"/>
      <w:marRight w:val="0"/>
      <w:marTop w:val="0"/>
      <w:marBottom w:val="0"/>
      <w:divBdr>
        <w:top w:val="none" w:sz="0" w:space="0" w:color="auto"/>
        <w:left w:val="none" w:sz="0" w:space="0" w:color="auto"/>
        <w:bottom w:val="none" w:sz="0" w:space="0" w:color="auto"/>
        <w:right w:val="none" w:sz="0" w:space="0" w:color="auto"/>
      </w:divBdr>
      <w:divsChild>
        <w:div w:id="56368269">
          <w:marLeft w:val="0"/>
          <w:marRight w:val="0"/>
          <w:marTop w:val="0"/>
          <w:marBottom w:val="0"/>
          <w:divBdr>
            <w:top w:val="none" w:sz="0" w:space="0" w:color="auto"/>
            <w:left w:val="none" w:sz="0" w:space="0" w:color="auto"/>
            <w:bottom w:val="none" w:sz="0" w:space="0" w:color="auto"/>
            <w:right w:val="none" w:sz="0" w:space="0" w:color="auto"/>
          </w:divBdr>
        </w:div>
        <w:div w:id="1667973231">
          <w:marLeft w:val="0"/>
          <w:marRight w:val="0"/>
          <w:marTop w:val="0"/>
          <w:marBottom w:val="0"/>
          <w:divBdr>
            <w:top w:val="none" w:sz="0" w:space="0" w:color="auto"/>
            <w:left w:val="none" w:sz="0" w:space="0" w:color="auto"/>
            <w:bottom w:val="none" w:sz="0" w:space="0" w:color="auto"/>
            <w:right w:val="none" w:sz="0" w:space="0" w:color="auto"/>
          </w:divBdr>
        </w:div>
      </w:divsChild>
    </w:div>
    <w:div w:id="711612219">
      <w:bodyDiv w:val="1"/>
      <w:marLeft w:val="0"/>
      <w:marRight w:val="0"/>
      <w:marTop w:val="0"/>
      <w:marBottom w:val="0"/>
      <w:divBdr>
        <w:top w:val="none" w:sz="0" w:space="0" w:color="auto"/>
        <w:left w:val="none" w:sz="0" w:space="0" w:color="auto"/>
        <w:bottom w:val="none" w:sz="0" w:space="0" w:color="auto"/>
        <w:right w:val="none" w:sz="0" w:space="0" w:color="auto"/>
      </w:divBdr>
    </w:div>
    <w:div w:id="749040292">
      <w:bodyDiv w:val="1"/>
      <w:marLeft w:val="0"/>
      <w:marRight w:val="0"/>
      <w:marTop w:val="0"/>
      <w:marBottom w:val="0"/>
      <w:divBdr>
        <w:top w:val="none" w:sz="0" w:space="0" w:color="auto"/>
        <w:left w:val="none" w:sz="0" w:space="0" w:color="auto"/>
        <w:bottom w:val="none" w:sz="0" w:space="0" w:color="auto"/>
        <w:right w:val="none" w:sz="0" w:space="0" w:color="auto"/>
      </w:divBdr>
    </w:div>
    <w:div w:id="851266248">
      <w:bodyDiv w:val="1"/>
      <w:marLeft w:val="0"/>
      <w:marRight w:val="0"/>
      <w:marTop w:val="0"/>
      <w:marBottom w:val="0"/>
      <w:divBdr>
        <w:top w:val="none" w:sz="0" w:space="0" w:color="auto"/>
        <w:left w:val="none" w:sz="0" w:space="0" w:color="auto"/>
        <w:bottom w:val="none" w:sz="0" w:space="0" w:color="auto"/>
        <w:right w:val="none" w:sz="0" w:space="0" w:color="auto"/>
      </w:divBdr>
      <w:divsChild>
        <w:div w:id="1070232350">
          <w:marLeft w:val="0"/>
          <w:marRight w:val="0"/>
          <w:marTop w:val="0"/>
          <w:marBottom w:val="0"/>
          <w:divBdr>
            <w:top w:val="none" w:sz="0" w:space="0" w:color="auto"/>
            <w:left w:val="none" w:sz="0" w:space="0" w:color="auto"/>
            <w:bottom w:val="none" w:sz="0" w:space="0" w:color="auto"/>
            <w:right w:val="none" w:sz="0" w:space="0" w:color="auto"/>
          </w:divBdr>
          <w:divsChild>
            <w:div w:id="1633633637">
              <w:marLeft w:val="0"/>
              <w:marRight w:val="0"/>
              <w:marTop w:val="0"/>
              <w:marBottom w:val="0"/>
              <w:divBdr>
                <w:top w:val="none" w:sz="0" w:space="0" w:color="auto"/>
                <w:left w:val="none" w:sz="0" w:space="0" w:color="auto"/>
                <w:bottom w:val="none" w:sz="0" w:space="0" w:color="auto"/>
                <w:right w:val="none" w:sz="0" w:space="0" w:color="auto"/>
              </w:divBdr>
              <w:divsChild>
                <w:div w:id="21126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88082">
          <w:marLeft w:val="0"/>
          <w:marRight w:val="0"/>
          <w:marTop w:val="0"/>
          <w:marBottom w:val="0"/>
          <w:divBdr>
            <w:top w:val="none" w:sz="0" w:space="0" w:color="auto"/>
            <w:left w:val="none" w:sz="0" w:space="0" w:color="auto"/>
            <w:bottom w:val="none" w:sz="0" w:space="0" w:color="auto"/>
            <w:right w:val="none" w:sz="0" w:space="0" w:color="auto"/>
          </w:divBdr>
          <w:divsChild>
            <w:div w:id="904995134">
              <w:marLeft w:val="0"/>
              <w:marRight w:val="0"/>
              <w:marTop w:val="0"/>
              <w:marBottom w:val="0"/>
              <w:divBdr>
                <w:top w:val="none" w:sz="0" w:space="0" w:color="auto"/>
                <w:left w:val="none" w:sz="0" w:space="0" w:color="auto"/>
                <w:bottom w:val="none" w:sz="0" w:space="0" w:color="auto"/>
                <w:right w:val="none" w:sz="0" w:space="0" w:color="auto"/>
              </w:divBdr>
              <w:divsChild>
                <w:div w:id="183730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57276">
      <w:bodyDiv w:val="1"/>
      <w:marLeft w:val="0"/>
      <w:marRight w:val="0"/>
      <w:marTop w:val="0"/>
      <w:marBottom w:val="0"/>
      <w:divBdr>
        <w:top w:val="none" w:sz="0" w:space="0" w:color="auto"/>
        <w:left w:val="none" w:sz="0" w:space="0" w:color="auto"/>
        <w:bottom w:val="none" w:sz="0" w:space="0" w:color="auto"/>
        <w:right w:val="none" w:sz="0" w:space="0" w:color="auto"/>
      </w:divBdr>
      <w:divsChild>
        <w:div w:id="2086803820">
          <w:marLeft w:val="0"/>
          <w:marRight w:val="0"/>
          <w:marTop w:val="0"/>
          <w:marBottom w:val="0"/>
          <w:divBdr>
            <w:top w:val="none" w:sz="0" w:space="0" w:color="auto"/>
            <w:left w:val="none" w:sz="0" w:space="0" w:color="auto"/>
            <w:bottom w:val="none" w:sz="0" w:space="0" w:color="auto"/>
            <w:right w:val="none" w:sz="0" w:space="0" w:color="auto"/>
          </w:divBdr>
        </w:div>
        <w:div w:id="1562015113">
          <w:marLeft w:val="0"/>
          <w:marRight w:val="0"/>
          <w:marTop w:val="0"/>
          <w:marBottom w:val="0"/>
          <w:divBdr>
            <w:top w:val="none" w:sz="0" w:space="0" w:color="auto"/>
            <w:left w:val="none" w:sz="0" w:space="0" w:color="auto"/>
            <w:bottom w:val="none" w:sz="0" w:space="0" w:color="auto"/>
            <w:right w:val="none" w:sz="0" w:space="0" w:color="auto"/>
          </w:divBdr>
        </w:div>
      </w:divsChild>
    </w:div>
    <w:div w:id="1097170341">
      <w:bodyDiv w:val="1"/>
      <w:marLeft w:val="0"/>
      <w:marRight w:val="0"/>
      <w:marTop w:val="0"/>
      <w:marBottom w:val="0"/>
      <w:divBdr>
        <w:top w:val="none" w:sz="0" w:space="0" w:color="auto"/>
        <w:left w:val="none" w:sz="0" w:space="0" w:color="auto"/>
        <w:bottom w:val="none" w:sz="0" w:space="0" w:color="auto"/>
        <w:right w:val="none" w:sz="0" w:space="0" w:color="auto"/>
      </w:divBdr>
      <w:divsChild>
        <w:div w:id="239366307">
          <w:marLeft w:val="0"/>
          <w:marRight w:val="0"/>
          <w:marTop w:val="0"/>
          <w:marBottom w:val="0"/>
          <w:divBdr>
            <w:top w:val="none" w:sz="0" w:space="0" w:color="auto"/>
            <w:left w:val="none" w:sz="0" w:space="0" w:color="auto"/>
            <w:bottom w:val="none" w:sz="0" w:space="0" w:color="auto"/>
            <w:right w:val="none" w:sz="0" w:space="0" w:color="auto"/>
          </w:divBdr>
          <w:divsChild>
            <w:div w:id="31059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38009">
      <w:bodyDiv w:val="1"/>
      <w:marLeft w:val="0"/>
      <w:marRight w:val="0"/>
      <w:marTop w:val="0"/>
      <w:marBottom w:val="0"/>
      <w:divBdr>
        <w:top w:val="none" w:sz="0" w:space="0" w:color="auto"/>
        <w:left w:val="none" w:sz="0" w:space="0" w:color="auto"/>
        <w:bottom w:val="none" w:sz="0" w:space="0" w:color="auto"/>
        <w:right w:val="none" w:sz="0" w:space="0" w:color="auto"/>
      </w:divBdr>
      <w:divsChild>
        <w:div w:id="1491675964">
          <w:marLeft w:val="0"/>
          <w:marRight w:val="0"/>
          <w:marTop w:val="0"/>
          <w:marBottom w:val="0"/>
          <w:divBdr>
            <w:top w:val="none" w:sz="0" w:space="0" w:color="auto"/>
            <w:left w:val="none" w:sz="0" w:space="0" w:color="auto"/>
            <w:bottom w:val="none" w:sz="0" w:space="0" w:color="auto"/>
            <w:right w:val="none" w:sz="0" w:space="0" w:color="auto"/>
          </w:divBdr>
          <w:divsChild>
            <w:div w:id="121099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21166">
      <w:bodyDiv w:val="1"/>
      <w:marLeft w:val="0"/>
      <w:marRight w:val="0"/>
      <w:marTop w:val="0"/>
      <w:marBottom w:val="0"/>
      <w:divBdr>
        <w:top w:val="none" w:sz="0" w:space="0" w:color="auto"/>
        <w:left w:val="none" w:sz="0" w:space="0" w:color="auto"/>
        <w:bottom w:val="none" w:sz="0" w:space="0" w:color="auto"/>
        <w:right w:val="none" w:sz="0" w:space="0" w:color="auto"/>
      </w:divBdr>
      <w:divsChild>
        <w:div w:id="415826119">
          <w:marLeft w:val="0"/>
          <w:marRight w:val="0"/>
          <w:marTop w:val="0"/>
          <w:marBottom w:val="0"/>
          <w:divBdr>
            <w:top w:val="none" w:sz="0" w:space="0" w:color="auto"/>
            <w:left w:val="none" w:sz="0" w:space="0" w:color="auto"/>
            <w:bottom w:val="none" w:sz="0" w:space="0" w:color="auto"/>
            <w:right w:val="none" w:sz="0" w:space="0" w:color="auto"/>
          </w:divBdr>
        </w:div>
        <w:div w:id="1707488417">
          <w:marLeft w:val="0"/>
          <w:marRight w:val="0"/>
          <w:marTop w:val="0"/>
          <w:marBottom w:val="0"/>
          <w:divBdr>
            <w:top w:val="none" w:sz="0" w:space="0" w:color="auto"/>
            <w:left w:val="none" w:sz="0" w:space="0" w:color="auto"/>
            <w:bottom w:val="none" w:sz="0" w:space="0" w:color="auto"/>
            <w:right w:val="none" w:sz="0" w:space="0" w:color="auto"/>
          </w:divBdr>
        </w:div>
        <w:div w:id="199782665">
          <w:marLeft w:val="0"/>
          <w:marRight w:val="0"/>
          <w:marTop w:val="0"/>
          <w:marBottom w:val="0"/>
          <w:divBdr>
            <w:top w:val="none" w:sz="0" w:space="0" w:color="auto"/>
            <w:left w:val="none" w:sz="0" w:space="0" w:color="auto"/>
            <w:bottom w:val="none" w:sz="0" w:space="0" w:color="auto"/>
            <w:right w:val="none" w:sz="0" w:space="0" w:color="auto"/>
          </w:divBdr>
        </w:div>
        <w:div w:id="584460766">
          <w:marLeft w:val="0"/>
          <w:marRight w:val="0"/>
          <w:marTop w:val="0"/>
          <w:marBottom w:val="0"/>
          <w:divBdr>
            <w:top w:val="none" w:sz="0" w:space="0" w:color="auto"/>
            <w:left w:val="none" w:sz="0" w:space="0" w:color="auto"/>
            <w:bottom w:val="none" w:sz="0" w:space="0" w:color="auto"/>
            <w:right w:val="none" w:sz="0" w:space="0" w:color="auto"/>
          </w:divBdr>
        </w:div>
      </w:divsChild>
    </w:div>
    <w:div w:id="1163426983">
      <w:bodyDiv w:val="1"/>
      <w:marLeft w:val="0"/>
      <w:marRight w:val="0"/>
      <w:marTop w:val="0"/>
      <w:marBottom w:val="0"/>
      <w:divBdr>
        <w:top w:val="none" w:sz="0" w:space="0" w:color="auto"/>
        <w:left w:val="none" w:sz="0" w:space="0" w:color="auto"/>
        <w:bottom w:val="none" w:sz="0" w:space="0" w:color="auto"/>
        <w:right w:val="none" w:sz="0" w:space="0" w:color="auto"/>
      </w:divBdr>
      <w:divsChild>
        <w:div w:id="1875576117">
          <w:marLeft w:val="0"/>
          <w:marRight w:val="0"/>
          <w:marTop w:val="0"/>
          <w:marBottom w:val="0"/>
          <w:divBdr>
            <w:top w:val="none" w:sz="0" w:space="0" w:color="auto"/>
            <w:left w:val="none" w:sz="0" w:space="0" w:color="auto"/>
            <w:bottom w:val="none" w:sz="0" w:space="0" w:color="auto"/>
            <w:right w:val="none" w:sz="0" w:space="0" w:color="auto"/>
          </w:divBdr>
        </w:div>
        <w:div w:id="1397123289">
          <w:marLeft w:val="0"/>
          <w:marRight w:val="0"/>
          <w:marTop w:val="0"/>
          <w:marBottom w:val="0"/>
          <w:divBdr>
            <w:top w:val="none" w:sz="0" w:space="0" w:color="auto"/>
            <w:left w:val="none" w:sz="0" w:space="0" w:color="auto"/>
            <w:bottom w:val="none" w:sz="0" w:space="0" w:color="auto"/>
            <w:right w:val="none" w:sz="0" w:space="0" w:color="auto"/>
          </w:divBdr>
        </w:div>
        <w:div w:id="2133861670">
          <w:marLeft w:val="0"/>
          <w:marRight w:val="0"/>
          <w:marTop w:val="0"/>
          <w:marBottom w:val="0"/>
          <w:divBdr>
            <w:top w:val="none" w:sz="0" w:space="0" w:color="auto"/>
            <w:left w:val="none" w:sz="0" w:space="0" w:color="auto"/>
            <w:bottom w:val="none" w:sz="0" w:space="0" w:color="auto"/>
            <w:right w:val="none" w:sz="0" w:space="0" w:color="auto"/>
          </w:divBdr>
        </w:div>
        <w:div w:id="1141076141">
          <w:marLeft w:val="0"/>
          <w:marRight w:val="0"/>
          <w:marTop w:val="0"/>
          <w:marBottom w:val="0"/>
          <w:divBdr>
            <w:top w:val="none" w:sz="0" w:space="0" w:color="auto"/>
            <w:left w:val="none" w:sz="0" w:space="0" w:color="auto"/>
            <w:bottom w:val="none" w:sz="0" w:space="0" w:color="auto"/>
            <w:right w:val="none" w:sz="0" w:space="0" w:color="auto"/>
          </w:divBdr>
        </w:div>
      </w:divsChild>
    </w:div>
    <w:div w:id="1352533759">
      <w:bodyDiv w:val="1"/>
      <w:marLeft w:val="0"/>
      <w:marRight w:val="0"/>
      <w:marTop w:val="0"/>
      <w:marBottom w:val="0"/>
      <w:divBdr>
        <w:top w:val="none" w:sz="0" w:space="0" w:color="auto"/>
        <w:left w:val="none" w:sz="0" w:space="0" w:color="auto"/>
        <w:bottom w:val="none" w:sz="0" w:space="0" w:color="auto"/>
        <w:right w:val="none" w:sz="0" w:space="0" w:color="auto"/>
      </w:divBdr>
      <w:divsChild>
        <w:div w:id="198204998">
          <w:marLeft w:val="0"/>
          <w:marRight w:val="0"/>
          <w:marTop w:val="0"/>
          <w:marBottom w:val="0"/>
          <w:divBdr>
            <w:top w:val="none" w:sz="0" w:space="0" w:color="auto"/>
            <w:left w:val="none" w:sz="0" w:space="0" w:color="auto"/>
            <w:bottom w:val="none" w:sz="0" w:space="0" w:color="auto"/>
            <w:right w:val="none" w:sz="0" w:space="0" w:color="auto"/>
          </w:divBdr>
          <w:divsChild>
            <w:div w:id="19481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19218">
      <w:bodyDiv w:val="1"/>
      <w:marLeft w:val="0"/>
      <w:marRight w:val="0"/>
      <w:marTop w:val="0"/>
      <w:marBottom w:val="0"/>
      <w:divBdr>
        <w:top w:val="none" w:sz="0" w:space="0" w:color="auto"/>
        <w:left w:val="none" w:sz="0" w:space="0" w:color="auto"/>
        <w:bottom w:val="none" w:sz="0" w:space="0" w:color="auto"/>
        <w:right w:val="none" w:sz="0" w:space="0" w:color="auto"/>
      </w:divBdr>
      <w:divsChild>
        <w:div w:id="2129279691">
          <w:marLeft w:val="0"/>
          <w:marRight w:val="0"/>
          <w:marTop w:val="0"/>
          <w:marBottom w:val="0"/>
          <w:divBdr>
            <w:top w:val="none" w:sz="0" w:space="0" w:color="auto"/>
            <w:left w:val="none" w:sz="0" w:space="0" w:color="auto"/>
            <w:bottom w:val="none" w:sz="0" w:space="0" w:color="auto"/>
            <w:right w:val="none" w:sz="0" w:space="0" w:color="auto"/>
          </w:divBdr>
          <w:divsChild>
            <w:div w:id="2143383143">
              <w:marLeft w:val="0"/>
              <w:marRight w:val="0"/>
              <w:marTop w:val="0"/>
              <w:marBottom w:val="0"/>
              <w:divBdr>
                <w:top w:val="none" w:sz="0" w:space="0" w:color="auto"/>
                <w:left w:val="none" w:sz="0" w:space="0" w:color="auto"/>
                <w:bottom w:val="none" w:sz="0" w:space="0" w:color="auto"/>
                <w:right w:val="none" w:sz="0" w:space="0" w:color="auto"/>
              </w:divBdr>
              <w:divsChild>
                <w:div w:id="199448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4257">
          <w:marLeft w:val="0"/>
          <w:marRight w:val="0"/>
          <w:marTop w:val="0"/>
          <w:marBottom w:val="0"/>
          <w:divBdr>
            <w:top w:val="none" w:sz="0" w:space="0" w:color="auto"/>
            <w:left w:val="none" w:sz="0" w:space="0" w:color="auto"/>
            <w:bottom w:val="none" w:sz="0" w:space="0" w:color="auto"/>
            <w:right w:val="none" w:sz="0" w:space="0" w:color="auto"/>
          </w:divBdr>
          <w:divsChild>
            <w:div w:id="478770693">
              <w:marLeft w:val="0"/>
              <w:marRight w:val="0"/>
              <w:marTop w:val="0"/>
              <w:marBottom w:val="0"/>
              <w:divBdr>
                <w:top w:val="none" w:sz="0" w:space="0" w:color="auto"/>
                <w:left w:val="none" w:sz="0" w:space="0" w:color="auto"/>
                <w:bottom w:val="none" w:sz="0" w:space="0" w:color="auto"/>
                <w:right w:val="none" w:sz="0" w:space="0" w:color="auto"/>
              </w:divBdr>
              <w:divsChild>
                <w:div w:id="2788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271556">
      <w:bodyDiv w:val="1"/>
      <w:marLeft w:val="0"/>
      <w:marRight w:val="0"/>
      <w:marTop w:val="0"/>
      <w:marBottom w:val="0"/>
      <w:divBdr>
        <w:top w:val="none" w:sz="0" w:space="0" w:color="auto"/>
        <w:left w:val="none" w:sz="0" w:space="0" w:color="auto"/>
        <w:bottom w:val="none" w:sz="0" w:space="0" w:color="auto"/>
        <w:right w:val="none" w:sz="0" w:space="0" w:color="auto"/>
      </w:divBdr>
      <w:divsChild>
        <w:div w:id="1160846396">
          <w:marLeft w:val="0"/>
          <w:marRight w:val="0"/>
          <w:marTop w:val="0"/>
          <w:marBottom w:val="0"/>
          <w:divBdr>
            <w:top w:val="none" w:sz="0" w:space="0" w:color="auto"/>
            <w:left w:val="none" w:sz="0" w:space="0" w:color="auto"/>
            <w:bottom w:val="none" w:sz="0" w:space="0" w:color="auto"/>
            <w:right w:val="none" w:sz="0" w:space="0" w:color="auto"/>
          </w:divBdr>
        </w:div>
        <w:div w:id="992106396">
          <w:marLeft w:val="0"/>
          <w:marRight w:val="0"/>
          <w:marTop w:val="0"/>
          <w:marBottom w:val="0"/>
          <w:divBdr>
            <w:top w:val="none" w:sz="0" w:space="0" w:color="auto"/>
            <w:left w:val="none" w:sz="0" w:space="0" w:color="auto"/>
            <w:bottom w:val="none" w:sz="0" w:space="0" w:color="auto"/>
            <w:right w:val="none" w:sz="0" w:space="0" w:color="auto"/>
          </w:divBdr>
        </w:div>
        <w:div w:id="634991465">
          <w:marLeft w:val="0"/>
          <w:marRight w:val="0"/>
          <w:marTop w:val="0"/>
          <w:marBottom w:val="0"/>
          <w:divBdr>
            <w:top w:val="none" w:sz="0" w:space="0" w:color="auto"/>
            <w:left w:val="none" w:sz="0" w:space="0" w:color="auto"/>
            <w:bottom w:val="none" w:sz="0" w:space="0" w:color="auto"/>
            <w:right w:val="none" w:sz="0" w:space="0" w:color="auto"/>
          </w:divBdr>
        </w:div>
        <w:div w:id="1825198466">
          <w:marLeft w:val="0"/>
          <w:marRight w:val="0"/>
          <w:marTop w:val="0"/>
          <w:marBottom w:val="0"/>
          <w:divBdr>
            <w:top w:val="none" w:sz="0" w:space="0" w:color="auto"/>
            <w:left w:val="none" w:sz="0" w:space="0" w:color="auto"/>
            <w:bottom w:val="none" w:sz="0" w:space="0" w:color="auto"/>
            <w:right w:val="none" w:sz="0" w:space="0" w:color="auto"/>
          </w:divBdr>
        </w:div>
        <w:div w:id="75251546">
          <w:marLeft w:val="0"/>
          <w:marRight w:val="0"/>
          <w:marTop w:val="0"/>
          <w:marBottom w:val="0"/>
          <w:divBdr>
            <w:top w:val="none" w:sz="0" w:space="0" w:color="auto"/>
            <w:left w:val="none" w:sz="0" w:space="0" w:color="auto"/>
            <w:bottom w:val="none" w:sz="0" w:space="0" w:color="auto"/>
            <w:right w:val="none" w:sz="0" w:space="0" w:color="auto"/>
          </w:divBdr>
        </w:div>
      </w:divsChild>
    </w:div>
    <w:div w:id="2077118525">
      <w:bodyDiv w:val="1"/>
      <w:marLeft w:val="0"/>
      <w:marRight w:val="0"/>
      <w:marTop w:val="0"/>
      <w:marBottom w:val="0"/>
      <w:divBdr>
        <w:top w:val="none" w:sz="0" w:space="0" w:color="auto"/>
        <w:left w:val="none" w:sz="0" w:space="0" w:color="auto"/>
        <w:bottom w:val="none" w:sz="0" w:space="0" w:color="auto"/>
        <w:right w:val="none" w:sz="0" w:space="0" w:color="auto"/>
      </w:divBdr>
      <w:divsChild>
        <w:div w:id="1210340878">
          <w:marLeft w:val="0"/>
          <w:marRight w:val="0"/>
          <w:marTop w:val="0"/>
          <w:marBottom w:val="0"/>
          <w:divBdr>
            <w:top w:val="none" w:sz="0" w:space="0" w:color="auto"/>
            <w:left w:val="none" w:sz="0" w:space="0" w:color="auto"/>
            <w:bottom w:val="none" w:sz="0" w:space="0" w:color="auto"/>
            <w:right w:val="none" w:sz="0" w:space="0" w:color="auto"/>
          </w:divBdr>
          <w:divsChild>
            <w:div w:id="175184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5</Pages>
  <Words>1596</Words>
  <Characters>8518</Characters>
  <Application>Microsoft Office Word</Application>
  <DocSecurity>0</DocSecurity>
  <Lines>154</Lines>
  <Paragraphs>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10130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2016-03-31T19:48:00Z</cp:lastPrinted>
  <dcterms:created xsi:type="dcterms:W3CDTF">2016-04-05T19:57:00Z</dcterms:created>
  <dcterms:modified xsi:type="dcterms:W3CDTF">2016-04-05T19:57:00Z</dcterms:modified>
  <cp:category> </cp:category>
  <cp:contentStatus> </cp:contentStatus>
</cp:coreProperties>
</file>