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72" w:rsidRPr="00AF5CA8" w:rsidRDefault="00715672" w:rsidP="00715672">
      <w:pPr>
        <w:jc w:val="center"/>
        <w:rPr>
          <w:b/>
          <w:caps/>
          <w:szCs w:val="22"/>
        </w:rPr>
      </w:pPr>
      <w:bookmarkStart w:id="0" w:name="_GoBack"/>
      <w:bookmarkEnd w:id="0"/>
      <w:r w:rsidRPr="00AF5CA8">
        <w:rPr>
          <w:b/>
          <w:caps/>
          <w:szCs w:val="22"/>
        </w:rPr>
        <w:t>Statement of</w:t>
      </w:r>
    </w:p>
    <w:p w:rsidR="00715672" w:rsidRPr="00AF5CA8" w:rsidRDefault="00715672" w:rsidP="00715672">
      <w:pPr>
        <w:jc w:val="center"/>
        <w:rPr>
          <w:b/>
          <w:caps/>
          <w:szCs w:val="22"/>
        </w:rPr>
      </w:pPr>
      <w:r w:rsidRPr="00AF5CA8">
        <w:rPr>
          <w:b/>
          <w:caps/>
          <w:szCs w:val="22"/>
        </w:rPr>
        <w:t>Commissioner Michael O’Rielly</w:t>
      </w:r>
    </w:p>
    <w:p w:rsidR="00715672" w:rsidRPr="00AF5CA8" w:rsidRDefault="00715672" w:rsidP="00715672">
      <w:pPr>
        <w:jc w:val="center"/>
        <w:rPr>
          <w:b/>
          <w:caps/>
          <w:szCs w:val="22"/>
        </w:rPr>
      </w:pPr>
      <w:r w:rsidRPr="00AF5CA8">
        <w:rPr>
          <w:b/>
          <w:caps/>
          <w:szCs w:val="22"/>
        </w:rPr>
        <w:t>APPROVING IN PART, DISSENTING IN PART</w:t>
      </w:r>
    </w:p>
    <w:p w:rsidR="00715672" w:rsidRPr="00AF5CA8" w:rsidRDefault="00715672" w:rsidP="00715672">
      <w:pPr>
        <w:jc w:val="center"/>
        <w:rPr>
          <w:b/>
          <w:caps/>
          <w:szCs w:val="22"/>
        </w:rPr>
      </w:pPr>
    </w:p>
    <w:p w:rsidR="00715672" w:rsidRDefault="00715672" w:rsidP="00715672">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706F6E">
        <w:t>146</w:t>
      </w:r>
      <w:r>
        <w:t xml:space="preserve">; </w:t>
      </w:r>
      <w:r w:rsidRPr="003E77E6">
        <w:rPr>
          <w:i/>
        </w:rPr>
        <w:t>Expanding the Economic and Innovation Opportunities of Spectrum Through Incentive Auctions</w:t>
      </w:r>
      <w:r>
        <w:t>, GN Docket No. 12-268.</w:t>
      </w:r>
    </w:p>
    <w:p w:rsidR="00715672" w:rsidRDefault="00715672" w:rsidP="00715672">
      <w:pPr>
        <w:pStyle w:val="Body"/>
        <w:rPr>
          <w:rFonts w:ascii="Times New Roman" w:hAnsi="Times New Roman" w:cs="Times New Roman"/>
        </w:rPr>
      </w:pPr>
    </w:p>
    <w:p w:rsidR="00715672" w:rsidRPr="00AF5CA8" w:rsidRDefault="00715672" w:rsidP="00715672">
      <w:pPr>
        <w:pStyle w:val="Body"/>
        <w:ind w:firstLine="720"/>
        <w:rPr>
          <w:rFonts w:ascii="Times New Roman" w:hAnsi="Times New Roman" w:cs="Times New Roman"/>
        </w:rPr>
      </w:pPr>
      <w:r w:rsidRPr="00AF5CA8">
        <w:rPr>
          <w:rFonts w:ascii="Times New Roman" w:hAnsi="Times New Roman" w:cs="Times New Roman"/>
        </w:rPr>
        <w:t xml:space="preserve">In the </w:t>
      </w:r>
      <w:r w:rsidRPr="00AF5CA8">
        <w:rPr>
          <w:rFonts w:ascii="Times New Roman" w:hAnsi="Times New Roman" w:cs="Times New Roman"/>
          <w:i/>
        </w:rPr>
        <w:t>Incentive Auction Report and Order</w:t>
      </w:r>
      <w:r w:rsidRPr="00AF5CA8">
        <w:rPr>
          <w:rFonts w:ascii="Times New Roman" w:hAnsi="Times New Roman" w:cs="Times New Roman"/>
        </w:rPr>
        <w:t>,</w:t>
      </w:r>
      <w:r>
        <w:rPr>
          <w:rStyle w:val="FootnoteReference"/>
        </w:rPr>
        <w:footnoteReference w:id="1"/>
      </w:r>
      <w:r w:rsidRPr="00AF5CA8">
        <w:rPr>
          <w:rFonts w:ascii="Times New Roman" w:hAnsi="Times New Roman" w:cs="Times New Roman"/>
        </w:rPr>
        <w:t xml:space="preserve"> the Commission announced its intention to designate a six megahertz channel in the TV band for use by wireless microphones and unlicensed devices.</w:t>
      </w:r>
      <w:r>
        <w:rPr>
          <w:rStyle w:val="FootnoteReference"/>
        </w:rPr>
        <w:footnoteReference w:id="2"/>
      </w:r>
      <w:r w:rsidRPr="00AF5CA8">
        <w:rPr>
          <w:rFonts w:ascii="Times New Roman" w:hAnsi="Times New Roman" w:cs="Times New Roman"/>
        </w:rPr>
        <w:t xml:space="preserve">  I think my record shows my fervent support for the innovation and ingenuity of the unlicensed community.  And I support seeking additional comment on ways to strike a balance </w:t>
      </w:r>
      <w:r>
        <w:rPr>
          <w:rFonts w:ascii="Times New Roman" w:hAnsi="Times New Roman" w:cs="Times New Roman"/>
        </w:rPr>
        <w:t>among</w:t>
      </w:r>
      <w:r w:rsidRPr="00AF5CA8">
        <w:rPr>
          <w:rFonts w:ascii="Times New Roman" w:hAnsi="Times New Roman" w:cs="Times New Roman"/>
        </w:rPr>
        <w:t xml:space="preserve"> those secondary users seeking access to this valuable and limited resource.  I strongly oppose, however, asking questions in this Notice of Proposed Rulemaking</w:t>
      </w:r>
      <w:r>
        <w:rPr>
          <w:rFonts w:ascii="Times New Roman" w:hAnsi="Times New Roman" w:cs="Times New Roman"/>
        </w:rPr>
        <w:t xml:space="preserve"> (NPRM)</w:t>
      </w:r>
      <w:r w:rsidRPr="00AF5CA8">
        <w:rPr>
          <w:rFonts w:ascii="Times New Roman" w:hAnsi="Times New Roman" w:cs="Times New Roman"/>
        </w:rPr>
        <w:t xml:space="preserve"> that, if pursued, would absurdly restrict the future rights of full-power television stations – the primary users in the TV band – in order to ensure that secondary, unlicensed users have priority access to six megahertz of spectrum.  Doing so could put at risk all of the benefits that our nation’s broadcast stations bring to the American people.        </w:t>
      </w:r>
    </w:p>
    <w:p w:rsidR="00715672" w:rsidRPr="00AF5CA8" w:rsidRDefault="00715672" w:rsidP="00715672">
      <w:pPr>
        <w:pStyle w:val="Body"/>
        <w:rPr>
          <w:rFonts w:ascii="Times New Roman" w:hAnsi="Times New Roman" w:cs="Times New Roman"/>
        </w:rPr>
      </w:pPr>
    </w:p>
    <w:p w:rsidR="00715672" w:rsidRPr="00AF5CA8" w:rsidRDefault="00715672" w:rsidP="00715672">
      <w:pPr>
        <w:pStyle w:val="Body"/>
        <w:ind w:firstLine="720"/>
        <w:rPr>
          <w:rFonts w:ascii="Times New Roman" w:hAnsi="Times New Roman" w:cs="Times New Roman"/>
        </w:rPr>
      </w:pPr>
      <w:r w:rsidRPr="00AF5CA8">
        <w:rPr>
          <w:rFonts w:ascii="Times New Roman" w:hAnsi="Times New Roman" w:cs="Times New Roman"/>
        </w:rPr>
        <w:t xml:space="preserve">Specifically, the NPRM asks questions about whether full-power stations seeking modifications after the 39-month repacking period or new allotments should prove that their request would not eliminate the last vacant channel available to unlicensed users, referred to as the vacant channel demonstration. </w:t>
      </w:r>
      <w:r>
        <w:rPr>
          <w:rFonts w:ascii="Times New Roman" w:hAnsi="Times New Roman" w:cs="Times New Roman"/>
        </w:rPr>
        <w:t xml:space="preserve"> </w:t>
      </w:r>
      <w:r w:rsidRPr="00AF5CA8">
        <w:rPr>
          <w:rFonts w:ascii="Times New Roman" w:hAnsi="Times New Roman" w:cs="Times New Roman"/>
        </w:rPr>
        <w:t xml:space="preserve">If such rules were adopted, it is possible that, in spectrum constrained markets, broadcasters would not be able to make future modifications or seek new stations; effectively, making full power stations secondary to unlicensed in this six megahertz.  Are my colleagues really suggesting that future modifications or new full-power broadcast stations can be trumped by unlicensed services?    </w:t>
      </w:r>
    </w:p>
    <w:p w:rsidR="00715672" w:rsidRPr="00AF5CA8" w:rsidRDefault="00715672" w:rsidP="00715672">
      <w:pPr>
        <w:pStyle w:val="Body"/>
        <w:rPr>
          <w:rFonts w:ascii="Times New Roman" w:hAnsi="Times New Roman" w:cs="Times New Roman"/>
        </w:rPr>
      </w:pPr>
    </w:p>
    <w:p w:rsidR="00715672" w:rsidRPr="00AF5CA8" w:rsidRDefault="00715672" w:rsidP="00715672">
      <w:pPr>
        <w:pStyle w:val="Body"/>
        <w:ind w:firstLine="720"/>
        <w:rPr>
          <w:rFonts w:ascii="Times New Roman" w:hAnsi="Times New Roman" w:cs="Times New Roman"/>
        </w:rPr>
      </w:pPr>
      <w:r w:rsidRPr="00AF5CA8">
        <w:rPr>
          <w:rFonts w:ascii="Times New Roman" w:hAnsi="Times New Roman" w:cs="Times New Roman"/>
        </w:rPr>
        <w:t xml:space="preserve">Simply put, secondary users should not have a superior claim over primary users for any spectrum in the TV band.  This is the TV band, after all.  The idea that we would even consider measures that could possibly freeze the broadcasting industry in place after the completion of the incentive auction is ludicrous.  To ask questions to this effect, even though some describe these as “neutral,” is like asking whether the Commission can ignore the U.S. Constitution (we cannot).  From my perspective, the Commission shouldn’t ask questions about things we are precluded from doing.           </w:t>
      </w:r>
    </w:p>
    <w:p w:rsidR="00715672" w:rsidRPr="00AF5CA8" w:rsidRDefault="00715672" w:rsidP="00715672">
      <w:pPr>
        <w:pStyle w:val="Body"/>
        <w:rPr>
          <w:rFonts w:ascii="Times New Roman" w:hAnsi="Times New Roman" w:cs="Times New Roman"/>
        </w:rPr>
      </w:pPr>
    </w:p>
    <w:p w:rsidR="00715672" w:rsidRPr="00AF5CA8" w:rsidRDefault="00715672" w:rsidP="00715672">
      <w:pPr>
        <w:pStyle w:val="Body"/>
        <w:ind w:firstLine="720"/>
        <w:rPr>
          <w:rFonts w:ascii="Times New Roman" w:hAnsi="Times New Roman" w:cs="Times New Roman"/>
        </w:rPr>
      </w:pPr>
      <w:r w:rsidRPr="00AF5CA8">
        <w:rPr>
          <w:rFonts w:ascii="Times New Roman" w:hAnsi="Times New Roman" w:cs="Times New Roman"/>
        </w:rPr>
        <w:t>To rectify this, I requested that the NPRM contain additional tentative conclusions that full-power broadcasters would not have to make this vacant channel demonstration.</w:t>
      </w:r>
      <w:r w:rsidRPr="00AF5CA8">
        <w:rPr>
          <w:rStyle w:val="FootnoteReference"/>
        </w:rPr>
        <w:footnoteReference w:id="3"/>
      </w:r>
      <w:r w:rsidRPr="00AF5CA8">
        <w:rPr>
          <w:rFonts w:ascii="Times New Roman" w:hAnsi="Times New Roman" w:cs="Times New Roman"/>
        </w:rPr>
        <w:t xml:space="preserve">  In fact, I would have preferred a clear, declaratory statement that the rights of full power stations would not be affected by vacant channels at all, but I thought seeking tentative conclusions </w:t>
      </w:r>
      <w:r>
        <w:rPr>
          <w:rFonts w:ascii="Times New Roman" w:hAnsi="Times New Roman" w:cs="Times New Roman"/>
        </w:rPr>
        <w:t>was</w:t>
      </w:r>
      <w:r w:rsidRPr="00AF5CA8">
        <w:rPr>
          <w:rFonts w:ascii="Times New Roman" w:hAnsi="Times New Roman" w:cs="Times New Roman"/>
        </w:rPr>
        <w:t xml:space="preserve"> a reasonable compromise and a commonsense request that would be accepted by my colleagues.  In fact, the Chairman has repeatedly stated that NPRMs should contain tentative conclusions so that licensees have a proposal with which they can agree or </w:t>
      </w:r>
      <w:r>
        <w:rPr>
          <w:rFonts w:ascii="Times New Roman" w:hAnsi="Times New Roman" w:cs="Times New Roman"/>
        </w:rPr>
        <w:t>not</w:t>
      </w:r>
      <w:r w:rsidRPr="00AF5CA8">
        <w:rPr>
          <w:rFonts w:ascii="Times New Roman" w:hAnsi="Times New Roman" w:cs="Times New Roman"/>
        </w:rPr>
        <w:t xml:space="preserve">.  But, although many seemed to agree with my views, these edits were shockingly rejected. </w:t>
      </w:r>
    </w:p>
    <w:p w:rsidR="00715672" w:rsidRPr="00AF5CA8" w:rsidRDefault="00715672" w:rsidP="00715672">
      <w:pPr>
        <w:pStyle w:val="Body"/>
        <w:rPr>
          <w:rFonts w:ascii="Times New Roman" w:hAnsi="Times New Roman" w:cs="Times New Roman"/>
        </w:rPr>
      </w:pPr>
    </w:p>
    <w:p w:rsidR="00715672" w:rsidRPr="00AF5CA8" w:rsidRDefault="00715672" w:rsidP="00715672">
      <w:pPr>
        <w:pStyle w:val="Body"/>
        <w:ind w:firstLine="720"/>
        <w:rPr>
          <w:rFonts w:ascii="Times New Roman" w:hAnsi="Times New Roman" w:cs="Times New Roman"/>
        </w:rPr>
      </w:pPr>
      <w:r w:rsidRPr="00AF5CA8">
        <w:rPr>
          <w:rFonts w:ascii="Times New Roman" w:hAnsi="Times New Roman" w:cs="Times New Roman"/>
        </w:rPr>
        <w:lastRenderedPageBreak/>
        <w:t>Any requirement that primary, full-power stations would have to protect unlicensed users in the TV band is neither good policy nor consistent with the Spectrum Act</w:t>
      </w:r>
      <w:r>
        <w:rPr>
          <w:rStyle w:val="FootnoteReference"/>
        </w:rPr>
        <w:footnoteReference w:id="4"/>
      </w:r>
      <w:r w:rsidRPr="00AF5CA8">
        <w:rPr>
          <w:rFonts w:ascii="Times New Roman" w:hAnsi="Times New Roman" w:cs="Times New Roman"/>
        </w:rPr>
        <w:t xml:space="preserve"> or the more encompassing Communications Act.  Nothing in the Spectrum Act authorizes the Commission to restrict the future rights or opportunities of full-power broadcast stations post Incentive Auction, nor is there language in the Spectrum Act providing the Commission with the authority to set aside spectrum in the TV band exclusively for unlicensed use.      </w:t>
      </w:r>
    </w:p>
    <w:p w:rsidR="00715672" w:rsidRPr="00AF5CA8" w:rsidRDefault="00715672" w:rsidP="00715672">
      <w:pPr>
        <w:pStyle w:val="Body"/>
        <w:rPr>
          <w:rFonts w:ascii="Times New Roman" w:hAnsi="Times New Roman" w:cs="Times New Roman"/>
        </w:rPr>
      </w:pPr>
    </w:p>
    <w:p w:rsidR="00715672" w:rsidRPr="00AF5CA8" w:rsidRDefault="00715672" w:rsidP="00715672">
      <w:pPr>
        <w:pStyle w:val="Body"/>
        <w:ind w:firstLine="720"/>
        <w:rPr>
          <w:rFonts w:ascii="Times New Roman" w:hAnsi="Times New Roman" w:cs="Times New Roman"/>
        </w:rPr>
      </w:pPr>
      <w:r w:rsidRPr="00AF5CA8">
        <w:rPr>
          <w:rFonts w:ascii="Times New Roman" w:hAnsi="Times New Roman" w:cs="Times New Roman"/>
        </w:rPr>
        <w:t>In fact, the Spectrum Act clearly states that the Commission has the authority to reorganize the broadcast TV band “[f]or purposes of making available spectrum to carry out the forward auction. . . .”</w:t>
      </w:r>
      <w:r>
        <w:rPr>
          <w:rStyle w:val="FootnoteReference"/>
        </w:rPr>
        <w:footnoteReference w:id="5"/>
      </w:r>
      <w:r w:rsidRPr="00AF5CA8">
        <w:rPr>
          <w:rFonts w:ascii="Times New Roman" w:hAnsi="Times New Roman" w:cs="Times New Roman"/>
        </w:rPr>
        <w:t xml:space="preserve">  Congress gave the Commission authority to conduct an auction whereby broadcasters could voluntarily surrender their spectrum in return for proceeds from the forward auction, thus reallocating this spectrum for licensed wireless use, along with the ability to repack the remaining broadcasters.</w:t>
      </w:r>
      <w:r>
        <w:rPr>
          <w:rStyle w:val="FootnoteReference"/>
        </w:rPr>
        <w:footnoteReference w:id="6"/>
      </w:r>
      <w:r w:rsidRPr="00AF5CA8">
        <w:rPr>
          <w:rFonts w:ascii="Times New Roman" w:hAnsi="Times New Roman" w:cs="Times New Roman"/>
        </w:rPr>
        <w:t xml:space="preserve">  If it was the will of Congress for the Commission to reorganize the band in a manner to reserve six megahertz of spectrum for a class of secondary users at the expense of full-power broadcast stations or to limit the future growth of the broadcast industry by restricting station modifications or the opportunity for new stations to enter the market, Congress would have expressed such a mandate.  Having worked on the statute during my time as a Congressional staffer, I can assure everyone that at no time was there such an agreement, and I am unaware of even </w:t>
      </w:r>
      <w:r>
        <w:rPr>
          <w:rFonts w:ascii="Times New Roman" w:hAnsi="Times New Roman" w:cs="Times New Roman"/>
        </w:rPr>
        <w:t>a</w:t>
      </w:r>
      <w:r w:rsidRPr="00AF5CA8">
        <w:rPr>
          <w:rFonts w:ascii="Times New Roman" w:hAnsi="Times New Roman" w:cs="Times New Roman"/>
        </w:rPr>
        <w:t xml:space="preserve"> hint or suggestion to do so.  Instead, the related conversations focused on the interactions between licensed wireless service and unlicensed service.    </w:t>
      </w:r>
    </w:p>
    <w:p w:rsidR="00715672" w:rsidRPr="00AF5CA8" w:rsidRDefault="00715672" w:rsidP="00715672">
      <w:pPr>
        <w:pStyle w:val="Body"/>
        <w:rPr>
          <w:rFonts w:ascii="Times New Roman" w:hAnsi="Times New Roman" w:cs="Times New Roman"/>
        </w:rPr>
      </w:pPr>
    </w:p>
    <w:p w:rsidR="00715672" w:rsidRPr="00AF5CA8" w:rsidRDefault="00715672" w:rsidP="00715672">
      <w:pPr>
        <w:pStyle w:val="Body"/>
        <w:ind w:firstLine="720"/>
        <w:rPr>
          <w:rFonts w:ascii="Times New Roman" w:hAnsi="Times New Roman" w:cs="Times New Roman"/>
        </w:rPr>
      </w:pPr>
      <w:r w:rsidRPr="00AF5CA8">
        <w:rPr>
          <w:rFonts w:ascii="Times New Roman" w:hAnsi="Times New Roman" w:cs="Times New Roman"/>
        </w:rPr>
        <w:t xml:space="preserve">Finally, as I have stated in the past, in implementing the Spectrum Act and conducting the Incentive Auction, we need to treat all parties fairly.  This includes those broadcasters that decide not to participate in the auction and are repacked.  Instead of bringing broadcasters to the table, we keep considering actions that are likely to alienate them or, like the decision today, make it harder for the broadcast industry to compete and thrive in the modern marketplace.  Apparently, localism, diversity and media ownership are really important for some people, until they are not.  And all we are doing here is starting down a path towards statutory authority challenges and further litigation. </w:t>
      </w:r>
    </w:p>
    <w:p w:rsidR="00715672" w:rsidRPr="00AF5CA8" w:rsidRDefault="00715672" w:rsidP="00715672">
      <w:pPr>
        <w:pStyle w:val="Body"/>
        <w:rPr>
          <w:rFonts w:ascii="Times New Roman" w:hAnsi="Times New Roman" w:cs="Times New Roman"/>
        </w:rPr>
      </w:pPr>
    </w:p>
    <w:p w:rsidR="00715672" w:rsidRPr="00B7142D" w:rsidRDefault="00715672" w:rsidP="00715672">
      <w:pPr>
        <w:ind w:left="720"/>
      </w:pPr>
    </w:p>
    <w:p w:rsidR="00A91E19" w:rsidRDefault="00AD1DE3" w:rsidP="00715672">
      <w:pPr>
        <w:pStyle w:val="NoSpacing"/>
      </w:pPr>
    </w:p>
    <w:sectPr w:rsidR="00A91E1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72" w:rsidRDefault="00715672" w:rsidP="00715672">
      <w:r>
        <w:separator/>
      </w:r>
    </w:p>
  </w:endnote>
  <w:endnote w:type="continuationSeparator" w:id="0">
    <w:p w:rsidR="00715672" w:rsidRDefault="00715672" w:rsidP="0071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09" w:rsidRDefault="00B45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09" w:rsidRDefault="00B45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09" w:rsidRDefault="00B45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72" w:rsidRDefault="00715672" w:rsidP="00715672">
      <w:r>
        <w:separator/>
      </w:r>
    </w:p>
  </w:footnote>
  <w:footnote w:type="continuationSeparator" w:id="0">
    <w:p w:rsidR="00715672" w:rsidRDefault="00715672" w:rsidP="00715672">
      <w:r>
        <w:continuationSeparator/>
      </w:r>
    </w:p>
  </w:footnote>
  <w:footnote w:id="1">
    <w:p w:rsidR="00715672" w:rsidRDefault="00715672" w:rsidP="00715672">
      <w:pPr>
        <w:pStyle w:val="FootnoteText"/>
      </w:pPr>
      <w:r>
        <w:rPr>
          <w:rStyle w:val="FootnoteReference"/>
        </w:rPr>
        <w:footnoteRef/>
      </w:r>
      <w:r>
        <w:t xml:space="preserve"> </w:t>
      </w:r>
      <w:r w:rsidRPr="00E30B59">
        <w:rPr>
          <w:i/>
        </w:rPr>
        <w:t>Expanding the Economic and Innovation Opportunities of Spectrum through Incentive Auctions</w:t>
      </w:r>
      <w:r>
        <w:t>, GN Docket No. 12-268, Report and Order, 29 FCC Rcd 6567 (2014).</w:t>
      </w:r>
    </w:p>
  </w:footnote>
  <w:footnote w:id="2">
    <w:p w:rsidR="00715672" w:rsidRDefault="00715672" w:rsidP="00715672">
      <w:pPr>
        <w:pStyle w:val="FootnoteText"/>
      </w:pPr>
      <w:r>
        <w:rPr>
          <w:rStyle w:val="FootnoteReference"/>
        </w:rPr>
        <w:footnoteRef/>
      </w:r>
      <w:r>
        <w:t xml:space="preserve"> </w:t>
      </w:r>
      <w:r w:rsidRPr="00E30B59">
        <w:rPr>
          <w:i/>
        </w:rPr>
        <w:t>Id</w:t>
      </w:r>
      <w:r>
        <w:t>. at 6683-84, 6701 ¶¶ 269, 309.</w:t>
      </w:r>
    </w:p>
  </w:footnote>
  <w:footnote w:id="3">
    <w:p w:rsidR="00715672" w:rsidRPr="00AF5CA8" w:rsidRDefault="00715672" w:rsidP="00715672">
      <w:pPr>
        <w:pStyle w:val="FootnoteText"/>
      </w:pPr>
      <w:r w:rsidRPr="00AF5CA8">
        <w:rPr>
          <w:rStyle w:val="FootnoteReference"/>
        </w:rPr>
        <w:footnoteRef/>
      </w:r>
      <w:r w:rsidRPr="00AF5CA8">
        <w:t xml:space="preserve"> The NPRM already contained a tentative conclusion that </w:t>
      </w:r>
      <w:r>
        <w:t>full-power stations would not have to preserve a</w:t>
      </w:r>
      <w:r w:rsidRPr="00AF5CA8">
        <w:t xml:space="preserve"> vacant channel during the repacking period.</w:t>
      </w:r>
    </w:p>
  </w:footnote>
  <w:footnote w:id="4">
    <w:p w:rsidR="00715672" w:rsidRDefault="00715672" w:rsidP="00715672">
      <w:pPr>
        <w:pStyle w:val="FootnoteText"/>
      </w:pPr>
      <w:r>
        <w:rPr>
          <w:rStyle w:val="FootnoteReference"/>
        </w:rPr>
        <w:footnoteRef/>
      </w:r>
      <w:r>
        <w:t xml:space="preserve"> Middle Class Tax Relief and Job Creation Act of 2012, Pub. L. No. 112-96, § 6401 </w:t>
      </w:r>
      <w:r w:rsidRPr="000A7750">
        <w:rPr>
          <w:i/>
        </w:rPr>
        <w:t>et seq</w:t>
      </w:r>
      <w:r>
        <w:t>.</w:t>
      </w:r>
    </w:p>
  </w:footnote>
  <w:footnote w:id="5">
    <w:p w:rsidR="00715672" w:rsidRDefault="00715672" w:rsidP="00715672">
      <w:pPr>
        <w:pStyle w:val="FootnoteText"/>
      </w:pPr>
      <w:r>
        <w:rPr>
          <w:rStyle w:val="FootnoteReference"/>
        </w:rPr>
        <w:footnoteRef/>
      </w:r>
      <w:r>
        <w:t xml:space="preserve"> </w:t>
      </w:r>
      <w:r w:rsidRPr="00E30B59">
        <w:rPr>
          <w:i/>
        </w:rPr>
        <w:t>Id</w:t>
      </w:r>
      <w:r>
        <w:t>. § 6401(b)(1) (codified at 47 U.S.C. § 1452(b)(1)).</w:t>
      </w:r>
    </w:p>
  </w:footnote>
  <w:footnote w:id="6">
    <w:p w:rsidR="00715672" w:rsidRDefault="00715672" w:rsidP="00715672">
      <w:pPr>
        <w:pStyle w:val="FootnoteText"/>
      </w:pPr>
      <w:r>
        <w:rPr>
          <w:rStyle w:val="FootnoteReference"/>
        </w:rPr>
        <w:footnoteRef/>
      </w:r>
      <w:r>
        <w:t xml:space="preserve"> </w:t>
      </w:r>
      <w:r w:rsidRPr="00E30B59">
        <w:rPr>
          <w:i/>
        </w:rPr>
        <w:t>Id</w:t>
      </w:r>
      <w:r>
        <w:t>. § 6401, 6402 (codified at 47 U.S.C. §§ 309(j)(8), 1452).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09" w:rsidRDefault="00B45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09" w:rsidRDefault="00B45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09" w:rsidRDefault="00B45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72"/>
    <w:rsid w:val="004C08C1"/>
    <w:rsid w:val="004C17D0"/>
    <w:rsid w:val="00706F6E"/>
    <w:rsid w:val="00715672"/>
    <w:rsid w:val="00AD1DE3"/>
    <w:rsid w:val="00B4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72"/>
    <w:pPr>
      <w:spacing w:after="0" w:line="240" w:lineRule="auto"/>
    </w:p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2"/>
    <w:rsid w:val="0071567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15672"/>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Footnote Reference1"/>
    <w:rsid w:val="00715672"/>
    <w:rPr>
      <w:rFonts w:ascii="Times New Roman" w:hAnsi="Times New Roman"/>
      <w:dstrike w:val="0"/>
      <w:color w:val="auto"/>
      <w:sz w:val="20"/>
      <w:vertAlign w:val="superscript"/>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ink w:val="FootnoteText"/>
    <w:locked/>
    <w:rsid w:val="00715672"/>
    <w:rPr>
      <w:rFonts w:ascii="Times New Roman" w:eastAsia="Times New Roman" w:hAnsi="Times New Roman" w:cs="Times New Roman"/>
      <w:sz w:val="20"/>
      <w:szCs w:val="20"/>
    </w:rPr>
  </w:style>
  <w:style w:type="paragraph" w:customStyle="1" w:styleId="Body">
    <w:name w:val="Body"/>
    <w:rsid w:val="0071567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45609"/>
    <w:pPr>
      <w:tabs>
        <w:tab w:val="center" w:pos="4680"/>
        <w:tab w:val="right" w:pos="9360"/>
      </w:tabs>
    </w:pPr>
  </w:style>
  <w:style w:type="character" w:customStyle="1" w:styleId="HeaderChar">
    <w:name w:val="Header Char"/>
    <w:basedOn w:val="DefaultParagraphFont"/>
    <w:link w:val="Header"/>
    <w:uiPriority w:val="99"/>
    <w:rsid w:val="00B4560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45609"/>
    <w:pPr>
      <w:tabs>
        <w:tab w:val="center" w:pos="4680"/>
        <w:tab w:val="right" w:pos="9360"/>
      </w:tabs>
    </w:pPr>
  </w:style>
  <w:style w:type="character" w:customStyle="1" w:styleId="FooterChar">
    <w:name w:val="Footer Char"/>
    <w:basedOn w:val="DefaultParagraphFont"/>
    <w:link w:val="Footer"/>
    <w:uiPriority w:val="99"/>
    <w:rsid w:val="00B4560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72"/>
    <w:pPr>
      <w:spacing w:after="0" w:line="240" w:lineRule="auto"/>
    </w:p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2"/>
    <w:rsid w:val="0071567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15672"/>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Footnote Reference1"/>
    <w:rsid w:val="00715672"/>
    <w:rPr>
      <w:rFonts w:ascii="Times New Roman" w:hAnsi="Times New Roman"/>
      <w:dstrike w:val="0"/>
      <w:color w:val="auto"/>
      <w:sz w:val="20"/>
      <w:vertAlign w:val="superscript"/>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ink w:val="FootnoteText"/>
    <w:locked/>
    <w:rsid w:val="00715672"/>
    <w:rPr>
      <w:rFonts w:ascii="Times New Roman" w:eastAsia="Times New Roman" w:hAnsi="Times New Roman" w:cs="Times New Roman"/>
      <w:sz w:val="20"/>
      <w:szCs w:val="20"/>
    </w:rPr>
  </w:style>
  <w:style w:type="paragraph" w:customStyle="1" w:styleId="Body">
    <w:name w:val="Body"/>
    <w:rsid w:val="0071567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45609"/>
    <w:pPr>
      <w:tabs>
        <w:tab w:val="center" w:pos="4680"/>
        <w:tab w:val="right" w:pos="9360"/>
      </w:tabs>
    </w:pPr>
  </w:style>
  <w:style w:type="character" w:customStyle="1" w:styleId="HeaderChar">
    <w:name w:val="Header Char"/>
    <w:basedOn w:val="DefaultParagraphFont"/>
    <w:link w:val="Header"/>
    <w:uiPriority w:val="99"/>
    <w:rsid w:val="00B4560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45609"/>
    <w:pPr>
      <w:tabs>
        <w:tab w:val="center" w:pos="4680"/>
        <w:tab w:val="right" w:pos="9360"/>
      </w:tabs>
    </w:pPr>
  </w:style>
  <w:style w:type="character" w:customStyle="1" w:styleId="FooterChar">
    <w:name w:val="Footer Char"/>
    <w:basedOn w:val="DefaultParagraphFont"/>
    <w:link w:val="Footer"/>
    <w:uiPriority w:val="99"/>
    <w:rsid w:val="00B4560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4816</Characters>
  <Application>Microsoft Office Word</Application>
  <DocSecurity>0</DocSecurity>
  <Lines>72</Lines>
  <Paragraphs>11</Paragraphs>
  <ScaleCrop>false</ScaleCrop>
  <Manager/>
  <Company/>
  <LinksUpToDate>false</LinksUpToDate>
  <CharactersWithSpaces>5759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2015-06-16T17:16:00Z</dcterms:created>
  <dcterms:modified xsi:type="dcterms:W3CDTF">2015-06-16T17:16:00Z</dcterms:modified>
  <cp:category> </cp:category>
  <cp:contentStatus> </cp:contentStatus>
</cp:coreProperties>
</file>