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51" w:rsidRPr="006B7413" w:rsidRDefault="00081B51" w:rsidP="00B50D22">
      <w:pPr>
        <w:jc w:val="center"/>
        <w:rPr>
          <w:b/>
        </w:rPr>
      </w:pPr>
      <w:bookmarkStart w:id="0" w:name="_GoBack"/>
      <w:bookmarkEnd w:id="0"/>
      <w:r w:rsidRPr="006B7413">
        <w:rPr>
          <w:b/>
        </w:rPr>
        <w:t>Before the</w:t>
      </w:r>
    </w:p>
    <w:p w:rsidR="00081B51" w:rsidRPr="006B7413" w:rsidRDefault="00081B51" w:rsidP="00602A8B">
      <w:pPr>
        <w:jc w:val="center"/>
        <w:rPr>
          <w:b/>
        </w:rPr>
      </w:pPr>
      <w:r w:rsidRPr="006B7413">
        <w:rPr>
          <w:b/>
        </w:rPr>
        <w:t>Federal Communications Commission</w:t>
      </w:r>
      <w:r w:rsidRPr="006B7413">
        <w:rPr>
          <w:b/>
        </w:rPr>
        <w:br/>
        <w:t>Washington, D.C. 20554</w:t>
      </w:r>
    </w:p>
    <w:p w:rsidR="00081B51" w:rsidRPr="004D2F87" w:rsidRDefault="00081B51" w:rsidP="00602A8B"/>
    <w:tbl>
      <w:tblPr>
        <w:tblW w:w="0" w:type="auto"/>
        <w:tblLayout w:type="fixed"/>
        <w:tblLook w:val="0000" w:firstRow="0" w:lastRow="0" w:firstColumn="0" w:lastColumn="0" w:noHBand="0" w:noVBand="0"/>
      </w:tblPr>
      <w:tblGrid>
        <w:gridCol w:w="4698"/>
        <w:gridCol w:w="630"/>
        <w:gridCol w:w="4248"/>
      </w:tblGrid>
      <w:tr w:rsidR="00081B51" w:rsidRPr="00AF3D68" w:rsidTr="00081B51">
        <w:trPr>
          <w:trHeight w:val="1467"/>
        </w:trPr>
        <w:tc>
          <w:tcPr>
            <w:tcW w:w="4698" w:type="dxa"/>
          </w:tcPr>
          <w:p w:rsidR="00081B51" w:rsidRPr="00EE211D" w:rsidRDefault="00081B51" w:rsidP="00602A8B">
            <w:pPr>
              <w:tabs>
                <w:tab w:val="center" w:pos="4680"/>
              </w:tabs>
              <w:suppressAutoHyphens/>
            </w:pPr>
            <w:r w:rsidRPr="00EE211D">
              <w:t>In the Matter of</w:t>
            </w:r>
          </w:p>
          <w:p w:rsidR="00081B51" w:rsidRPr="00EE211D" w:rsidRDefault="00081B51" w:rsidP="00602A8B">
            <w:pPr>
              <w:tabs>
                <w:tab w:val="center" w:pos="4680"/>
              </w:tabs>
              <w:suppressAutoHyphens/>
            </w:pPr>
          </w:p>
          <w:p w:rsidR="00081B51" w:rsidRPr="004D2F87" w:rsidRDefault="00081B51" w:rsidP="00602A8B">
            <w:r w:rsidRPr="004D2F87">
              <w:t>Expanding the Economic and Innovation Opportunities of Spectrum Through Incentive Auctions</w:t>
            </w:r>
          </w:p>
          <w:p w:rsidR="003F4B69" w:rsidRPr="00DD6179" w:rsidRDefault="003F4B69" w:rsidP="00602A8B"/>
          <w:p w:rsidR="003F4B69" w:rsidRPr="004D2F87" w:rsidRDefault="002B1033" w:rsidP="00602A8B">
            <w:r>
              <w:t xml:space="preserve">Channel Sharing by Full Power and Class A Stations Outside </w:t>
            </w:r>
            <w:r w:rsidRPr="00D036BB">
              <w:t>the Broadcast Television Spectrum Incentive Auction Context</w:t>
            </w:r>
          </w:p>
        </w:tc>
        <w:tc>
          <w:tcPr>
            <w:tcW w:w="630" w:type="dxa"/>
          </w:tcPr>
          <w:p w:rsidR="00081B51" w:rsidRPr="00EE211D" w:rsidRDefault="00081B51" w:rsidP="00602A8B">
            <w:pPr>
              <w:tabs>
                <w:tab w:val="center" w:pos="4680"/>
              </w:tabs>
              <w:suppressAutoHyphens/>
            </w:pPr>
            <w:r w:rsidRPr="00EE211D">
              <w:t>)</w:t>
            </w:r>
          </w:p>
          <w:p w:rsidR="00081B51" w:rsidRPr="00EE211D" w:rsidRDefault="00081B51" w:rsidP="00602A8B">
            <w:pPr>
              <w:tabs>
                <w:tab w:val="center" w:pos="4680"/>
              </w:tabs>
              <w:suppressAutoHyphens/>
            </w:pPr>
            <w:r w:rsidRPr="00EE211D">
              <w:t>)</w:t>
            </w:r>
          </w:p>
          <w:p w:rsidR="00081B51" w:rsidRPr="00EE211D" w:rsidRDefault="00081B51" w:rsidP="00602A8B">
            <w:pPr>
              <w:tabs>
                <w:tab w:val="center" w:pos="4680"/>
              </w:tabs>
              <w:suppressAutoHyphens/>
            </w:pPr>
            <w:r w:rsidRPr="00EE211D">
              <w:t>)</w:t>
            </w:r>
          </w:p>
          <w:p w:rsidR="00081B51" w:rsidRPr="00EE211D" w:rsidRDefault="00081B51" w:rsidP="00602A8B">
            <w:pPr>
              <w:tabs>
                <w:tab w:val="center" w:pos="4680"/>
              </w:tabs>
              <w:suppressAutoHyphens/>
            </w:pPr>
            <w:r w:rsidRPr="00EE211D">
              <w:t>)</w:t>
            </w:r>
            <w:r w:rsidRPr="00EE211D">
              <w:br/>
              <w:t>)</w:t>
            </w:r>
          </w:p>
          <w:p w:rsidR="003F4B69" w:rsidRPr="00EE211D" w:rsidRDefault="003F4B69" w:rsidP="00602A8B">
            <w:pPr>
              <w:tabs>
                <w:tab w:val="center" w:pos="4680"/>
              </w:tabs>
              <w:suppressAutoHyphens/>
            </w:pPr>
            <w:r w:rsidRPr="00EE211D">
              <w:t>)</w:t>
            </w:r>
          </w:p>
          <w:p w:rsidR="003F4B69" w:rsidRPr="00EE211D" w:rsidRDefault="003F4B69" w:rsidP="00602A8B">
            <w:pPr>
              <w:tabs>
                <w:tab w:val="center" w:pos="4680"/>
              </w:tabs>
              <w:suppressAutoHyphens/>
            </w:pPr>
            <w:r w:rsidRPr="00EE211D">
              <w:t>)</w:t>
            </w:r>
          </w:p>
          <w:p w:rsidR="003F4B69" w:rsidRDefault="003F4B69" w:rsidP="00602A8B">
            <w:pPr>
              <w:tabs>
                <w:tab w:val="center" w:pos="4680"/>
              </w:tabs>
              <w:suppressAutoHyphens/>
            </w:pPr>
            <w:r w:rsidRPr="00EE211D">
              <w:t>)</w:t>
            </w:r>
          </w:p>
          <w:p w:rsidR="002B1033" w:rsidRPr="00EE211D" w:rsidRDefault="002B1033" w:rsidP="00602A8B">
            <w:pPr>
              <w:tabs>
                <w:tab w:val="center" w:pos="4680"/>
              </w:tabs>
              <w:suppressAutoHyphens/>
            </w:pPr>
            <w:r>
              <w:t>)</w:t>
            </w:r>
          </w:p>
        </w:tc>
        <w:tc>
          <w:tcPr>
            <w:tcW w:w="4248" w:type="dxa"/>
          </w:tcPr>
          <w:p w:rsidR="00081B51" w:rsidRPr="00EE211D" w:rsidRDefault="00081B51" w:rsidP="00602A8B">
            <w:pPr>
              <w:tabs>
                <w:tab w:val="center" w:pos="4680"/>
              </w:tabs>
              <w:suppressAutoHyphens/>
            </w:pPr>
          </w:p>
          <w:p w:rsidR="00081B51" w:rsidRPr="00EE211D" w:rsidRDefault="00081B51" w:rsidP="00602A8B">
            <w:pPr>
              <w:pStyle w:val="TOAHeading"/>
              <w:widowControl/>
              <w:tabs>
                <w:tab w:val="clear" w:pos="9360"/>
                <w:tab w:val="center" w:pos="4680"/>
              </w:tabs>
            </w:pPr>
          </w:p>
          <w:p w:rsidR="00081B51" w:rsidRPr="00EE211D" w:rsidRDefault="00666295" w:rsidP="00602A8B">
            <w:pPr>
              <w:tabs>
                <w:tab w:val="center" w:pos="4680"/>
              </w:tabs>
              <w:suppressAutoHyphens/>
            </w:pPr>
            <w:r w:rsidRPr="00EE211D">
              <w:t xml:space="preserve">GN </w:t>
            </w:r>
            <w:r w:rsidR="00081B51" w:rsidRPr="00EE211D">
              <w:t>Docket No. 12-268</w:t>
            </w:r>
          </w:p>
          <w:p w:rsidR="00081B51" w:rsidRPr="00EE211D" w:rsidRDefault="00081B51" w:rsidP="00602A8B">
            <w:pPr>
              <w:tabs>
                <w:tab w:val="center" w:pos="4680"/>
              </w:tabs>
              <w:suppressAutoHyphens/>
            </w:pPr>
          </w:p>
          <w:p w:rsidR="00081B51" w:rsidRPr="00EE211D" w:rsidRDefault="00081B51" w:rsidP="00602A8B">
            <w:pPr>
              <w:tabs>
                <w:tab w:val="center" w:pos="4680"/>
              </w:tabs>
              <w:suppressAutoHyphens/>
            </w:pPr>
          </w:p>
          <w:p w:rsidR="003F4B69" w:rsidRPr="00EE211D" w:rsidRDefault="003F4B69" w:rsidP="00602A8B">
            <w:pPr>
              <w:tabs>
                <w:tab w:val="center" w:pos="4680"/>
              </w:tabs>
              <w:suppressAutoHyphens/>
            </w:pPr>
          </w:p>
          <w:p w:rsidR="003F4B69" w:rsidRPr="00EE211D" w:rsidRDefault="003F4B69" w:rsidP="00E34896">
            <w:pPr>
              <w:tabs>
                <w:tab w:val="center" w:pos="4680"/>
              </w:tabs>
              <w:suppressAutoHyphens/>
            </w:pPr>
            <w:r w:rsidRPr="00EE211D">
              <w:t>MB Docket No. 15-</w:t>
            </w:r>
            <w:r w:rsidR="00E34896">
              <w:t>137</w:t>
            </w:r>
          </w:p>
        </w:tc>
      </w:tr>
    </w:tbl>
    <w:p w:rsidR="00081B51" w:rsidRPr="00EE211D" w:rsidRDefault="00081B51" w:rsidP="00602A8B">
      <w:pPr>
        <w:pStyle w:val="StyleBoldCentered"/>
        <w:widowControl/>
        <w:jc w:val="left"/>
      </w:pPr>
    </w:p>
    <w:p w:rsidR="00081B51" w:rsidRPr="00EE211D" w:rsidRDefault="0097717A" w:rsidP="00602A8B">
      <w:pPr>
        <w:pStyle w:val="StyleBoldCentered"/>
        <w:widowControl/>
      </w:pPr>
      <w:r>
        <w:t>FIRST ORDER ON RECONSIDERATION</w:t>
      </w:r>
      <w:r w:rsidR="003940F7" w:rsidRPr="00EE211D">
        <w:t xml:space="preserve"> and n</w:t>
      </w:r>
      <w:r w:rsidR="00F41BFD" w:rsidRPr="00EE211D">
        <w:t xml:space="preserve">otice of </w:t>
      </w:r>
      <w:r w:rsidR="003940F7" w:rsidRPr="00EE211D">
        <w:t>p</w:t>
      </w:r>
      <w:r w:rsidR="00F41BFD" w:rsidRPr="00EE211D">
        <w:t xml:space="preserve">roposed </w:t>
      </w:r>
      <w:r w:rsidR="003940F7" w:rsidRPr="00EE211D">
        <w:t>r</w:t>
      </w:r>
      <w:r w:rsidR="00F41BFD" w:rsidRPr="00EE211D">
        <w:t>ule</w:t>
      </w:r>
      <w:r w:rsidR="003940F7" w:rsidRPr="00EE211D">
        <w:t>m</w:t>
      </w:r>
      <w:r w:rsidR="00F41BFD" w:rsidRPr="00EE211D">
        <w:t>aking</w:t>
      </w:r>
    </w:p>
    <w:p w:rsidR="00081B51" w:rsidRPr="00EE211D" w:rsidRDefault="00081B51" w:rsidP="00602A8B">
      <w:pPr>
        <w:tabs>
          <w:tab w:val="left" w:pos="720"/>
          <w:tab w:val="left" w:pos="6750"/>
        </w:tabs>
        <w:suppressAutoHyphens/>
        <w:spacing w:line="227" w:lineRule="auto"/>
      </w:pPr>
    </w:p>
    <w:p w:rsidR="00797099" w:rsidRPr="00107107" w:rsidRDefault="00081B51" w:rsidP="00107107">
      <w:pPr>
        <w:tabs>
          <w:tab w:val="right" w:pos="9360"/>
        </w:tabs>
        <w:suppressAutoHyphens/>
        <w:spacing w:line="227" w:lineRule="auto"/>
        <w:jc w:val="right"/>
        <w:rPr>
          <w:b/>
        </w:rPr>
      </w:pPr>
      <w:r w:rsidRPr="00107107">
        <w:rPr>
          <w:b/>
        </w:rPr>
        <w:t xml:space="preserve">Adopted:  </w:t>
      </w:r>
      <w:r w:rsidR="00B257A9" w:rsidRPr="00107107">
        <w:rPr>
          <w:b/>
        </w:rPr>
        <w:t>June 11</w:t>
      </w:r>
      <w:r w:rsidRPr="00107107">
        <w:rPr>
          <w:b/>
        </w:rPr>
        <w:t>, 201</w:t>
      </w:r>
      <w:r w:rsidR="00141A26" w:rsidRPr="00107107">
        <w:rPr>
          <w:b/>
        </w:rPr>
        <w:t>5</w:t>
      </w:r>
      <w:r w:rsidR="007E401D" w:rsidRPr="00107107">
        <w:rPr>
          <w:b/>
        </w:rPr>
        <w:tab/>
      </w:r>
      <w:r w:rsidR="00C35B8F" w:rsidRPr="00107107">
        <w:rPr>
          <w:b/>
        </w:rPr>
        <w:t xml:space="preserve">Released:  </w:t>
      </w:r>
      <w:r w:rsidR="00B257A9" w:rsidRPr="00107107">
        <w:rPr>
          <w:b/>
        </w:rPr>
        <w:t>June 12</w:t>
      </w:r>
      <w:r w:rsidR="00C35B8F" w:rsidRPr="00107107">
        <w:rPr>
          <w:b/>
        </w:rPr>
        <w:t>, 2015</w:t>
      </w:r>
    </w:p>
    <w:p w:rsidR="00797099" w:rsidRPr="00EE211D" w:rsidRDefault="00797099" w:rsidP="00602A8B"/>
    <w:p w:rsidR="00797099" w:rsidRPr="00107107" w:rsidRDefault="00797099" w:rsidP="00602A8B">
      <w:pPr>
        <w:rPr>
          <w:b/>
        </w:rPr>
      </w:pPr>
      <w:r w:rsidRPr="00107107">
        <w:rPr>
          <w:b/>
        </w:rPr>
        <w:t>Comment Date:  (30 days after date of publication in the Federal Register)</w:t>
      </w:r>
    </w:p>
    <w:p w:rsidR="00797099" w:rsidRPr="00EE211D" w:rsidRDefault="00797099" w:rsidP="00602A8B">
      <w:r w:rsidRPr="00107107">
        <w:rPr>
          <w:b/>
        </w:rPr>
        <w:t>Reply Comment Date:  (</w:t>
      </w:r>
      <w:r w:rsidR="00265541" w:rsidRPr="00107107">
        <w:rPr>
          <w:b/>
        </w:rPr>
        <w:t>45</w:t>
      </w:r>
      <w:r w:rsidRPr="00107107">
        <w:rPr>
          <w:b/>
        </w:rPr>
        <w:t xml:space="preserve"> days after date of publication in the Federal Register)</w:t>
      </w:r>
    </w:p>
    <w:p w:rsidR="00797099" w:rsidRPr="00EE211D" w:rsidRDefault="00797099" w:rsidP="00602A8B"/>
    <w:p w:rsidR="00081B51" w:rsidRDefault="00081B51" w:rsidP="00602A8B">
      <w:pPr>
        <w:tabs>
          <w:tab w:val="left" w:pos="1890"/>
          <w:tab w:val="left" w:pos="6750"/>
        </w:tabs>
        <w:suppressAutoHyphens/>
        <w:spacing w:line="227" w:lineRule="auto"/>
        <w:ind w:left="1890" w:hanging="1890"/>
      </w:pPr>
      <w:r w:rsidRPr="00EE211D">
        <w:t>By the Commission:</w:t>
      </w:r>
    </w:p>
    <w:p w:rsidR="00FA3DF5" w:rsidRDefault="00FA3DF5" w:rsidP="00FA3DF5">
      <w:pPr>
        <w:pStyle w:val="TOCTitle"/>
      </w:pPr>
      <w:bookmarkStart w:id="1" w:name="TOChere"/>
      <w:r>
        <w:t>Table of Contents</w:t>
      </w:r>
    </w:p>
    <w:p w:rsidR="00FA3DF5" w:rsidRDefault="00FA3DF5" w:rsidP="00FA3DF5">
      <w:pPr>
        <w:pStyle w:val="Paratitle"/>
      </w:pPr>
      <w:r>
        <w:t>Heading</w:t>
      </w:r>
      <w:r>
        <w:tab/>
        <w:t>Paragraph #</w:t>
      </w:r>
      <w:bookmarkStart w:id="2" w:name="start_here"/>
      <w:bookmarkEnd w:id="2"/>
    </w:p>
    <w:p w:rsidR="00FA3DF5" w:rsidRDefault="00FA3DF5" w:rsidP="00FA3DF5">
      <w:pPr>
        <w:pStyle w:val="TOC1"/>
        <w:rPr>
          <w:rFonts w:asciiTheme="minorHAnsi" w:eastAsiaTheme="minorEastAsia" w:hAnsiTheme="minorHAnsi" w:cstheme="minorBidi"/>
          <w:caps w:val="0"/>
          <w:snapToGrid/>
          <w:kern w:val="0"/>
          <w:szCs w:val="22"/>
        </w:rPr>
      </w:pPr>
      <w:r w:rsidRPr="00C9401B">
        <w:t>I.</w:t>
      </w:r>
      <w:r>
        <w:rPr>
          <w:rFonts w:asciiTheme="minorHAnsi" w:eastAsiaTheme="minorEastAsia" w:hAnsiTheme="minorHAnsi" w:cstheme="minorBidi"/>
          <w:caps w:val="0"/>
          <w:snapToGrid/>
          <w:kern w:val="0"/>
          <w:szCs w:val="22"/>
        </w:rPr>
        <w:tab/>
      </w:r>
      <w:r w:rsidRPr="00C9401B">
        <w:t>introduction</w:t>
      </w:r>
      <w:r>
        <w:tab/>
        <w:t>1</w:t>
      </w:r>
    </w:p>
    <w:p w:rsidR="00FA3DF5" w:rsidRDefault="00FA3DF5" w:rsidP="00FA3DF5">
      <w:pPr>
        <w:pStyle w:val="TOC1"/>
        <w:rPr>
          <w:rFonts w:asciiTheme="minorHAnsi" w:eastAsiaTheme="minorEastAsia" w:hAnsiTheme="minorHAnsi" w:cstheme="minorBidi"/>
          <w:caps w:val="0"/>
          <w:snapToGrid/>
          <w:kern w:val="0"/>
          <w:szCs w:val="22"/>
        </w:rPr>
      </w:pPr>
      <w:r w:rsidRPr="00C9401B">
        <w:t>II.</w:t>
      </w:r>
      <w:r>
        <w:rPr>
          <w:rFonts w:asciiTheme="minorHAnsi" w:eastAsiaTheme="minorEastAsia" w:hAnsiTheme="minorHAnsi" w:cstheme="minorBidi"/>
          <w:caps w:val="0"/>
          <w:snapToGrid/>
          <w:kern w:val="0"/>
          <w:szCs w:val="22"/>
        </w:rPr>
        <w:tab/>
      </w:r>
      <w:r w:rsidRPr="00C9401B">
        <w:t>Background</w:t>
      </w:r>
      <w:r>
        <w:tab/>
        <w:t>2</w:t>
      </w:r>
    </w:p>
    <w:p w:rsidR="00FA3DF5" w:rsidRDefault="00FA3DF5" w:rsidP="00FA3DF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First Order on Reconsideration</w:t>
      </w:r>
      <w:r>
        <w:tab/>
        <w:t>6</w:t>
      </w:r>
    </w:p>
    <w:p w:rsidR="00FA3DF5" w:rsidRDefault="00FA3DF5" w:rsidP="00FA3DF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Negotiating for Common Contractual Rights</w:t>
      </w:r>
      <w:r>
        <w:tab/>
        <w:t>7</w:t>
      </w:r>
    </w:p>
    <w:p w:rsidR="00FA3DF5" w:rsidRDefault="00FA3DF5" w:rsidP="00FA3DF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Flexibility to Enter Into CSAs After the Incentive Auction</w:t>
      </w:r>
      <w:r>
        <w:tab/>
        <w:t>11</w:t>
      </w:r>
    </w:p>
    <w:p w:rsidR="00FA3DF5" w:rsidRDefault="00FA3DF5" w:rsidP="00FA3DF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Term-Limited Channel Sharing Agreements</w:t>
      </w:r>
      <w:r>
        <w:tab/>
        <w:t>19</w:t>
      </w:r>
    </w:p>
    <w:p w:rsidR="00FA3DF5" w:rsidRDefault="00FA3DF5" w:rsidP="00FA3DF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Termination of a Sharing Station’s Spectrum Usage Rights</w:t>
      </w:r>
      <w:r>
        <w:tab/>
        <w:t>22</w:t>
      </w:r>
    </w:p>
    <w:p w:rsidR="00FA3DF5" w:rsidRDefault="00FA3DF5" w:rsidP="00FA3DF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Commission Review of CSAs and Licensing of Channel Sharees</w:t>
      </w:r>
      <w:r>
        <w:tab/>
        <w:t>26</w:t>
      </w:r>
    </w:p>
    <w:p w:rsidR="00FA3DF5" w:rsidRDefault="00FA3DF5" w:rsidP="00FA3DF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Exception to Prohibited Communications for Parties to CSAs</w:t>
      </w:r>
      <w:r>
        <w:tab/>
        <w:t>29</w:t>
      </w:r>
    </w:p>
    <w:p w:rsidR="00FA3DF5" w:rsidRDefault="00FA3DF5" w:rsidP="00FA3DF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notice of proposed rulemaking</w:t>
      </w:r>
      <w:r>
        <w:tab/>
        <w:t>30</w:t>
      </w:r>
    </w:p>
    <w:p w:rsidR="00FA3DF5" w:rsidRDefault="00FA3DF5" w:rsidP="00FA3DF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Public Interest and Legal Authority</w:t>
      </w:r>
      <w:r>
        <w:tab/>
        <w:t>31</w:t>
      </w:r>
    </w:p>
    <w:p w:rsidR="00FA3DF5" w:rsidRDefault="00FA3DF5" w:rsidP="00FA3DF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Carriage Rights</w:t>
      </w:r>
      <w:r>
        <w:tab/>
        <w:t>33</w:t>
      </w:r>
    </w:p>
    <w:p w:rsidR="00FA3DF5" w:rsidRDefault="00FA3DF5" w:rsidP="00FA3DF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Voluntary and Flexible Channel Sharing</w:t>
      </w:r>
      <w:r>
        <w:tab/>
        <w:t>46</w:t>
      </w:r>
    </w:p>
    <w:p w:rsidR="00FA3DF5" w:rsidRDefault="00FA3DF5" w:rsidP="00FA3DF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Licensing Procedures</w:t>
      </w:r>
      <w:r>
        <w:tab/>
        <w:t>49</w:t>
      </w:r>
    </w:p>
    <w:p w:rsidR="00FA3DF5" w:rsidRDefault="00FA3DF5" w:rsidP="00FA3DF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Channel Sharing Operating Rules</w:t>
      </w:r>
      <w:r>
        <w:tab/>
        <w:t>55</w:t>
      </w:r>
    </w:p>
    <w:p w:rsidR="00FA3DF5" w:rsidRDefault="00FA3DF5" w:rsidP="00FA3DF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Channel Sharing Between Full Power and Class A Stations</w:t>
      </w:r>
      <w:r>
        <w:tab/>
        <w:t>57</w:t>
      </w:r>
    </w:p>
    <w:p w:rsidR="00FA3DF5" w:rsidRDefault="00FA3DF5" w:rsidP="00FA3DF5">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Reimbursement</w:t>
      </w:r>
      <w:r>
        <w:tab/>
        <w:t>58</w:t>
      </w:r>
    </w:p>
    <w:p w:rsidR="00FA3DF5" w:rsidRDefault="00FA3DF5" w:rsidP="00FA3DF5">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Notice to MVPDs</w:t>
      </w:r>
      <w:r>
        <w:tab/>
        <w:t>60</w:t>
      </w:r>
    </w:p>
    <w:p w:rsidR="00FA3DF5" w:rsidRDefault="00FA3DF5" w:rsidP="00FA3DF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 – First Order on Reconsideration</w:t>
      </w:r>
      <w:r>
        <w:tab/>
        <w:t>61</w:t>
      </w:r>
    </w:p>
    <w:p w:rsidR="00FA3DF5" w:rsidRDefault="00FA3DF5" w:rsidP="00FA3DF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Supplemental Final Regulatory Flexibility Act Analysis</w:t>
      </w:r>
      <w:r>
        <w:tab/>
        <w:t>61</w:t>
      </w:r>
    </w:p>
    <w:p w:rsidR="00FA3DF5" w:rsidRDefault="00FA3DF5" w:rsidP="00FA3DF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Paperwork Reduction Act Analysis</w:t>
      </w:r>
      <w:r>
        <w:tab/>
        <w:t>62</w:t>
      </w:r>
    </w:p>
    <w:p w:rsidR="00FA3DF5" w:rsidRDefault="00FA3DF5" w:rsidP="00FA3DF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64</w:t>
      </w:r>
    </w:p>
    <w:p w:rsidR="00FA3DF5" w:rsidRDefault="00FA3DF5" w:rsidP="00FA3DF5">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 - NPRM</w:t>
      </w:r>
      <w:r>
        <w:tab/>
        <w:t>65</w:t>
      </w:r>
    </w:p>
    <w:p w:rsidR="00FA3DF5" w:rsidRDefault="00FA3DF5" w:rsidP="00FA3DF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65</w:t>
      </w:r>
    </w:p>
    <w:p w:rsidR="00FA3DF5" w:rsidRDefault="00FA3DF5" w:rsidP="00FA3DF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Regulatory Flexibility Act Analysis.</w:t>
      </w:r>
      <w:r>
        <w:tab/>
        <w:t>66</w:t>
      </w:r>
    </w:p>
    <w:p w:rsidR="00FA3DF5" w:rsidRDefault="00FA3DF5" w:rsidP="00FA3DF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Act Analysis.</w:t>
      </w:r>
      <w:r>
        <w:tab/>
        <w:t>68</w:t>
      </w:r>
    </w:p>
    <w:p w:rsidR="00FA3DF5" w:rsidRDefault="00FA3DF5" w:rsidP="00FA3DF5">
      <w:pPr>
        <w:pStyle w:val="TOC2"/>
        <w:tabs>
          <w:tab w:val="left" w:pos="360"/>
        </w:tabs>
        <w:rPr>
          <w:rFonts w:asciiTheme="minorHAnsi" w:eastAsiaTheme="minorEastAsia" w:hAnsiTheme="minorHAnsi" w:cstheme="minorBidi"/>
          <w:snapToGrid/>
          <w:kern w:val="0"/>
          <w:szCs w:val="22"/>
        </w:rPr>
      </w:pPr>
      <w:r>
        <w:lastRenderedPageBreak/>
        <w:t>D.</w:t>
      </w:r>
      <w:r>
        <w:rPr>
          <w:rFonts w:asciiTheme="minorHAnsi" w:eastAsiaTheme="minorEastAsia" w:hAnsiTheme="minorHAnsi" w:cstheme="minorBidi"/>
          <w:snapToGrid/>
          <w:kern w:val="0"/>
          <w:szCs w:val="22"/>
        </w:rPr>
        <w:tab/>
      </w:r>
      <w:r>
        <w:t>Comment Filing Procedures</w:t>
      </w:r>
      <w:r>
        <w:tab/>
        <w:t>69</w:t>
      </w:r>
    </w:p>
    <w:p w:rsidR="00FA3DF5" w:rsidRDefault="00FA3DF5" w:rsidP="00FA3DF5">
      <w:pPr>
        <w:pStyle w:val="TOC1"/>
        <w:rPr>
          <w:rFonts w:asciiTheme="minorHAnsi" w:eastAsiaTheme="minorEastAsia" w:hAnsiTheme="minorHAnsi" w:cstheme="minorBidi"/>
          <w:caps w:val="0"/>
          <w:snapToGrid/>
          <w:kern w:val="0"/>
          <w:szCs w:val="22"/>
        </w:rPr>
      </w:pPr>
      <w:r>
        <w:t>VII. Ordering clauses</w:t>
      </w:r>
      <w:r>
        <w:tab/>
        <w:t>72</w:t>
      </w:r>
    </w:p>
    <w:bookmarkEnd w:id="1"/>
    <w:p w:rsidR="00512D0A" w:rsidRDefault="00512D0A" w:rsidP="006B7413">
      <w:pPr>
        <w:pStyle w:val="ParaNum"/>
        <w:numPr>
          <w:ilvl w:val="0"/>
          <w:numId w:val="0"/>
        </w:numPr>
        <w:spacing w:after="0"/>
        <w:rPr>
          <w:szCs w:val="22"/>
        </w:rPr>
      </w:pPr>
      <w:r>
        <w:rPr>
          <w:szCs w:val="22"/>
        </w:rPr>
        <w:t>APPENDIX A - FINAL RULES</w:t>
      </w:r>
    </w:p>
    <w:p w:rsidR="00C13874" w:rsidRDefault="00512D0A" w:rsidP="006B7413">
      <w:pPr>
        <w:pStyle w:val="ParaNum"/>
        <w:numPr>
          <w:ilvl w:val="0"/>
          <w:numId w:val="0"/>
        </w:numPr>
        <w:spacing w:after="0"/>
        <w:rPr>
          <w:szCs w:val="22"/>
        </w:rPr>
      </w:pPr>
      <w:r>
        <w:rPr>
          <w:szCs w:val="22"/>
        </w:rPr>
        <w:t xml:space="preserve">APPENDIX B </w:t>
      </w:r>
      <w:r w:rsidR="000956A0">
        <w:rPr>
          <w:szCs w:val="22"/>
        </w:rPr>
        <w:t>-</w:t>
      </w:r>
      <w:r>
        <w:rPr>
          <w:szCs w:val="22"/>
        </w:rPr>
        <w:t xml:space="preserve"> </w:t>
      </w:r>
      <w:r w:rsidR="00C13874">
        <w:rPr>
          <w:szCs w:val="22"/>
        </w:rPr>
        <w:t>SUPPLEMENTAL REGULATORY FLEXIBILITY ACT ANALYSIS</w:t>
      </w:r>
    </w:p>
    <w:p w:rsidR="00512D0A" w:rsidRDefault="00C13874" w:rsidP="006B7413">
      <w:pPr>
        <w:pStyle w:val="ParaNum"/>
        <w:numPr>
          <w:ilvl w:val="0"/>
          <w:numId w:val="0"/>
        </w:numPr>
        <w:spacing w:after="0"/>
        <w:rPr>
          <w:szCs w:val="22"/>
        </w:rPr>
      </w:pPr>
      <w:r>
        <w:rPr>
          <w:szCs w:val="22"/>
        </w:rPr>
        <w:t xml:space="preserve">APPENDIX C - </w:t>
      </w:r>
      <w:r w:rsidR="00512D0A">
        <w:rPr>
          <w:szCs w:val="22"/>
        </w:rPr>
        <w:t>PROPOSED RULES</w:t>
      </w:r>
    </w:p>
    <w:p w:rsidR="00512D0A" w:rsidRDefault="00512D0A" w:rsidP="006B7413">
      <w:pPr>
        <w:pStyle w:val="ParaNum"/>
        <w:numPr>
          <w:ilvl w:val="0"/>
          <w:numId w:val="0"/>
        </w:numPr>
        <w:spacing w:after="0"/>
        <w:rPr>
          <w:szCs w:val="22"/>
        </w:rPr>
      </w:pPr>
      <w:r>
        <w:rPr>
          <w:szCs w:val="22"/>
        </w:rPr>
        <w:t xml:space="preserve">APPENDIX </w:t>
      </w:r>
      <w:r w:rsidR="00C13874">
        <w:rPr>
          <w:szCs w:val="22"/>
        </w:rPr>
        <w:t>D</w:t>
      </w:r>
      <w:r>
        <w:rPr>
          <w:szCs w:val="22"/>
        </w:rPr>
        <w:t xml:space="preserve"> - INIITAL REGULATORY FLEXIBILITY ACT ANALYSIS</w:t>
      </w:r>
    </w:p>
    <w:p w:rsidR="00512D0A" w:rsidRPr="002871E6" w:rsidRDefault="00512D0A" w:rsidP="006B7413">
      <w:pPr>
        <w:pStyle w:val="ParaNum"/>
        <w:numPr>
          <w:ilvl w:val="0"/>
          <w:numId w:val="0"/>
        </w:numPr>
        <w:spacing w:after="0"/>
        <w:rPr>
          <w:szCs w:val="22"/>
        </w:rPr>
      </w:pPr>
    </w:p>
    <w:p w:rsidR="00087AA2" w:rsidRDefault="00087AA2" w:rsidP="00EE211D">
      <w:pPr>
        <w:pStyle w:val="Heading1"/>
        <w:rPr>
          <w:rFonts w:ascii="Times New Roman" w:hAnsi="Times New Roman"/>
          <w:szCs w:val="22"/>
        </w:rPr>
      </w:pPr>
      <w:bookmarkStart w:id="3" w:name="_Toc416429417"/>
      <w:bookmarkStart w:id="4" w:name="_Toc415150678"/>
      <w:bookmarkStart w:id="5" w:name="_Toc415151199"/>
      <w:bookmarkStart w:id="6" w:name="_Toc415151347"/>
      <w:bookmarkStart w:id="7" w:name="_Toc416424151"/>
      <w:bookmarkStart w:id="8" w:name="_Toc416424773"/>
      <w:r>
        <w:rPr>
          <w:rFonts w:ascii="Times New Roman" w:hAnsi="Times New Roman"/>
          <w:szCs w:val="22"/>
        </w:rPr>
        <w:t>introduction</w:t>
      </w:r>
      <w:bookmarkEnd w:id="3"/>
    </w:p>
    <w:p w:rsidR="00087AA2" w:rsidRPr="00087AA2" w:rsidRDefault="00087AA2" w:rsidP="00087AA2">
      <w:pPr>
        <w:pStyle w:val="ParaNum"/>
      </w:pPr>
      <w:r w:rsidRPr="002871E6">
        <w:rPr>
          <w:szCs w:val="22"/>
        </w:rPr>
        <w:t>Broadcasters will have the unique financial opportunity in the broadcast television spectrum incentive auction to voluntarily return some or all of their licensed spectrum usage rights in exchange for incentive payments.</w:t>
      </w:r>
      <w:r w:rsidRPr="002871E6">
        <w:rPr>
          <w:szCs w:val="22"/>
          <w:vertAlign w:val="superscript"/>
        </w:rPr>
        <w:footnoteReference w:id="2"/>
      </w:r>
      <w:r w:rsidRPr="002871E6">
        <w:rPr>
          <w:szCs w:val="22"/>
        </w:rPr>
        <w:t xml:space="preserve">  One of broadcasters’ bid options will be to relinquish rights in order to share a channel with another licensee, allowing them to continue broadcasting while receiving payments that can fund new content, services, and delivery mechanisms.</w:t>
      </w:r>
      <w:r w:rsidRPr="002871E6">
        <w:rPr>
          <w:szCs w:val="22"/>
          <w:vertAlign w:val="superscript"/>
        </w:rPr>
        <w:footnoteReference w:id="3"/>
      </w:r>
      <w:r w:rsidRPr="002871E6">
        <w:rPr>
          <w:szCs w:val="22"/>
        </w:rPr>
        <w:t xml:space="preserve">  The Commission established rules governing channel sharing </w:t>
      </w:r>
      <w:r w:rsidR="00A40C71">
        <w:rPr>
          <w:szCs w:val="22"/>
        </w:rPr>
        <w:t>agre</w:t>
      </w:r>
      <w:r w:rsidR="00837302">
        <w:rPr>
          <w:szCs w:val="22"/>
        </w:rPr>
        <w:t>ements</w:t>
      </w:r>
      <w:r w:rsidRPr="002871E6">
        <w:rPr>
          <w:szCs w:val="22"/>
        </w:rPr>
        <w:t xml:space="preserve"> (“CSAs”) in the </w:t>
      </w:r>
      <w:r w:rsidRPr="002871E6">
        <w:rPr>
          <w:i/>
          <w:szCs w:val="22"/>
        </w:rPr>
        <w:t>Incentive Auction Report &amp; Order</w:t>
      </w:r>
      <w:r w:rsidRPr="002871E6">
        <w:rPr>
          <w:szCs w:val="22"/>
        </w:rPr>
        <w:t xml:space="preserve"> (“</w:t>
      </w:r>
      <w:r w:rsidRPr="002871E6">
        <w:rPr>
          <w:i/>
          <w:szCs w:val="22"/>
        </w:rPr>
        <w:t>IA R&amp;O</w:t>
      </w:r>
      <w:r w:rsidRPr="002871E6">
        <w:rPr>
          <w:szCs w:val="22"/>
        </w:rPr>
        <w:t xml:space="preserve">”) and the preceding </w:t>
      </w:r>
      <w:r w:rsidRPr="002871E6">
        <w:rPr>
          <w:i/>
          <w:szCs w:val="22"/>
        </w:rPr>
        <w:t>Channel Sharing R</w:t>
      </w:r>
      <w:r>
        <w:rPr>
          <w:i/>
          <w:szCs w:val="22"/>
        </w:rPr>
        <w:t xml:space="preserve">eport </w:t>
      </w:r>
      <w:r w:rsidRPr="002871E6">
        <w:rPr>
          <w:i/>
          <w:szCs w:val="22"/>
        </w:rPr>
        <w:t>&amp;</w:t>
      </w:r>
      <w:r>
        <w:rPr>
          <w:i/>
          <w:szCs w:val="22"/>
        </w:rPr>
        <w:t xml:space="preserve"> </w:t>
      </w:r>
      <w:r w:rsidRPr="002871E6">
        <w:rPr>
          <w:i/>
          <w:szCs w:val="22"/>
        </w:rPr>
        <w:t>O</w:t>
      </w:r>
      <w:r>
        <w:rPr>
          <w:i/>
          <w:szCs w:val="22"/>
        </w:rPr>
        <w:t xml:space="preserve">rder </w:t>
      </w:r>
      <w:r w:rsidRPr="00010BA4">
        <w:rPr>
          <w:szCs w:val="22"/>
        </w:rPr>
        <w:t>(“</w:t>
      </w:r>
      <w:r>
        <w:rPr>
          <w:i/>
          <w:szCs w:val="22"/>
        </w:rPr>
        <w:t>Channel Sharing R&amp;O</w:t>
      </w:r>
      <w:r w:rsidRPr="00010BA4">
        <w:rPr>
          <w:szCs w:val="22"/>
        </w:rPr>
        <w:t>”)</w:t>
      </w:r>
      <w:r w:rsidRPr="002871E6">
        <w:rPr>
          <w:szCs w:val="22"/>
        </w:rPr>
        <w:t>.</w:t>
      </w:r>
      <w:r w:rsidRPr="002871E6">
        <w:rPr>
          <w:szCs w:val="22"/>
          <w:vertAlign w:val="superscript"/>
        </w:rPr>
        <w:footnoteReference w:id="4"/>
      </w:r>
      <w:r w:rsidRPr="002871E6">
        <w:rPr>
          <w:szCs w:val="22"/>
        </w:rPr>
        <w:t xml:space="preserve">  In this </w:t>
      </w:r>
      <w:r w:rsidR="00D4580A">
        <w:rPr>
          <w:szCs w:val="22"/>
        </w:rPr>
        <w:t xml:space="preserve">First </w:t>
      </w:r>
      <w:r w:rsidRPr="002871E6">
        <w:rPr>
          <w:szCs w:val="22"/>
        </w:rPr>
        <w:t xml:space="preserve">Order on Reconsideration, we refine those rules to provide greater flexibility and certainty regarding CSAs.  Among other things, we modify our rules to allow broadcasters that relinquish rights in the incentive auction in order to channel share to enter into CSAs after the auction and, whether they enter into CSAs before or after the auction, to determine the length of their agreements. </w:t>
      </w:r>
      <w:r>
        <w:rPr>
          <w:szCs w:val="22"/>
        </w:rPr>
        <w:t xml:space="preserve"> </w:t>
      </w:r>
      <w:r w:rsidRPr="002871E6">
        <w:rPr>
          <w:szCs w:val="22"/>
        </w:rPr>
        <w:t>In the companion Notice of Proposed Rulemaking (“</w:t>
      </w:r>
      <w:r w:rsidRPr="002871E6">
        <w:rPr>
          <w:i/>
          <w:szCs w:val="22"/>
        </w:rPr>
        <w:t>NPRM</w:t>
      </w:r>
      <w:r w:rsidRPr="002871E6">
        <w:rPr>
          <w:szCs w:val="22"/>
        </w:rPr>
        <w:t xml:space="preserve">”), we tentatively conclude that we should authorize channel sharing by full power and Class A stations outside the incentive auction context, including “second generation” agreements in which one or both entities were parties to an auction-related CSA whose term has </w:t>
      </w:r>
      <w:r>
        <w:rPr>
          <w:szCs w:val="22"/>
        </w:rPr>
        <w:t>expired</w:t>
      </w:r>
      <w:r w:rsidRPr="002871E6">
        <w:rPr>
          <w:szCs w:val="22"/>
        </w:rPr>
        <w:t xml:space="preserve"> or that has otherwise been terminated.</w:t>
      </w:r>
      <w:r w:rsidRPr="002871E6">
        <w:rPr>
          <w:rStyle w:val="FootnoteReference"/>
          <w:sz w:val="22"/>
          <w:szCs w:val="22"/>
        </w:rPr>
        <w:footnoteReference w:id="5"/>
      </w:r>
      <w:r w:rsidRPr="002871E6">
        <w:rPr>
          <w:szCs w:val="22"/>
        </w:rPr>
        <w:t xml:space="preserve">  </w:t>
      </w:r>
      <w:r>
        <w:rPr>
          <w:szCs w:val="22"/>
        </w:rPr>
        <w:t>By</w:t>
      </w:r>
      <w:r w:rsidRPr="002871E6">
        <w:rPr>
          <w:szCs w:val="22"/>
        </w:rPr>
        <w:t xml:space="preserve"> providing greater flexibility and certainty regarding CSAs, our objective is to encourage voluntary participation</w:t>
      </w:r>
      <w:r>
        <w:rPr>
          <w:szCs w:val="22"/>
        </w:rPr>
        <w:t xml:space="preserve"> by broadcasters</w:t>
      </w:r>
      <w:r w:rsidRPr="002871E6">
        <w:rPr>
          <w:szCs w:val="22"/>
        </w:rPr>
        <w:t xml:space="preserve"> in the incentive auction.</w:t>
      </w:r>
    </w:p>
    <w:p w:rsidR="00E60BFB" w:rsidRPr="002871E6" w:rsidRDefault="005E6CC5" w:rsidP="00EE211D">
      <w:pPr>
        <w:pStyle w:val="Heading1"/>
        <w:rPr>
          <w:rFonts w:ascii="Times New Roman" w:hAnsi="Times New Roman"/>
          <w:szCs w:val="22"/>
        </w:rPr>
      </w:pPr>
      <w:bookmarkStart w:id="9" w:name="_Toc416429418"/>
      <w:r w:rsidRPr="002871E6">
        <w:rPr>
          <w:rFonts w:ascii="Times New Roman" w:hAnsi="Times New Roman"/>
          <w:szCs w:val="22"/>
        </w:rPr>
        <w:t>B</w:t>
      </w:r>
      <w:r w:rsidR="00E60BFB" w:rsidRPr="002871E6">
        <w:rPr>
          <w:rFonts w:ascii="Times New Roman" w:hAnsi="Times New Roman"/>
          <w:szCs w:val="22"/>
        </w:rPr>
        <w:t>ackground</w:t>
      </w:r>
      <w:bookmarkEnd w:id="4"/>
      <w:bookmarkEnd w:id="5"/>
      <w:bookmarkEnd w:id="6"/>
      <w:bookmarkEnd w:id="7"/>
      <w:bookmarkEnd w:id="8"/>
      <w:bookmarkEnd w:id="9"/>
    </w:p>
    <w:p w:rsidR="006C325C" w:rsidRPr="004D2F87" w:rsidRDefault="006C325C" w:rsidP="006C325C">
      <w:pPr>
        <w:pStyle w:val="ParaNum"/>
      </w:pPr>
      <w:r w:rsidRPr="002871E6">
        <w:rPr>
          <w:szCs w:val="22"/>
        </w:rPr>
        <w:t>Congress authorized the Commission to conduct</w:t>
      </w:r>
      <w:r w:rsidRPr="00DD6179">
        <w:t xml:space="preserve"> the incentive auction to help meet the Nation’s growing spectrum needs.</w:t>
      </w:r>
      <w:r w:rsidRPr="00EE211D">
        <w:rPr>
          <w:rStyle w:val="FootnoteReference"/>
        </w:rPr>
        <w:footnoteReference w:id="6"/>
      </w:r>
      <w:r w:rsidRPr="004D2F87">
        <w:t xml:space="preserve">  Section </w:t>
      </w:r>
      <w:r w:rsidR="00D7583C">
        <w:t>1452</w:t>
      </w:r>
      <w:r w:rsidRPr="004D2F87">
        <w:t xml:space="preserve">(a)(2) of the Spectrum Act provides for three bid options that will be available to </w:t>
      </w:r>
      <w:r w:rsidR="00D7583C">
        <w:t xml:space="preserve">eligible </w:t>
      </w:r>
      <w:r w:rsidRPr="004D2F87">
        <w:t>full power and Class A broadcast television licensees in the auction,</w:t>
      </w:r>
      <w:r w:rsidR="00544D9B" w:rsidRPr="00544D9B">
        <w:rPr>
          <w:rStyle w:val="FootnoteReference"/>
        </w:rPr>
        <w:t xml:space="preserve"> </w:t>
      </w:r>
      <w:r w:rsidR="00544D9B" w:rsidRPr="00EE211D">
        <w:rPr>
          <w:rStyle w:val="FootnoteReference"/>
        </w:rPr>
        <w:footnoteReference w:id="7"/>
      </w:r>
      <w:r w:rsidRPr="004D2F87">
        <w:t xml:space="preserve"> including relinquish</w:t>
      </w:r>
      <w:r w:rsidR="00D7583C">
        <w:t>ment of</w:t>
      </w:r>
      <w:r w:rsidRPr="004D2F87">
        <w:t xml:space="preserve"> “usage rights in order to share a television channel with another licensee” (“channel sharing bid”).  Section </w:t>
      </w:r>
      <w:r w:rsidR="00D7583C">
        <w:t>1452</w:t>
      </w:r>
      <w:r w:rsidRPr="004D2F87">
        <w:t xml:space="preserve">(a)(4) provides that a </w:t>
      </w:r>
      <w:r w:rsidR="00D7583C">
        <w:t>licensee</w:t>
      </w:r>
      <w:r w:rsidRPr="004D2F87">
        <w:t xml:space="preserve"> that voluntarily relinquishes usage rights in order to channel share </w:t>
      </w:r>
      <w:r w:rsidR="00894D4C">
        <w:t>and that possessed carriage rights on November 30, 2010</w:t>
      </w:r>
      <w:r w:rsidR="00894D4C" w:rsidRPr="004D2F87">
        <w:t xml:space="preserve"> </w:t>
      </w:r>
      <w:r w:rsidRPr="004D2F87">
        <w:t>“shall have, at its shared location, the carriage rights …</w:t>
      </w:r>
      <w:r w:rsidR="00010BA4">
        <w:t xml:space="preserve"> </w:t>
      </w:r>
      <w:r w:rsidRPr="004D2F87">
        <w:t xml:space="preserve">that would apply to such station at such location if it were not </w:t>
      </w:r>
      <w:r w:rsidRPr="004D2F87">
        <w:lastRenderedPageBreak/>
        <w:t>sharing a channel.”</w:t>
      </w:r>
      <w:r w:rsidRPr="00EE211D">
        <w:rPr>
          <w:rStyle w:val="FootnoteReference"/>
        </w:rPr>
        <w:footnoteReference w:id="8"/>
      </w:r>
      <w:r w:rsidRPr="004D2F87">
        <w:t xml:space="preserve">  </w:t>
      </w:r>
      <w:r w:rsidR="00E52851">
        <w:t xml:space="preserve">In </w:t>
      </w:r>
      <w:r w:rsidR="009E570D" w:rsidRPr="00F85F61">
        <w:t xml:space="preserve">the </w:t>
      </w:r>
      <w:r w:rsidR="009E570D" w:rsidRPr="00FB2D59">
        <w:rPr>
          <w:i/>
        </w:rPr>
        <w:t>Channel Sharing R&amp;O</w:t>
      </w:r>
      <w:r w:rsidR="009E570D" w:rsidRPr="004D2F87">
        <w:t xml:space="preserve">, </w:t>
      </w:r>
      <w:r w:rsidR="00E52851">
        <w:t>the Commission</w:t>
      </w:r>
      <w:r w:rsidR="009E570D" w:rsidRPr="004D2F87">
        <w:t xml:space="preserve"> </w:t>
      </w:r>
      <w:r w:rsidR="009E570D" w:rsidRPr="00DD6179">
        <w:t>establish</w:t>
      </w:r>
      <w:r w:rsidR="00E52851">
        <w:t>ed</w:t>
      </w:r>
      <w:r w:rsidR="009E570D" w:rsidRPr="00DD6179">
        <w:t xml:space="preserve"> rules </w:t>
      </w:r>
      <w:r w:rsidR="001E1E27">
        <w:t>authorizing</w:t>
      </w:r>
      <w:r w:rsidR="001E1E27" w:rsidRPr="00DD6179">
        <w:t xml:space="preserve"> </w:t>
      </w:r>
      <w:r w:rsidR="00E52851">
        <w:t xml:space="preserve">channel sharing </w:t>
      </w:r>
      <w:r w:rsidR="009E570D" w:rsidRPr="000C6CDE">
        <w:t>in connection with the incentive auction</w:t>
      </w:r>
      <w:r w:rsidR="009E570D" w:rsidRPr="00F85F61">
        <w:t>.</w:t>
      </w:r>
      <w:r w:rsidR="009E570D">
        <w:rPr>
          <w:rStyle w:val="FootnoteReference"/>
        </w:rPr>
        <w:footnoteReference w:id="9"/>
      </w:r>
    </w:p>
    <w:p w:rsidR="006C325C" w:rsidRPr="004D2F87" w:rsidRDefault="00544D9B" w:rsidP="006C325C">
      <w:pPr>
        <w:pStyle w:val="ParaNum"/>
      </w:pPr>
      <w:r>
        <w:t>T</w:t>
      </w:r>
      <w:r w:rsidR="001E1E27">
        <w:t xml:space="preserve">he Commission </w:t>
      </w:r>
      <w:r w:rsidR="006C325C" w:rsidRPr="004D2F87">
        <w:t>addresse</w:t>
      </w:r>
      <w:r w:rsidR="001E1E27">
        <w:t>d</w:t>
      </w:r>
      <w:r w:rsidR="006C325C" w:rsidRPr="004D2F87">
        <w:t xml:space="preserve"> a variety of </w:t>
      </w:r>
      <w:r>
        <w:t xml:space="preserve">further </w:t>
      </w:r>
      <w:r w:rsidR="006C325C" w:rsidRPr="004D2F87">
        <w:t>issues related to channel sharing</w:t>
      </w:r>
      <w:r w:rsidRPr="00544D9B">
        <w:t xml:space="preserve"> </w:t>
      </w:r>
      <w:r>
        <w:t xml:space="preserve">in the </w:t>
      </w:r>
      <w:r>
        <w:rPr>
          <w:i/>
        </w:rPr>
        <w:t>IA R&amp;O</w:t>
      </w:r>
      <w:r w:rsidR="006C325C" w:rsidRPr="004D2F87">
        <w:t xml:space="preserve">. </w:t>
      </w:r>
      <w:r w:rsidR="006E4A79">
        <w:t xml:space="preserve"> T</w:t>
      </w:r>
      <w:r w:rsidR="006C325C" w:rsidRPr="004D2F87">
        <w:t xml:space="preserve">he Commission concluded that applicants </w:t>
      </w:r>
      <w:r w:rsidR="00EC7077">
        <w:t>that</w:t>
      </w:r>
      <w:r w:rsidR="006E4A79">
        <w:t xml:space="preserve"> participate in the auction in order </w:t>
      </w:r>
      <w:r w:rsidR="006C325C" w:rsidRPr="004D2F87">
        <w:t>to share a channel must provide information concerning the</w:t>
      </w:r>
      <w:r w:rsidR="00EC7077">
        <w:t>ir</w:t>
      </w:r>
      <w:r w:rsidR="00B67EE4">
        <w:t xml:space="preserve"> Channel Sharing </w:t>
      </w:r>
      <w:r w:rsidR="008B0F23">
        <w:t>Agreements</w:t>
      </w:r>
      <w:r w:rsidR="00EC7077">
        <w:t xml:space="preserve"> </w:t>
      </w:r>
      <w:r w:rsidR="00B67EE4">
        <w:t>(“</w:t>
      </w:r>
      <w:r w:rsidR="00EC7077">
        <w:t>CSA</w:t>
      </w:r>
      <w:r w:rsidR="00B67EE4">
        <w:t>s”)</w:t>
      </w:r>
      <w:r w:rsidR="006C325C" w:rsidRPr="004D2F87">
        <w:t xml:space="preserve"> prior to the auction, as part of their pre-auction application</w:t>
      </w:r>
      <w:r w:rsidR="00D7583C">
        <w:t>s</w:t>
      </w:r>
      <w:r w:rsidR="006C325C" w:rsidRPr="004D2F87">
        <w:t xml:space="preserve">, and must submit a copy of the executed </w:t>
      </w:r>
      <w:r w:rsidR="006E4A79">
        <w:t>CSA</w:t>
      </w:r>
      <w:r w:rsidR="006C325C" w:rsidRPr="004D2F87">
        <w:t xml:space="preserve"> with th</w:t>
      </w:r>
      <w:r w:rsidR="00D7583C">
        <w:t>eir</w:t>
      </w:r>
      <w:r w:rsidR="006C325C" w:rsidRPr="004D2F87">
        <w:t xml:space="preserve"> application</w:t>
      </w:r>
      <w:r w:rsidR="00D7583C">
        <w:t>s</w:t>
      </w:r>
      <w:r w:rsidR="006C325C" w:rsidRPr="004D2F87">
        <w:t>.</w:t>
      </w:r>
      <w:r w:rsidR="006C325C" w:rsidRPr="00EE211D">
        <w:rPr>
          <w:rStyle w:val="FootnoteReference"/>
        </w:rPr>
        <w:footnoteReference w:id="10"/>
      </w:r>
      <w:r w:rsidR="006C325C" w:rsidRPr="004D2F87">
        <w:t xml:space="preserve">  In addition, the Commission determined that </w:t>
      </w:r>
      <w:r w:rsidR="00D7583C">
        <w:t>licensee</w:t>
      </w:r>
      <w:r w:rsidR="006C325C" w:rsidRPr="004D2F87">
        <w:t xml:space="preserve">s, in certain circumstances, </w:t>
      </w:r>
      <w:r w:rsidR="006E4A79">
        <w:t>may</w:t>
      </w:r>
      <w:r w:rsidR="006C325C" w:rsidRPr="004D2F87">
        <w:t xml:space="preserve"> </w:t>
      </w:r>
      <w:r>
        <w:t>enter into CSAs in connection with</w:t>
      </w:r>
      <w:r w:rsidR="006C325C" w:rsidRPr="00DD6179">
        <w:t xml:space="preserve"> the reverse auction pursuant to which they will </w:t>
      </w:r>
      <w:r w:rsidR="006E4A79">
        <w:t>change their</w:t>
      </w:r>
      <w:r w:rsidR="006C325C" w:rsidRPr="00DD6179">
        <w:t xml:space="preserve"> communit</w:t>
      </w:r>
      <w:r w:rsidR="00D7583C">
        <w:t>ies</w:t>
      </w:r>
      <w:r w:rsidR="006C325C" w:rsidRPr="00DD6179">
        <w:t xml:space="preserve"> of license, so long as the</w:t>
      </w:r>
      <w:r w:rsidR="00D7583C">
        <w:t>ir stations</w:t>
      </w:r>
      <w:r w:rsidR="006C325C" w:rsidRPr="00DD6179">
        <w:t xml:space="preserve"> remain</w:t>
      </w:r>
      <w:r w:rsidR="006E4A79">
        <w:t xml:space="preserve"> licensed to a community</w:t>
      </w:r>
      <w:r w:rsidR="006C325C" w:rsidRPr="00DD6179">
        <w:t xml:space="preserve"> in the same Designated Market Area (“DMA”).</w:t>
      </w:r>
      <w:r w:rsidR="006C325C" w:rsidRPr="00EE211D">
        <w:rPr>
          <w:rStyle w:val="FootnoteReference"/>
        </w:rPr>
        <w:footnoteReference w:id="11"/>
      </w:r>
      <w:r w:rsidR="006C325C" w:rsidRPr="004D2F87">
        <w:t xml:space="preserve">  </w:t>
      </w:r>
      <w:r w:rsidR="006E4A79" w:rsidRPr="004D2F87">
        <w:t xml:space="preserve">With respect to licensing, the Commission determined that, following the auction, a </w:t>
      </w:r>
      <w:r w:rsidR="00D7583C">
        <w:t>licensee</w:t>
      </w:r>
      <w:r w:rsidR="006E4A79" w:rsidRPr="004D2F87">
        <w:t xml:space="preserve"> that enters into a </w:t>
      </w:r>
      <w:r w:rsidR="001355EF">
        <w:t>CSA</w:t>
      </w:r>
      <w:r w:rsidR="008B0F23" w:rsidRPr="004D2F87">
        <w:t xml:space="preserve"> </w:t>
      </w:r>
      <w:r w:rsidR="006E4A79" w:rsidRPr="004D2F87">
        <w:t>as the result of a winning reverse auction bid w</w:t>
      </w:r>
      <w:r w:rsidR="006E4A79">
        <w:t>ill</w:t>
      </w:r>
      <w:r w:rsidR="006E4A79" w:rsidRPr="004D2F87">
        <w:t xml:space="preserve"> be issued a new license indicating </w:t>
      </w:r>
      <w:r w:rsidR="006E4A79" w:rsidRPr="00DD6179">
        <w:t>the station’s “shared” status and specifying the station’s designated shared operating frequency.</w:t>
      </w:r>
      <w:r w:rsidR="006E4A79" w:rsidRPr="00EE211D">
        <w:rPr>
          <w:rStyle w:val="FootnoteReference"/>
        </w:rPr>
        <w:footnoteReference w:id="12"/>
      </w:r>
      <w:r w:rsidR="006E4A79" w:rsidRPr="004D2F87">
        <w:t xml:space="preserve">  The Commission also </w:t>
      </w:r>
      <w:r w:rsidR="00010BA4">
        <w:t>decid</w:t>
      </w:r>
      <w:r w:rsidR="006E4A79" w:rsidRPr="004D2F87">
        <w:t xml:space="preserve">ed that shared channels will be designated </w:t>
      </w:r>
      <w:r w:rsidRPr="004D2F87">
        <w:t xml:space="preserve">permanently </w:t>
      </w:r>
      <w:r w:rsidR="006E4A79" w:rsidRPr="004D2F87">
        <w:t>as shared in the Table of Allotments, absent a future rulemaking proceeding to redesignate the channel for non-shared use.</w:t>
      </w:r>
      <w:r w:rsidR="006E4A79" w:rsidRPr="00EE211D">
        <w:rPr>
          <w:rStyle w:val="FootnoteReference"/>
        </w:rPr>
        <w:footnoteReference w:id="13"/>
      </w:r>
    </w:p>
    <w:p w:rsidR="006C325C" w:rsidRPr="004D2F87" w:rsidRDefault="006E4A79" w:rsidP="001C3245">
      <w:pPr>
        <w:pStyle w:val="ParaNum"/>
        <w:widowControl/>
      </w:pPr>
      <w:r>
        <w:t>T</w:t>
      </w:r>
      <w:r w:rsidR="006C325C" w:rsidRPr="004D2F87">
        <w:t>he Expanding Opportunities for Broadcasters Coalition (</w:t>
      </w:r>
      <w:r w:rsidR="001811A4">
        <w:t>”EOBC”</w:t>
      </w:r>
      <w:r w:rsidR="004439C3">
        <w:t>) filed a P</w:t>
      </w:r>
      <w:r w:rsidR="006C325C" w:rsidRPr="00DD6179">
        <w:t>etit</w:t>
      </w:r>
      <w:r w:rsidR="004439C3">
        <w:t>ion for R</w:t>
      </w:r>
      <w:r w:rsidR="006C325C" w:rsidRPr="00DD6179">
        <w:t xml:space="preserve">econsideration of </w:t>
      </w:r>
      <w:r w:rsidR="00EC7077">
        <w:t xml:space="preserve">our </w:t>
      </w:r>
      <w:r>
        <w:t xml:space="preserve">channel sharing decisions in </w:t>
      </w:r>
      <w:r w:rsidR="006C325C" w:rsidRPr="00DD6179">
        <w:t xml:space="preserve">the </w:t>
      </w:r>
      <w:r w:rsidR="001811A4" w:rsidRPr="00FB2D59">
        <w:rPr>
          <w:i/>
        </w:rPr>
        <w:t>IA</w:t>
      </w:r>
      <w:r w:rsidR="006C325C" w:rsidRPr="00FB2D59">
        <w:rPr>
          <w:i/>
        </w:rPr>
        <w:t xml:space="preserve"> R&amp;O</w:t>
      </w:r>
      <w:r>
        <w:t xml:space="preserve">, arguing that </w:t>
      </w:r>
      <w:r w:rsidR="00A62915">
        <w:t xml:space="preserve">these decisions </w:t>
      </w:r>
      <w:r>
        <w:t xml:space="preserve">could discourage </w:t>
      </w:r>
      <w:r w:rsidR="006C325C" w:rsidRPr="004D2F87">
        <w:t>many broadcasters from considering channel sharing</w:t>
      </w:r>
      <w:r>
        <w:t xml:space="preserve"> and thereby reduce voluntary participation in the auction</w:t>
      </w:r>
      <w:r w:rsidR="006C325C" w:rsidRPr="004D2F87">
        <w:t>.</w:t>
      </w:r>
      <w:r w:rsidR="006C325C" w:rsidRPr="00EE211D">
        <w:rPr>
          <w:rStyle w:val="FootnoteReference"/>
        </w:rPr>
        <w:footnoteReference w:id="14"/>
      </w:r>
      <w:r w:rsidR="00E61C6D">
        <w:t xml:space="preserve">  Specifically, EOBC urges the Commission to “</w:t>
      </w:r>
      <w:r w:rsidR="00E61C6D" w:rsidRPr="00E61C6D">
        <w:rPr>
          <w:snapToGrid/>
        </w:rPr>
        <w:t>(1) clarify that parties to broadcast CSAs are free to negotiate for common contractual rights; (2) permit broadcasters to enter into CSAs either before or after the incentive auction; (3) ensure that parties to CSAs have the flexibility to choose whether those agreements are permanent or for a fixed term; and (4) clarify that the Commission will never force a broadcaster to accept a channel sharing partner.</w:t>
      </w:r>
      <w:r w:rsidR="00E61C6D">
        <w:rPr>
          <w:snapToGrid/>
        </w:rPr>
        <w:t>”</w:t>
      </w:r>
      <w:r w:rsidR="00E61C6D">
        <w:rPr>
          <w:rStyle w:val="FootnoteReference"/>
          <w:snapToGrid/>
        </w:rPr>
        <w:footnoteReference w:id="15"/>
      </w:r>
      <w:r w:rsidR="00E61C6D">
        <w:rPr>
          <w:snapToGrid/>
        </w:rPr>
        <w:t xml:space="preserve">  With regard to (3), </w:t>
      </w:r>
      <w:r w:rsidR="001811A4">
        <w:t>EOBC</w:t>
      </w:r>
      <w:r w:rsidR="006C325C" w:rsidRPr="004D2F87">
        <w:t xml:space="preserve"> </w:t>
      </w:r>
      <w:r w:rsidR="00E61C6D">
        <w:t>argues that</w:t>
      </w:r>
      <w:r w:rsidR="006C325C" w:rsidRPr="004D2F87">
        <w:t xml:space="preserve">, if an agreement is terminated, both the sharer and sharee stations </w:t>
      </w:r>
      <w:r w:rsidR="00E61C6D">
        <w:t xml:space="preserve">should be permitted </w:t>
      </w:r>
      <w:r w:rsidR="006C325C" w:rsidRPr="004D2F87">
        <w:t>to find a new channel sharing partner.</w:t>
      </w:r>
      <w:r w:rsidR="006C325C" w:rsidRPr="00EE211D">
        <w:rPr>
          <w:rStyle w:val="FootnoteReference"/>
        </w:rPr>
        <w:footnoteReference w:id="16"/>
      </w:r>
      <w:r w:rsidR="006C325C" w:rsidRPr="004D2F87">
        <w:t xml:space="preserve">  </w:t>
      </w:r>
      <w:r w:rsidR="001811A4">
        <w:t>EOBC</w:t>
      </w:r>
      <w:r w:rsidR="006C325C" w:rsidRPr="004D2F87">
        <w:t xml:space="preserve"> further argues that these “second generation CSAs” should be subject to the same rights and restrictions as other </w:t>
      </w:r>
      <w:r w:rsidR="00E61C6D">
        <w:t>CSA</w:t>
      </w:r>
      <w:r w:rsidR="006C325C" w:rsidRPr="004D2F87">
        <w:t xml:space="preserve">s and </w:t>
      </w:r>
      <w:r w:rsidR="006C325C" w:rsidRPr="00DD6179">
        <w:t xml:space="preserve">that </w:t>
      </w:r>
      <w:r w:rsidR="00FE5AD8">
        <w:t>such parties should</w:t>
      </w:r>
      <w:r w:rsidR="006C325C" w:rsidRPr="00DD6179">
        <w:t xml:space="preserve"> “continue to be entitled to whatever carriage rights they had on November 30, 2010, but from their new shared location.”</w:t>
      </w:r>
      <w:r w:rsidR="006C325C" w:rsidRPr="00EE211D">
        <w:rPr>
          <w:rStyle w:val="FootnoteReference"/>
        </w:rPr>
        <w:footnoteReference w:id="17"/>
      </w:r>
      <w:r w:rsidR="006C325C" w:rsidRPr="004D2F87">
        <w:t xml:space="preserve"> </w:t>
      </w:r>
    </w:p>
    <w:p w:rsidR="001355EF" w:rsidRPr="004D2F87" w:rsidRDefault="006C325C" w:rsidP="001355EF">
      <w:pPr>
        <w:pStyle w:val="ParaNum"/>
      </w:pPr>
      <w:r w:rsidRPr="004D2F87">
        <w:t>The National Cable &amp; Telecommunications Association (“NCTA”) fil</w:t>
      </w:r>
      <w:r w:rsidRPr="00DD6179">
        <w:t>ed an opposition arguing that extending carriage rights to broadcasters that enter into post-auction CSAs, and especially to “second generation CSAs</w:t>
      </w:r>
      <w:r w:rsidR="001477CF">
        <w:t>,</w:t>
      </w:r>
      <w:r w:rsidRPr="00DD6179">
        <w:t>” would contravene the Spectrum Act.</w:t>
      </w:r>
      <w:r w:rsidRPr="00EE211D">
        <w:rPr>
          <w:rStyle w:val="FootnoteReference"/>
        </w:rPr>
        <w:footnoteReference w:id="18"/>
      </w:r>
      <w:r w:rsidRPr="004D2F87">
        <w:t xml:space="preserve">  </w:t>
      </w:r>
      <w:r w:rsidR="001355EF">
        <w:t xml:space="preserve">Specifically, NCTA objected to EOBC’s request that channel sharing partners be permitted to enter into channel sharing agreements up to twelve months following the sharee’s relinquishment date and that the CSAs be term-limited (thereby allowing for second generation CSAs).  NCTA argues that this would cause uncertainty in the </w:t>
      </w:r>
      <w:r w:rsidR="004C1BD5">
        <w:t xml:space="preserve">post-auction broadcaster </w:t>
      </w:r>
      <w:r w:rsidR="001355EF">
        <w:t>transition process; confer greater cable carriage rights than Congress intended; lead to customer confusion; and might leave MVPDs unreimbursed.</w:t>
      </w:r>
      <w:r w:rsidR="001355EF">
        <w:rPr>
          <w:rStyle w:val="FootnoteReference"/>
        </w:rPr>
        <w:footnoteReference w:id="19"/>
      </w:r>
      <w:r w:rsidR="001355EF">
        <w:t xml:space="preserve"> </w:t>
      </w:r>
      <w:r w:rsidR="001355EF" w:rsidRPr="004D2F87">
        <w:t xml:space="preserve"> </w:t>
      </w:r>
      <w:r w:rsidRPr="004D2F87">
        <w:t xml:space="preserve">NCTA argues that “the plain language” of Section </w:t>
      </w:r>
      <w:r w:rsidR="00F84775">
        <w:t>1452</w:t>
      </w:r>
      <w:r w:rsidRPr="004D2F87">
        <w:t>(a)(4) of the Spectrum Act ties carriage rights to relinquishment of spectrum</w:t>
      </w:r>
      <w:r w:rsidR="00E61C6D">
        <w:t xml:space="preserve"> in the incentive auction</w:t>
      </w:r>
      <w:r w:rsidRPr="004D2F87">
        <w:t>.</w:t>
      </w:r>
      <w:r w:rsidRPr="00EE211D">
        <w:rPr>
          <w:rStyle w:val="FootnoteReference"/>
        </w:rPr>
        <w:footnoteReference w:id="20"/>
      </w:r>
      <w:r w:rsidRPr="004D2F87">
        <w:t xml:space="preserve">  According to NCTA, the Spectrum Act allows only a one-time auction of television spectrum and, therefore, provides only a single opportunity to enter into a </w:t>
      </w:r>
      <w:r w:rsidR="00F53FE1">
        <w:t>CSA</w:t>
      </w:r>
      <w:r w:rsidR="008B0F23" w:rsidRPr="004D2F87">
        <w:t xml:space="preserve"> </w:t>
      </w:r>
      <w:r w:rsidRPr="004D2F87">
        <w:t xml:space="preserve">covered by the channel sharing carriage provisions of the </w:t>
      </w:r>
      <w:r w:rsidR="00F84775">
        <w:t xml:space="preserve">Spectrum </w:t>
      </w:r>
      <w:r w:rsidRPr="004D2F87">
        <w:t>Act.</w:t>
      </w:r>
      <w:r w:rsidRPr="00EE211D">
        <w:rPr>
          <w:rStyle w:val="FootnoteReference"/>
        </w:rPr>
        <w:footnoteReference w:id="21"/>
      </w:r>
      <w:r w:rsidR="00A17DB2">
        <w:t xml:space="preserve">  </w:t>
      </w:r>
      <w:r w:rsidR="001355EF">
        <w:t xml:space="preserve">CTIA </w:t>
      </w:r>
      <w:r w:rsidR="00A17DB2">
        <w:t xml:space="preserve">supports all of EOBC’s </w:t>
      </w:r>
      <w:r w:rsidR="004C1BD5">
        <w:t>requests</w:t>
      </w:r>
      <w:r w:rsidR="00822E27">
        <w:t>,</w:t>
      </w:r>
      <w:r w:rsidR="00A17DB2">
        <w:rPr>
          <w:rStyle w:val="FootnoteReference"/>
        </w:rPr>
        <w:footnoteReference w:id="22"/>
      </w:r>
      <w:r w:rsidR="00A17DB2">
        <w:t xml:space="preserve"> </w:t>
      </w:r>
      <w:r w:rsidR="00822E27">
        <w:t>as do</w:t>
      </w:r>
      <w:r w:rsidR="00A17DB2">
        <w:t xml:space="preserve"> </w:t>
      </w:r>
      <w:r w:rsidR="001355EF">
        <w:t>Fox, Ion Media, Tribune, and Univision</w:t>
      </w:r>
      <w:r w:rsidR="000B01D5">
        <w:t>.</w:t>
      </w:r>
      <w:r w:rsidR="000B01D5">
        <w:rPr>
          <w:rStyle w:val="FootnoteReference"/>
        </w:rPr>
        <w:footnoteReference w:id="23"/>
      </w:r>
    </w:p>
    <w:p w:rsidR="004A1E7F" w:rsidRDefault="0097717A" w:rsidP="00EE211D">
      <w:pPr>
        <w:pStyle w:val="Heading1"/>
      </w:pPr>
      <w:bookmarkStart w:id="10" w:name="_Toc416424152"/>
      <w:bookmarkStart w:id="11" w:name="_Toc416424774"/>
      <w:bookmarkStart w:id="12" w:name="_Toc416429419"/>
      <w:r>
        <w:t>First Order on Reconsideration</w:t>
      </w:r>
      <w:bookmarkEnd w:id="10"/>
      <w:bookmarkEnd w:id="11"/>
      <w:bookmarkEnd w:id="12"/>
    </w:p>
    <w:p w:rsidR="00325378" w:rsidRPr="00325378" w:rsidRDefault="0013215F" w:rsidP="00A62BA5">
      <w:pPr>
        <w:pStyle w:val="ParaNum"/>
      </w:pPr>
      <w:r>
        <w:t xml:space="preserve">We grant the EOBC Petition, </w:t>
      </w:r>
      <w:r w:rsidR="0091533E">
        <w:t>with the exceptions noted below</w:t>
      </w:r>
      <w:r w:rsidR="00F84775">
        <w:t xml:space="preserve">.  In addition to </w:t>
      </w:r>
      <w:r>
        <w:t>address</w:t>
      </w:r>
      <w:r w:rsidR="00F84775">
        <w:t>ing</w:t>
      </w:r>
      <w:r>
        <w:t xml:space="preserve"> </w:t>
      </w:r>
      <w:r w:rsidR="002518E3">
        <w:t xml:space="preserve">each of </w:t>
      </w:r>
      <w:r>
        <w:t>EOBC’s above-stated requests</w:t>
      </w:r>
      <w:r w:rsidR="002518E3">
        <w:t xml:space="preserve"> for reconsideration</w:t>
      </w:r>
      <w:r w:rsidR="00F84775">
        <w:t xml:space="preserve"> below, w</w:t>
      </w:r>
      <w:r w:rsidR="00325378" w:rsidRPr="00F85F61">
        <w:t>e</w:t>
      </w:r>
      <w:r w:rsidR="002518E3">
        <w:t xml:space="preserve"> </w:t>
      </w:r>
      <w:r w:rsidR="00325378" w:rsidRPr="00F85F61">
        <w:t xml:space="preserve">modify and clarify </w:t>
      </w:r>
      <w:r w:rsidR="00933FB2">
        <w:t>the</w:t>
      </w:r>
      <w:r w:rsidR="00325378" w:rsidRPr="00F85F61">
        <w:t xml:space="preserve"> </w:t>
      </w:r>
      <w:r w:rsidR="00FE5AD8">
        <w:t>pre</w:t>
      </w:r>
      <w:r w:rsidR="00933FB2">
        <w:t>-</w:t>
      </w:r>
      <w:r w:rsidR="00FE5AD8">
        <w:t xml:space="preserve"> and post-auction </w:t>
      </w:r>
      <w:r w:rsidR="00325378" w:rsidRPr="00F85F61">
        <w:t xml:space="preserve">CSA filing requirements </w:t>
      </w:r>
      <w:r w:rsidR="0091533E">
        <w:t xml:space="preserve">that apply </w:t>
      </w:r>
      <w:r w:rsidR="00327289">
        <w:t xml:space="preserve">before and after the auction </w:t>
      </w:r>
      <w:r w:rsidR="00325378" w:rsidRPr="00F85F61">
        <w:t xml:space="preserve">and </w:t>
      </w:r>
      <w:r w:rsidR="00143961">
        <w:t xml:space="preserve">address </w:t>
      </w:r>
      <w:r w:rsidR="00325378" w:rsidRPr="00F85F61">
        <w:t>the scope of CSA review by Commission staff.</w:t>
      </w:r>
    </w:p>
    <w:p w:rsidR="008A465F" w:rsidRPr="00DD6179" w:rsidRDefault="002518E3" w:rsidP="00141C41">
      <w:pPr>
        <w:pStyle w:val="Heading2"/>
      </w:pPr>
      <w:bookmarkStart w:id="13" w:name="_Toc415150680"/>
      <w:bookmarkStart w:id="14" w:name="_Toc415151201"/>
      <w:bookmarkStart w:id="15" w:name="_Toc415151349"/>
      <w:bookmarkStart w:id="16" w:name="_Toc416424153"/>
      <w:bookmarkStart w:id="17" w:name="_Toc416424775"/>
      <w:bookmarkStart w:id="18" w:name="_Toc416429420"/>
      <w:r>
        <w:t>Negotiating for Common Contractual Rights</w:t>
      </w:r>
      <w:bookmarkEnd w:id="13"/>
      <w:bookmarkEnd w:id="14"/>
      <w:bookmarkEnd w:id="15"/>
      <w:bookmarkEnd w:id="16"/>
      <w:bookmarkEnd w:id="17"/>
      <w:bookmarkEnd w:id="18"/>
    </w:p>
    <w:p w:rsidR="00A62BA5" w:rsidRDefault="002C390B" w:rsidP="00A62BA5">
      <w:pPr>
        <w:pStyle w:val="ParaNum"/>
      </w:pPr>
      <w:r w:rsidRPr="00DD6179">
        <w:t>In</w:t>
      </w:r>
      <w:r w:rsidRPr="00EE211D">
        <w:t xml:space="preserve"> the </w:t>
      </w:r>
      <w:r w:rsidRPr="00FB2D59">
        <w:rPr>
          <w:i/>
        </w:rPr>
        <w:t>IA R&amp;O</w:t>
      </w:r>
      <w:r w:rsidRPr="00EE211D">
        <w:t xml:space="preserve">, we noted that </w:t>
      </w:r>
      <w:r>
        <w:t xml:space="preserve">channel sharing </w:t>
      </w:r>
      <w:r w:rsidRPr="00EE211D">
        <w:t>agreements for contin</w:t>
      </w:r>
      <w:r>
        <w:t>g</w:t>
      </w:r>
      <w:r w:rsidRPr="00EE211D">
        <w:t>ent rights must not violate the reversionary interest rule</w:t>
      </w:r>
      <w:r w:rsidR="00DA437C">
        <w:t>,</w:t>
      </w:r>
      <w:r w:rsidRPr="00FB2D59">
        <w:rPr>
          <w:vertAlign w:val="superscript"/>
        </w:rPr>
        <w:footnoteReference w:id="24"/>
      </w:r>
      <w:r w:rsidRPr="00EE211D">
        <w:t xml:space="preserve"> </w:t>
      </w:r>
      <w:r w:rsidR="00DA437C">
        <w:t>which</w:t>
      </w:r>
      <w:r w:rsidR="00DA437C" w:rsidRPr="00AF3D68">
        <w:t xml:space="preserve"> </w:t>
      </w:r>
      <w:r w:rsidR="00DA437C" w:rsidRPr="00DD6179">
        <w:t xml:space="preserve">precludes a seller from retaining an interest in the license </w:t>
      </w:r>
      <w:r w:rsidR="00DA437C" w:rsidRPr="000C6CDE">
        <w:t xml:space="preserve">it sells, </w:t>
      </w:r>
      <w:r w:rsidR="00DA437C" w:rsidRPr="00F85F61">
        <w:t>and</w:t>
      </w:r>
      <w:r w:rsidR="00DA437C" w:rsidRPr="00B72AEF">
        <w:t xml:space="preserve"> prohibits a</w:t>
      </w:r>
      <w:r w:rsidR="00DA437C" w:rsidRPr="008126E4">
        <w:t xml:space="preserve"> licensee from </w:t>
      </w:r>
      <w:r w:rsidR="00DA437C" w:rsidRPr="00AF3D68">
        <w:t>granting a third party an automatic reversionary interest, such as a security interest, in its license.</w:t>
      </w:r>
      <w:r w:rsidR="00DA437C" w:rsidRPr="00FB2D59">
        <w:rPr>
          <w:vertAlign w:val="superscript"/>
        </w:rPr>
        <w:footnoteReference w:id="25"/>
      </w:r>
      <w:r w:rsidR="00DA437C" w:rsidRPr="004D2F87">
        <w:t xml:space="preserve">  </w:t>
      </w:r>
    </w:p>
    <w:p w:rsidR="00A62BA5" w:rsidRDefault="002C390B" w:rsidP="00A62BA5">
      <w:pPr>
        <w:pStyle w:val="ParaNum"/>
      </w:pPr>
      <w:r w:rsidRPr="00AF3D68">
        <w:t xml:space="preserve">EOBC expresses concern that broadcasters might interpret references to this rule as indicating that “the mere acts of entering into and participating in a CSA” triggers the reversionary interest rule or that the inclusion of contingent rights in </w:t>
      </w:r>
      <w:r>
        <w:t>a</w:t>
      </w:r>
      <w:r w:rsidRPr="00AF3D68">
        <w:t xml:space="preserve"> CSA violates this rul</w:t>
      </w:r>
      <w:r>
        <w:t>e.</w:t>
      </w:r>
      <w:r w:rsidR="00DA437C">
        <w:t xml:space="preserve">  </w:t>
      </w:r>
      <w:r w:rsidR="006E30C5" w:rsidRPr="00AF3D68">
        <w:t>EOBC</w:t>
      </w:r>
      <w:r>
        <w:t xml:space="preserve"> therefore</w:t>
      </w:r>
      <w:r w:rsidR="006E30C5" w:rsidRPr="00AF3D68">
        <w:t xml:space="preserve"> asks the Commission to clarify that the act of entering into a CSA</w:t>
      </w:r>
      <w:r w:rsidR="00327289">
        <w:t>, in and of itself,</w:t>
      </w:r>
      <w:r w:rsidR="006E30C5" w:rsidRPr="00AF3D68">
        <w:t xml:space="preserve"> does not trigger the reversionary interest rule and that parties </w:t>
      </w:r>
      <w:r w:rsidR="00327289">
        <w:t xml:space="preserve">to CSAs </w:t>
      </w:r>
      <w:r w:rsidR="006E30C5" w:rsidRPr="00AF3D68">
        <w:t>may bargain for common contractual rights consistent with existing Commission rules and policies.</w:t>
      </w:r>
      <w:r w:rsidR="006E30C5" w:rsidRPr="00FB2D59">
        <w:rPr>
          <w:vertAlign w:val="superscript"/>
        </w:rPr>
        <w:footnoteReference w:id="26"/>
      </w:r>
      <w:r w:rsidR="0045557F">
        <w:t xml:space="preserve"> </w:t>
      </w:r>
      <w:r w:rsidR="006E30C5">
        <w:t xml:space="preserve"> </w:t>
      </w:r>
      <w:r w:rsidR="00780FA5" w:rsidRPr="00CB1007">
        <w:t xml:space="preserve">We received no opposition to EOBC’s request.  </w:t>
      </w:r>
      <w:r w:rsidR="004C1BD5">
        <w:t>In its</w:t>
      </w:r>
      <w:r w:rsidR="00780FA5" w:rsidRPr="00CB1007">
        <w:t xml:space="preserve"> “Opposition and Reply,” CTIA joins and supports all of EOBC’s reconsideration requests regarding channel sharing.</w:t>
      </w:r>
      <w:r w:rsidR="00780FA5">
        <w:rPr>
          <w:rStyle w:val="FootnoteReference"/>
        </w:rPr>
        <w:footnoteReference w:id="27"/>
      </w:r>
      <w:r w:rsidR="00780FA5" w:rsidRPr="00CB1007">
        <w:t xml:space="preserve">  </w:t>
      </w:r>
      <w:r w:rsidR="00780FA5">
        <w:t xml:space="preserve">Fox, Ion Media, Tribune, and Univision, who filed a reply comment in response to the </w:t>
      </w:r>
      <w:r w:rsidR="00780FA5" w:rsidRPr="00A62BA5">
        <w:rPr>
          <w:i/>
        </w:rPr>
        <w:t>Incentive Auction Comment PN</w:t>
      </w:r>
      <w:r w:rsidR="00780FA5">
        <w:t>, agree with this position.</w:t>
      </w:r>
      <w:r w:rsidR="00780FA5">
        <w:rPr>
          <w:rStyle w:val="FootnoteReference"/>
        </w:rPr>
        <w:footnoteReference w:id="28"/>
      </w:r>
      <w:r w:rsidR="00780FA5">
        <w:t xml:space="preserve">  </w:t>
      </w:r>
    </w:p>
    <w:p w:rsidR="00A62BA5" w:rsidRDefault="006E30C5" w:rsidP="00A62BA5">
      <w:pPr>
        <w:pStyle w:val="ParaNum"/>
      </w:pPr>
      <w:r>
        <w:t>W</w:t>
      </w:r>
      <w:r w:rsidR="003735A4" w:rsidRPr="00DD6179">
        <w:t xml:space="preserve">e </w:t>
      </w:r>
      <w:r w:rsidR="00AD2648">
        <w:t>grant EOBC’s request</w:t>
      </w:r>
      <w:r w:rsidR="00C4288B" w:rsidRPr="00AF3D68">
        <w:t xml:space="preserve">. </w:t>
      </w:r>
      <w:r w:rsidR="00AD2648">
        <w:t xml:space="preserve"> </w:t>
      </w:r>
      <w:r w:rsidR="00DA437C">
        <w:t>B</w:t>
      </w:r>
      <w:r w:rsidR="00DA437C" w:rsidRPr="00AF3D68">
        <w:t xml:space="preserve">roadcasters may enter into, and participate in, CSAs without violating the reversionary interest rule.  </w:t>
      </w:r>
      <w:r w:rsidR="00DA437C">
        <w:t>Specifically, p</w:t>
      </w:r>
      <w:r w:rsidR="00C4288B" w:rsidRPr="00AF3D68">
        <w:t xml:space="preserve">arties to a </w:t>
      </w:r>
      <w:r>
        <w:t>CSA</w:t>
      </w:r>
      <w:r w:rsidR="00E9248E" w:rsidRPr="00AF3D68">
        <w:t xml:space="preserve"> may </w:t>
      </w:r>
      <w:r w:rsidR="00823009" w:rsidRPr="00AF3D68">
        <w:t>grant each other</w:t>
      </w:r>
      <w:r w:rsidR="002122B8" w:rsidRPr="00AF3D68">
        <w:t xml:space="preserve"> </w:t>
      </w:r>
      <w:r w:rsidR="004F2DC8" w:rsidRPr="00AF3D68">
        <w:t>options</w:t>
      </w:r>
      <w:r w:rsidR="009D188C" w:rsidRPr="00AF3D68">
        <w:t>, puts, calls</w:t>
      </w:r>
      <w:r w:rsidR="004F2DC8" w:rsidRPr="00AF3D68">
        <w:t>, rights of first refusal, and</w:t>
      </w:r>
      <w:r w:rsidR="00191EBB" w:rsidRPr="00AF3D68">
        <w:t xml:space="preserve"> other common contingent interests</w:t>
      </w:r>
      <w:r w:rsidR="004F2DC8" w:rsidRPr="00AF3D68">
        <w:t xml:space="preserve"> </w:t>
      </w:r>
      <w:r w:rsidR="00C4288B" w:rsidRPr="00AF3D68">
        <w:t xml:space="preserve">without committing a </w:t>
      </w:r>
      <w:r w:rsidR="00ED549A" w:rsidRPr="00A62BA5">
        <w:rPr>
          <w:i/>
        </w:rPr>
        <w:t>per se</w:t>
      </w:r>
      <w:r w:rsidR="00ED549A" w:rsidRPr="004D2F87">
        <w:t xml:space="preserve"> violation of the reversionary interest rule.</w:t>
      </w:r>
      <w:r w:rsidR="00DA437C">
        <w:t xml:space="preserve">  </w:t>
      </w:r>
    </w:p>
    <w:p w:rsidR="008A465F" w:rsidRPr="004D2F87" w:rsidRDefault="00AD2648" w:rsidP="00A62BA5">
      <w:pPr>
        <w:pStyle w:val="ParaNum"/>
      </w:pPr>
      <w:r>
        <w:t xml:space="preserve">The </w:t>
      </w:r>
      <w:r w:rsidR="00DA437C" w:rsidRPr="004D2F87">
        <w:t xml:space="preserve">reversionary interest </w:t>
      </w:r>
      <w:r>
        <w:t>rule does not necessarily apply to a</w:t>
      </w:r>
      <w:r w:rsidR="00E10F81" w:rsidRPr="000C6CDE">
        <w:t xml:space="preserve"> CSA</w:t>
      </w:r>
      <w:r w:rsidR="000663A1" w:rsidRPr="00F85F61">
        <w:t xml:space="preserve">, </w:t>
      </w:r>
      <w:r>
        <w:t xml:space="preserve">because a CSA </w:t>
      </w:r>
      <w:r w:rsidR="008A2D09" w:rsidRPr="00B72AEF">
        <w:t xml:space="preserve">does not involve the </w:t>
      </w:r>
      <w:r w:rsidR="00E10F81" w:rsidRPr="00B72AEF">
        <w:t>transfer of a license</w:t>
      </w:r>
      <w:r w:rsidR="003A6D87" w:rsidRPr="008126E4">
        <w:t xml:space="preserve"> from one sharing partner</w:t>
      </w:r>
      <w:r w:rsidR="003A6D87" w:rsidRPr="00AF3D68">
        <w:t xml:space="preserve"> to another</w:t>
      </w:r>
      <w:r w:rsidR="008A2D09" w:rsidRPr="00AF3D68">
        <w:t xml:space="preserve">.  </w:t>
      </w:r>
      <w:r>
        <w:t>In addition,</w:t>
      </w:r>
      <w:r w:rsidR="008A2D09" w:rsidRPr="00AF3D68">
        <w:t xml:space="preserve"> </w:t>
      </w:r>
      <w:r>
        <w:t>CSA provisions for</w:t>
      </w:r>
      <w:r w:rsidR="000663A1" w:rsidRPr="00AF3D68">
        <w:t xml:space="preserve"> contingent interests in the licenses</w:t>
      </w:r>
      <w:r>
        <w:t xml:space="preserve"> involved in a </w:t>
      </w:r>
      <w:r w:rsidR="00F53FE1">
        <w:t>CSA</w:t>
      </w:r>
      <w:r w:rsidR="008B0F23">
        <w:t xml:space="preserve"> </w:t>
      </w:r>
      <w:r>
        <w:t>would not</w:t>
      </w:r>
      <w:r w:rsidR="000663A1" w:rsidRPr="00AF3D68">
        <w:t xml:space="preserve"> violate the reversionary interest rule absent grant of a prohibited security interest.</w:t>
      </w:r>
      <w:r w:rsidR="00BD3D21" w:rsidRPr="00F85F61">
        <w:t xml:space="preserve">  </w:t>
      </w:r>
      <w:r>
        <w:t>Channel sharing p</w:t>
      </w:r>
      <w:r w:rsidR="009371C0" w:rsidRPr="00B72AEF">
        <w:t xml:space="preserve">arties may include contingent rights such as puts, calls, options, rights of first refusal, and other common rights in their CSAs subject to </w:t>
      </w:r>
      <w:r w:rsidR="00A674CF" w:rsidRPr="008126E4">
        <w:t>a</w:t>
      </w:r>
      <w:r w:rsidR="009371C0" w:rsidRPr="008126E4">
        <w:t>ll applicable Commission rules and policies</w:t>
      </w:r>
      <w:r w:rsidR="00A674CF" w:rsidRPr="00AF3D68">
        <w:t>,</w:t>
      </w:r>
      <w:r w:rsidR="009371C0" w:rsidRPr="00AF3D68">
        <w:t xml:space="preserve"> including the media ownership rules.  We recognize that contracting for these common contingent rights will enable sharing parties to </w:t>
      </w:r>
      <w:r w:rsidR="0091533E">
        <w:t>eliminate</w:t>
      </w:r>
      <w:r w:rsidR="0091533E" w:rsidRPr="00AF3D68">
        <w:t xml:space="preserve"> </w:t>
      </w:r>
      <w:r w:rsidR="009371C0" w:rsidRPr="00AF3D68">
        <w:t>some of the uncertainty regarding the identity of their sharing partner</w:t>
      </w:r>
      <w:r w:rsidR="00A62915">
        <w:t>s</w:t>
      </w:r>
      <w:r w:rsidR="009371C0" w:rsidRPr="00AF3D68">
        <w:t xml:space="preserve"> in the event that one sharing party decides to sell its license.</w:t>
      </w:r>
      <w:r w:rsidR="00A674CF" w:rsidRPr="00FB2D59">
        <w:rPr>
          <w:vertAlign w:val="superscript"/>
        </w:rPr>
        <w:footnoteReference w:id="29"/>
      </w:r>
      <w:r w:rsidR="009371C0" w:rsidRPr="004D2F87">
        <w:t xml:space="preserve">  Moreover, we share EOBC’s concern that</w:t>
      </w:r>
      <w:r w:rsidR="0091533E">
        <w:t>,</w:t>
      </w:r>
      <w:r w:rsidR="009371C0" w:rsidRPr="004D2F87">
        <w:t xml:space="preserve"> without the ability to bargain for these rights, broadcasters may</w:t>
      </w:r>
      <w:r w:rsidR="00A674CF" w:rsidRPr="004D2F87">
        <w:t xml:space="preserve"> not </w:t>
      </w:r>
      <w:r w:rsidR="009371C0" w:rsidRPr="004D2F87">
        <w:t>avail</w:t>
      </w:r>
      <w:r w:rsidR="00A674CF" w:rsidRPr="004D2F87">
        <w:t xml:space="preserve"> themselves of this</w:t>
      </w:r>
      <w:r w:rsidR="009371C0" w:rsidRPr="004D2F87">
        <w:t xml:space="preserve"> bid option</w:t>
      </w:r>
      <w:r w:rsidR="00327289">
        <w:t xml:space="preserve"> in the auction</w:t>
      </w:r>
      <w:r w:rsidR="009371C0" w:rsidRPr="004D2F87">
        <w:t>.</w:t>
      </w:r>
    </w:p>
    <w:p w:rsidR="008A465F" w:rsidRPr="004D2F87" w:rsidRDefault="002F5E09" w:rsidP="00FB2D59">
      <w:pPr>
        <w:pStyle w:val="Heading2"/>
      </w:pPr>
      <w:bookmarkStart w:id="19" w:name="_Toc415150681"/>
      <w:bookmarkStart w:id="20" w:name="_Toc415151202"/>
      <w:bookmarkStart w:id="21" w:name="_Toc415151350"/>
      <w:bookmarkStart w:id="22" w:name="_Toc416424154"/>
      <w:bookmarkStart w:id="23" w:name="_Toc416424776"/>
      <w:bookmarkStart w:id="24" w:name="_Toc416429421"/>
      <w:r>
        <w:t>Flexibility to Enter Into</w:t>
      </w:r>
      <w:r w:rsidR="000C6CDE">
        <w:t xml:space="preserve"> CSAs</w:t>
      </w:r>
      <w:r>
        <w:t xml:space="preserve"> After the Incentive Auction</w:t>
      </w:r>
      <w:bookmarkEnd w:id="19"/>
      <w:bookmarkEnd w:id="20"/>
      <w:bookmarkEnd w:id="21"/>
      <w:bookmarkEnd w:id="22"/>
      <w:bookmarkEnd w:id="23"/>
      <w:bookmarkEnd w:id="24"/>
    </w:p>
    <w:p w:rsidR="00A62BA5" w:rsidRDefault="00DF30A1" w:rsidP="001C3245">
      <w:pPr>
        <w:pStyle w:val="ParaNum"/>
        <w:widowControl/>
      </w:pPr>
      <w:r>
        <w:t>Under</w:t>
      </w:r>
      <w:r w:rsidRPr="004D2F87">
        <w:t xml:space="preserve"> the</w:t>
      </w:r>
      <w:r>
        <w:t xml:space="preserve"> rules adopted in the</w:t>
      </w:r>
      <w:r w:rsidRPr="004D2F87">
        <w:t xml:space="preserve"> </w:t>
      </w:r>
      <w:r w:rsidRPr="00257479">
        <w:rPr>
          <w:i/>
        </w:rPr>
        <w:t>IA R&amp;O</w:t>
      </w:r>
      <w:r w:rsidRPr="004D2F87">
        <w:t>,</w:t>
      </w:r>
      <w:r>
        <w:t xml:space="preserve"> a reverse auction bidder interested in channel sharing must submit an executed copy of the CSA with its pre-auction application,</w:t>
      </w:r>
      <w:r>
        <w:rPr>
          <w:rStyle w:val="FootnoteReference"/>
        </w:rPr>
        <w:footnoteReference w:id="30"/>
      </w:r>
      <w:r>
        <w:t xml:space="preserve"> </w:t>
      </w:r>
      <w:r w:rsidRPr="00161B85">
        <w:t>as well as certifications under penalty of perjury that it can meet its community of license requirements from the proposed sharer’s site (or that it has identified a new community of license that meets the same, or a higher, allotment priority as its current community</w:t>
      </w:r>
      <w:r>
        <w:t xml:space="preserve">; </w:t>
      </w:r>
      <w:r w:rsidRPr="00161B85">
        <w:t>or the next highest priority if no community meets the same or higher priority);</w:t>
      </w:r>
      <w:r>
        <w:t xml:space="preserve"> that the CSA is consistent with all relevant Commission rules and policies; and that the applicant accepts any risk that the implementation of the CSA may not be feasible for any reason.</w:t>
      </w:r>
      <w:r>
        <w:rPr>
          <w:rStyle w:val="FootnoteReference"/>
        </w:rPr>
        <w:footnoteReference w:id="31"/>
      </w:r>
      <w:r>
        <w:t xml:space="preserve">  </w:t>
      </w:r>
    </w:p>
    <w:p w:rsidR="00A62BA5" w:rsidRDefault="00DF30A1" w:rsidP="00A62BA5">
      <w:pPr>
        <w:pStyle w:val="ParaNum"/>
      </w:pPr>
      <w:r w:rsidRPr="004D2F87">
        <w:t xml:space="preserve">EOBC requests that the Commission </w:t>
      </w:r>
      <w:r>
        <w:t xml:space="preserve">modify its rules to </w:t>
      </w:r>
      <w:r w:rsidRPr="004D2F87">
        <w:t xml:space="preserve">allow a winning license relinquishment bidder to </w:t>
      </w:r>
      <w:r w:rsidRPr="00DD6179">
        <w:t xml:space="preserve">execute a CSA after </w:t>
      </w:r>
      <w:r>
        <w:t>bidding in the auction is complete</w:t>
      </w:r>
      <w:r w:rsidRPr="00DD6179">
        <w:t>.</w:t>
      </w:r>
      <w:r w:rsidRPr="00FB2D59">
        <w:rPr>
          <w:vertAlign w:val="superscript"/>
        </w:rPr>
        <w:footnoteReference w:id="32"/>
      </w:r>
      <w:r w:rsidRPr="004D2F87">
        <w:t xml:space="preserve">  </w:t>
      </w:r>
      <w:r w:rsidR="00780FA5">
        <w:t xml:space="preserve">Fox, Ion Media, Tribune, and Univision, who filed a reply comment in response to the </w:t>
      </w:r>
      <w:r w:rsidR="00780FA5" w:rsidRPr="00A62BA5">
        <w:rPr>
          <w:i/>
        </w:rPr>
        <w:t>Incentive Auction Comment PN</w:t>
      </w:r>
      <w:r w:rsidR="00780FA5">
        <w:t>, agree with this position.</w:t>
      </w:r>
      <w:r w:rsidR="00780FA5">
        <w:rPr>
          <w:rStyle w:val="FootnoteReference"/>
        </w:rPr>
        <w:footnoteReference w:id="33"/>
      </w:r>
      <w:r w:rsidR="00780FA5">
        <w:t xml:space="preserve">  </w:t>
      </w:r>
      <w:r>
        <w:t>EOBC argues that the carriage rights of parties to such</w:t>
      </w:r>
      <w:r w:rsidRPr="004D2F87">
        <w:t xml:space="preserve"> post-</w:t>
      </w:r>
      <w:r>
        <w:t>auction</w:t>
      </w:r>
      <w:r w:rsidRPr="004D2F87">
        <w:t xml:space="preserve"> </w:t>
      </w:r>
      <w:r>
        <w:t>CSAs would be protected under</w:t>
      </w:r>
      <w:r w:rsidRPr="00DD6179">
        <w:t xml:space="preserve"> the Spectrum Act</w:t>
      </w:r>
      <w:r>
        <w:t>.</w:t>
      </w:r>
      <w:r w:rsidRPr="00FB2D59">
        <w:rPr>
          <w:vertAlign w:val="superscript"/>
        </w:rPr>
        <w:footnoteReference w:id="34"/>
      </w:r>
      <w:r>
        <w:t xml:space="preserve">  </w:t>
      </w:r>
      <w:r w:rsidR="00780FA5" w:rsidRPr="007B18EA">
        <w:t>CTIA agrees.</w:t>
      </w:r>
      <w:r w:rsidR="00780FA5">
        <w:rPr>
          <w:rStyle w:val="FootnoteReference"/>
        </w:rPr>
        <w:footnoteReference w:id="35"/>
      </w:r>
      <w:r w:rsidR="00780FA5" w:rsidRPr="007B18EA">
        <w:t xml:space="preserve">  </w:t>
      </w:r>
      <w:r w:rsidR="00E13812">
        <w:t xml:space="preserve">As stated above, however, </w:t>
      </w:r>
      <w:r w:rsidRPr="004D2F87">
        <w:t xml:space="preserve">NCTA asserts that </w:t>
      </w:r>
      <w:r>
        <w:t>grant of</w:t>
      </w:r>
      <w:r w:rsidRPr="004D2F87">
        <w:t xml:space="preserve"> EOBC’s request </w:t>
      </w:r>
      <w:r>
        <w:t>would</w:t>
      </w:r>
      <w:r w:rsidRPr="004D2F87">
        <w:t xml:space="preserve"> (1)</w:t>
      </w:r>
      <w:r w:rsidRPr="00DD6179">
        <w:t xml:space="preserve"> introduce </w:t>
      </w:r>
      <w:r w:rsidRPr="00EE211D">
        <w:t>additional uncertainty into the post</w:t>
      </w:r>
      <w:r>
        <w:t>-</w:t>
      </w:r>
      <w:r w:rsidRPr="00EE211D">
        <w:t xml:space="preserve">auction transition process; (2) confer greater cable carriage rights than Congress intended; (3) </w:t>
      </w:r>
      <w:r>
        <w:t>lead to</w:t>
      </w:r>
      <w:r w:rsidRPr="00EE211D">
        <w:t xml:space="preserve"> customer confusion; and (4) </w:t>
      </w:r>
      <w:r>
        <w:t>risk</w:t>
      </w:r>
      <w:r w:rsidRPr="00EE211D">
        <w:t xml:space="preserve"> leav</w:t>
      </w:r>
      <w:r>
        <w:t>ing</w:t>
      </w:r>
      <w:r w:rsidRPr="00EE211D">
        <w:t xml:space="preserve"> cable operators unreimbursed for mandatory carriage of sharee stations</w:t>
      </w:r>
      <w:r w:rsidRPr="004D2F87">
        <w:t>.</w:t>
      </w:r>
      <w:r w:rsidRPr="00FB2D59">
        <w:rPr>
          <w:vertAlign w:val="superscript"/>
        </w:rPr>
        <w:footnoteReference w:id="36"/>
      </w:r>
    </w:p>
    <w:p w:rsidR="00A62BA5" w:rsidRDefault="00DF30A1" w:rsidP="00A62BA5">
      <w:pPr>
        <w:pStyle w:val="ParaNum"/>
      </w:pPr>
      <w:r>
        <w:t>We grant EOBC’s request, subject to the conditions set forth herein.  Specifically, w</w:t>
      </w:r>
      <w:r w:rsidR="00D12573" w:rsidRPr="00DD6179">
        <w:t xml:space="preserve">e </w:t>
      </w:r>
      <w:r w:rsidR="000C6CDE">
        <w:t>modify our rules to</w:t>
      </w:r>
      <w:r w:rsidR="00D12573" w:rsidRPr="00DD6179">
        <w:t xml:space="preserve"> allow winning bidders </w:t>
      </w:r>
      <w:r w:rsidR="00391B66">
        <w:t>tha</w:t>
      </w:r>
      <w:r w:rsidR="009B5128">
        <w:t>t</w:t>
      </w:r>
      <w:r w:rsidR="000C6CDE">
        <w:t xml:space="preserve"> relinquish their spectrum usage rights </w:t>
      </w:r>
      <w:r w:rsidR="00D12573" w:rsidRPr="00DD6179">
        <w:t xml:space="preserve">to enter into </w:t>
      </w:r>
      <w:r w:rsidR="002F5E09">
        <w:t>CSA</w:t>
      </w:r>
      <w:r w:rsidR="000C6CDE">
        <w:t>s</w:t>
      </w:r>
      <w:r w:rsidR="00D12573" w:rsidRPr="00DD6179">
        <w:t xml:space="preserve"> after </w:t>
      </w:r>
      <w:r w:rsidR="001477CF">
        <w:t xml:space="preserve">the </w:t>
      </w:r>
      <w:r w:rsidR="002F5E09">
        <w:t>completion of</w:t>
      </w:r>
      <w:r w:rsidR="000C6CDE">
        <w:t xml:space="preserve"> </w:t>
      </w:r>
      <w:r w:rsidR="00D12573" w:rsidRPr="00DD6179">
        <w:t>the incentive auction</w:t>
      </w:r>
      <w:r w:rsidR="000C6CDE">
        <w:t>, provided that they</w:t>
      </w:r>
      <w:r w:rsidR="00B72AEF">
        <w:t xml:space="preserve"> (1) </w:t>
      </w:r>
      <w:r w:rsidR="00F84775">
        <w:t>indicate</w:t>
      </w:r>
      <w:r w:rsidR="00FF0156">
        <w:t xml:space="preserve"> </w:t>
      </w:r>
      <w:r w:rsidR="00B72AEF">
        <w:t>in their pre-auction applications</w:t>
      </w:r>
      <w:r w:rsidR="00442B2D">
        <w:t xml:space="preserve"> </w:t>
      </w:r>
      <w:r w:rsidR="00FF0156">
        <w:t xml:space="preserve">that they </w:t>
      </w:r>
      <w:r w:rsidR="00442B2D">
        <w:t>have a present intent to find</w:t>
      </w:r>
      <w:r w:rsidR="00FF0156">
        <w:t xml:space="preserve"> a channel sharing part</w:t>
      </w:r>
      <w:r w:rsidR="00625375">
        <w:t>n</w:t>
      </w:r>
      <w:r w:rsidR="00FF0156">
        <w:t>er after the auction</w:t>
      </w:r>
      <w:r w:rsidR="00D569D7">
        <w:t>,</w:t>
      </w:r>
      <w:r w:rsidR="00442B2D">
        <w:rPr>
          <w:rStyle w:val="FootnoteReference"/>
        </w:rPr>
        <w:footnoteReference w:id="37"/>
      </w:r>
      <w:r w:rsidR="000C6CDE">
        <w:t xml:space="preserve"> </w:t>
      </w:r>
      <w:r w:rsidR="00B72AEF">
        <w:t xml:space="preserve">and (2) </w:t>
      </w:r>
      <w:r w:rsidR="00C95DF7" w:rsidRPr="00DD6179">
        <w:t>execute and implement their CSAs by the date on which the</w:t>
      </w:r>
      <w:r w:rsidR="00B5171B" w:rsidRPr="00DD6179">
        <w:t>y would otherwise be required to relinquish their</w:t>
      </w:r>
      <w:r w:rsidR="00C95DF7" w:rsidRPr="00DD6179">
        <w:t xml:space="preserve"> license</w:t>
      </w:r>
      <w:r w:rsidR="000C6CDE">
        <w:t>s</w:t>
      </w:r>
      <w:r w:rsidR="00C95DF7" w:rsidRPr="00DD6179">
        <w:t>.</w:t>
      </w:r>
      <w:r w:rsidR="00B5171B" w:rsidRPr="00DD6179">
        <w:t xml:space="preserve">  </w:t>
      </w:r>
      <w:r w:rsidR="00021702">
        <w:t>Parties to p</w:t>
      </w:r>
      <w:r w:rsidR="00B72AEF">
        <w:t>ost-auction</w:t>
      </w:r>
      <w:r w:rsidR="000C6CDE">
        <w:t xml:space="preserve"> CSA</w:t>
      </w:r>
      <w:r w:rsidR="00F84775">
        <w:t>s</w:t>
      </w:r>
      <w:r w:rsidR="000C6CDE">
        <w:t xml:space="preserve"> will</w:t>
      </w:r>
      <w:r w:rsidR="00D569D7">
        <w:t xml:space="preserve"> be </w:t>
      </w:r>
      <w:r w:rsidR="000C6CDE">
        <w:t>entitle</w:t>
      </w:r>
      <w:r w:rsidR="00021702">
        <w:t>d</w:t>
      </w:r>
      <w:r w:rsidR="000C6CDE">
        <w:t xml:space="preserve"> to the same </w:t>
      </w:r>
      <w:r w:rsidR="00B5171B" w:rsidRPr="000C6CDE">
        <w:t>carriage rights as</w:t>
      </w:r>
      <w:r w:rsidR="00F84775">
        <w:t xml:space="preserve"> parties to</w:t>
      </w:r>
      <w:r w:rsidR="000C6CDE">
        <w:t xml:space="preserve"> </w:t>
      </w:r>
      <w:r w:rsidR="00327289">
        <w:t xml:space="preserve">pre-auction </w:t>
      </w:r>
      <w:r w:rsidR="000C6CDE">
        <w:t>CSAs</w:t>
      </w:r>
      <w:r w:rsidR="00B5171B" w:rsidRPr="000C6CDE">
        <w:t>.</w:t>
      </w:r>
      <w:r w:rsidR="001B574C">
        <w:t xml:space="preserve">  We emphasize, however, that the exception to the rule prohibiting certain communications before and during the incentive auction will apply </w:t>
      </w:r>
      <w:r w:rsidR="002C390B">
        <w:t xml:space="preserve">only </w:t>
      </w:r>
      <w:r w:rsidR="001B574C">
        <w:t xml:space="preserve">to parties </w:t>
      </w:r>
      <w:r w:rsidR="0010590B">
        <w:t>to pre-auction</w:t>
      </w:r>
      <w:r w:rsidR="001B574C">
        <w:t xml:space="preserve"> CSAs.</w:t>
      </w:r>
      <w:r w:rsidR="001B574C">
        <w:rPr>
          <w:rStyle w:val="FootnoteReference"/>
        </w:rPr>
        <w:footnoteReference w:id="38"/>
      </w:r>
      <w:r w:rsidR="00620345" w:rsidRPr="000C6CDE">
        <w:t xml:space="preserve">  </w:t>
      </w:r>
    </w:p>
    <w:p w:rsidR="00A62BA5" w:rsidRDefault="00E25B87" w:rsidP="00A62BA5">
      <w:pPr>
        <w:pStyle w:val="ParaNum"/>
      </w:pPr>
      <w:r>
        <w:t xml:space="preserve">Subject to these conditions, we agree with EOBC that pre- and post-auction CSAs are the same for purposes of the Spectrum Act, and we find that the Commission will have sufficient information to evaluate proposed </w:t>
      </w:r>
      <w:r w:rsidR="00276915">
        <w:t>CSAs.</w:t>
      </w:r>
      <w:r w:rsidR="00346B4C">
        <w:t xml:space="preserve"> </w:t>
      </w:r>
      <w:r w:rsidR="001B574C">
        <w:t xml:space="preserve"> </w:t>
      </w:r>
      <w:r w:rsidR="00346B4C">
        <w:t xml:space="preserve">We </w:t>
      </w:r>
      <w:r w:rsidR="00DE4313">
        <w:t xml:space="preserve">also </w:t>
      </w:r>
      <w:r w:rsidR="00346B4C">
        <w:t xml:space="preserve">agree with </w:t>
      </w:r>
      <w:r w:rsidR="00386FA3">
        <w:t xml:space="preserve">EOBC that </w:t>
      </w:r>
      <w:r w:rsidR="00346B4C" w:rsidRPr="004D2F87">
        <w:t xml:space="preserve">providing </w:t>
      </w:r>
      <w:r w:rsidR="00346B4C">
        <w:t xml:space="preserve">this </w:t>
      </w:r>
      <w:r w:rsidR="00346B4C" w:rsidRPr="004D2F87">
        <w:t>flexibility</w:t>
      </w:r>
      <w:r w:rsidR="00386FA3">
        <w:t xml:space="preserve"> will encourage broadcasters to consider</w:t>
      </w:r>
      <w:r w:rsidR="00346B4C" w:rsidRPr="004D2F87">
        <w:t xml:space="preserve"> the channel sharing </w:t>
      </w:r>
      <w:r w:rsidR="00386FA3">
        <w:t xml:space="preserve">bid </w:t>
      </w:r>
      <w:r w:rsidR="00346B4C" w:rsidRPr="004D2F87">
        <w:t>option</w:t>
      </w:r>
      <w:r w:rsidR="00386FA3">
        <w:t xml:space="preserve"> by enabling them to</w:t>
      </w:r>
      <w:r w:rsidR="00346B4C" w:rsidRPr="004D2F87">
        <w:t xml:space="preserve"> participate in the auction even if they do not find a channel sharing partner before the auction begins.</w:t>
      </w:r>
      <w:r w:rsidR="00346B4C" w:rsidRPr="00FB2D59">
        <w:rPr>
          <w:vertAlign w:val="superscript"/>
        </w:rPr>
        <w:footnoteReference w:id="39"/>
      </w:r>
      <w:r w:rsidR="00346B4C" w:rsidRPr="004D2F87">
        <w:t xml:space="preserve">  Indeed, as EOBC notes, par</w:t>
      </w:r>
      <w:r w:rsidR="00346B4C">
        <w:t>t</w:t>
      </w:r>
      <w:r w:rsidR="00346B4C" w:rsidRPr="004D2F87">
        <w:t xml:space="preserve">ies </w:t>
      </w:r>
      <w:r w:rsidR="00386FA3">
        <w:t xml:space="preserve">may be able </w:t>
      </w:r>
      <w:r w:rsidR="00346B4C" w:rsidRPr="004D2F87">
        <w:t xml:space="preserve">to negotiate </w:t>
      </w:r>
      <w:r w:rsidR="00386FA3">
        <w:t>CSAs more readily</w:t>
      </w:r>
      <w:r w:rsidR="00346B4C" w:rsidRPr="004D2F87">
        <w:t xml:space="preserve"> after </w:t>
      </w:r>
      <w:r w:rsidR="00346B4C">
        <w:t>the</w:t>
      </w:r>
      <w:r w:rsidR="00346B4C" w:rsidRPr="004D2F87">
        <w:t xml:space="preserve"> auction</w:t>
      </w:r>
      <w:r w:rsidR="00346B4C">
        <w:t xml:space="preserve"> is complete</w:t>
      </w:r>
      <w:r w:rsidR="00346B4C" w:rsidRPr="004D2F87">
        <w:t>, whe</w:t>
      </w:r>
      <w:r w:rsidR="00346B4C">
        <w:t>n</w:t>
      </w:r>
      <w:r w:rsidR="00346B4C" w:rsidRPr="004D2F87">
        <w:t xml:space="preserve"> fewer variables remain unknown.</w:t>
      </w:r>
      <w:r w:rsidR="00346B4C" w:rsidRPr="00FB2D59">
        <w:rPr>
          <w:vertAlign w:val="superscript"/>
        </w:rPr>
        <w:footnoteReference w:id="40"/>
      </w:r>
      <w:r w:rsidR="00346B4C" w:rsidRPr="004D2F87">
        <w:t xml:space="preserve">  </w:t>
      </w:r>
      <w:r w:rsidR="00386FA3">
        <w:t>This action</w:t>
      </w:r>
      <w:r w:rsidR="00346B4C" w:rsidRPr="004D2F87">
        <w:t xml:space="preserve"> also </w:t>
      </w:r>
      <w:r w:rsidR="00386FA3">
        <w:t>may help to</w:t>
      </w:r>
      <w:r w:rsidR="00346B4C" w:rsidRPr="004D2F87">
        <w:t xml:space="preserve"> preserv</w:t>
      </w:r>
      <w:r w:rsidR="00386FA3">
        <w:t>e</w:t>
      </w:r>
      <w:r w:rsidR="00346B4C" w:rsidRPr="004D2F87">
        <w:t xml:space="preserve"> </w:t>
      </w:r>
      <w:r w:rsidR="00386FA3">
        <w:t>independent</w:t>
      </w:r>
      <w:r w:rsidR="00346B4C" w:rsidRPr="004D2F87">
        <w:t xml:space="preserve"> voice</w:t>
      </w:r>
      <w:r w:rsidR="00386FA3">
        <w:t>s</w:t>
      </w:r>
      <w:r w:rsidR="00346B4C" w:rsidRPr="004D2F87">
        <w:t xml:space="preserve"> </w:t>
      </w:r>
      <w:r w:rsidR="00386FA3">
        <w:t>by enabling licensees to continue broadcasting after they voluntarily relinquish rights in the incentive auction</w:t>
      </w:r>
      <w:r w:rsidR="00346B4C" w:rsidRPr="004D2F87">
        <w:t>.</w:t>
      </w:r>
      <w:r w:rsidR="00346B4C" w:rsidRPr="00FB2D59">
        <w:rPr>
          <w:vertAlign w:val="superscript"/>
        </w:rPr>
        <w:footnoteReference w:id="41"/>
      </w:r>
      <w:r w:rsidR="00346B4C">
        <w:t xml:space="preserve">  </w:t>
      </w:r>
      <w:r w:rsidR="007A01CF">
        <w:t>As stated above,</w:t>
      </w:r>
      <w:r w:rsidR="00FE5AD8">
        <w:t xml:space="preserve"> broadcasters that do not submit executed CSAs with their pre-auction applications will be ineligible for the exception to the prohibited communications rule.</w:t>
      </w:r>
      <w:r w:rsidR="007A01CF">
        <w:rPr>
          <w:rStyle w:val="FootnoteReference"/>
        </w:rPr>
        <w:footnoteReference w:id="42"/>
      </w:r>
      <w:r w:rsidR="00FE5AD8">
        <w:t xml:space="preserve">  Accordingly, there will be no need for the staff to re</w:t>
      </w:r>
      <w:r w:rsidR="007A01CF">
        <w:t>view</w:t>
      </w:r>
      <w:r w:rsidR="00FE5AD8">
        <w:t xml:space="preserve"> a CSA prior to the auction to verify that the </w:t>
      </w:r>
      <w:r w:rsidR="007A01CF">
        <w:t xml:space="preserve">applicant </w:t>
      </w:r>
      <w:r w:rsidR="00FE5AD8">
        <w:t>qualifies for the exception.</w:t>
      </w:r>
    </w:p>
    <w:p w:rsidR="00A62BA5" w:rsidRDefault="007A01CF" w:rsidP="00A62BA5">
      <w:pPr>
        <w:pStyle w:val="ParaNum"/>
      </w:pPr>
      <w:r>
        <w:t>In order to enter into a post-auction CSA, w</w:t>
      </w:r>
      <w:r w:rsidR="00D71D19">
        <w:t xml:space="preserve">e will require that </w:t>
      </w:r>
      <w:r w:rsidR="00F4540D">
        <w:t xml:space="preserve">a </w:t>
      </w:r>
      <w:r w:rsidR="00386FA3">
        <w:t>license</w:t>
      </w:r>
      <w:r w:rsidR="004D12BD">
        <w:t xml:space="preserve"> relinquis</w:t>
      </w:r>
      <w:r w:rsidR="005C2BA4">
        <w:t xml:space="preserve">hment bidder </w:t>
      </w:r>
      <w:r w:rsidR="00F4540D">
        <w:t>indicate</w:t>
      </w:r>
      <w:r w:rsidR="005C2BA4">
        <w:t xml:space="preserve"> </w:t>
      </w:r>
      <w:r w:rsidR="00F4540D">
        <w:t>in its pre-auction application</w:t>
      </w:r>
      <w:r>
        <w:t xml:space="preserve"> its present intent to find a channel sharing partner after the auction</w:t>
      </w:r>
      <w:r w:rsidR="00386FA3">
        <w:t>.</w:t>
      </w:r>
      <w:r w:rsidR="004D12BD">
        <w:t xml:space="preserve">  </w:t>
      </w:r>
      <w:r w:rsidR="00F4540D" w:rsidRPr="004D2F87">
        <w:t xml:space="preserve">As we noted in the </w:t>
      </w:r>
      <w:r w:rsidR="00DF106C" w:rsidRPr="00A62BA5">
        <w:rPr>
          <w:i/>
        </w:rPr>
        <w:t>Channel Sharing R&amp;O</w:t>
      </w:r>
      <w:r w:rsidR="00F4540D" w:rsidRPr="004D2F87">
        <w:t>, “the Spectrum Act does not set a date restriction on the execution of channel sharing arrang</w:t>
      </w:r>
      <w:r w:rsidR="00F4540D">
        <w:t>e</w:t>
      </w:r>
      <w:r w:rsidR="00F4540D" w:rsidRPr="004D2F87">
        <w:t>ments.”</w:t>
      </w:r>
      <w:r w:rsidR="00F4540D" w:rsidRPr="00FB2D59">
        <w:rPr>
          <w:vertAlign w:val="superscript"/>
        </w:rPr>
        <w:footnoteReference w:id="43"/>
      </w:r>
      <w:r w:rsidR="004D12BD">
        <w:t xml:space="preserve">  It</w:t>
      </w:r>
      <w:r w:rsidR="00F4540D">
        <w:t xml:space="preserve"> guarantee</w:t>
      </w:r>
      <w:r w:rsidR="004D12BD">
        <w:t>s</w:t>
      </w:r>
      <w:r w:rsidR="00F4540D">
        <w:t xml:space="preserve"> carriage rights, however,</w:t>
      </w:r>
      <w:r w:rsidR="004D12BD">
        <w:t xml:space="preserve"> only for</w:t>
      </w:r>
      <w:r w:rsidR="00F4540D">
        <w:t xml:space="preserve"> “a licensee that voluntarily relinquishes rights in order to channel share.”</w:t>
      </w:r>
      <w:r w:rsidR="00F4540D">
        <w:rPr>
          <w:rStyle w:val="FootnoteReference"/>
        </w:rPr>
        <w:footnoteReference w:id="44"/>
      </w:r>
      <w:r w:rsidR="00F4540D">
        <w:t xml:space="preserve"> </w:t>
      </w:r>
      <w:r w:rsidR="004D12BD">
        <w:t xml:space="preserve"> </w:t>
      </w:r>
      <w:r w:rsidR="005C2BA4">
        <w:t>T</w:t>
      </w:r>
      <w:r w:rsidR="00CB31A9">
        <w:t xml:space="preserve">o fall within the scope of this guarantee, </w:t>
      </w:r>
      <w:r w:rsidR="004D12BD">
        <w:t xml:space="preserve">we conclude that </w:t>
      </w:r>
      <w:r w:rsidR="005C2BA4">
        <w:t>a licensee</w:t>
      </w:r>
      <w:r w:rsidR="004D12BD">
        <w:t xml:space="preserve"> </w:t>
      </w:r>
      <w:r w:rsidR="002302F9">
        <w:t xml:space="preserve">availing itself of the flexibility we provide here </w:t>
      </w:r>
      <w:r w:rsidR="004D12BD">
        <w:t xml:space="preserve">must express </w:t>
      </w:r>
      <w:r w:rsidR="00442B2D">
        <w:t>a present intent to channel share</w:t>
      </w:r>
      <w:r w:rsidR="004D12BD">
        <w:t xml:space="preserve"> in </w:t>
      </w:r>
      <w:r w:rsidR="005C2BA4">
        <w:t>its pre-auction application</w:t>
      </w:r>
      <w:r w:rsidR="004D12BD">
        <w:t>.</w:t>
      </w:r>
      <w:r w:rsidR="005C2BA4">
        <w:rPr>
          <w:rStyle w:val="FootnoteReference"/>
          <w:szCs w:val="22"/>
        </w:rPr>
        <w:footnoteReference w:id="45"/>
      </w:r>
      <w:r>
        <w:t xml:space="preserve">  </w:t>
      </w:r>
      <w:r w:rsidR="00931D3B">
        <w:t>W</w:t>
      </w:r>
      <w:r>
        <w:t xml:space="preserve">e recognize that </w:t>
      </w:r>
      <w:r w:rsidR="00931D3B">
        <w:t>a successful bidder’s interest in</w:t>
      </w:r>
      <w:r>
        <w:t xml:space="preserve"> a </w:t>
      </w:r>
      <w:r w:rsidR="00931D3B">
        <w:t xml:space="preserve">post-auction CSA </w:t>
      </w:r>
      <w:r>
        <w:t xml:space="preserve">may depend on the outcome of the auction, and </w:t>
      </w:r>
      <w:r w:rsidR="00931D3B">
        <w:t xml:space="preserve">that its ability to </w:t>
      </w:r>
      <w:r w:rsidR="00933FB2">
        <w:t>execute a CSA with a sharing partner</w:t>
      </w:r>
      <w:r w:rsidR="00931D3B">
        <w:t xml:space="preserve"> </w:t>
      </w:r>
      <w:r>
        <w:t xml:space="preserve">will not be entirely </w:t>
      </w:r>
      <w:r w:rsidR="00931D3B">
        <w:t xml:space="preserve">within its control.  A successful bidder’s expression of present intent, therefore, will not bind it to seek out </w:t>
      </w:r>
      <w:r w:rsidR="00933FB2">
        <w:t xml:space="preserve">a channel sharing partner </w:t>
      </w:r>
      <w:r w:rsidR="00931D3B">
        <w:t>or enter into a post-auction CSA.</w:t>
      </w:r>
      <w:r w:rsidR="001B574C" w:rsidRPr="00A62BA5">
        <w:rPr>
          <w:szCs w:val="22"/>
        </w:rPr>
        <w:t xml:space="preserve"> </w:t>
      </w:r>
    </w:p>
    <w:p w:rsidR="00A62BA5" w:rsidRDefault="001B574C" w:rsidP="004A2F4A">
      <w:pPr>
        <w:pStyle w:val="ParaNum"/>
        <w:widowControl/>
      </w:pPr>
      <w:r>
        <w:t xml:space="preserve">In addition, post-auction CSAs must be </w:t>
      </w:r>
      <w:r w:rsidRPr="00DD6179">
        <w:t>execute</w:t>
      </w:r>
      <w:r>
        <w:t>d</w:t>
      </w:r>
      <w:r w:rsidRPr="00DD6179">
        <w:t xml:space="preserve"> and implement</w:t>
      </w:r>
      <w:r>
        <w:t>e</w:t>
      </w:r>
      <w:r w:rsidR="00985720">
        <w:t>d</w:t>
      </w:r>
      <w:r w:rsidR="00985720" w:rsidRPr="004D2F87">
        <w:t xml:space="preserve"> (i.e., operations commenced on the shared channel)</w:t>
      </w:r>
      <w:r w:rsidR="00985720">
        <w:t xml:space="preserve"> </w:t>
      </w:r>
      <w:r w:rsidRPr="00DD6179">
        <w:t>by the date on which the</w:t>
      </w:r>
      <w:r>
        <w:t xml:space="preserve"> channel sharee</w:t>
      </w:r>
      <w:r w:rsidRPr="00DD6179">
        <w:t xml:space="preserve"> otherwise</w:t>
      </w:r>
      <w:r>
        <w:t xml:space="preserve"> would be required to relinquish its</w:t>
      </w:r>
      <w:r w:rsidRPr="00DD6179">
        <w:t xml:space="preserve"> license.</w:t>
      </w:r>
      <w:r>
        <w:t xml:space="preserve">  </w:t>
      </w:r>
      <w:r w:rsidRPr="00DD6179">
        <w:t xml:space="preserve">Pursuant to the </w:t>
      </w:r>
      <w:r w:rsidRPr="00A62BA5">
        <w:rPr>
          <w:i/>
        </w:rPr>
        <w:t>IA R&amp;O</w:t>
      </w:r>
      <w:r w:rsidRPr="00EE211D">
        <w:t>,</w:t>
      </w:r>
      <w:r w:rsidRPr="004D2F87">
        <w:t xml:space="preserve"> a winning license </w:t>
      </w:r>
      <w:r w:rsidR="003A679C" w:rsidRPr="004D2F87">
        <w:t>relinquishment</w:t>
      </w:r>
      <w:r w:rsidRPr="004D2F87">
        <w:t xml:space="preserve"> bidder must cease operations within three months </w:t>
      </w:r>
      <w:r w:rsidR="00935751">
        <w:t>after</w:t>
      </w:r>
      <w:r w:rsidR="00935751" w:rsidRPr="004D2F87">
        <w:t xml:space="preserve"> </w:t>
      </w:r>
      <w:r w:rsidRPr="004D2F87">
        <w:t xml:space="preserve">receiving its </w:t>
      </w:r>
      <w:r>
        <w:t xml:space="preserve">share of </w:t>
      </w:r>
      <w:r w:rsidRPr="004D2F87">
        <w:t>auction proceeds.</w:t>
      </w:r>
      <w:r w:rsidRPr="00FB2D59">
        <w:rPr>
          <w:vertAlign w:val="superscript"/>
        </w:rPr>
        <w:footnoteReference w:id="46"/>
      </w:r>
      <w:r w:rsidRPr="004D2F87">
        <w:t xml:space="preserve">  </w:t>
      </w:r>
      <w:r w:rsidR="00985720">
        <w:t>We conclude that a post-auction CSA must be executed and implemented b</w:t>
      </w:r>
      <w:r w:rsidR="00931D3B">
        <w:t>y</w:t>
      </w:r>
      <w:r w:rsidR="00985720">
        <w:t xml:space="preserve"> </w:t>
      </w:r>
      <w:r w:rsidR="00935751">
        <w:t>the</w:t>
      </w:r>
      <w:r w:rsidR="00931D3B">
        <w:t xml:space="preserve"> license relinquishment deadline</w:t>
      </w:r>
      <w:r w:rsidR="00985720">
        <w:t xml:space="preserve">.  In this regard, we disagree with EOBC that licensees should have </w:t>
      </w:r>
      <w:r w:rsidR="00985720" w:rsidRPr="00DD6179">
        <w:t xml:space="preserve">up to twelve months </w:t>
      </w:r>
      <w:r w:rsidR="00935751">
        <w:t>after</w:t>
      </w:r>
      <w:r w:rsidR="00935751" w:rsidRPr="00DD6179">
        <w:t xml:space="preserve"> </w:t>
      </w:r>
      <w:r w:rsidR="00985720" w:rsidRPr="00DD6179">
        <w:t>th</w:t>
      </w:r>
      <w:r w:rsidR="00931D3B">
        <w:t xml:space="preserve">at </w:t>
      </w:r>
      <w:r w:rsidR="003453EB">
        <w:t xml:space="preserve">deadline </w:t>
      </w:r>
      <w:r w:rsidR="00985720" w:rsidRPr="00DD6179">
        <w:t>to enter into a CSA</w:t>
      </w:r>
      <w:r w:rsidR="00985720">
        <w:t>.</w:t>
      </w:r>
      <w:r w:rsidR="00985720" w:rsidRPr="00FB2D59">
        <w:rPr>
          <w:vertAlign w:val="superscript"/>
        </w:rPr>
        <w:footnoteReference w:id="47"/>
      </w:r>
      <w:r w:rsidR="003453EB">
        <w:t xml:space="preserve">  EOBC’s reliance on </w:t>
      </w:r>
      <w:r w:rsidR="003453EB" w:rsidRPr="00DD6179">
        <w:t>Section 312(g) of the Communications Act</w:t>
      </w:r>
      <w:r w:rsidR="003453EB">
        <w:t>,</w:t>
      </w:r>
      <w:r w:rsidR="003453EB" w:rsidRPr="00DD6179">
        <w:t xml:space="preserve"> which provides that a broadcast license </w:t>
      </w:r>
      <w:r w:rsidR="003453EB">
        <w:t>automatically expires</w:t>
      </w:r>
      <w:r w:rsidR="003453EB" w:rsidRPr="00DD6179">
        <w:t xml:space="preserve"> if the station fails to broadcast fo</w:t>
      </w:r>
      <w:r w:rsidR="003453EB">
        <w:t>r a consecutive 12-month period, is misplaced:  a broadcaster holds a license d</w:t>
      </w:r>
      <w:r w:rsidR="00985720">
        <w:t xml:space="preserve">uring the statutory 12-month period, </w:t>
      </w:r>
      <w:r w:rsidR="003453EB">
        <w:t xml:space="preserve">whereas a winning license relinquishment bidder </w:t>
      </w:r>
      <w:r w:rsidR="00985720">
        <w:t xml:space="preserve">will no longer hold a license </w:t>
      </w:r>
      <w:r w:rsidR="00985720" w:rsidRPr="00DD6179">
        <w:t xml:space="preserve">after the </w:t>
      </w:r>
      <w:r w:rsidR="00985720">
        <w:t xml:space="preserve">license </w:t>
      </w:r>
      <w:r w:rsidR="003453EB">
        <w:t>relinquishment deadlin</w:t>
      </w:r>
      <w:r w:rsidR="00985720" w:rsidRPr="00DD6179">
        <w:t>e.</w:t>
      </w:r>
      <w:r w:rsidR="00985720" w:rsidRPr="00FB2D59">
        <w:rPr>
          <w:vertAlign w:val="superscript"/>
        </w:rPr>
        <w:footnoteReference w:id="48"/>
      </w:r>
      <w:r w:rsidR="003453EB">
        <w:t xml:space="preserve">  </w:t>
      </w:r>
      <w:r w:rsidR="00FF7F68">
        <w:t xml:space="preserve">We also conclude that it is appropriate to limit post-auction CSAs in this manner in order to </w:t>
      </w:r>
      <w:r w:rsidR="001F2C58">
        <w:t xml:space="preserve">prevent a disruption in service to viewers, and </w:t>
      </w:r>
      <w:r w:rsidR="00FF7F68">
        <w:t xml:space="preserve">smooth the </w:t>
      </w:r>
      <w:r w:rsidR="001F2C58">
        <w:t xml:space="preserve">MVPD’s </w:t>
      </w:r>
      <w:r w:rsidR="00FF7F68">
        <w:t xml:space="preserve">post-auction transition process.  </w:t>
      </w:r>
    </w:p>
    <w:p w:rsidR="00A62BA5" w:rsidRDefault="002302F9" w:rsidP="00A62BA5">
      <w:pPr>
        <w:pStyle w:val="ParaNum"/>
      </w:pPr>
      <w:r>
        <w:t>This</w:t>
      </w:r>
      <w:r w:rsidR="002B4827">
        <w:t xml:space="preserve"> requirement addresses NCTA’s concern that </w:t>
      </w:r>
      <w:r w:rsidR="00DE4313">
        <w:t xml:space="preserve">allowing auction participants to enter into post-auction CSAs would </w:t>
      </w:r>
      <w:r w:rsidR="00DE4313" w:rsidRPr="00DD6179">
        <w:t xml:space="preserve">introduce </w:t>
      </w:r>
      <w:r w:rsidR="00DE4313" w:rsidRPr="00EE211D">
        <w:t>additional uncertainty into the post</w:t>
      </w:r>
      <w:r w:rsidR="00DE4313">
        <w:t>-</w:t>
      </w:r>
      <w:r w:rsidR="00DE4313" w:rsidRPr="00EE211D">
        <w:t>auction transition process</w:t>
      </w:r>
      <w:r w:rsidR="00DE4313">
        <w:t>.  Sharees that enter into post-auction CSAs should be able to obtain the necessary authorizations to commence operations on a shared channel by the license relinquishment d</w:t>
      </w:r>
      <w:r w:rsidR="00931D3B">
        <w:t>eadlin</w:t>
      </w:r>
      <w:r w:rsidR="00DE4313">
        <w:t xml:space="preserve">e, thereby </w:t>
      </w:r>
      <w:r w:rsidR="00931D3B">
        <w:t xml:space="preserve">enabling them to </w:t>
      </w:r>
      <w:r w:rsidR="00DE4313">
        <w:t>provid</w:t>
      </w:r>
      <w:r w:rsidR="00931D3B">
        <w:t>e</w:t>
      </w:r>
      <w:r w:rsidR="00DE4313">
        <w:t xml:space="preserve"> </w:t>
      </w:r>
      <w:r w:rsidR="00795366">
        <w:t>MVPDs</w:t>
      </w:r>
      <w:r w:rsidR="00B61F17">
        <w:t xml:space="preserve"> with </w:t>
      </w:r>
      <w:r w:rsidR="006D6531">
        <w:t>adequate</w:t>
      </w:r>
      <w:r w:rsidR="00B61F17">
        <w:t xml:space="preserve"> </w:t>
      </w:r>
      <w:r w:rsidR="0069167F">
        <w:t>“</w:t>
      </w:r>
      <w:r w:rsidR="00B61F17">
        <w:t>notice of an obligation to carry a sharee station.”</w:t>
      </w:r>
      <w:r w:rsidR="00B61F17">
        <w:rPr>
          <w:rStyle w:val="FootnoteReference"/>
        </w:rPr>
        <w:footnoteReference w:id="49"/>
      </w:r>
      <w:r w:rsidR="00075A54">
        <w:t xml:space="preserve">  </w:t>
      </w:r>
      <w:r w:rsidR="00FC4F66">
        <w:t>Further</w:t>
      </w:r>
      <w:r w:rsidR="00075A54">
        <w:t xml:space="preserve">, this requirement addresses NCTA’s </w:t>
      </w:r>
      <w:r w:rsidR="0069167F">
        <w:t>contention</w:t>
      </w:r>
      <w:r w:rsidR="00075A54">
        <w:t xml:space="preserve"> that </w:t>
      </w:r>
      <w:r w:rsidR="00931D3B">
        <w:t xml:space="preserve">allowing post-auction CSAs </w:t>
      </w:r>
      <w:r w:rsidR="00075A54">
        <w:t xml:space="preserve">will “cause significant disruptions to operators who already may have started to use the spectrum on their cable plant for purposes other than carriage of the now-defunct station,” and may therefore </w:t>
      </w:r>
      <w:r w:rsidR="00933FB2">
        <w:t>result in</w:t>
      </w:r>
      <w:r w:rsidR="00075A54">
        <w:t xml:space="preserve"> “substantial viewer confusion.”</w:t>
      </w:r>
      <w:r w:rsidR="00075A54">
        <w:rPr>
          <w:rStyle w:val="FootnoteReference"/>
        </w:rPr>
        <w:footnoteReference w:id="50"/>
      </w:r>
      <w:r w:rsidR="00075A54">
        <w:t xml:space="preserve">  As NCTA notes, “[u]nder the current rules, s</w:t>
      </w:r>
      <w:r w:rsidR="00FF7F68">
        <w:t>h</w:t>
      </w:r>
      <w:r w:rsidR="00075A54">
        <w:t>aring stations must notify the Commission of their intent to share prior to the auction and must file their app</w:t>
      </w:r>
      <w:r w:rsidR="00FF7F68">
        <w:t>l</w:t>
      </w:r>
      <w:r w:rsidR="00075A54">
        <w:t>ication for license for the shared channel within three months after receiving auction proceeds.”</w:t>
      </w:r>
      <w:r w:rsidR="00075A54">
        <w:rPr>
          <w:rStyle w:val="FootnoteReference"/>
        </w:rPr>
        <w:footnoteReference w:id="51"/>
      </w:r>
      <w:r w:rsidR="00075A54">
        <w:t xml:space="preserve">  </w:t>
      </w:r>
      <w:r w:rsidR="00FF7F68">
        <w:t>U</w:t>
      </w:r>
      <w:r w:rsidR="004A2B2D">
        <w:t>nder our ruling here</w:t>
      </w:r>
      <w:r w:rsidR="00FF7F68">
        <w:t>,</w:t>
      </w:r>
      <w:r w:rsidR="004A2B2D">
        <w:t xml:space="preserve"> </w:t>
      </w:r>
      <w:r w:rsidR="00075A54">
        <w:t xml:space="preserve">sharee stations </w:t>
      </w:r>
      <w:r w:rsidR="00466701">
        <w:t xml:space="preserve">likewise </w:t>
      </w:r>
      <w:r w:rsidR="00075A54">
        <w:t xml:space="preserve">will have to execute and implement their post-auction CSAs by the time they have to relinquish their licenses, </w:t>
      </w:r>
      <w:r w:rsidR="00FF7F68">
        <w:t xml:space="preserve">and thus </w:t>
      </w:r>
      <w:r w:rsidR="00075A54">
        <w:t>they will be on the same notification timeline as those stations that entered into pre-auction CSAs.</w:t>
      </w:r>
      <w:r w:rsidR="00933FB2">
        <w:rPr>
          <w:rStyle w:val="FootnoteReference"/>
        </w:rPr>
        <w:footnoteReference w:id="52"/>
      </w:r>
      <w:r w:rsidR="00075A54">
        <w:t xml:space="preserve">  </w:t>
      </w:r>
      <w:r w:rsidR="0069167F">
        <w:t>W</w:t>
      </w:r>
      <w:r w:rsidR="0069167F" w:rsidRPr="008126E4">
        <w:t>e believe that th</w:t>
      </w:r>
      <w:r w:rsidR="00FC4F66">
        <w:t>is</w:t>
      </w:r>
      <w:r w:rsidR="0069167F">
        <w:t xml:space="preserve"> </w:t>
      </w:r>
      <w:r w:rsidR="0069167F" w:rsidRPr="008126E4">
        <w:t xml:space="preserve">timeframe </w:t>
      </w:r>
      <w:r w:rsidR="00FC4F66">
        <w:t xml:space="preserve">also will provide </w:t>
      </w:r>
      <w:r w:rsidR="0069167F" w:rsidRPr="008126E4">
        <w:t xml:space="preserve">adequate time </w:t>
      </w:r>
      <w:r w:rsidR="00FC4F66">
        <w:t xml:space="preserve">for parties to post-auction CSAs </w:t>
      </w:r>
      <w:r w:rsidR="0069167F" w:rsidRPr="008126E4">
        <w:t xml:space="preserve">to comply with the consumer and MVPD notice requirements laid out in the </w:t>
      </w:r>
      <w:r w:rsidR="0069167F" w:rsidRPr="00A62BA5">
        <w:rPr>
          <w:i/>
        </w:rPr>
        <w:t>IA R&amp;O</w:t>
      </w:r>
      <w:r w:rsidR="0069167F" w:rsidRPr="004D2F87">
        <w:t>.</w:t>
      </w:r>
      <w:r w:rsidR="0069167F" w:rsidRPr="00FB2D59">
        <w:rPr>
          <w:vertAlign w:val="superscript"/>
        </w:rPr>
        <w:footnoteReference w:id="53"/>
      </w:r>
    </w:p>
    <w:p w:rsidR="008230CD" w:rsidRDefault="000373B2" w:rsidP="004A2F4A">
      <w:pPr>
        <w:pStyle w:val="ParaNum"/>
        <w:widowControl/>
      </w:pPr>
      <w:r>
        <w:t xml:space="preserve">Finally, </w:t>
      </w:r>
      <w:r w:rsidR="00565C14">
        <w:t xml:space="preserve">we find that </w:t>
      </w:r>
      <w:r w:rsidR="00565C14" w:rsidRPr="00981DE7">
        <w:t xml:space="preserve">the reimbursement process set out in the </w:t>
      </w:r>
      <w:r w:rsidR="00565C14" w:rsidRPr="00A62BA5">
        <w:rPr>
          <w:i/>
        </w:rPr>
        <w:t>IA R&amp;O</w:t>
      </w:r>
      <w:r w:rsidR="00565C14" w:rsidRPr="00981DE7">
        <w:t>, coupled with the requirement</w:t>
      </w:r>
      <w:r w:rsidR="00565C14">
        <w:t>s</w:t>
      </w:r>
      <w:r w:rsidR="00565C14" w:rsidRPr="00981DE7">
        <w:t xml:space="preserve"> we adopt herein, will </w:t>
      </w:r>
      <w:r w:rsidR="00565C14">
        <w:t>enable</w:t>
      </w:r>
      <w:r w:rsidR="00565C14" w:rsidRPr="00981DE7">
        <w:t xml:space="preserve"> MVPDs to </w:t>
      </w:r>
      <w:r w:rsidR="00565C14">
        <w:t>obtain reimbursement for their reasonable costs associated with mandatory carriage of stations that enter into post-auction CSAs</w:t>
      </w:r>
      <w:r w:rsidR="00565C14" w:rsidRPr="00981DE7">
        <w:t>.</w:t>
      </w:r>
      <w:r w:rsidR="00466701" w:rsidRPr="00981DE7">
        <w:rPr>
          <w:vertAlign w:val="superscript"/>
        </w:rPr>
        <w:footnoteReference w:id="54"/>
      </w:r>
      <w:r w:rsidR="00565C14">
        <w:t xml:space="preserve"> </w:t>
      </w:r>
      <w:r>
        <w:t xml:space="preserve"> </w:t>
      </w:r>
      <w:r w:rsidRPr="00981DE7">
        <w:t>NCTA argues that, if CSAs are not “in sync” with the deadline for submitting reimbursement estimates, MVPDs might not have notice of a carriage obligation by the deadline</w:t>
      </w:r>
      <w:r w:rsidR="00FC4F66">
        <w:t>,</w:t>
      </w:r>
      <w:r w:rsidRPr="00981DE7">
        <w:t xml:space="preserve"> impact</w:t>
      </w:r>
      <w:r w:rsidR="00FC4F66">
        <w:t>ing</w:t>
      </w:r>
      <w:r w:rsidRPr="00981DE7">
        <w:t xml:space="preserve"> their ability to recover reasonable expenses related to carrying the sharee station</w:t>
      </w:r>
      <w:r w:rsidR="0053545C">
        <w:t>s</w:t>
      </w:r>
      <w:r w:rsidRPr="00981DE7">
        <w:t xml:space="preserve"> from </w:t>
      </w:r>
      <w:r w:rsidR="0053545C">
        <w:t>their</w:t>
      </w:r>
      <w:r w:rsidRPr="00981DE7">
        <w:t xml:space="preserve"> new location</w:t>
      </w:r>
      <w:r w:rsidR="0053545C">
        <w:t>s</w:t>
      </w:r>
      <w:r w:rsidRPr="00981DE7">
        <w:t>.</w:t>
      </w:r>
      <w:r w:rsidRPr="00981DE7">
        <w:rPr>
          <w:vertAlign w:val="superscript"/>
        </w:rPr>
        <w:footnoteReference w:id="55"/>
      </w:r>
      <w:r w:rsidRPr="00981DE7">
        <w:t xml:space="preserve"> </w:t>
      </w:r>
      <w:r w:rsidR="00725F84">
        <w:t xml:space="preserve"> </w:t>
      </w:r>
      <w:r w:rsidR="002302F9">
        <w:t xml:space="preserve">We direct the Media Bureau, in </w:t>
      </w:r>
      <w:r>
        <w:t xml:space="preserve">the </w:t>
      </w:r>
      <w:r w:rsidRPr="00A62BA5">
        <w:rPr>
          <w:i/>
        </w:rPr>
        <w:t>Channel Reassignment PN</w:t>
      </w:r>
      <w:r>
        <w:t xml:space="preserve"> to be released following the </w:t>
      </w:r>
      <w:r w:rsidR="00466701">
        <w:t>completion of the incentive</w:t>
      </w:r>
      <w:r>
        <w:t xml:space="preserve"> auction,</w:t>
      </w:r>
      <w:r w:rsidR="006E3309">
        <w:rPr>
          <w:rStyle w:val="FootnoteReference"/>
        </w:rPr>
        <w:footnoteReference w:id="56"/>
      </w:r>
      <w:r>
        <w:t xml:space="preserve"> </w:t>
      </w:r>
      <w:r w:rsidR="00725F84">
        <w:t>to</w:t>
      </w:r>
      <w:r>
        <w:t xml:space="preserve"> </w:t>
      </w:r>
      <w:r w:rsidR="00BC2FEA">
        <w:t>identify</w:t>
      </w:r>
      <w:r>
        <w:t xml:space="preserve"> those </w:t>
      </w:r>
      <w:r w:rsidR="006E3309">
        <w:t xml:space="preserve">winning bidders </w:t>
      </w:r>
      <w:r>
        <w:t xml:space="preserve">that </w:t>
      </w:r>
      <w:r w:rsidR="00466701">
        <w:t>are eligible</w:t>
      </w:r>
      <w:r>
        <w:t xml:space="preserve"> to channel share</w:t>
      </w:r>
      <w:r w:rsidR="00BC2FEA">
        <w:t xml:space="preserve">, either </w:t>
      </w:r>
      <w:r w:rsidR="00466701">
        <w:t xml:space="preserve">because they </w:t>
      </w:r>
      <w:r w:rsidR="00BC2FEA">
        <w:t>submitt</w:t>
      </w:r>
      <w:r w:rsidR="00466701">
        <w:t>ed</w:t>
      </w:r>
      <w:r w:rsidR="00BC2FEA">
        <w:t xml:space="preserve"> an executed pre-auction CSA or express</w:t>
      </w:r>
      <w:r w:rsidR="00933FB2">
        <w:t>ed</w:t>
      </w:r>
      <w:r w:rsidR="00BC2FEA">
        <w:t xml:space="preserve"> </w:t>
      </w:r>
      <w:r w:rsidR="002302F9">
        <w:t>a</w:t>
      </w:r>
      <w:r w:rsidR="00466701">
        <w:t xml:space="preserve"> present</w:t>
      </w:r>
      <w:r w:rsidR="002302F9">
        <w:t xml:space="preserve"> inte</w:t>
      </w:r>
      <w:r w:rsidR="00466701">
        <w:t>nt</w:t>
      </w:r>
      <w:r w:rsidR="002302F9">
        <w:t xml:space="preserve"> </w:t>
      </w:r>
      <w:r w:rsidR="00466701">
        <w:t>to</w:t>
      </w:r>
      <w:r w:rsidR="002302F9">
        <w:t xml:space="preserve"> enter </w:t>
      </w:r>
      <w:r w:rsidR="00BC2FEA">
        <w:t>into a post-auction CSA</w:t>
      </w:r>
      <w:r>
        <w:t xml:space="preserve">.  Accordingly, </w:t>
      </w:r>
      <w:r w:rsidR="007C3CA8">
        <w:t xml:space="preserve">the </w:t>
      </w:r>
      <w:r w:rsidR="007C3CA8" w:rsidRPr="00A62BA5">
        <w:rPr>
          <w:i/>
        </w:rPr>
        <w:t xml:space="preserve">Channel Reassignment PN </w:t>
      </w:r>
      <w:r w:rsidR="007C3CA8">
        <w:t xml:space="preserve">will provide </w:t>
      </w:r>
      <w:r>
        <w:t xml:space="preserve">MVPDs </w:t>
      </w:r>
      <w:r w:rsidR="007C3CA8">
        <w:t>with</w:t>
      </w:r>
      <w:r>
        <w:t xml:space="preserve"> notice of the identity of </w:t>
      </w:r>
      <w:r w:rsidR="0053545C">
        <w:t>successful</w:t>
      </w:r>
      <w:r>
        <w:t xml:space="preserve"> bidders who </w:t>
      </w:r>
      <w:r w:rsidR="0053545C">
        <w:t xml:space="preserve">have executed pre-auction CSAs, </w:t>
      </w:r>
      <w:r w:rsidR="00C2708F">
        <w:t xml:space="preserve">as well as those who may enter post-auction CSAs, </w:t>
      </w:r>
      <w:r>
        <w:t>prior to the deadline for submitting estimated reimbursement costs</w:t>
      </w:r>
      <w:r w:rsidR="00725F84">
        <w:t xml:space="preserve">, enabling </w:t>
      </w:r>
      <w:r w:rsidR="00C2708F">
        <w:t>MVPDs</w:t>
      </w:r>
      <w:r w:rsidR="00725F84">
        <w:t xml:space="preserve"> to</w:t>
      </w:r>
      <w:r>
        <w:t xml:space="preserve"> account for these potential costs in their </w:t>
      </w:r>
      <w:r w:rsidR="00795366">
        <w:t xml:space="preserve">initial cost </w:t>
      </w:r>
      <w:r>
        <w:t>estimates.</w:t>
      </w:r>
      <w:r w:rsidR="00725F84">
        <w:t xml:space="preserve">  </w:t>
      </w:r>
      <w:r w:rsidR="006E3309">
        <w:t xml:space="preserve">In addition, </w:t>
      </w:r>
      <w:r w:rsidR="00795366">
        <w:t xml:space="preserve">if necessary, </w:t>
      </w:r>
      <w:r w:rsidR="006E3309">
        <w:t xml:space="preserve">MVPDs </w:t>
      </w:r>
      <w:r w:rsidR="00BC2FEA">
        <w:t xml:space="preserve">may update their </w:t>
      </w:r>
      <w:r w:rsidR="006E3309">
        <w:t xml:space="preserve">estimates after the initial three-month deadline </w:t>
      </w:r>
      <w:r w:rsidR="008A598D">
        <w:t xml:space="preserve">if necessary </w:t>
      </w:r>
      <w:r w:rsidR="00BC2FEA">
        <w:t>in order to account for post-auction CSAs.</w:t>
      </w:r>
      <w:r w:rsidR="00466701">
        <w:rPr>
          <w:rStyle w:val="FootnoteReference"/>
        </w:rPr>
        <w:footnoteReference w:id="57"/>
      </w:r>
      <w:r w:rsidR="00725F84">
        <w:t xml:space="preserve">    </w:t>
      </w:r>
      <w:r w:rsidR="0046063E">
        <w:t xml:space="preserve">  </w:t>
      </w:r>
    </w:p>
    <w:p w:rsidR="008A465F" w:rsidRPr="00DD6179" w:rsidRDefault="008A465F" w:rsidP="00FB2D59">
      <w:pPr>
        <w:pStyle w:val="Heading2"/>
      </w:pPr>
      <w:bookmarkStart w:id="25" w:name="_Toc415150682"/>
      <w:bookmarkStart w:id="26" w:name="_Toc415151203"/>
      <w:bookmarkStart w:id="27" w:name="_Toc415151351"/>
      <w:bookmarkStart w:id="28" w:name="_Toc416424155"/>
      <w:bookmarkStart w:id="29" w:name="_Toc416424777"/>
      <w:bookmarkStart w:id="30" w:name="_Toc416429422"/>
      <w:r w:rsidRPr="00DD6179">
        <w:t>Term</w:t>
      </w:r>
      <w:r w:rsidR="004C68D3">
        <w:t>-Limited Channel</w:t>
      </w:r>
      <w:r w:rsidRPr="00DD6179">
        <w:t xml:space="preserve"> Sharing </w:t>
      </w:r>
      <w:bookmarkEnd w:id="25"/>
      <w:bookmarkEnd w:id="26"/>
      <w:bookmarkEnd w:id="27"/>
      <w:r w:rsidR="008B0F23">
        <w:t>Agreement</w:t>
      </w:r>
      <w:r w:rsidR="008B0F23" w:rsidRPr="00DD6179">
        <w:t>s</w:t>
      </w:r>
      <w:bookmarkEnd w:id="28"/>
      <w:bookmarkEnd w:id="29"/>
      <w:bookmarkEnd w:id="30"/>
      <w:r w:rsidR="008B0F23" w:rsidRPr="00DD6179">
        <w:t xml:space="preserve"> </w:t>
      </w:r>
    </w:p>
    <w:p w:rsidR="00A62BA5" w:rsidRDefault="00CC0994" w:rsidP="00A62BA5">
      <w:pPr>
        <w:pStyle w:val="ParaNum"/>
      </w:pPr>
      <w:r>
        <w:t>Under the rules adopted i</w:t>
      </w:r>
      <w:r w:rsidRPr="004D2F87">
        <w:t xml:space="preserve">n the </w:t>
      </w:r>
      <w:r w:rsidRPr="00FB2D59">
        <w:rPr>
          <w:i/>
        </w:rPr>
        <w:t>IA R&amp;O</w:t>
      </w:r>
      <w:r w:rsidRPr="004D2F87">
        <w:t xml:space="preserve">, </w:t>
      </w:r>
      <w:r w:rsidR="00F53FE1">
        <w:t>CSAs</w:t>
      </w:r>
      <w:r w:rsidR="008B0F23">
        <w:t xml:space="preserve"> </w:t>
      </w:r>
      <w:r>
        <w:t>are permanent in nature:  CSAs may be amended, and rights under a CSA may be assigned or transferred subject to Commission approval, but “shared channels permanently will be designated as shared in the Table of Allotments, absent a future rulemaking proceeding to redesignate the channel for non-shared use,” and “CSAs may not contain any provision that would seek to dissolve or modify the shared nature of the channel[.]”</w:t>
      </w:r>
      <w:r>
        <w:rPr>
          <w:rStyle w:val="FootnoteReference"/>
        </w:rPr>
        <w:footnoteReference w:id="58"/>
      </w:r>
      <w:r>
        <w:t xml:space="preserve">   EOBC maintains that some broadcasters “</w:t>
      </w:r>
      <w:r w:rsidRPr="0047253B">
        <w:rPr>
          <w:snapToGrid/>
        </w:rPr>
        <w:t>might prefer to enter into agreements that last for as short as a few years.”</w:t>
      </w:r>
      <w:r>
        <w:rPr>
          <w:rStyle w:val="FootnoteReference"/>
          <w:snapToGrid/>
        </w:rPr>
        <w:footnoteReference w:id="59"/>
      </w:r>
      <w:r>
        <w:rPr>
          <w:snapToGrid/>
        </w:rPr>
        <w:t xml:space="preserve">  EOBC argues that we should “</w:t>
      </w:r>
      <w:r w:rsidRPr="00290AEF">
        <w:rPr>
          <w:snapToGrid/>
        </w:rPr>
        <w:t xml:space="preserve">permit broadcasters to choose the length of their agreements. </w:t>
      </w:r>
      <w:r>
        <w:rPr>
          <w:snapToGrid/>
        </w:rPr>
        <w:t xml:space="preserve"> </w:t>
      </w:r>
      <w:r w:rsidRPr="00290AEF">
        <w:rPr>
          <w:snapToGrid/>
        </w:rPr>
        <w:t>To faci</w:t>
      </w:r>
      <w:r>
        <w:rPr>
          <w:snapToGrid/>
        </w:rPr>
        <w:t xml:space="preserve">litate these </w:t>
      </w:r>
      <w:r w:rsidR="008B0F23">
        <w:rPr>
          <w:snapToGrid/>
        </w:rPr>
        <w:t>agreement</w:t>
      </w:r>
      <w:r>
        <w:rPr>
          <w:snapToGrid/>
        </w:rPr>
        <w:t>s, the [C]</w:t>
      </w:r>
      <w:r w:rsidRPr="00290AEF">
        <w:rPr>
          <w:snapToGrid/>
        </w:rPr>
        <w:t>ommission could, as it has done in the context of time sharing, designate the shared nature on each participating license, subject to modi</w:t>
      </w:r>
      <w:r>
        <w:rPr>
          <w:snapToGrid/>
        </w:rPr>
        <w:t xml:space="preserve">fication </w:t>
      </w:r>
      <w:r w:rsidRPr="00290AEF">
        <w:rPr>
          <w:snapToGrid/>
        </w:rPr>
        <w:t>at the sole discretion of the licensees concerned, so long as the Commission is notified.</w:t>
      </w:r>
      <w:r>
        <w:rPr>
          <w:snapToGrid/>
        </w:rPr>
        <w:t xml:space="preserve">  </w:t>
      </w:r>
      <w:r w:rsidRPr="00290AEF">
        <w:rPr>
          <w:snapToGrid/>
        </w:rPr>
        <w:t>Upon the expiration of a term sharing agreement, the parties to the agreement would have the option of continuing the agreement on mutually acceptable terms or terminating the agreement.</w:t>
      </w:r>
      <w:r>
        <w:rPr>
          <w:snapToGrid/>
        </w:rPr>
        <w:t>”</w:t>
      </w:r>
      <w:r>
        <w:rPr>
          <w:rStyle w:val="FootnoteReference"/>
          <w:snapToGrid/>
        </w:rPr>
        <w:footnoteReference w:id="60"/>
      </w:r>
      <w:r>
        <w:t xml:space="preserve">  </w:t>
      </w:r>
      <w:r w:rsidR="00780FA5" w:rsidRPr="000956A0">
        <w:rPr>
          <w:szCs w:val="22"/>
        </w:rPr>
        <w:t>More specifically, EOBC argues that “</w:t>
      </w:r>
      <w:r w:rsidR="00780FA5" w:rsidRPr="000956A0">
        <w:rPr>
          <w:snapToGrid/>
          <w:kern w:val="0"/>
          <w:szCs w:val="22"/>
        </w:rPr>
        <w:t>[o]nce an agreement is terminated, the host or sharer station could either find another channel sharing partner or notify the agency that it is no longer a shared station and that its license should be modified accordingly. The host station would then have the right to utilize the full capacity of its 6 MHz channel. The sharee station(s), meanwhile, could either relinquish their licenses or find a new partner, subject to the one-year time limit to resume transmissions under Section 312(g) of the Communications Act.”</w:t>
      </w:r>
      <w:r w:rsidR="00780FA5" w:rsidRPr="004C1BD5">
        <w:rPr>
          <w:rStyle w:val="FootnoteReference"/>
          <w:snapToGrid/>
          <w:kern w:val="0"/>
          <w:sz w:val="22"/>
          <w:szCs w:val="22"/>
        </w:rPr>
        <w:footnoteReference w:id="61"/>
      </w:r>
      <w:r w:rsidR="00780FA5" w:rsidRPr="000956A0">
        <w:rPr>
          <w:snapToGrid/>
          <w:kern w:val="0"/>
          <w:szCs w:val="22"/>
        </w:rPr>
        <w:t xml:space="preserve">  CTIA supports this approach,</w:t>
      </w:r>
      <w:r w:rsidR="00780FA5" w:rsidRPr="004C1BD5">
        <w:rPr>
          <w:rStyle w:val="FootnoteReference"/>
          <w:snapToGrid/>
          <w:kern w:val="0"/>
          <w:sz w:val="22"/>
          <w:szCs w:val="22"/>
        </w:rPr>
        <w:footnoteReference w:id="62"/>
      </w:r>
      <w:r w:rsidR="00780FA5" w:rsidRPr="000956A0">
        <w:rPr>
          <w:snapToGrid/>
          <w:kern w:val="0"/>
          <w:szCs w:val="22"/>
        </w:rPr>
        <w:t xml:space="preserve"> </w:t>
      </w:r>
      <w:r w:rsidR="00780FA5" w:rsidRPr="000956A0">
        <w:rPr>
          <w:szCs w:val="22"/>
        </w:rPr>
        <w:t>as do Fox, Ion Media, Tribune, and Univision.</w:t>
      </w:r>
      <w:r w:rsidR="00780FA5" w:rsidRPr="004C1BD5">
        <w:rPr>
          <w:rStyle w:val="FootnoteReference"/>
          <w:sz w:val="22"/>
          <w:szCs w:val="22"/>
        </w:rPr>
        <w:footnoteReference w:id="63"/>
      </w:r>
      <w:r w:rsidR="00780FA5" w:rsidRPr="000956A0">
        <w:rPr>
          <w:szCs w:val="22"/>
        </w:rPr>
        <w:t xml:space="preserve"> </w:t>
      </w:r>
      <w:r w:rsidR="00780FA5" w:rsidRPr="00523518">
        <w:rPr>
          <w:szCs w:val="22"/>
        </w:rPr>
        <w:t xml:space="preserve"> </w:t>
      </w:r>
      <w:r w:rsidRPr="00523518">
        <w:rPr>
          <w:szCs w:val="22"/>
        </w:rPr>
        <w:t>EOBC further argues that we should authorize “second generation” CSAs subject to the same rights and restrictions as CSAs entered into in</w:t>
      </w:r>
      <w:r>
        <w:t xml:space="preserve"> connection with the incentive auction.</w:t>
      </w:r>
      <w:r>
        <w:rPr>
          <w:rStyle w:val="FootnoteReference"/>
        </w:rPr>
        <w:footnoteReference w:id="64"/>
      </w:r>
      <w:r>
        <w:t xml:space="preserve">  </w:t>
      </w:r>
    </w:p>
    <w:p w:rsidR="00A62BA5" w:rsidRDefault="00CC0994" w:rsidP="004A2F4A">
      <w:pPr>
        <w:pStyle w:val="ParaNum"/>
        <w:widowControl/>
      </w:pPr>
      <w:r w:rsidRPr="000C6CDE">
        <w:t>We</w:t>
      </w:r>
      <w:r>
        <w:t xml:space="preserve"> modify our rules to provide flexibility for broadcasters to determine the length of their CSAs.</w:t>
      </w:r>
      <w:r w:rsidRPr="000C6CDE">
        <w:t xml:space="preserve">  </w:t>
      </w:r>
      <w:r>
        <w:t xml:space="preserve">Specifically, we will </w:t>
      </w:r>
      <w:r w:rsidRPr="00A62BA5">
        <w:rPr>
          <w:snapToGrid/>
        </w:rPr>
        <w:t xml:space="preserve">permit broadcasters to choose the length of their channel sharing agreements.  </w:t>
      </w:r>
      <w:r w:rsidRPr="004D2F87">
        <w:t>We agree that allowing term-limited CSAs will encourage channel sharing</w:t>
      </w:r>
      <w:r>
        <w:t xml:space="preserve"> bids</w:t>
      </w:r>
      <w:r w:rsidRPr="004D2F87">
        <w:t xml:space="preserve"> in the incentive auction by allowing parties to end the channel sharing relationship if </w:t>
      </w:r>
      <w:r>
        <w:t>they choose</w:t>
      </w:r>
      <w:r w:rsidRPr="004D2F87">
        <w:t xml:space="preserve"> while still having the opportunity to continue operatin</w:t>
      </w:r>
      <w:r w:rsidRPr="00DD6179">
        <w:t>g.</w:t>
      </w:r>
      <w:r>
        <w:rPr>
          <w:rStyle w:val="FootnoteReference"/>
        </w:rPr>
        <w:footnoteReference w:id="65"/>
      </w:r>
      <w:r>
        <w:t xml:space="preserve">  </w:t>
      </w:r>
      <w:r w:rsidRPr="00A62BA5">
        <w:rPr>
          <w:snapToGrid/>
        </w:rPr>
        <w:t>We also agree with EOBC that providing such flexibility is appropriate to meet broadcasters’ individualized programming and economic needs.</w:t>
      </w:r>
      <w:r>
        <w:rPr>
          <w:rStyle w:val="FootnoteReference"/>
          <w:snapToGrid/>
        </w:rPr>
        <w:footnoteReference w:id="66"/>
      </w:r>
      <w:r w:rsidRPr="00A62BA5">
        <w:rPr>
          <w:snapToGrid/>
        </w:rPr>
        <w:t xml:space="preserve">  </w:t>
      </w:r>
      <w:r>
        <w:t>Consistent with our decision</w:t>
      </w:r>
      <w:r w:rsidRPr="004D2F87">
        <w:t xml:space="preserve">, </w:t>
      </w:r>
      <w:r>
        <w:t xml:space="preserve">as discussed below, </w:t>
      </w:r>
      <w:r w:rsidRPr="004D2F87">
        <w:t>we will not permanently</w:t>
      </w:r>
      <w:r>
        <w:t xml:space="preserve"> </w:t>
      </w:r>
      <w:r w:rsidRPr="004D2F87">
        <w:t xml:space="preserve">designate channels as “shared” in the Table of Allotments.  Instead, </w:t>
      </w:r>
      <w:r>
        <w:t>a channel’s shared status will be indicated on a sharing station’s license.</w:t>
      </w:r>
      <w:r w:rsidR="00523518">
        <w:rPr>
          <w:rStyle w:val="FootnoteReference"/>
        </w:rPr>
        <w:footnoteReference w:id="67"/>
      </w:r>
    </w:p>
    <w:p w:rsidR="00E254A4" w:rsidRDefault="00CC0994" w:rsidP="00A62BA5">
      <w:pPr>
        <w:pStyle w:val="ParaNum"/>
      </w:pPr>
      <w:r>
        <w:t xml:space="preserve">However, our decision to allow term-limited CSAs raises the </w:t>
      </w:r>
      <w:r w:rsidR="00C934DA">
        <w:t>question</w:t>
      </w:r>
      <w:r>
        <w:t xml:space="preserve"> of whether to authorize CSAs by full power and Class A stations outside the incentive auction context.  In the co</w:t>
      </w:r>
      <w:r w:rsidRPr="00BC4E32">
        <w:t>mpanion</w:t>
      </w:r>
      <w:r w:rsidR="00BC4E32" w:rsidRPr="00BC4E32">
        <w:t xml:space="preserve"> </w:t>
      </w:r>
      <w:r w:rsidR="00BC4E32" w:rsidRPr="005F7B2E">
        <w:t>Notice of Proposed Rulemaking</w:t>
      </w:r>
      <w:r w:rsidRPr="00BC4E32">
        <w:t xml:space="preserve">, we tentatively conclude that we should allow future </w:t>
      </w:r>
      <w:r w:rsidR="00F53FE1">
        <w:t>CSA</w:t>
      </w:r>
      <w:r w:rsidRPr="00BC4E32">
        <w:t>s</w:t>
      </w:r>
      <w:r>
        <w:t xml:space="preserve"> outside the incentive auction context, and we invite comment on issues attendant to that proposal</w:t>
      </w:r>
      <w:r w:rsidRPr="00DD6179">
        <w:t>.</w:t>
      </w:r>
    </w:p>
    <w:p w:rsidR="000134BC" w:rsidRPr="00DD6179" w:rsidRDefault="000134BC" w:rsidP="000134BC">
      <w:pPr>
        <w:pStyle w:val="Heading2"/>
      </w:pPr>
      <w:bookmarkStart w:id="31" w:name="_Toc415150683"/>
      <w:bookmarkStart w:id="32" w:name="_Toc415151204"/>
      <w:bookmarkStart w:id="33" w:name="_Toc415151352"/>
      <w:bookmarkStart w:id="34" w:name="_Toc416424156"/>
      <w:bookmarkStart w:id="35" w:name="_Toc416424778"/>
      <w:bookmarkStart w:id="36" w:name="_Toc416429423"/>
      <w:r>
        <w:t>Termination of a Sharing Station’s Spectrum Usage Rights</w:t>
      </w:r>
      <w:bookmarkEnd w:id="31"/>
      <w:bookmarkEnd w:id="32"/>
      <w:bookmarkEnd w:id="33"/>
      <w:bookmarkEnd w:id="34"/>
      <w:bookmarkEnd w:id="35"/>
      <w:bookmarkEnd w:id="36"/>
      <w:r w:rsidRPr="00DD6179">
        <w:t xml:space="preserve"> </w:t>
      </w:r>
    </w:p>
    <w:p w:rsidR="00A62BA5" w:rsidRDefault="003835DD" w:rsidP="00BB7F71">
      <w:pPr>
        <w:pStyle w:val="ParaNum"/>
        <w:widowControl/>
      </w:pPr>
      <w:r w:rsidRPr="004D2F87">
        <w:t xml:space="preserve">Under the rules adopted in the </w:t>
      </w:r>
      <w:r w:rsidRPr="00FB2D59">
        <w:rPr>
          <w:i/>
        </w:rPr>
        <w:t>IA R&amp;O</w:t>
      </w:r>
      <w:r w:rsidRPr="004D2F87">
        <w:t xml:space="preserve">, if a channel sharing station’s license is terminated due to voluntary relinquishment, revocation, failure to renew, or any other circumstance, the remaining channel sharing station or stations will </w:t>
      </w:r>
      <w:r w:rsidRPr="00DD6179">
        <w:t>continue to have rights to their portion(s) of the shared channel, and the rights to the terminated portion of the shared channel will revert to the Commission for reassignment</w:t>
      </w:r>
      <w:r>
        <w:t>.</w:t>
      </w:r>
      <w:r w:rsidRPr="00FB2D59">
        <w:rPr>
          <w:vertAlign w:val="superscript"/>
        </w:rPr>
        <w:footnoteReference w:id="68"/>
      </w:r>
      <w:r w:rsidRPr="004D2F87">
        <w:t xml:space="preserve">  </w:t>
      </w:r>
      <w:r>
        <w:t>The Commission further stated that s</w:t>
      </w:r>
      <w:r w:rsidRPr="004D2F87">
        <w:t>hared channels “permanently will be designated as shared in the Table of Allotments, absent a future rulemaking proceeding to redesignate the channel for non-shared use.”</w:t>
      </w:r>
      <w:r w:rsidRPr="00FB2D59">
        <w:rPr>
          <w:vertAlign w:val="superscript"/>
        </w:rPr>
        <w:footnoteReference w:id="69"/>
      </w:r>
      <w:r w:rsidRPr="004D2F87">
        <w:t xml:space="preserve">  </w:t>
      </w:r>
    </w:p>
    <w:p w:rsidR="00A62BA5" w:rsidRDefault="003835DD" w:rsidP="00A62BA5">
      <w:pPr>
        <w:pStyle w:val="ParaNum"/>
      </w:pPr>
      <w:r w:rsidRPr="004D2F87">
        <w:t>EOBC argues that</w:t>
      </w:r>
      <w:r>
        <w:t xml:space="preserve"> “</w:t>
      </w:r>
      <w:r w:rsidRPr="00A62BA5">
        <w:rPr>
          <w:snapToGrid/>
        </w:rPr>
        <w:t>[e]ven the possibility that the FCC could appoint a successor sharing partner will be troublesome to most broadcasters considering the channel sharing option.”</w:t>
      </w:r>
      <w:r w:rsidRPr="00FB2D59">
        <w:rPr>
          <w:vertAlign w:val="superscript"/>
        </w:rPr>
        <w:footnoteReference w:id="70"/>
      </w:r>
      <w:r w:rsidRPr="004D2F87">
        <w:t xml:space="preserve">  Instead, EOBC </w:t>
      </w:r>
      <w:r>
        <w:t>argues that channel sharing parties should have “</w:t>
      </w:r>
      <w:r w:rsidRPr="00A62BA5">
        <w:rPr>
          <w:snapToGrid/>
        </w:rPr>
        <w:t>the option to reclaim the spectrum rights (but not the licenses) previously held by the departing party ...  Thus, if a sharee station relinquishes its spectrum, the host station could either find a new channel sharing partner (among stations that relinquished spectrum in the auction) or resume use of the full six megahertz channel. If the host station relinquishes its spectrum, meanwhile, the sharee station(s) would have the option to assume the previously shared channel, subject to the technical parameters of the existing allotment.</w:t>
      </w:r>
      <w:r>
        <w:t>”</w:t>
      </w:r>
      <w:r w:rsidRPr="00FB2D59">
        <w:rPr>
          <w:vertAlign w:val="superscript"/>
        </w:rPr>
        <w:footnoteReference w:id="71"/>
      </w:r>
      <w:r w:rsidRPr="004D2F87">
        <w:t xml:space="preserve"> </w:t>
      </w:r>
      <w:r w:rsidR="00523518">
        <w:t xml:space="preserve"> </w:t>
      </w:r>
      <w:r w:rsidR="00523518" w:rsidRPr="00300119">
        <w:t>CTIA agrees that</w:t>
      </w:r>
      <w:r w:rsidR="00523518">
        <w:t>,</w:t>
      </w:r>
      <w:r w:rsidR="00523518" w:rsidRPr="00300119">
        <w:t xml:space="preserve"> if a sharing station relinquishes its license, then the right to use the relinquished portion of the shared spectrum should return to the remaining sharing partner(s).</w:t>
      </w:r>
      <w:r w:rsidR="00523518">
        <w:rPr>
          <w:rStyle w:val="FootnoteReference"/>
        </w:rPr>
        <w:footnoteReference w:id="72"/>
      </w:r>
      <w:r w:rsidR="00523518" w:rsidRPr="007B18EA">
        <w:t xml:space="preserve">  </w:t>
      </w:r>
      <w:r w:rsidR="00822E27">
        <w:t>Similarly, Fox, Ion Media, Tribute, and Univision agree that “upon expiration or termination of a CSA sharing stations should have the flexibility either to utilize the full capacity of their shared channel or to enter into a channel sharing arrangement with a new partner (or partners).”</w:t>
      </w:r>
      <w:r w:rsidR="00822E27">
        <w:rPr>
          <w:rStyle w:val="FootnoteReference"/>
        </w:rPr>
        <w:footnoteReference w:id="73"/>
      </w:r>
      <w:r w:rsidR="00822E27">
        <w:t xml:space="preserve">  </w:t>
      </w:r>
      <w:r w:rsidR="00523518" w:rsidRPr="007B18EA">
        <w:t>No parties opposed this request.</w:t>
      </w:r>
    </w:p>
    <w:p w:rsidR="00A62BA5" w:rsidRDefault="003835DD" w:rsidP="00A53404">
      <w:pPr>
        <w:pStyle w:val="ParaNum"/>
        <w:widowControl/>
      </w:pPr>
      <w:r w:rsidRPr="004D2F87">
        <w:t>We grant EOBC’s request</w:t>
      </w:r>
      <w:r>
        <w:t xml:space="preserve">, and </w:t>
      </w:r>
      <w:r w:rsidR="000134BC" w:rsidRPr="00DD6179">
        <w:t xml:space="preserve">modify </w:t>
      </w:r>
      <w:r w:rsidR="00504B41">
        <w:t xml:space="preserve">our rules </w:t>
      </w:r>
      <w:r w:rsidR="000134BC">
        <w:t xml:space="preserve">to allow parties to </w:t>
      </w:r>
      <w:r w:rsidR="00315081">
        <w:t>develop</w:t>
      </w:r>
      <w:r w:rsidR="000134BC">
        <w:t xml:space="preserve"> CSA</w:t>
      </w:r>
      <w:r w:rsidR="00315081">
        <w:t xml:space="preserve"> terms that address</w:t>
      </w:r>
      <w:r w:rsidR="006335E3">
        <w:t xml:space="preserve"> </w:t>
      </w:r>
      <w:r w:rsidR="000134BC">
        <w:t xml:space="preserve">what happens in the event that a sharing party’s license is terminated for any reason, </w:t>
      </w:r>
      <w:r w:rsidR="00315081">
        <w:t xml:space="preserve">rather than providing that </w:t>
      </w:r>
      <w:r w:rsidR="000134BC">
        <w:t xml:space="preserve">the terminated spectrum usage rights revert </w:t>
      </w:r>
      <w:r w:rsidR="000134BC" w:rsidRPr="000C6CDE">
        <w:t>to the Commission for reassignment.</w:t>
      </w:r>
      <w:r w:rsidR="000134BC" w:rsidRPr="004D2F87">
        <w:t xml:space="preserve"> </w:t>
      </w:r>
      <w:r w:rsidR="000134BC">
        <w:t xml:space="preserve"> In addition, to provide flexibility for a channel’s return to non-shared status if </w:t>
      </w:r>
      <w:r w:rsidR="000134BC" w:rsidRPr="004D2F87">
        <w:t xml:space="preserve">only one sharing partner remains on a channel, </w:t>
      </w:r>
      <w:r w:rsidR="000134BC" w:rsidRPr="00DD6179">
        <w:t xml:space="preserve">we will not designate channels as “shared” in the Table of Allotments.  </w:t>
      </w:r>
      <w:r w:rsidR="00504B41">
        <w:t>O</w:t>
      </w:r>
      <w:r w:rsidR="000134BC">
        <w:t>ur decisions here do not affect</w:t>
      </w:r>
      <w:r w:rsidR="000134BC" w:rsidRPr="00DD6179">
        <w:t xml:space="preserve"> the right of a channel sharing party to assign or transfer its license consistent with the </w:t>
      </w:r>
      <w:r w:rsidR="000134BC" w:rsidRPr="005F7B2E">
        <w:t>IA R&amp;</w:t>
      </w:r>
      <w:r w:rsidR="000134BC" w:rsidRPr="00A62BA5">
        <w:rPr>
          <w:i/>
        </w:rPr>
        <w:t>O</w:t>
      </w:r>
      <w:r w:rsidR="000134BC" w:rsidRPr="00EE211D">
        <w:t>.</w:t>
      </w:r>
      <w:r w:rsidR="000134BC" w:rsidRPr="00FB2D59">
        <w:rPr>
          <w:vertAlign w:val="superscript"/>
        </w:rPr>
        <w:footnoteReference w:id="74"/>
      </w:r>
      <w:r w:rsidR="000134BC" w:rsidRPr="004D2F87">
        <w:t xml:space="preserve">  </w:t>
      </w:r>
    </w:p>
    <w:p w:rsidR="00D036BB" w:rsidRPr="004D2F87" w:rsidRDefault="000134BC" w:rsidP="00A62BA5">
      <w:pPr>
        <w:pStyle w:val="ParaNum"/>
      </w:pPr>
      <w:r w:rsidRPr="004D2F87">
        <w:t>We agree with EOBC that</w:t>
      </w:r>
      <w:r>
        <w:t>, as business partners, channel sharers should</w:t>
      </w:r>
      <w:r w:rsidRPr="004D2F87">
        <w:t xml:space="preserve"> “have the ability to choose partners that satisfy their own criteria.”</w:t>
      </w:r>
      <w:r w:rsidRPr="00FB2D59">
        <w:rPr>
          <w:vertAlign w:val="superscript"/>
        </w:rPr>
        <w:footnoteReference w:id="75"/>
      </w:r>
      <w:r w:rsidRPr="004D2F87">
        <w:t xml:space="preserve">  </w:t>
      </w:r>
      <w:r w:rsidR="00076A16">
        <w:t>The Commission will not select a sharing partner.  To accommodate this flexibility,</w:t>
      </w:r>
      <w:r>
        <w:t xml:space="preserve"> </w:t>
      </w:r>
      <w:r w:rsidRPr="004D2F87">
        <w:t>we will not permanently designate channels as “shared” in the Table of Allotments</w:t>
      </w:r>
      <w:r w:rsidR="00A62915">
        <w:t xml:space="preserve">, and </w:t>
      </w:r>
      <w:r>
        <w:t>a channel’s shared status will be indicated on the station license</w:t>
      </w:r>
      <w:r w:rsidRPr="004D2F87">
        <w:t>.</w:t>
      </w:r>
      <w:r w:rsidR="00A62915">
        <w:rPr>
          <w:rStyle w:val="FootnoteReference"/>
        </w:rPr>
        <w:footnoteReference w:id="76"/>
      </w:r>
      <w:r w:rsidRPr="004D2F87">
        <w:t xml:space="preserve">  In the event that a sharing partner relinquishes its license, </w:t>
      </w:r>
      <w:r>
        <w:t>it</w:t>
      </w:r>
      <w:r w:rsidRPr="004D2F87">
        <w:t xml:space="preserve">s spectrum usage rights (but not its license) </w:t>
      </w:r>
      <w:r>
        <w:t>may</w:t>
      </w:r>
      <w:r w:rsidRPr="004D2F87">
        <w:t xml:space="preserve"> revert to the remaining sharing partners</w:t>
      </w:r>
      <w:r>
        <w:t xml:space="preserve"> </w:t>
      </w:r>
      <w:r w:rsidR="00076A16">
        <w:t>if the partners so agree</w:t>
      </w:r>
      <w:r w:rsidRPr="00EE211D">
        <w:t>.</w:t>
      </w:r>
      <w:r w:rsidRPr="00FB2D59">
        <w:rPr>
          <w:vertAlign w:val="superscript"/>
        </w:rPr>
        <w:footnoteReference w:id="77"/>
      </w:r>
      <w:r w:rsidRPr="00EE211D">
        <w:t xml:space="preserve">  Where only one sharing partner remains, it may apply to change its license to non-shared status using FCC Form </w:t>
      </w:r>
      <w:r w:rsidRPr="00A62BA5">
        <w:rPr>
          <w:snapToGrid/>
        </w:rPr>
        <w:t>2100</w:t>
      </w:r>
      <w:r w:rsidR="00933FB2">
        <w:t xml:space="preserve"> Schedule </w:t>
      </w:r>
      <w:r w:rsidRPr="00EE211D">
        <w:t>B (formerly FCC Form 302)</w:t>
      </w:r>
      <w:r w:rsidR="00933FB2">
        <w:t xml:space="preserve"> or F (formerly FCC Form 302-CA)</w:t>
      </w:r>
      <w:r w:rsidRPr="00EE211D">
        <w:t>.</w:t>
      </w:r>
      <w:r w:rsidR="00FD4AA0">
        <w:rPr>
          <w:rStyle w:val="FootnoteReference"/>
        </w:rPr>
        <w:footnoteReference w:id="78"/>
      </w:r>
      <w:r w:rsidR="000E746D">
        <w:t xml:space="preserve">  </w:t>
      </w:r>
      <w:r w:rsidR="000E746D" w:rsidRPr="000E746D">
        <w:t xml:space="preserve">If a full power station that is sharing with a Class A station relinquishes its license, then the Class A station would </w:t>
      </w:r>
      <w:r w:rsidR="008948D3">
        <w:t xml:space="preserve">continue to </w:t>
      </w:r>
      <w:r w:rsidR="000E746D" w:rsidRPr="000E746D">
        <w:t>operate under the rules governing Class A stations.</w:t>
      </w:r>
      <w:r w:rsidR="000E746D">
        <w:rPr>
          <w:rStyle w:val="FootnoteReference"/>
        </w:rPr>
        <w:footnoteReference w:id="79"/>
      </w:r>
      <w:r w:rsidR="000E746D" w:rsidRPr="000E746D">
        <w:t xml:space="preserve">  </w:t>
      </w:r>
      <w:r w:rsidR="007872B2">
        <w:t>I</w:t>
      </w:r>
      <w:r w:rsidR="00033323">
        <w:t xml:space="preserve">f </w:t>
      </w:r>
      <w:r w:rsidR="007872B2">
        <w:t xml:space="preserve">the sharing partner is </w:t>
      </w:r>
      <w:r w:rsidR="00033323">
        <w:t>a noncommercial educational (“NCE”) station operating on a</w:t>
      </w:r>
      <w:r w:rsidR="007872B2">
        <w:t xml:space="preserve"> reserved channel, its portion of the shared channel </w:t>
      </w:r>
      <w:r w:rsidR="00033323">
        <w:t>must continue to be reserved for NCE-only use.</w:t>
      </w:r>
      <w:r w:rsidR="00033323">
        <w:rPr>
          <w:rStyle w:val="FootnoteReference"/>
        </w:rPr>
        <w:footnoteReference w:id="80"/>
      </w:r>
      <w:r w:rsidR="00033323">
        <w:t xml:space="preserve">  </w:t>
      </w:r>
      <w:r w:rsidR="00FE2E9C">
        <w:t>In this regard, t</w:t>
      </w:r>
      <w:r w:rsidR="000E746D" w:rsidRPr="000E746D">
        <w:t>he Commission recognizes the import</w:t>
      </w:r>
      <w:r w:rsidR="00442B2D">
        <w:t>ant public service mission of NCE s</w:t>
      </w:r>
      <w:r w:rsidR="007872B2">
        <w:t>tation</w:t>
      </w:r>
      <w:r w:rsidR="000E746D" w:rsidRPr="000E746D">
        <w:t xml:space="preserve">s, and disfavors dereserving </w:t>
      </w:r>
      <w:r w:rsidR="00FE2E9C">
        <w:t xml:space="preserve">NCE-only </w:t>
      </w:r>
      <w:r w:rsidR="000E746D" w:rsidRPr="000E746D">
        <w:t>channels.</w:t>
      </w:r>
      <w:r w:rsidR="000E746D">
        <w:rPr>
          <w:rStyle w:val="FootnoteReference"/>
        </w:rPr>
        <w:footnoteReference w:id="81"/>
      </w:r>
      <w:r w:rsidR="000E746D" w:rsidRPr="000E746D">
        <w:t xml:space="preserve">  Thus, in the unlikely event that a reserved-channel </w:t>
      </w:r>
      <w:r w:rsidR="007872B2">
        <w:t>NCE</w:t>
      </w:r>
      <w:r w:rsidR="000E746D" w:rsidRPr="000E746D">
        <w:t xml:space="preserve"> station that shar</w:t>
      </w:r>
      <w:r w:rsidR="00FE2E9C">
        <w:t>es</w:t>
      </w:r>
      <w:r w:rsidR="000E746D" w:rsidRPr="000E746D">
        <w:t xml:space="preserve"> with a commercial station face</w:t>
      </w:r>
      <w:r w:rsidR="007872B2">
        <w:t>s</w:t>
      </w:r>
      <w:r w:rsidR="000E746D" w:rsidRPr="000E746D">
        <w:t xml:space="preserve"> involuntary license termination,</w:t>
      </w:r>
      <w:r w:rsidR="000E746D">
        <w:rPr>
          <w:rStyle w:val="FootnoteReference"/>
        </w:rPr>
        <w:footnoteReference w:id="82"/>
      </w:r>
      <w:r w:rsidR="00FE2E9C">
        <w:t xml:space="preserve"> creating a</w:t>
      </w:r>
      <w:r w:rsidR="007872B2">
        <w:t xml:space="preserve"> risk </w:t>
      </w:r>
      <w:r w:rsidR="00FE2E9C">
        <w:t>of dereservation,</w:t>
      </w:r>
      <w:r w:rsidR="000E746D" w:rsidRPr="000E746D">
        <w:t xml:space="preserve"> the Commission will exercise its broad discretion to ensure that the public interest is served.</w:t>
      </w:r>
    </w:p>
    <w:p w:rsidR="00260A84" w:rsidRPr="004D2F87" w:rsidRDefault="00145EC3" w:rsidP="00FB2D59">
      <w:pPr>
        <w:pStyle w:val="Heading2"/>
      </w:pPr>
      <w:bookmarkStart w:id="37" w:name="_Toc415150684"/>
      <w:bookmarkStart w:id="38" w:name="_Toc415151205"/>
      <w:bookmarkStart w:id="39" w:name="_Toc415151353"/>
      <w:bookmarkStart w:id="40" w:name="_Toc416424157"/>
      <w:bookmarkStart w:id="41" w:name="_Toc416424779"/>
      <w:bookmarkStart w:id="42" w:name="_Toc416429424"/>
      <w:r>
        <w:t>Commission</w:t>
      </w:r>
      <w:r w:rsidR="008B4100" w:rsidRPr="004D2F87">
        <w:t xml:space="preserve"> Review of CSAs</w:t>
      </w:r>
      <w:r w:rsidR="00935126">
        <w:t xml:space="preserve"> and Licensing of Channel Sharees</w:t>
      </w:r>
      <w:bookmarkEnd w:id="37"/>
      <w:bookmarkEnd w:id="38"/>
      <w:bookmarkEnd w:id="39"/>
      <w:bookmarkEnd w:id="40"/>
      <w:bookmarkEnd w:id="41"/>
      <w:bookmarkEnd w:id="42"/>
    </w:p>
    <w:p w:rsidR="00A62BA5" w:rsidRDefault="009D3152" w:rsidP="00A62BA5">
      <w:pPr>
        <w:pStyle w:val="ParaNum"/>
      </w:pPr>
      <w:r>
        <w:t xml:space="preserve">In order to provide additional certainty to broadcasters </w:t>
      </w:r>
      <w:r w:rsidR="00701A79">
        <w:t xml:space="preserve">interested in the channel sharing </w:t>
      </w:r>
      <w:r w:rsidR="00300119">
        <w:t>bid</w:t>
      </w:r>
      <w:r w:rsidR="00701A79">
        <w:t xml:space="preserve"> option</w:t>
      </w:r>
      <w:r>
        <w:t xml:space="preserve">, </w:t>
      </w:r>
      <w:r w:rsidR="00ED5360">
        <w:t xml:space="preserve">and in light of our decision to allow post-auction CSAs, </w:t>
      </w:r>
      <w:r>
        <w:t>w</w:t>
      </w:r>
      <w:r w:rsidR="006B49D9">
        <w:t>e</w:t>
      </w:r>
      <w:r w:rsidR="00BC4E32">
        <w:t xml:space="preserve"> </w:t>
      </w:r>
      <w:r w:rsidR="00ED5360">
        <w:t xml:space="preserve">modify and </w:t>
      </w:r>
      <w:r w:rsidR="006B49D9">
        <w:t xml:space="preserve">clarify our </w:t>
      </w:r>
      <w:r>
        <w:t xml:space="preserve">procedures for submission and review of </w:t>
      </w:r>
      <w:r w:rsidR="00EA250C">
        <w:t>both</w:t>
      </w:r>
      <w:r w:rsidR="00294FDC">
        <w:t xml:space="preserve"> pre-auction and post-auction</w:t>
      </w:r>
      <w:r w:rsidR="00EA250C">
        <w:t xml:space="preserve"> CSAs</w:t>
      </w:r>
      <w:r w:rsidR="006B49D9">
        <w:t xml:space="preserve">.  </w:t>
      </w:r>
      <w:r w:rsidR="00701A79">
        <w:t xml:space="preserve">At the outset, we emphasize that we will not question parties’ business judgment in drafting CSAs.  As EOBC notes, </w:t>
      </w:r>
      <w:r w:rsidR="00701A79" w:rsidRPr="00F20E3F">
        <w:t>“broadcasters should be responsible for crafting agreements consistent with the rules adopted by the FCC.”</w:t>
      </w:r>
      <w:r w:rsidR="00701A79">
        <w:rPr>
          <w:rStyle w:val="FootnoteReference"/>
        </w:rPr>
        <w:footnoteReference w:id="83"/>
      </w:r>
      <w:r w:rsidR="00701A79">
        <w:t xml:space="preserve">  </w:t>
      </w:r>
      <w:r w:rsidR="0000108E">
        <w:t xml:space="preserve">  </w:t>
      </w:r>
    </w:p>
    <w:p w:rsidR="00A62BA5" w:rsidRDefault="00221678" w:rsidP="00A62BA5">
      <w:pPr>
        <w:pStyle w:val="ParaNum"/>
      </w:pPr>
      <w:r>
        <w:t xml:space="preserve">If a licensee submits an </w:t>
      </w:r>
      <w:r w:rsidR="00BB5BFA">
        <w:t>executed CSA</w:t>
      </w:r>
      <w:r>
        <w:t xml:space="preserve"> before the </w:t>
      </w:r>
      <w:r w:rsidR="004E2061">
        <w:t xml:space="preserve">auction along with </w:t>
      </w:r>
      <w:r>
        <w:t>its</w:t>
      </w:r>
      <w:r w:rsidR="004E2061">
        <w:t xml:space="preserve"> </w:t>
      </w:r>
      <w:r w:rsidR="0036349B">
        <w:t>auction application</w:t>
      </w:r>
      <w:r>
        <w:t xml:space="preserve">, we will accept </w:t>
      </w:r>
      <w:r w:rsidR="00933FB2">
        <w:t>for purposes of determining eligibility to participate</w:t>
      </w:r>
      <w:r>
        <w:t xml:space="preserve"> the applicant’s </w:t>
      </w:r>
      <w:r w:rsidRPr="00A62BA5">
        <w:rPr>
          <w:color w:val="000000" w:themeColor="text1"/>
          <w:szCs w:val="22"/>
        </w:rPr>
        <w:t xml:space="preserve">certification that the CSA complies with our </w:t>
      </w:r>
      <w:r w:rsidR="00EA250C" w:rsidRPr="00A62BA5">
        <w:rPr>
          <w:color w:val="000000" w:themeColor="text1"/>
          <w:szCs w:val="22"/>
        </w:rPr>
        <w:t xml:space="preserve">channel sharing operating </w:t>
      </w:r>
      <w:r w:rsidRPr="00A62BA5">
        <w:rPr>
          <w:color w:val="000000" w:themeColor="text1"/>
          <w:szCs w:val="22"/>
        </w:rPr>
        <w:t>rules.  We will not review the CSA itself at the pre-auction stage</w:t>
      </w:r>
      <w:r w:rsidR="00EA250C" w:rsidRPr="00A62BA5">
        <w:rPr>
          <w:color w:val="000000" w:themeColor="text1"/>
          <w:szCs w:val="22"/>
        </w:rPr>
        <w:t xml:space="preserve"> for compliance with our operating rules</w:t>
      </w:r>
      <w:r w:rsidRPr="00A62BA5">
        <w:rPr>
          <w:color w:val="000000" w:themeColor="text1"/>
          <w:szCs w:val="22"/>
        </w:rPr>
        <w:t xml:space="preserve">.  </w:t>
      </w:r>
      <w:r w:rsidR="00EA250C" w:rsidRPr="00A62BA5">
        <w:rPr>
          <w:color w:val="000000" w:themeColor="text1"/>
          <w:szCs w:val="22"/>
        </w:rPr>
        <w:t xml:space="preserve">We will review the CSA at the pre-auction stage solely to confirm that </w:t>
      </w:r>
      <w:r w:rsidR="00EA250C" w:rsidRPr="00A62BA5">
        <w:rPr>
          <w:color w:val="000000" w:themeColor="text1"/>
        </w:rPr>
        <w:t xml:space="preserve">the </w:t>
      </w:r>
      <w:r w:rsidR="002D3854" w:rsidRPr="00A62BA5">
        <w:rPr>
          <w:color w:val="000000" w:themeColor="text1"/>
        </w:rPr>
        <w:t>p</w:t>
      </w:r>
      <w:r w:rsidR="00300119" w:rsidRPr="00A62BA5">
        <w:rPr>
          <w:color w:val="000000" w:themeColor="text1"/>
        </w:rPr>
        <w:t>arties qualify for the anti-collusion rule e</w:t>
      </w:r>
      <w:r w:rsidR="00300119" w:rsidRPr="00A62BA5">
        <w:rPr>
          <w:color w:val="000000" w:themeColor="text1"/>
          <w:szCs w:val="22"/>
        </w:rPr>
        <w:t>xception</w:t>
      </w:r>
      <w:r w:rsidR="001F16F8" w:rsidRPr="00A62BA5">
        <w:rPr>
          <w:color w:val="000000" w:themeColor="text1"/>
          <w:szCs w:val="22"/>
        </w:rPr>
        <w:t xml:space="preserve"> adopted in the </w:t>
      </w:r>
      <w:r w:rsidR="001F16F8" w:rsidRPr="00A62BA5">
        <w:rPr>
          <w:i/>
          <w:color w:val="000000" w:themeColor="text1"/>
          <w:szCs w:val="22"/>
        </w:rPr>
        <w:t>IA R&amp;O</w:t>
      </w:r>
      <w:r w:rsidR="00300119" w:rsidRPr="00A62BA5">
        <w:rPr>
          <w:color w:val="000000" w:themeColor="text1"/>
          <w:szCs w:val="22"/>
        </w:rPr>
        <w:t>.</w:t>
      </w:r>
      <w:r w:rsidR="00300119" w:rsidRPr="00975160">
        <w:rPr>
          <w:rStyle w:val="FootnoteReference"/>
          <w:color w:val="000000" w:themeColor="text1"/>
          <w:szCs w:val="22"/>
        </w:rPr>
        <w:footnoteReference w:id="84"/>
      </w:r>
      <w:r w:rsidR="00701A79" w:rsidRPr="00A62BA5">
        <w:rPr>
          <w:color w:val="000000" w:themeColor="text1"/>
          <w:szCs w:val="22"/>
        </w:rPr>
        <w:t xml:space="preserve">  </w:t>
      </w:r>
    </w:p>
    <w:p w:rsidR="00880EDB" w:rsidRDefault="00790FAF" w:rsidP="00A62BA5">
      <w:pPr>
        <w:pStyle w:val="ParaNum"/>
      </w:pPr>
      <w:r w:rsidRPr="00A62BA5">
        <w:rPr>
          <w:color w:val="000000" w:themeColor="text1"/>
          <w:szCs w:val="22"/>
        </w:rPr>
        <w:t>P</w:t>
      </w:r>
      <w:r w:rsidR="00701A79" w:rsidRPr="00A62BA5">
        <w:rPr>
          <w:color w:val="000000" w:themeColor="text1"/>
          <w:szCs w:val="22"/>
        </w:rPr>
        <w:t>ost</w:t>
      </w:r>
      <w:r w:rsidR="00A62915" w:rsidRPr="00A62BA5">
        <w:rPr>
          <w:color w:val="000000" w:themeColor="text1"/>
          <w:szCs w:val="22"/>
        </w:rPr>
        <w:t>-</w:t>
      </w:r>
      <w:r w:rsidR="00701A79" w:rsidRPr="00A62BA5">
        <w:rPr>
          <w:color w:val="000000" w:themeColor="text1"/>
          <w:szCs w:val="22"/>
        </w:rPr>
        <w:t>auction</w:t>
      </w:r>
      <w:r w:rsidRPr="00A62BA5">
        <w:rPr>
          <w:color w:val="000000" w:themeColor="text1"/>
          <w:szCs w:val="22"/>
        </w:rPr>
        <w:t>,</w:t>
      </w:r>
      <w:r w:rsidR="00701A79" w:rsidRPr="00A62BA5">
        <w:rPr>
          <w:color w:val="000000" w:themeColor="text1"/>
          <w:szCs w:val="22"/>
        </w:rPr>
        <w:t xml:space="preserve"> we will review </w:t>
      </w:r>
      <w:r w:rsidR="00221678" w:rsidRPr="00A62BA5">
        <w:rPr>
          <w:color w:val="000000" w:themeColor="text1"/>
          <w:szCs w:val="22"/>
        </w:rPr>
        <w:t xml:space="preserve">CSAs submitted before or after the auction </w:t>
      </w:r>
      <w:r w:rsidR="00EA250C" w:rsidRPr="00A62BA5">
        <w:rPr>
          <w:color w:val="000000" w:themeColor="text1"/>
          <w:szCs w:val="22"/>
        </w:rPr>
        <w:t xml:space="preserve">by successful bidders </w:t>
      </w:r>
      <w:r w:rsidR="00701A79" w:rsidRPr="00A62BA5">
        <w:rPr>
          <w:color w:val="000000" w:themeColor="text1"/>
          <w:szCs w:val="22"/>
        </w:rPr>
        <w:t xml:space="preserve">to determine whether </w:t>
      </w:r>
      <w:r w:rsidR="00221678" w:rsidRPr="00A62BA5">
        <w:rPr>
          <w:color w:val="000000" w:themeColor="text1"/>
          <w:szCs w:val="22"/>
        </w:rPr>
        <w:t>the</w:t>
      </w:r>
      <w:r w:rsidR="00EA250C" w:rsidRPr="00A62BA5">
        <w:rPr>
          <w:color w:val="000000" w:themeColor="text1"/>
          <w:szCs w:val="22"/>
        </w:rPr>
        <w:t xml:space="preserve"> CSAs</w:t>
      </w:r>
      <w:r w:rsidR="00221678" w:rsidRPr="00A62BA5">
        <w:rPr>
          <w:color w:val="000000" w:themeColor="text1"/>
          <w:szCs w:val="22"/>
        </w:rPr>
        <w:t xml:space="preserve"> </w:t>
      </w:r>
      <w:r w:rsidR="00701A79" w:rsidRPr="00A62BA5">
        <w:rPr>
          <w:color w:val="000000" w:themeColor="text1"/>
          <w:szCs w:val="22"/>
        </w:rPr>
        <w:t xml:space="preserve">meet </w:t>
      </w:r>
      <w:r w:rsidR="002D3854" w:rsidRPr="00A62BA5">
        <w:rPr>
          <w:color w:val="000000" w:themeColor="text1"/>
          <w:szCs w:val="22"/>
        </w:rPr>
        <w:t xml:space="preserve">the requirements the Commission has adopted to ensure compliance with our </w:t>
      </w:r>
      <w:r w:rsidR="00EA250C" w:rsidRPr="00A62BA5">
        <w:rPr>
          <w:color w:val="000000" w:themeColor="text1"/>
          <w:szCs w:val="22"/>
        </w:rPr>
        <w:t xml:space="preserve">CSA operating </w:t>
      </w:r>
      <w:r w:rsidR="002D3854" w:rsidRPr="00A62BA5">
        <w:rPr>
          <w:color w:val="000000" w:themeColor="text1"/>
          <w:szCs w:val="22"/>
        </w:rPr>
        <w:t>rules and policies.</w:t>
      </w:r>
      <w:r w:rsidR="002D3854">
        <w:rPr>
          <w:rStyle w:val="FootnoteReference"/>
          <w:szCs w:val="22"/>
        </w:rPr>
        <w:footnoteReference w:id="85"/>
      </w:r>
      <w:r w:rsidR="00701A79" w:rsidRPr="00A62BA5">
        <w:rPr>
          <w:color w:val="000000" w:themeColor="text1"/>
          <w:szCs w:val="22"/>
        </w:rPr>
        <w:t xml:space="preserve">  </w:t>
      </w:r>
      <w:r w:rsidR="00701A79">
        <w:t>Although in the</w:t>
      </w:r>
      <w:r w:rsidR="00701A79" w:rsidRPr="00A62BA5">
        <w:rPr>
          <w:i/>
        </w:rPr>
        <w:t xml:space="preserve"> IA R&amp;O</w:t>
      </w:r>
      <w:r w:rsidR="00701A79">
        <w:t xml:space="preserve"> we reserve</w:t>
      </w:r>
      <w:r w:rsidR="002D3854">
        <w:t>d</w:t>
      </w:r>
      <w:r w:rsidR="00701A79">
        <w:t xml:space="preserve"> the right to review the CSA and require modification of any </w:t>
      </w:r>
      <w:r w:rsidR="00EA250C">
        <w:t xml:space="preserve">CSAs </w:t>
      </w:r>
      <w:r w:rsidR="00701A79">
        <w:t xml:space="preserve">that do not comply with our </w:t>
      </w:r>
      <w:r w:rsidR="00EA250C">
        <w:t xml:space="preserve">CSA operating </w:t>
      </w:r>
      <w:r w:rsidR="00701A79">
        <w:t>rules and policies,</w:t>
      </w:r>
      <w:r w:rsidR="00701A79">
        <w:rPr>
          <w:rStyle w:val="FootnoteReference"/>
        </w:rPr>
        <w:footnoteReference w:id="86"/>
      </w:r>
      <w:r w:rsidR="00701A79">
        <w:t xml:space="preserve"> we clarify that such review will </w:t>
      </w:r>
      <w:r w:rsidR="00933FB2">
        <w:t xml:space="preserve">occur </w:t>
      </w:r>
      <w:r w:rsidR="00EA250C">
        <w:t>after the auction</w:t>
      </w:r>
      <w:r w:rsidR="00701A79">
        <w:t xml:space="preserve">.  To allow time for such review, we modify our </w:t>
      </w:r>
      <w:r w:rsidR="00300119">
        <w:t>rules to require that,</w:t>
      </w:r>
      <w:r w:rsidR="00701A79">
        <w:t xml:space="preserve"> at least 60 days prior to the date by which it must implement the </w:t>
      </w:r>
      <w:r w:rsidR="001E2409">
        <w:t>CSA</w:t>
      </w:r>
      <w:r w:rsidR="00701A79">
        <w:t>,</w:t>
      </w:r>
      <w:r w:rsidR="00701A79">
        <w:rPr>
          <w:rStyle w:val="FootnoteReference"/>
        </w:rPr>
        <w:footnoteReference w:id="87"/>
      </w:r>
      <w:r w:rsidR="00701A79">
        <w:t xml:space="preserve"> the channel sharee file a</w:t>
      </w:r>
      <w:r w:rsidR="00F155FA">
        <w:t xml:space="preserve"> minor change</w:t>
      </w:r>
      <w:r w:rsidR="00701A79">
        <w:t xml:space="preserve"> application for a construction permit specifying the same technical facilities as the sharer station</w:t>
      </w:r>
      <w:r w:rsidR="00300119">
        <w:t>,</w:t>
      </w:r>
      <w:r w:rsidR="00701A79">
        <w:rPr>
          <w:rStyle w:val="FootnoteReference"/>
        </w:rPr>
        <w:footnoteReference w:id="88"/>
      </w:r>
      <w:r w:rsidR="00701A79">
        <w:t xml:space="preserve"> and include a copy of the CSA with its application.</w:t>
      </w:r>
      <w:r w:rsidR="00701A79">
        <w:rPr>
          <w:rStyle w:val="FootnoteReference"/>
        </w:rPr>
        <w:footnoteReference w:id="89"/>
      </w:r>
      <w:r w:rsidR="00701A79">
        <w:t xml:space="preserve">  This requirement will be the same regardless of whether the parties execute their CSA </w:t>
      </w:r>
      <w:r w:rsidR="00300119">
        <w:t xml:space="preserve">before or after the </w:t>
      </w:r>
      <w:r w:rsidR="00701A79">
        <w:t>auction.</w:t>
      </w:r>
      <w:r w:rsidR="00B75FB4">
        <w:rPr>
          <w:rStyle w:val="FootnoteReference"/>
        </w:rPr>
        <w:footnoteReference w:id="90"/>
      </w:r>
      <w:r w:rsidR="00701A79">
        <w:t xml:space="preserve">  Following grant of the construction permit and initiation of shared operations, both the sharee and sharer must file a license application.  </w:t>
      </w:r>
      <w:r w:rsidR="00EA250C">
        <w:t>W</w:t>
      </w:r>
      <w:r w:rsidR="00701A79">
        <w:t>e emphasize</w:t>
      </w:r>
      <w:r w:rsidR="00BC4E32">
        <w:t xml:space="preserve"> again</w:t>
      </w:r>
      <w:r w:rsidR="00701A79">
        <w:t xml:space="preserve"> that the Commission does not involve itself in private contractual agreements,</w:t>
      </w:r>
      <w:r w:rsidR="00701A79">
        <w:rPr>
          <w:rStyle w:val="FootnoteReference"/>
        </w:rPr>
        <w:footnoteReference w:id="91"/>
      </w:r>
      <w:r w:rsidR="00701A79">
        <w:t xml:space="preserve"> and we do not intend during our review of the CSA to substitute our judgment for that of the parties with respect to the terms of the </w:t>
      </w:r>
      <w:r w:rsidR="008B0F23">
        <w:t>agreement</w:t>
      </w:r>
      <w:r w:rsidR="00701A79">
        <w:t>.  Thus, we</w:t>
      </w:r>
      <w:r w:rsidR="007B18EA">
        <w:t xml:space="preserve"> will</w:t>
      </w:r>
      <w:r w:rsidR="00701A79">
        <w:t xml:space="preserve"> limit our </w:t>
      </w:r>
      <w:r w:rsidR="00EA250C">
        <w:t xml:space="preserve">post-auction </w:t>
      </w:r>
      <w:r w:rsidR="00701A79">
        <w:t>review to confirming that the CSA contains the required provisions and that</w:t>
      </w:r>
      <w:r w:rsidR="00933FB2">
        <w:t xml:space="preserve"> any</w:t>
      </w:r>
      <w:r w:rsidR="00701A79">
        <w:t xml:space="preserve"> terms beyond those related to sharing of bitstream and related technical facilities comport with our general rules and policies </w:t>
      </w:r>
      <w:r w:rsidR="00EA250C">
        <w:t>regarding licensee</w:t>
      </w:r>
      <w:r w:rsidR="00701A79">
        <w:t xml:space="preserve"> agreements.</w:t>
      </w:r>
      <w:r w:rsidR="007B18EA">
        <w:rPr>
          <w:rStyle w:val="FootnoteReference"/>
        </w:rPr>
        <w:footnoteReference w:id="92"/>
      </w:r>
      <w:r w:rsidR="00FE487C">
        <w:t xml:space="preserve">  </w:t>
      </w:r>
      <w:r w:rsidR="006F6FBC" w:rsidRPr="00A62BA5">
        <w:rPr>
          <w:color w:val="000000"/>
        </w:rPr>
        <w:t xml:space="preserve">We also reiterate that any application for a construction permit or modified license filed in accordance with the requirements </w:t>
      </w:r>
      <w:r w:rsidR="006F6FBC" w:rsidRPr="00A62BA5">
        <w:rPr>
          <w:bCs/>
          <w:color w:val="000000"/>
        </w:rPr>
        <w:t>established here or in</w:t>
      </w:r>
      <w:r w:rsidR="006F6FBC" w:rsidRPr="00A62BA5">
        <w:rPr>
          <w:color w:val="000000"/>
        </w:rPr>
        <w:t xml:space="preserve"> the </w:t>
      </w:r>
      <w:r w:rsidR="006F6FBC" w:rsidRPr="00A62BA5">
        <w:rPr>
          <w:i/>
          <w:iCs/>
          <w:color w:val="000000"/>
        </w:rPr>
        <w:t>IA R&amp;O</w:t>
      </w:r>
      <w:r w:rsidR="006F6FBC" w:rsidRPr="00A62BA5">
        <w:rPr>
          <w:color w:val="000000"/>
        </w:rPr>
        <w:t xml:space="preserve"> will not trigger the filing of competing applications</w:t>
      </w:r>
      <w:r w:rsidR="00FE487C" w:rsidRPr="00A62BA5">
        <w:rPr>
          <w:color w:val="000000"/>
          <w:shd w:val="clear" w:color="auto" w:fill="FFFFFF"/>
        </w:rPr>
        <w:t>.</w:t>
      </w:r>
      <w:r w:rsidR="00FE487C">
        <w:rPr>
          <w:rStyle w:val="FootnoteReference"/>
          <w:shd w:val="clear" w:color="auto" w:fill="FFFFFF"/>
        </w:rPr>
        <w:footnoteReference w:id="93"/>
      </w:r>
      <w:r w:rsidR="00FE487C" w:rsidRPr="00CF0D1E">
        <w:t xml:space="preserve">  </w:t>
      </w:r>
    </w:p>
    <w:p w:rsidR="000134BC" w:rsidRPr="00DD6179" w:rsidRDefault="000134BC" w:rsidP="000134BC">
      <w:pPr>
        <w:pStyle w:val="Heading2"/>
      </w:pPr>
      <w:bookmarkStart w:id="43" w:name="_Toc415150685"/>
      <w:bookmarkStart w:id="44" w:name="_Toc415151206"/>
      <w:bookmarkStart w:id="45" w:name="_Toc415151354"/>
      <w:bookmarkStart w:id="46" w:name="_Toc416424158"/>
      <w:bookmarkStart w:id="47" w:name="_Toc416424780"/>
      <w:bookmarkStart w:id="48" w:name="_Toc416429425"/>
      <w:r>
        <w:t>Exception to Prohibited Communications for Parties to CSAs</w:t>
      </w:r>
      <w:bookmarkEnd w:id="43"/>
      <w:bookmarkEnd w:id="44"/>
      <w:bookmarkEnd w:id="45"/>
      <w:bookmarkEnd w:id="46"/>
      <w:bookmarkEnd w:id="47"/>
      <w:bookmarkEnd w:id="48"/>
    </w:p>
    <w:p w:rsidR="000134BC" w:rsidRPr="004D2F87" w:rsidRDefault="000134BC" w:rsidP="00A62BA5">
      <w:pPr>
        <w:pStyle w:val="ParaNum"/>
      </w:pPr>
      <w:r w:rsidRPr="00DD6179">
        <w:t xml:space="preserve">Under the rules adopted in the </w:t>
      </w:r>
      <w:r>
        <w:rPr>
          <w:i/>
        </w:rPr>
        <w:t>IA R&amp;O</w:t>
      </w:r>
      <w:r>
        <w:t xml:space="preserve">, all parties to a CSA </w:t>
      </w:r>
      <w:r w:rsidR="00E83178">
        <w:t>submitted with</w:t>
      </w:r>
      <w:r>
        <w:t xml:space="preserve"> a reverse auction application may communicate with each other about their bids and bidding strategies.</w:t>
      </w:r>
      <w:r>
        <w:rPr>
          <w:rStyle w:val="FootnoteReference"/>
        </w:rPr>
        <w:footnoteReference w:id="94"/>
      </w:r>
      <w:r>
        <w:t xml:space="preserve">  The Commission adopted this exception to the rule generally prohibiting such communications in order to encourage channel sharing relationships, allowing potential channel sharers to fully engage as various options are presented during the auction process.</w:t>
      </w:r>
      <w:r>
        <w:rPr>
          <w:rStyle w:val="FootnoteReference"/>
        </w:rPr>
        <w:footnoteReference w:id="95"/>
      </w:r>
      <w:r>
        <w:t xml:space="preserve">  In light of the risk of agreements to reduce competition in response to auction conditions, however, the exception is limited to CSAs executed prior to the reverse auction application filing deadline and </w:t>
      </w:r>
      <w:r w:rsidR="00E83178">
        <w:t>submitted with</w:t>
      </w:r>
      <w:r>
        <w:t xml:space="preserve"> the reverse auction application.</w:t>
      </w:r>
      <w:r>
        <w:rPr>
          <w:rStyle w:val="FootnoteReference"/>
        </w:rPr>
        <w:footnoteReference w:id="96"/>
      </w:r>
      <w:r>
        <w:t xml:space="preserve">  </w:t>
      </w:r>
      <w:r w:rsidR="00082B4F">
        <w:t>We note that a CSA may have more than two parties (if, for instance, three stations propose to share the same channel), and all parties to a pre-auction CSA may communicate during the auction.  Commenters have proposed that we also allow stations to enter into multiple contingent CSAs.</w:t>
      </w:r>
      <w:r w:rsidR="00082B4F">
        <w:rPr>
          <w:rStyle w:val="FootnoteReference"/>
        </w:rPr>
        <w:footnoteReference w:id="97"/>
      </w:r>
      <w:r w:rsidR="00082B4F">
        <w:t xml:space="preserve">  We will address this issue in a forthcoming decision.</w:t>
      </w:r>
    </w:p>
    <w:p w:rsidR="000258B0" w:rsidRDefault="000258B0" w:rsidP="000258B0">
      <w:pPr>
        <w:pStyle w:val="Heading1"/>
      </w:pPr>
      <w:bookmarkStart w:id="49" w:name="_Toc415150686"/>
      <w:bookmarkStart w:id="50" w:name="_Toc415151207"/>
      <w:bookmarkStart w:id="51" w:name="_Toc415151355"/>
      <w:bookmarkStart w:id="52" w:name="_Toc416424159"/>
      <w:bookmarkStart w:id="53" w:name="_Toc416424781"/>
      <w:bookmarkStart w:id="54" w:name="_Toc416429426"/>
      <w:r>
        <w:t>notice of proposed rulemaking</w:t>
      </w:r>
      <w:bookmarkEnd w:id="49"/>
      <w:bookmarkEnd w:id="50"/>
      <w:bookmarkEnd w:id="51"/>
      <w:bookmarkEnd w:id="52"/>
      <w:bookmarkEnd w:id="53"/>
      <w:bookmarkEnd w:id="54"/>
    </w:p>
    <w:p w:rsidR="007C1D47" w:rsidRDefault="007C1D47" w:rsidP="00A62BA5">
      <w:pPr>
        <w:pStyle w:val="ParaNum"/>
      </w:pPr>
      <w:r>
        <w:t>In this Notice of Proposed Rulemaking (“</w:t>
      </w:r>
      <w:r w:rsidRPr="00DD7A6B">
        <w:rPr>
          <w:i/>
        </w:rPr>
        <w:t>NPRM</w:t>
      </w:r>
      <w:r>
        <w:t xml:space="preserve">”), we propose to adopt rules to permit channel sharing by and between full power and Class A television stations outside the context of the incentive auction, including by one or both parties to auction-related CSAs with other entities after those auction-related agreements terminate. </w:t>
      </w:r>
      <w:r w:rsidR="00A10E18" w:rsidRPr="003F3160">
        <w:t xml:space="preserve">Below we propose a regulatory framework for these agreements. </w:t>
      </w:r>
      <w:r w:rsidR="00B321BA">
        <w:t xml:space="preserve"> </w:t>
      </w:r>
      <w:r w:rsidR="00523518">
        <w:t xml:space="preserve">We do not propose to distinguish between the “second generation” CSAs that EOBC requested, and which would succeed a CSA executed in connection with the auction, and new CSAs between stations that did not channel share in connection with the auction.  Accordingly, there </w:t>
      </w:r>
      <w:r w:rsidR="00F9234B">
        <w:t>is</w:t>
      </w:r>
      <w:r w:rsidR="00523518">
        <w:t xml:space="preserve"> no need to determine whether “second generation” CSAs would fall under the Spectrum Act’s carriage rights protection because the sharee station </w:t>
      </w:r>
      <w:r w:rsidR="00523518" w:rsidRPr="00833464">
        <w:rPr>
          <w:snapToGrid/>
        </w:rPr>
        <w:t>“‘voluntarily relinquishe[d] spectrum usage rights’ under the Spectrum Act ‘in order to share a television channel.’”</w:t>
      </w:r>
      <w:r w:rsidR="00523518">
        <w:rPr>
          <w:rStyle w:val="FootnoteReference"/>
          <w:snapToGrid/>
        </w:rPr>
        <w:footnoteReference w:id="98"/>
      </w:r>
      <w:r w:rsidR="00523518" w:rsidRPr="00833464">
        <w:rPr>
          <w:snapToGrid/>
        </w:rPr>
        <w:t xml:space="preserve">   Instead, we propose to authorize non-auction-related CSAs without regard to their relationship to incentive auction-related CSAs.  As </w:t>
      </w:r>
      <w:r w:rsidR="00A10E18">
        <w:rPr>
          <w:snapToGrid/>
        </w:rPr>
        <w:t>discussed below</w:t>
      </w:r>
      <w:r w:rsidR="00523518" w:rsidRPr="00833464">
        <w:rPr>
          <w:snapToGrid/>
        </w:rPr>
        <w:t xml:space="preserve">, we believe that the carriage rights of parties to such </w:t>
      </w:r>
      <w:r w:rsidR="00F9234B">
        <w:rPr>
          <w:snapToGrid/>
        </w:rPr>
        <w:t>CSAs</w:t>
      </w:r>
      <w:r w:rsidR="00523518" w:rsidRPr="00833464">
        <w:rPr>
          <w:snapToGrid/>
        </w:rPr>
        <w:t xml:space="preserve"> would be protected under the Communications Act.</w:t>
      </w:r>
      <w:r w:rsidR="00523518">
        <w:rPr>
          <w:snapToGrid/>
        </w:rPr>
        <w:t xml:space="preserve">  </w:t>
      </w:r>
      <w:r>
        <w:t xml:space="preserve"> </w:t>
      </w:r>
    </w:p>
    <w:p w:rsidR="007C1D47" w:rsidRDefault="007C1D47" w:rsidP="007C1D47">
      <w:pPr>
        <w:pStyle w:val="Heading2"/>
      </w:pPr>
      <w:bookmarkStart w:id="55" w:name="_Toc415150687"/>
      <w:bookmarkStart w:id="56" w:name="_Toc415151208"/>
      <w:bookmarkStart w:id="57" w:name="_Toc415151356"/>
      <w:bookmarkStart w:id="58" w:name="_Toc416424160"/>
      <w:bookmarkStart w:id="59" w:name="_Toc416424782"/>
      <w:bookmarkStart w:id="60" w:name="_Toc416429427"/>
      <w:r>
        <w:t>Public Interest and Legal Authority</w:t>
      </w:r>
      <w:bookmarkEnd w:id="55"/>
      <w:bookmarkEnd w:id="56"/>
      <w:bookmarkEnd w:id="57"/>
      <w:bookmarkEnd w:id="58"/>
      <w:bookmarkEnd w:id="59"/>
      <w:bookmarkEnd w:id="60"/>
      <w:r>
        <w:t xml:space="preserve"> </w:t>
      </w:r>
    </w:p>
    <w:p w:rsidR="00A62BA5" w:rsidRDefault="007C1D47" w:rsidP="00A62BA5">
      <w:pPr>
        <w:pStyle w:val="ParaNum"/>
      </w:pPr>
      <w:r>
        <w:t xml:space="preserve">While the Commission declined in the </w:t>
      </w:r>
      <w:r w:rsidRPr="00CC321D">
        <w:rPr>
          <w:i/>
        </w:rPr>
        <w:t xml:space="preserve">Channel Sharing </w:t>
      </w:r>
      <w:r>
        <w:rPr>
          <w:i/>
        </w:rPr>
        <w:t>R&amp;O</w:t>
      </w:r>
      <w:r>
        <w:t xml:space="preserve"> to address channel sharing outside the auction context,</w:t>
      </w:r>
      <w:r>
        <w:rPr>
          <w:rStyle w:val="FootnoteReference"/>
        </w:rPr>
        <w:footnoteReference w:id="99"/>
      </w:r>
      <w:r>
        <w:t xml:space="preserve"> we now believe it is appropriate to do so.</w:t>
      </w:r>
      <w:r w:rsidR="00B321BA">
        <w:t xml:space="preserve"> </w:t>
      </w:r>
      <w:r>
        <w:t xml:space="preserve">We tentatively conclude that </w:t>
      </w:r>
      <w:r w:rsidR="00B321BA">
        <w:t>authorizing channel sharing outside the auction context</w:t>
      </w:r>
      <w:r>
        <w:t xml:space="preserve"> will encourage auction participation by giving </w:t>
      </w:r>
      <w:r w:rsidR="00B321BA">
        <w:t>prospective</w:t>
      </w:r>
      <w:r>
        <w:t xml:space="preserve"> channel sharing bid</w:t>
      </w:r>
      <w:r w:rsidR="00B321BA">
        <w:t>ders</w:t>
      </w:r>
      <w:r>
        <w:t xml:space="preserve"> the knowledge that they can pursue future CSAs when their auction-related agreement</w:t>
      </w:r>
      <w:r w:rsidR="00B321BA">
        <w:t>s</w:t>
      </w:r>
      <w:r>
        <w:t xml:space="preserve"> expire.  But the public interest benefits of channel sharing by full power and Class A stations are likely to extend beyond the auction.  When it adopted a general framework for channel sharing by full power and Class A stations in the context of the incentive auction, the Commission concluded that channel sharing will help broadcasters, including existing small, minority-owned, and niche stations, to reduce operating costs and provide broadcasters with additional net income to strengthen operations and improve programming services.</w:t>
      </w:r>
      <w:r>
        <w:rPr>
          <w:rStyle w:val="FootnoteReference"/>
        </w:rPr>
        <w:footnoteReference w:id="100"/>
      </w:r>
      <w:r>
        <w:t xml:space="preserve">  We also believe that authorizing channel sharing by full power and Class A stations outside the context of the incentive auction will promote spectral efficiency</w:t>
      </w:r>
      <w:r w:rsidR="00A10E18">
        <w:t>.</w:t>
      </w:r>
      <w:r>
        <w:t xml:space="preserve">  We seek comment on our tentative conclusion that authorizing channel sharing by full power and Class A stations outside the context of the action will serve the public interest.</w:t>
      </w:r>
    </w:p>
    <w:p w:rsidR="007C1D47" w:rsidRPr="00AB5FC5" w:rsidRDefault="007C1D47" w:rsidP="00120439">
      <w:pPr>
        <w:pStyle w:val="ParaNum"/>
        <w:widowControl/>
      </w:pPr>
      <w:r>
        <w:t>We tentatively conclude that the authority conferred on the Commission by Title III of the Communications Act of 1934, as amended,</w:t>
      </w:r>
      <w:r>
        <w:rPr>
          <w:rStyle w:val="FootnoteReference"/>
        </w:rPr>
        <w:footnoteReference w:id="101"/>
      </w:r>
      <w:r>
        <w:t xml:space="preserve"> permits us to adopt channel sharing rules for full power and Class A television stations, and seek comment on this tentative conclusion.</w:t>
      </w:r>
      <w:r>
        <w:rPr>
          <w:rStyle w:val="FootnoteReference"/>
        </w:rPr>
        <w:footnoteReference w:id="102"/>
      </w:r>
      <w:r>
        <w:t xml:space="preserve">  </w:t>
      </w:r>
    </w:p>
    <w:p w:rsidR="007C1D47" w:rsidRPr="00510D98" w:rsidRDefault="007C1D47" w:rsidP="007C1D47">
      <w:pPr>
        <w:pStyle w:val="Heading2"/>
      </w:pPr>
      <w:bookmarkStart w:id="61" w:name="_Toc415150688"/>
      <w:bookmarkStart w:id="62" w:name="_Toc415151209"/>
      <w:bookmarkStart w:id="63" w:name="_Toc415151357"/>
      <w:bookmarkStart w:id="64" w:name="_Toc416424161"/>
      <w:bookmarkStart w:id="65" w:name="_Toc416424783"/>
      <w:bookmarkStart w:id="66" w:name="_Toc416429428"/>
      <w:r>
        <w:t>Carriage Rights</w:t>
      </w:r>
      <w:bookmarkEnd w:id="61"/>
      <w:bookmarkEnd w:id="62"/>
      <w:bookmarkEnd w:id="63"/>
      <w:bookmarkEnd w:id="64"/>
      <w:bookmarkEnd w:id="65"/>
      <w:bookmarkEnd w:id="66"/>
    </w:p>
    <w:p w:rsidR="00A62BA5" w:rsidRDefault="007C1D47" w:rsidP="00220A9E">
      <w:pPr>
        <w:pStyle w:val="ParaNum"/>
        <w:widowControl/>
      </w:pPr>
      <w:r>
        <w:t xml:space="preserve">We tentatively conclude that the Communications Act provides stations that elect to channel share outside the aegis of the </w:t>
      </w:r>
      <w:r w:rsidR="00B321BA">
        <w:t>Spectrum Act</w:t>
      </w:r>
      <w:r>
        <w:t xml:space="preserve"> the same satellite and cable carriage rights on their new shared channels that the stations would have at the shared location if they were not channel sharing.</w:t>
      </w:r>
      <w:r w:rsidR="00C723C1" w:rsidRPr="00C723C1">
        <w:rPr>
          <w:rStyle w:val="FootnoteReference"/>
        </w:rPr>
        <w:t xml:space="preserve"> </w:t>
      </w:r>
      <w:r w:rsidR="00C723C1">
        <w:rPr>
          <w:rStyle w:val="FootnoteReference"/>
        </w:rPr>
        <w:footnoteReference w:id="103"/>
      </w:r>
      <w:r>
        <w:t xml:space="preserve">  We seek comment on this tentative conclusion.  We note that this is consistent with the approach to channel sharing must-carry </w:t>
      </w:r>
      <w:r w:rsidR="006C3E34">
        <w:t xml:space="preserve">rights </w:t>
      </w:r>
      <w:r>
        <w:t>established by Congress in the Spectrum Act.</w:t>
      </w:r>
      <w:r>
        <w:rPr>
          <w:rStyle w:val="FootnoteReference"/>
        </w:rPr>
        <w:footnoteReference w:id="104"/>
      </w:r>
    </w:p>
    <w:p w:rsidR="00A62BA5" w:rsidRDefault="007C1D47" w:rsidP="00A62BA5">
      <w:pPr>
        <w:pStyle w:val="ParaNum"/>
      </w:pPr>
      <w:r w:rsidRPr="00A62BA5">
        <w:rPr>
          <w:spacing w:val="-3"/>
          <w:szCs w:val="22"/>
        </w:rPr>
        <w:t xml:space="preserve">The Communications Act establishes slightly different thresholds for carriage, depending on whether the station is full power or low-power, or commercial or noncommercial, and also depending on whether carriage is sought on a cable or DBS system.  </w:t>
      </w:r>
      <w:r>
        <w:t>The must-carry rights of full-power commercial stations on cable systems are set forth in Section 614 of the Act.</w:t>
      </w:r>
      <w:r>
        <w:rPr>
          <w:rStyle w:val="FootnoteReference"/>
        </w:rPr>
        <w:footnoteReference w:id="105"/>
      </w:r>
      <w:r>
        <w:t xml:space="preserve">  Pursuant to Section 614(a),</w:t>
      </w:r>
      <w:r w:rsidRPr="00A62BA5">
        <w:rPr>
          <w:szCs w:val="22"/>
        </w:rPr>
        <w:t xml:space="preserve"> “[e]</w:t>
      </w:r>
      <w:r w:rsidRPr="00A62BA5">
        <w:rPr>
          <w:color w:val="000000"/>
          <w:szCs w:val="22"/>
          <w:shd w:val="clear" w:color="auto" w:fill="FFFFFF"/>
        </w:rPr>
        <w:t>ach cable operator shall carry, on the cable system of that operator, the signals of local commercial television stations . . . as provided by this section.”</w:t>
      </w:r>
      <w:r>
        <w:rPr>
          <w:rStyle w:val="FootnoteReference"/>
        </w:rPr>
        <w:footnoteReference w:id="106"/>
      </w:r>
      <w:r>
        <w:t xml:space="preserve">  The term “local commercial television station” means “any full power television broadcast station, other than a qualified noncommercial educational </w:t>
      </w:r>
      <w:r w:rsidRPr="00A62BA5">
        <w:rPr>
          <w:szCs w:val="22"/>
        </w:rPr>
        <w:t>television station … licensed and operating on a channel regularly assigned to its community by the Commission t</w:t>
      </w:r>
      <w:r w:rsidRPr="00A62BA5">
        <w:rPr>
          <w:color w:val="000000"/>
          <w:szCs w:val="22"/>
          <w:shd w:val="clear" w:color="auto" w:fill="FFFFFF"/>
        </w:rPr>
        <w:t>hat, with respect to a particular cable system, is within the same television market as the cable system</w:t>
      </w:r>
      <w:r w:rsidRPr="00A62BA5">
        <w:rPr>
          <w:szCs w:val="22"/>
        </w:rPr>
        <w:t>.”</w:t>
      </w:r>
      <w:r w:rsidRPr="003559AA">
        <w:rPr>
          <w:rStyle w:val="FootnoteReference"/>
          <w:szCs w:val="22"/>
        </w:rPr>
        <w:footnoteReference w:id="107"/>
      </w:r>
      <w:r w:rsidRPr="00A62BA5">
        <w:rPr>
          <w:szCs w:val="22"/>
        </w:rPr>
        <w:t xml:space="preserve">  “Television market” is defined by Commission’s rules as a Designated Market Area (“DMA”).</w:t>
      </w:r>
      <w:r>
        <w:rPr>
          <w:rStyle w:val="FootnoteReference"/>
          <w:szCs w:val="22"/>
        </w:rPr>
        <w:footnoteReference w:id="108"/>
      </w:r>
      <w:r w:rsidRPr="00A62BA5">
        <w:rPr>
          <w:szCs w:val="22"/>
        </w:rPr>
        <w:t xml:space="preserve">    </w:t>
      </w:r>
    </w:p>
    <w:p w:rsidR="00A62BA5" w:rsidRDefault="007C1D47" w:rsidP="00A62BA5">
      <w:pPr>
        <w:pStyle w:val="ParaNum"/>
      </w:pPr>
      <w:r w:rsidRPr="00A62BA5">
        <w:rPr>
          <w:szCs w:val="22"/>
        </w:rPr>
        <w:t>The must-carry rights of full</w:t>
      </w:r>
      <w:r w:rsidR="006C3E34" w:rsidRPr="00A62BA5">
        <w:rPr>
          <w:szCs w:val="22"/>
        </w:rPr>
        <w:t xml:space="preserve"> </w:t>
      </w:r>
      <w:r w:rsidRPr="00A62BA5">
        <w:rPr>
          <w:szCs w:val="22"/>
        </w:rPr>
        <w:t>power noncommercial stations on cable systems are set forth in Section 615 of the Act.</w:t>
      </w:r>
      <w:r w:rsidRPr="00D026AA">
        <w:rPr>
          <w:rStyle w:val="FootnoteReference"/>
          <w:szCs w:val="22"/>
        </w:rPr>
        <w:footnoteReference w:id="109"/>
      </w:r>
      <w:r w:rsidRPr="00A62BA5">
        <w:rPr>
          <w:szCs w:val="22"/>
        </w:rPr>
        <w:t xml:space="preserve">  Section 615(a) provides that “e</w:t>
      </w:r>
      <w:r w:rsidRPr="00A62BA5">
        <w:rPr>
          <w:color w:val="000000"/>
          <w:szCs w:val="22"/>
          <w:shd w:val="clear" w:color="auto" w:fill="FFFFFF"/>
        </w:rPr>
        <w:t>ach cable operator of a cable system shall carry the signals of qualified noncommercial educational television stations in accordance with the provisions of this section.</w:t>
      </w:r>
      <w:r w:rsidRPr="00A62BA5">
        <w:rPr>
          <w:szCs w:val="22"/>
        </w:rPr>
        <w:t>”</w:t>
      </w:r>
      <w:r w:rsidRPr="00D026AA">
        <w:rPr>
          <w:rStyle w:val="FootnoteReference"/>
          <w:szCs w:val="22"/>
        </w:rPr>
        <w:footnoteReference w:id="110"/>
      </w:r>
      <w:r w:rsidRPr="00A62BA5">
        <w:rPr>
          <w:szCs w:val="22"/>
        </w:rPr>
        <w:t xml:space="preserve">  A qualified n</w:t>
      </w:r>
      <w:r w:rsidRPr="00A62BA5">
        <w:rPr>
          <w:spacing w:val="-2"/>
          <w:szCs w:val="22"/>
        </w:rPr>
        <w:t>oncommercial educational station can be considered “local,” and thus eligible for mandatory carriage on a cable system, in one of two ways.  It may either be licensed to a principal community within 50 miles of the system’s headend, or place a “Grade B” signal over the headend.</w:t>
      </w:r>
      <w:r w:rsidRPr="00D026AA">
        <w:rPr>
          <w:rStyle w:val="FootnoteReference"/>
          <w:spacing w:val="-2"/>
          <w:szCs w:val="22"/>
        </w:rPr>
        <w:footnoteReference w:id="111"/>
      </w:r>
      <w:r w:rsidRPr="00A62BA5">
        <w:rPr>
          <w:szCs w:val="22"/>
        </w:rPr>
        <w:t xml:space="preserve">   </w:t>
      </w:r>
    </w:p>
    <w:p w:rsidR="00A62BA5" w:rsidRDefault="007C1D47" w:rsidP="00A62BA5">
      <w:pPr>
        <w:pStyle w:val="ParaNum"/>
      </w:pPr>
      <w:r w:rsidRPr="00A62BA5">
        <w:rPr>
          <w:szCs w:val="22"/>
        </w:rPr>
        <w:t>The must-carry rights of low power stations, including Class A stations, on cable systems are set forth in Section 614(c) of the Act.</w:t>
      </w:r>
      <w:r>
        <w:rPr>
          <w:rStyle w:val="FootnoteReference"/>
          <w:szCs w:val="22"/>
        </w:rPr>
        <w:footnoteReference w:id="112"/>
      </w:r>
      <w:r w:rsidRPr="00A62BA5">
        <w:rPr>
          <w:szCs w:val="22"/>
        </w:rPr>
        <w:t xml:space="preserve">  </w:t>
      </w:r>
      <w:r w:rsidRPr="00A62BA5">
        <w:rPr>
          <w:spacing w:val="-2"/>
          <w:szCs w:val="22"/>
        </w:rPr>
        <w:t xml:space="preserve">Under very narrow circumstances, </w:t>
      </w:r>
      <w:r w:rsidR="006C3E34" w:rsidRPr="00A62BA5">
        <w:rPr>
          <w:spacing w:val="-2"/>
          <w:szCs w:val="22"/>
        </w:rPr>
        <w:t>such</w:t>
      </w:r>
      <w:r w:rsidRPr="00A62BA5">
        <w:rPr>
          <w:spacing w:val="-2"/>
          <w:szCs w:val="22"/>
        </w:rPr>
        <w:t xml:space="preserve"> stations can become “qualified” and eligible for must carry.</w:t>
      </w:r>
      <w:r>
        <w:rPr>
          <w:rStyle w:val="FootnoteReference"/>
          <w:spacing w:val="-2"/>
          <w:szCs w:val="22"/>
        </w:rPr>
        <w:footnoteReference w:id="113"/>
      </w:r>
      <w:r w:rsidRPr="00A62BA5">
        <w:rPr>
          <w:spacing w:val="-2"/>
          <w:szCs w:val="22"/>
        </w:rPr>
        <w:t xml:space="preserve">  Among the several requirements for reaching “qualified” status with respect to a particular cable operator, the station must be “located no more than 35 miles from the cable system’s headend.”</w:t>
      </w:r>
      <w:r w:rsidRPr="00A62BA5">
        <w:rPr>
          <w:rStyle w:val="FootnoteReference"/>
          <w:spacing w:val="-2"/>
          <w:szCs w:val="22"/>
        </w:rPr>
        <w:t xml:space="preserve"> </w:t>
      </w:r>
      <w:r>
        <w:rPr>
          <w:rStyle w:val="FootnoteReference"/>
          <w:spacing w:val="-2"/>
          <w:szCs w:val="22"/>
        </w:rPr>
        <w:footnoteReference w:id="114"/>
      </w:r>
    </w:p>
    <w:p w:rsidR="00A62BA5" w:rsidRDefault="007C1D47" w:rsidP="00A62BA5">
      <w:pPr>
        <w:pStyle w:val="ParaNum"/>
      </w:pPr>
      <w:r w:rsidRPr="00A62BA5">
        <w:rPr>
          <w:szCs w:val="22"/>
        </w:rPr>
        <w:t>The must-carry rights of full</w:t>
      </w:r>
      <w:r w:rsidR="006C3E34" w:rsidRPr="00A62BA5">
        <w:rPr>
          <w:szCs w:val="22"/>
        </w:rPr>
        <w:t xml:space="preserve"> </w:t>
      </w:r>
      <w:r w:rsidRPr="00A62BA5">
        <w:rPr>
          <w:szCs w:val="22"/>
        </w:rPr>
        <w:t>power stations (both commercial and noncommercial) on DBS providers are set forth in Section 338 of the Act.</w:t>
      </w:r>
      <w:r>
        <w:rPr>
          <w:rStyle w:val="FootnoteReference"/>
        </w:rPr>
        <w:footnoteReference w:id="115"/>
      </w:r>
      <w:r w:rsidRPr="00A62BA5">
        <w:rPr>
          <w:szCs w:val="22"/>
        </w:rPr>
        <w:t xml:space="preserve"> A full power “television broadcast station” is entitled to request carriage by a DBS provider any time that provider relies on the statutory copyright license</w:t>
      </w:r>
      <w:r>
        <w:rPr>
          <w:rStyle w:val="FootnoteReference"/>
          <w:szCs w:val="22"/>
        </w:rPr>
        <w:footnoteReference w:id="116"/>
      </w:r>
      <w:r w:rsidRPr="00A62BA5">
        <w:rPr>
          <w:szCs w:val="22"/>
        </w:rPr>
        <w:t xml:space="preserve"> to retransmit the signal of any other “local” station</w:t>
      </w:r>
      <w:r>
        <w:rPr>
          <w:rStyle w:val="FootnoteReference"/>
          <w:szCs w:val="22"/>
        </w:rPr>
        <w:footnoteReference w:id="117"/>
      </w:r>
      <w:r w:rsidRPr="00A62BA5">
        <w:rPr>
          <w:szCs w:val="22"/>
        </w:rPr>
        <w:t xml:space="preserve"> (</w:t>
      </w:r>
      <w:r w:rsidRPr="00A62BA5">
        <w:rPr>
          <w:i/>
          <w:szCs w:val="22"/>
        </w:rPr>
        <w:t>i.e.</w:t>
      </w:r>
      <w:r w:rsidRPr="00A62BA5">
        <w:rPr>
          <w:szCs w:val="22"/>
        </w:rPr>
        <w:t>, one located in the same DMA</w:t>
      </w:r>
      <w:r>
        <w:rPr>
          <w:rStyle w:val="FootnoteReference"/>
          <w:szCs w:val="22"/>
        </w:rPr>
        <w:footnoteReference w:id="118"/>
      </w:r>
      <w:r w:rsidRPr="00A62BA5">
        <w:rPr>
          <w:szCs w:val="22"/>
        </w:rPr>
        <w:t>).  A “television broadcast station” is defined as</w:t>
      </w:r>
      <w:r w:rsidRPr="00A62BA5">
        <w:rPr>
          <w:color w:val="000000"/>
          <w:szCs w:val="22"/>
          <w:shd w:val="clear" w:color="auto" w:fill="FFFFFF"/>
        </w:rPr>
        <w:t xml:space="preserve"> “an over-the-air commercial or noncommercial television broadcast station licensed by the Commission.”</w:t>
      </w:r>
      <w:r w:rsidRPr="00BA18AA">
        <w:rPr>
          <w:rStyle w:val="FootnoteReference"/>
          <w:szCs w:val="22"/>
        </w:rPr>
        <w:footnoteReference w:id="119"/>
      </w:r>
      <w:r w:rsidRPr="00A62BA5">
        <w:rPr>
          <w:color w:val="000000"/>
          <w:szCs w:val="22"/>
          <w:shd w:val="clear" w:color="auto" w:fill="FFFFFF"/>
        </w:rPr>
        <w:t xml:space="preserve">  </w:t>
      </w:r>
      <w:r w:rsidRPr="00A62BA5">
        <w:rPr>
          <w:szCs w:val="22"/>
        </w:rPr>
        <w:t xml:space="preserve">Low-power </w:t>
      </w:r>
      <w:r w:rsidR="006C3E34" w:rsidRPr="00A62BA5">
        <w:rPr>
          <w:szCs w:val="22"/>
        </w:rPr>
        <w:t>stations, including Class A stations</w:t>
      </w:r>
      <w:r w:rsidRPr="00A62BA5">
        <w:rPr>
          <w:szCs w:val="22"/>
        </w:rPr>
        <w:t xml:space="preserve"> do not have DBS carriage rights.</w:t>
      </w:r>
      <w:r w:rsidRPr="00BA18AA">
        <w:rPr>
          <w:rStyle w:val="FootnoteReference"/>
          <w:szCs w:val="22"/>
        </w:rPr>
        <w:footnoteReference w:id="120"/>
      </w:r>
      <w:r w:rsidRPr="00A62BA5">
        <w:rPr>
          <w:szCs w:val="22"/>
        </w:rPr>
        <w:t xml:space="preserve">    </w:t>
      </w:r>
    </w:p>
    <w:p w:rsidR="00A62BA5" w:rsidRDefault="007C1D47" w:rsidP="00A62BA5">
      <w:pPr>
        <w:pStyle w:val="ParaNum"/>
      </w:pPr>
      <w:r w:rsidRPr="00A62BA5">
        <w:rPr>
          <w:szCs w:val="22"/>
        </w:rPr>
        <w:t xml:space="preserve">Under the </w:t>
      </w:r>
      <w:r w:rsidR="006C3E34" w:rsidRPr="00A62BA5">
        <w:rPr>
          <w:szCs w:val="22"/>
        </w:rPr>
        <w:t xml:space="preserve">foregoing </w:t>
      </w:r>
      <w:r w:rsidRPr="00A62BA5">
        <w:rPr>
          <w:szCs w:val="22"/>
        </w:rPr>
        <w:t>Communications Act</w:t>
      </w:r>
      <w:r w:rsidR="006C3E34" w:rsidRPr="00A62BA5">
        <w:rPr>
          <w:szCs w:val="22"/>
        </w:rPr>
        <w:t xml:space="preserve"> provisions</w:t>
      </w:r>
      <w:r w:rsidRPr="00A62BA5">
        <w:rPr>
          <w:szCs w:val="22"/>
        </w:rPr>
        <w:t xml:space="preserve">, carriage rights are accorded to licensees without regard to whether they </w:t>
      </w:r>
      <w:r w:rsidR="00E64223" w:rsidRPr="00A62BA5">
        <w:rPr>
          <w:szCs w:val="22"/>
        </w:rPr>
        <w:t>occupy</w:t>
      </w:r>
      <w:r w:rsidRPr="00A62BA5">
        <w:rPr>
          <w:szCs w:val="22"/>
        </w:rPr>
        <w:t xml:space="preserve"> a full </w:t>
      </w:r>
      <w:r w:rsidR="001E7AE0" w:rsidRPr="00A62BA5">
        <w:rPr>
          <w:szCs w:val="22"/>
        </w:rPr>
        <w:t>six</w:t>
      </w:r>
      <w:r w:rsidRPr="00A62BA5">
        <w:rPr>
          <w:szCs w:val="22"/>
        </w:rPr>
        <w:t xml:space="preserve"> </w:t>
      </w:r>
      <w:r w:rsidR="001E7AE0" w:rsidRPr="00A62BA5">
        <w:rPr>
          <w:szCs w:val="22"/>
        </w:rPr>
        <w:t>megahertz</w:t>
      </w:r>
      <w:r w:rsidRPr="00A62BA5">
        <w:rPr>
          <w:szCs w:val="22"/>
        </w:rPr>
        <w:t xml:space="preserve"> channel or share a channel with another licensee.  Nothing in the</w:t>
      </w:r>
      <w:r w:rsidR="006C3E34" w:rsidRPr="00A62BA5">
        <w:rPr>
          <w:szCs w:val="22"/>
        </w:rPr>
        <w:t xml:space="preserve"> Communications</w:t>
      </w:r>
      <w:r w:rsidRPr="00A62BA5">
        <w:rPr>
          <w:szCs w:val="22"/>
        </w:rPr>
        <w:t xml:space="preserve"> Act requires a station to occupy an entire</w:t>
      </w:r>
      <w:r w:rsidR="001E7AE0" w:rsidRPr="00A62BA5">
        <w:rPr>
          <w:szCs w:val="22"/>
        </w:rPr>
        <w:t xml:space="preserve"> six megahert</w:t>
      </w:r>
      <w:r w:rsidRPr="00A62BA5">
        <w:rPr>
          <w:szCs w:val="22"/>
        </w:rPr>
        <w:t>z channel in order to be eligible for must</w:t>
      </w:r>
      <w:r w:rsidR="006C3E34" w:rsidRPr="00A62BA5">
        <w:rPr>
          <w:szCs w:val="22"/>
        </w:rPr>
        <w:t xml:space="preserve"> </w:t>
      </w:r>
      <w:r w:rsidRPr="00A62BA5">
        <w:rPr>
          <w:szCs w:val="22"/>
        </w:rPr>
        <w:t xml:space="preserve">carry rights; rather, the station must simply be a licensee eligible for carriage under the applicable provision of the </w:t>
      </w:r>
      <w:r w:rsidR="006C3E34" w:rsidRPr="00A62BA5">
        <w:rPr>
          <w:szCs w:val="22"/>
        </w:rPr>
        <w:t xml:space="preserve">Communications </w:t>
      </w:r>
      <w:r w:rsidRPr="00A62BA5">
        <w:rPr>
          <w:szCs w:val="22"/>
        </w:rPr>
        <w:t xml:space="preserve">Act.  Thus, the carriage rights conferred by Sections 614, 615, and 338 of the Act apply to channel sharees as they do to any other licensee. </w:t>
      </w:r>
    </w:p>
    <w:p w:rsidR="00A62BA5" w:rsidRDefault="007C1D47" w:rsidP="00A62BA5">
      <w:pPr>
        <w:pStyle w:val="ParaNum"/>
      </w:pPr>
      <w:r>
        <w:t xml:space="preserve">Based on these provisions, we tentatively conclude that a sharee station participating in a </w:t>
      </w:r>
      <w:r w:rsidR="00F53FE1">
        <w:t>CSA</w:t>
      </w:r>
      <w:r w:rsidR="008B0F23">
        <w:t xml:space="preserve"> </w:t>
      </w:r>
      <w:r>
        <w:t>that moves to a different frequency (that of the “sharer” station) remains entitled to must</w:t>
      </w:r>
      <w:r w:rsidR="006C3E34">
        <w:t xml:space="preserve"> </w:t>
      </w:r>
      <w:r>
        <w:t>carry rights, but at the sharer’s location.  For example, in the case of a full</w:t>
      </w:r>
      <w:r w:rsidR="006C3E34">
        <w:t xml:space="preserve"> </w:t>
      </w:r>
      <w:r>
        <w:t xml:space="preserve">power commercial station asserting mandatory cable carriage rights, both before and after the </w:t>
      </w:r>
      <w:r w:rsidR="00F53FE1">
        <w:t>CSA</w:t>
      </w:r>
      <w:r>
        <w:t>, the station will be a “full power television broadcast station … licensed and operating on a channel regularly assigned to its community by the Commission that, with respect to a particular cable system, is within the same television market as the cable system.”</w:t>
      </w:r>
      <w:r>
        <w:rPr>
          <w:rStyle w:val="FootnoteReference"/>
        </w:rPr>
        <w:footnoteReference w:id="121"/>
      </w:r>
      <w:r>
        <w:t xml:space="preserve">  The same analysis applies with respect to broadcasters qualifying for cable must-carry rights as “qualified local noncommercial educational television stations,”</w:t>
      </w:r>
      <w:r>
        <w:rPr>
          <w:rStyle w:val="FootnoteReference"/>
        </w:rPr>
        <w:footnoteReference w:id="122"/>
      </w:r>
      <w:r w:rsidRPr="00746D8E">
        <w:t xml:space="preserve"> </w:t>
      </w:r>
      <w:r>
        <w:t>and “qualified low power stations,”</w:t>
      </w:r>
      <w:r>
        <w:rPr>
          <w:rStyle w:val="FootnoteReference"/>
        </w:rPr>
        <w:footnoteReference w:id="123"/>
      </w:r>
      <w:r>
        <w:t xml:space="preserve"> and to broadcasters qualifying for DBS must-carry rights as “television broadcast stations.”</w:t>
      </w:r>
      <w:r>
        <w:rPr>
          <w:rStyle w:val="FootnoteReference"/>
        </w:rPr>
        <w:footnoteReference w:id="124"/>
      </w:r>
      <w:r>
        <w:t xml:space="preserve">  </w:t>
      </w:r>
    </w:p>
    <w:p w:rsidR="00A62BA5" w:rsidRDefault="007C1D47" w:rsidP="00A62BA5">
      <w:pPr>
        <w:pStyle w:val="ParaNum"/>
      </w:pPr>
      <w:r>
        <w:t>We tentatively conclude that, under the statutory definitions outlined above, the sharee station’s carriage rights would be determined at the new shared location</w:t>
      </w:r>
      <w:r w:rsidR="00DC47C0">
        <w:t>.</w:t>
      </w:r>
      <w:r>
        <w:rPr>
          <w:rStyle w:val="FootnoteReference"/>
        </w:rPr>
        <w:footnoteReference w:id="125"/>
      </w:r>
      <w:r>
        <w:t xml:space="preserve">  Carriage rights in this situation would be determined under Sections 338, 614, and 615 of the Communications Act in the same manner as they would </w:t>
      </w:r>
      <w:r w:rsidR="00C102A7">
        <w:t>outside the context of channel sharing, such as where stations change transmitter location, community of license, or DMA</w:t>
      </w:r>
      <w:r>
        <w:t xml:space="preserve">.  We seek comment on this interpretation.    </w:t>
      </w:r>
    </w:p>
    <w:p w:rsidR="00A62BA5" w:rsidRDefault="007C1D47" w:rsidP="00A62BA5">
      <w:pPr>
        <w:pStyle w:val="ParaNum"/>
      </w:pPr>
      <w:r>
        <w:t>We tentatively conclude that each broadcaster participating in a CSA will continue to be entitled to must-carry rights for a single, primary video stream.  Section 614(b)(3) of the Communications Act provides that “[a] cable operator shall carry in its entirety, on the cable system of that operator, the primary video … of each of the local commercial television stations carried on the cable system….”</w:t>
      </w:r>
      <w:r>
        <w:rPr>
          <w:rStyle w:val="FootnoteReference"/>
        </w:rPr>
        <w:footnoteReference w:id="126"/>
      </w:r>
      <w:r>
        <w:t xml:space="preserve">  </w:t>
      </w:r>
      <w:r w:rsidRPr="009E158F">
        <w:t xml:space="preserve">Although digital technology enables broadcasters to transmit multiple program streams simultaneously on each </w:t>
      </w:r>
      <w:r>
        <w:t>six</w:t>
      </w:r>
      <w:r w:rsidRPr="009E158F">
        <w:t xml:space="preserve"> MHz channel, the Commission has determined that the must-carry provisions require only that a cable operator carry a single programming stream.</w:t>
      </w:r>
      <w:r>
        <w:rPr>
          <w:rStyle w:val="FootnoteReference"/>
        </w:rPr>
        <w:footnoteReference w:id="127"/>
      </w:r>
      <w:r w:rsidRPr="009E158F">
        <w:t xml:space="preserve">  </w:t>
      </w:r>
      <w:r>
        <w:t xml:space="preserve">We tentatively conclude that a sharee station’s transmission of its signal on a different channel following implementation of a CSA does not alter the station’s must-carry right to carriage of a single “primary video” programming stream.  </w:t>
      </w:r>
    </w:p>
    <w:p w:rsidR="00A62BA5" w:rsidRDefault="007C1D47" w:rsidP="00A62BA5">
      <w:pPr>
        <w:pStyle w:val="ParaNum"/>
      </w:pPr>
      <w:r>
        <w:t xml:space="preserve">Section 1452(a)(4) provides that sharee stations resulting from the incentive auction have the same carriage rights on the shared channel that each station would have on that channel and from that location if it were not sharing, but this provision by its terms addresses only auction-related </w:t>
      </w:r>
      <w:r w:rsidR="00F53FE1">
        <w:t>CSA</w:t>
      </w:r>
      <w:r w:rsidR="008B0F23">
        <w:t>s</w:t>
      </w:r>
      <w:r>
        <w:t>.   For this reason, as noted above, we conclude that the carriage rights of sharees outside the context of the incentive auction are determined not by the Spectrum Act but by the carriage provisions of the Communications Act.</w:t>
      </w:r>
    </w:p>
    <w:p w:rsidR="00A62BA5" w:rsidRDefault="007C1D47" w:rsidP="00A62BA5">
      <w:pPr>
        <w:pStyle w:val="ParaNum"/>
      </w:pPr>
      <w:r>
        <w:t>Notably, however, Section 1452(a)(4) does not simply affirm carriage rights under the Communications Act, it also limits the carriage rights of sharee stations in connection with the incentive auction to those that possessed such rights on November 30, 2010.</w:t>
      </w:r>
      <w:r>
        <w:rPr>
          <w:rStyle w:val="FootnoteReference"/>
        </w:rPr>
        <w:footnoteReference w:id="128"/>
      </w:r>
      <w:r>
        <w:t xml:space="preserve">  The date of November 30, 2010 refers to the Commission’s issuance of the </w:t>
      </w:r>
      <w:r w:rsidRPr="00A62BA5">
        <w:rPr>
          <w:i/>
        </w:rPr>
        <w:t>2010 Channel Sharing</w:t>
      </w:r>
      <w:r>
        <w:t xml:space="preserve"> </w:t>
      </w:r>
      <w:r w:rsidRPr="00A62BA5">
        <w:rPr>
          <w:i/>
        </w:rPr>
        <w:t>NPRM</w:t>
      </w:r>
      <w:r>
        <w:t xml:space="preserve"> proposing to allow television stations to channel share.</w:t>
      </w:r>
      <w:r>
        <w:rPr>
          <w:rStyle w:val="FootnoteReference"/>
        </w:rPr>
        <w:footnoteReference w:id="129"/>
      </w:r>
      <w:r>
        <w:t xml:space="preserve">  In the </w:t>
      </w:r>
      <w:r w:rsidRPr="00A62BA5">
        <w:rPr>
          <w:i/>
        </w:rPr>
        <w:t>2010 Channel Sharing</w:t>
      </w:r>
      <w:r>
        <w:t xml:space="preserve"> </w:t>
      </w:r>
      <w:r w:rsidRPr="00A62BA5">
        <w:rPr>
          <w:i/>
        </w:rPr>
        <w:t>NPRM</w:t>
      </w:r>
      <w:r>
        <w:t>, the Commission proposed to “</w:t>
      </w:r>
      <w:r w:rsidRPr="00A62BA5">
        <w:rPr>
          <w:color w:val="010101"/>
        </w:rPr>
        <w:t>limit channel sharing to television stations with existing applications, construction permits or licenses as of [November 30, 2010].”</w:t>
      </w:r>
      <w:r>
        <w:rPr>
          <w:rStyle w:val="FootnoteReference"/>
          <w:color w:val="010101"/>
        </w:rPr>
        <w:footnoteReference w:id="130"/>
      </w:r>
      <w:r w:rsidRPr="00A62BA5">
        <w:rPr>
          <w:color w:val="010101"/>
        </w:rPr>
        <w:t xml:space="preserve">  In response, MVPDs expressed concern that allowing new stations that have not yet built facilities to become sharee stations would be </w:t>
      </w:r>
      <w:r>
        <w:t>a shortcut to obtaining MVPD carriage</w:t>
      </w:r>
      <w:r w:rsidRPr="00A62BA5">
        <w:rPr>
          <w:color w:val="010101"/>
        </w:rPr>
        <w:t xml:space="preserve"> and thereby artificially increase the number of stations MVPDs are required to carry under the must carry regime.</w:t>
      </w:r>
      <w:r>
        <w:rPr>
          <w:rStyle w:val="FootnoteReference"/>
          <w:color w:val="010101"/>
        </w:rPr>
        <w:footnoteReference w:id="131"/>
      </w:r>
      <w:r w:rsidRPr="00A62BA5">
        <w:rPr>
          <w:color w:val="010101"/>
        </w:rPr>
        <w:t xml:space="preserve">  In the Spectrum Act, Congress adopted a different approach than the one proposed in </w:t>
      </w:r>
      <w:r>
        <w:t xml:space="preserve">the </w:t>
      </w:r>
      <w:r w:rsidRPr="00A62BA5">
        <w:rPr>
          <w:i/>
        </w:rPr>
        <w:t>2010 Channel Sharing</w:t>
      </w:r>
      <w:r>
        <w:t xml:space="preserve"> </w:t>
      </w:r>
      <w:r w:rsidRPr="00A62BA5">
        <w:rPr>
          <w:i/>
        </w:rPr>
        <w:t>NPRM</w:t>
      </w:r>
      <w:r w:rsidRPr="00A62BA5">
        <w:rPr>
          <w:color w:val="010101"/>
        </w:rPr>
        <w:t xml:space="preserve"> by requiring a sharee station resulting from the incentive auction to have “possessed carriage rights” on November 30, 2010 in order have carriage rights at its shared location.</w:t>
      </w:r>
      <w:r>
        <w:rPr>
          <w:rStyle w:val="FootnoteReference"/>
          <w:color w:val="010101"/>
        </w:rPr>
        <w:footnoteReference w:id="132"/>
      </w:r>
      <w:r w:rsidRPr="00A62BA5">
        <w:rPr>
          <w:color w:val="010101"/>
        </w:rPr>
        <w:t xml:space="preserve">  Consistent with the concerns expressed by MVPDs, this approach precluded stations that were not licensed as of </w:t>
      </w:r>
      <w:r>
        <w:t xml:space="preserve">November 30, 2010 from the </w:t>
      </w:r>
      <w:r w:rsidRPr="00A62BA5">
        <w:rPr>
          <w:color w:val="010101"/>
        </w:rPr>
        <w:t xml:space="preserve">entitlement to carriage under Section 1452(a)(4) because they did not “possess[] carriage rights” on that date.  </w:t>
      </w:r>
    </w:p>
    <w:p w:rsidR="00A62BA5" w:rsidRDefault="007C1D47" w:rsidP="00A62BA5">
      <w:pPr>
        <w:pStyle w:val="ParaNum"/>
      </w:pPr>
      <w:r>
        <w:t>Consistent with Section 1452(a)</w:t>
      </w:r>
      <w:r w:rsidR="00AA2738">
        <w:t>’s objective of avoiding artificially creating new stations that can demand MVPD carriage</w:t>
      </w:r>
      <w:r>
        <w:t xml:space="preserve">, we propose that </w:t>
      </w:r>
      <w:r w:rsidR="00AA2738">
        <w:t>a</w:t>
      </w:r>
      <w:r>
        <w:t xml:space="preserve"> full</w:t>
      </w:r>
      <w:r w:rsidR="006C3E34">
        <w:t xml:space="preserve"> </w:t>
      </w:r>
      <w:r>
        <w:t xml:space="preserve">power </w:t>
      </w:r>
      <w:r w:rsidR="00AA2738">
        <w:t>or</w:t>
      </w:r>
      <w:r>
        <w:t xml:space="preserve"> Class A station </w:t>
      </w:r>
      <w:r w:rsidR="00AA2738">
        <w:t xml:space="preserve">will be eligible to become a sharee station outside of the auction context only if it </w:t>
      </w:r>
      <w:r>
        <w:t xml:space="preserve">possessed carriage rights under sections 338, 614, or 615 of the Communications Act </w:t>
      </w:r>
      <w:r w:rsidR="00AA2738">
        <w:t>through an auction-related channel sharing agreement, pursuant to Section 1452(a)(4), or because it was operating on its own non-shared channel immediately prior to entering i</w:t>
      </w:r>
      <w:r w:rsidR="00F00A2F">
        <w:t>nto a channel sharing agreement.</w:t>
      </w:r>
      <w:r w:rsidR="00AA2738">
        <w:rPr>
          <w:color w:val="010101"/>
        </w:rPr>
        <w:t xml:space="preserve">  We also seek comment on any alternative approaches that would address Congress’s concern</w:t>
      </w:r>
      <w:r w:rsidRPr="00A62BA5">
        <w:rPr>
          <w:color w:val="010101"/>
        </w:rPr>
        <w:t xml:space="preserve"> </w:t>
      </w:r>
      <w:r>
        <w:t xml:space="preserve">that channel sharing not be used as a means to artificially increase the number of stations </w:t>
      </w:r>
      <w:r w:rsidR="006C3E34">
        <w:t xml:space="preserve">that </w:t>
      </w:r>
      <w:r>
        <w:t>MVPDs are required to carry</w:t>
      </w:r>
      <w:r w:rsidR="00AA2738">
        <w:t>,</w:t>
      </w:r>
      <w:r w:rsidRPr="00A62BA5">
        <w:rPr>
          <w:color w:val="010101"/>
        </w:rPr>
        <w:t xml:space="preserve"> including </w:t>
      </w:r>
      <w:r w:rsidR="00AA2738">
        <w:rPr>
          <w:color w:val="010101"/>
        </w:rPr>
        <w:t xml:space="preserve">the adoption of </w:t>
      </w:r>
      <w:r w:rsidRPr="00A62BA5">
        <w:rPr>
          <w:color w:val="010101"/>
        </w:rPr>
        <w:t>November 30, 2010</w:t>
      </w:r>
      <w:r w:rsidR="00F00A2F">
        <w:rPr>
          <w:color w:val="010101"/>
        </w:rPr>
        <w:t>,</w:t>
      </w:r>
      <w:r w:rsidRPr="00A62BA5">
        <w:rPr>
          <w:color w:val="010101"/>
        </w:rPr>
        <w:t xml:space="preserve"> </w:t>
      </w:r>
      <w:r w:rsidR="00AA2738">
        <w:rPr>
          <w:color w:val="010101"/>
        </w:rPr>
        <w:t>or some later</w:t>
      </w:r>
      <w:r w:rsidRPr="00A62BA5">
        <w:rPr>
          <w:color w:val="010101"/>
        </w:rPr>
        <w:t xml:space="preserve"> date</w:t>
      </w:r>
      <w:r w:rsidR="00AA2738">
        <w:rPr>
          <w:color w:val="010101"/>
        </w:rPr>
        <w:t xml:space="preserve"> certain for the possession of carriage rights as a condition precedent to becoming a sharee</w:t>
      </w:r>
      <w:r w:rsidRPr="00A62BA5">
        <w:rPr>
          <w:color w:val="010101"/>
        </w:rPr>
        <w:t>.</w:t>
      </w:r>
      <w:r w:rsidR="00AA2738">
        <w:rPr>
          <w:color w:val="010101"/>
        </w:rPr>
        <w:t xml:space="preserve">  Another approach would be to extend</w:t>
      </w:r>
      <w:r w:rsidRPr="00A62BA5">
        <w:rPr>
          <w:color w:val="010101"/>
        </w:rPr>
        <w:t xml:space="preserve"> </w:t>
      </w:r>
      <w:r>
        <w:t xml:space="preserve">eligibility </w:t>
      </w:r>
      <w:r w:rsidR="00AA2738">
        <w:t>of</w:t>
      </w:r>
      <w:r>
        <w:t xml:space="preserve"> a sharee station </w:t>
      </w:r>
      <w:r w:rsidR="00AA2738">
        <w:t xml:space="preserve">for carriage rights </w:t>
      </w:r>
      <w:r>
        <w:t xml:space="preserve">outside of the auction context </w:t>
      </w:r>
      <w:r w:rsidR="00AA2738">
        <w:t>only</w:t>
      </w:r>
      <w:r>
        <w:t xml:space="preserve"> to </w:t>
      </w:r>
      <w:r w:rsidR="00AA2738">
        <w:t>a</w:t>
      </w:r>
      <w:r>
        <w:t xml:space="preserve"> station that has constructed and licensed facilities without relying on sharing with another station, regardless of when that station possessed carriage rights</w:t>
      </w:r>
      <w:r w:rsidR="00AA2738">
        <w:t>.</w:t>
      </w:r>
      <w:r>
        <w:t xml:space="preserve">  </w:t>
      </w:r>
      <w:r w:rsidR="00AA2738">
        <w:t>How would this approach apply to a station that entered into an auction-related sharing agreement for a limited term and subsequently seeks to enter into a new sharing agreement outside the auction context with the same or different sharer?</w:t>
      </w:r>
      <w:r>
        <w:t xml:space="preserve">  </w:t>
      </w:r>
      <w:r w:rsidR="00C723C1">
        <w:t>Are there any other alternative approaches that we should consider?</w:t>
      </w:r>
    </w:p>
    <w:p w:rsidR="007C1D47" w:rsidRPr="0069589E" w:rsidRDefault="007C1D47" w:rsidP="00A62BA5">
      <w:pPr>
        <w:pStyle w:val="ParaNum"/>
      </w:pPr>
      <w:r w:rsidRPr="00A62BA5">
        <w:rPr>
          <w:color w:val="010101"/>
        </w:rPr>
        <w:t xml:space="preserve">We do not propose, however, to restrict </w:t>
      </w:r>
      <w:r>
        <w:t>full power and Class A stations from becoming sharer stations outside of the auction context, regardless of when or whether such stations have obtained carriage rights.  We believe this approach is consistent with Section 1452(a)(4), which pertains to the carriage rights of only sharee stations, not sharer stations.</w:t>
      </w:r>
      <w:r>
        <w:rPr>
          <w:rStyle w:val="FootnoteReference"/>
        </w:rPr>
        <w:footnoteReference w:id="133"/>
      </w:r>
      <w:r>
        <w:t xml:space="preserve">  Because a sharer station necessarily would have already constructed and licensed its facilities, there is no apparent concern that such stations could use sharing as a shortcut to obtaining MVPD carriage.  Moreover, we believe the ability of such stations to serve as sharers would benefit other stations, including those participating in the incentive auction, by increasing the number of potential sharers.  </w:t>
      </w:r>
      <w:r w:rsidRPr="00A62BA5">
        <w:rPr>
          <w:color w:val="010101"/>
        </w:rPr>
        <w:t>We seek comment on this approach.</w:t>
      </w:r>
      <w:r w:rsidRPr="00A62BA5">
        <w:rPr>
          <w:sz w:val="24"/>
          <w:szCs w:val="24"/>
        </w:rPr>
        <w:t xml:space="preserve"> </w:t>
      </w:r>
    </w:p>
    <w:p w:rsidR="007C1D47" w:rsidRDefault="007C1D47" w:rsidP="007C1D47">
      <w:pPr>
        <w:pStyle w:val="Heading2"/>
      </w:pPr>
      <w:bookmarkStart w:id="67" w:name="_Toc415150689"/>
      <w:bookmarkStart w:id="68" w:name="_Toc415151210"/>
      <w:bookmarkStart w:id="69" w:name="_Toc415151358"/>
      <w:bookmarkStart w:id="70" w:name="_Toc416424162"/>
      <w:bookmarkStart w:id="71" w:name="_Toc416424784"/>
      <w:bookmarkStart w:id="72" w:name="_Toc416429429"/>
      <w:r>
        <w:t>Voluntary and Flexible Channel Sharing</w:t>
      </w:r>
      <w:bookmarkEnd w:id="67"/>
      <w:bookmarkEnd w:id="68"/>
      <w:bookmarkEnd w:id="69"/>
      <w:bookmarkEnd w:id="70"/>
      <w:bookmarkEnd w:id="71"/>
      <w:bookmarkEnd w:id="72"/>
      <w:r>
        <w:t xml:space="preserve"> </w:t>
      </w:r>
    </w:p>
    <w:p w:rsidR="00A62BA5" w:rsidRDefault="007C1D47" w:rsidP="00A62BA5">
      <w:pPr>
        <w:pStyle w:val="ParaNum"/>
      </w:pPr>
      <w:r>
        <w:t xml:space="preserve">We propose to adopt rules and procedures for channel sharing for full power and Class A stations outside the auction context that are generally similar to those we adopted in connection with the incentive auction, as modified in the companion </w:t>
      </w:r>
      <w:r w:rsidR="0097717A">
        <w:t>First Order on Reconsideration</w:t>
      </w:r>
      <w:r w:rsidRPr="006A311D">
        <w:rPr>
          <w:i/>
        </w:rPr>
        <w:t>.</w:t>
      </w:r>
      <w:r>
        <w:t xml:space="preserve">  We propose that channel sharing be voluntary and flexible, that stations be permitted to choose their channel sharing partners, that channel sharing agreements be required to outline stations’ rights with respect to certain matters, and that stations be permitted to assign or transfer their rights under a CSA.  </w:t>
      </w:r>
      <w:r w:rsidRPr="00105F8D">
        <w:t>We do not intend to be involved in the process of matching licensees interested in channel sharing with potential partners.</w:t>
      </w:r>
      <w:r>
        <w:t xml:space="preserve">  Instead, full power and Class A </w:t>
      </w:r>
      <w:r w:rsidRPr="00105F8D">
        <w:t xml:space="preserve">stations would decide for themselves whether and with whom to enter into a </w:t>
      </w:r>
      <w:r w:rsidR="00F53FE1">
        <w:t>CSA</w:t>
      </w:r>
      <w:r w:rsidRPr="00105F8D">
        <w:t>.</w:t>
      </w:r>
    </w:p>
    <w:p w:rsidR="00A62BA5" w:rsidRDefault="007C1D47" w:rsidP="00A62BA5">
      <w:pPr>
        <w:pStyle w:val="ParaNum"/>
      </w:pPr>
      <w:r>
        <w:t xml:space="preserve">In addition, consistent with our approach toward channel sharing in the auction context, </w:t>
      </w:r>
      <w:r w:rsidRPr="00105F8D">
        <w:t xml:space="preserve">we propose to require all </w:t>
      </w:r>
      <w:r>
        <w:t xml:space="preserve">stations involved in channel sharing </w:t>
      </w:r>
      <w:r w:rsidRPr="00105F8D">
        <w:t xml:space="preserve">to retain spectrum usage rights sufficient to ensure at least enough capacity to operate one standard definition (“SD”) programming stream at all times. </w:t>
      </w:r>
      <w:r>
        <w:t xml:space="preserve"> </w:t>
      </w:r>
      <w:r w:rsidRPr="00105F8D">
        <w:t>This requirement will ensure that each</w:t>
      </w:r>
      <w:r>
        <w:t xml:space="preserve"> station has </w:t>
      </w:r>
      <w:r w:rsidRPr="00105F8D">
        <w:t>sufficient channel capacity to meet our requirement to “transmit at least one over-the-air video broadcast signal provided at no direct charge to viewers ....”</w:t>
      </w:r>
      <w:r>
        <w:rPr>
          <w:rStyle w:val="FootnoteReference"/>
        </w:rPr>
        <w:footnoteReference w:id="134"/>
      </w:r>
      <w:r w:rsidRPr="00105F8D">
        <w:t xml:space="preserve"> </w:t>
      </w:r>
      <w:r>
        <w:t xml:space="preserve"> W</w:t>
      </w:r>
      <w:r w:rsidRPr="00105F8D">
        <w:t>e propose</w:t>
      </w:r>
      <w:r>
        <w:t>, however,</w:t>
      </w:r>
      <w:r w:rsidRPr="00105F8D">
        <w:t xml:space="preserve"> to allow stations flexibility </w:t>
      </w:r>
      <w:r>
        <w:t>beyond</w:t>
      </w:r>
      <w:r w:rsidRPr="00105F8D">
        <w:t xml:space="preserve"> this “minimum capacity” requirement to tailor their agreements and allow a variety of different types of spectrum sharing to meet the individualized programming and economic needs of the parties involved. </w:t>
      </w:r>
      <w:r>
        <w:t xml:space="preserve"> W</w:t>
      </w:r>
      <w:r w:rsidRPr="00105F8D">
        <w:t xml:space="preserve">e do not propose to prescribe a fixed split of the capacity of the six megahertz channel between the stations from a technological or licensing perspective. </w:t>
      </w:r>
      <w:r>
        <w:t xml:space="preserve"> </w:t>
      </w:r>
      <w:r w:rsidRPr="00105F8D">
        <w:t>We propose that all channel sharing stations be licensed for the entire capacity of the six megahertz channel and that the stations be allowed to determine the manner in which that capacity will be divided among themselves subject only to the minimum capacity requirement.</w:t>
      </w:r>
    </w:p>
    <w:p w:rsidR="001E7AE0" w:rsidRDefault="001E7AE0" w:rsidP="00A62BA5">
      <w:pPr>
        <w:pStyle w:val="ParaNum"/>
      </w:pPr>
      <w:r>
        <w:t xml:space="preserve">In the companion </w:t>
      </w:r>
      <w:r w:rsidR="0097717A">
        <w:t>First Order on Reconsideration</w:t>
      </w:r>
      <w:r>
        <w:t xml:space="preserve">, we determined that </w:t>
      </w:r>
      <w:r w:rsidR="00F53FE1">
        <w:t>CSA</w:t>
      </w:r>
      <w:r w:rsidR="008B0F23">
        <w:t xml:space="preserve">s </w:t>
      </w:r>
      <w:r>
        <w:t>need not be permanent in nature and modified our rules to permit broadcasters to choose the length of their CSAs.</w:t>
      </w:r>
      <w:r>
        <w:rPr>
          <w:rStyle w:val="FootnoteReference"/>
        </w:rPr>
        <w:footnoteReference w:id="135"/>
      </w:r>
      <w:r>
        <w:t xml:space="preserve">  Similarly, we propose to permit term-limited CSAs outside the auction context.  We also invite comment on whether we should establish a minimum term for CSAs that are unrelated to the auction. </w:t>
      </w:r>
      <w:r w:rsidRPr="00A62BA5">
        <w:rPr>
          <w:b/>
        </w:rPr>
        <w:t xml:space="preserve"> </w:t>
      </w:r>
      <w:r>
        <w:t>Our goal in permitting term-limited CSAs is to provide flexibility for broadcasters that choose to end the channel sharing relationship while maintaining the opportunity to continue to operate.</w:t>
      </w:r>
      <w:r>
        <w:rPr>
          <w:rStyle w:val="FootnoteReference"/>
        </w:rPr>
        <w:footnoteReference w:id="136"/>
      </w:r>
      <w:r>
        <w:t xml:space="preserve">  We are concerned, however, about the potential disruption to viewers that could occur if channel sharing stations enter into short-term CSAs or terminate CSAs early, resulting in frequent channel moves.  </w:t>
      </w:r>
      <w:r w:rsidR="001D2D2A">
        <w:t>In addition, we note that MVPDs could experience carriage-related disruptions should there be a multitude of short-term CSAs.  Given this, s</w:t>
      </w:r>
      <w:r>
        <w:t xml:space="preserve">hould we establish a minimum term for CSAs, or would this unduly constrain channel sharing partners who may prefer a short-term </w:t>
      </w:r>
      <w:r w:rsidR="008B0F23">
        <w:t xml:space="preserve">agreement </w:t>
      </w:r>
      <w:r>
        <w:t>or want to terminate a CSA early?   If we were to establish a minimum term for CSAs, what minimum term would be appropriate (</w:t>
      </w:r>
      <w:r w:rsidRPr="00A62BA5">
        <w:rPr>
          <w:i/>
        </w:rPr>
        <w:t>e.g</w:t>
      </w:r>
      <w:r>
        <w:t xml:space="preserve">., </w:t>
      </w:r>
      <w:r w:rsidR="004C1BD5">
        <w:t>three</w:t>
      </w:r>
      <w:r>
        <w:t xml:space="preserve"> years)?  </w:t>
      </w:r>
    </w:p>
    <w:p w:rsidR="007C1D47" w:rsidRPr="00105F8D" w:rsidRDefault="007C1D47" w:rsidP="007C1D47">
      <w:pPr>
        <w:pStyle w:val="Heading2"/>
      </w:pPr>
      <w:bookmarkStart w:id="73" w:name="_Toc415150690"/>
      <w:bookmarkStart w:id="74" w:name="_Toc415151211"/>
      <w:bookmarkStart w:id="75" w:name="_Toc415151359"/>
      <w:bookmarkStart w:id="76" w:name="_Toc416424163"/>
      <w:bookmarkStart w:id="77" w:name="_Toc416424785"/>
      <w:bookmarkStart w:id="78" w:name="_Toc416429430"/>
      <w:r>
        <w:t>Licensing Procedures</w:t>
      </w:r>
      <w:bookmarkEnd w:id="73"/>
      <w:bookmarkEnd w:id="74"/>
      <w:bookmarkEnd w:id="75"/>
      <w:bookmarkEnd w:id="76"/>
      <w:bookmarkEnd w:id="77"/>
      <w:bookmarkEnd w:id="78"/>
    </w:p>
    <w:p w:rsidR="00A62BA5" w:rsidRDefault="007C1D47" w:rsidP="00A62BA5">
      <w:pPr>
        <w:pStyle w:val="ParaNum"/>
      </w:pPr>
      <w:r w:rsidRPr="00105F8D" w:rsidDel="006A311D">
        <w:t xml:space="preserve">We also propose to </w:t>
      </w:r>
      <w:r>
        <w:t xml:space="preserve">extend to </w:t>
      </w:r>
      <w:r w:rsidR="001E7AE0">
        <w:t>non-auction-related</w:t>
      </w:r>
      <w:r>
        <w:t xml:space="preserve"> sharing </w:t>
      </w:r>
      <w:r w:rsidR="008B0F23">
        <w:t>agreement</w:t>
      </w:r>
      <w:r>
        <w:t>s</w:t>
      </w:r>
      <w:r w:rsidRPr="00105F8D" w:rsidDel="006A311D">
        <w:t xml:space="preserve"> our existing policy framework</w:t>
      </w:r>
      <w:r w:rsidRPr="00105F8D">
        <w:t xml:space="preserve"> for the licensing a</w:t>
      </w:r>
      <w:r>
        <w:t xml:space="preserve">nd operation of channel sharing </w:t>
      </w:r>
      <w:r w:rsidRPr="00105F8D">
        <w:t>stations</w:t>
      </w:r>
      <w:r w:rsidRPr="00105F8D" w:rsidDel="006A311D">
        <w:t xml:space="preserve">. </w:t>
      </w:r>
      <w:r w:rsidDel="006A311D">
        <w:t xml:space="preserve"> </w:t>
      </w:r>
      <w:r w:rsidRPr="00105F8D" w:rsidDel="006A311D">
        <w:t xml:space="preserve">Under this policy, despite sharing a single channel and transmission facility, each </w:t>
      </w:r>
      <w:r w:rsidDel="006A311D">
        <w:t xml:space="preserve">full power and Class A </w:t>
      </w:r>
      <w:r w:rsidRPr="00105F8D" w:rsidDel="006A311D">
        <w:t xml:space="preserve">station would continue to be licensed separately. </w:t>
      </w:r>
      <w:r w:rsidDel="006A311D">
        <w:t xml:space="preserve"> </w:t>
      </w:r>
      <w:r w:rsidRPr="00105F8D" w:rsidDel="006A311D">
        <w:t>Each station would have its own call sign, and each licensee would separately be subject to all of the Commission's obligations, rules, and policies.</w:t>
      </w:r>
      <w:r w:rsidDel="006A311D">
        <w:rPr>
          <w:vertAlign w:val="superscript"/>
        </w:rPr>
        <w:t xml:space="preserve">  </w:t>
      </w:r>
      <w:r w:rsidRPr="00105F8D" w:rsidDel="006A311D">
        <w:t>We seek comment on these proposals.</w:t>
      </w:r>
    </w:p>
    <w:p w:rsidR="00A62BA5" w:rsidRDefault="007C1D47" w:rsidP="00A62BA5">
      <w:pPr>
        <w:pStyle w:val="ParaNum"/>
      </w:pPr>
      <w:r>
        <w:t xml:space="preserve">We propose to adopt a two-step process for implementing </w:t>
      </w:r>
      <w:r w:rsidR="001E7AE0">
        <w:t xml:space="preserve">non-auction-related </w:t>
      </w:r>
      <w:r>
        <w:t>channel sharing by and between full power and Class A stations outside the auction context</w:t>
      </w:r>
      <w:r w:rsidR="009E6DD4">
        <w:t>.</w:t>
      </w:r>
      <w:r>
        <w:rPr>
          <w:rStyle w:val="FootnoteReference"/>
        </w:rPr>
        <w:footnoteReference w:id="137"/>
      </w:r>
      <w:r>
        <w:t xml:space="preserve">  </w:t>
      </w:r>
      <w:r w:rsidR="001E7AE0">
        <w:t>I</w:t>
      </w:r>
      <w:r>
        <w:t xml:space="preserve">f no technical changes are necessary for sharing, a channel sharing station relinquishing its channel </w:t>
      </w:r>
      <w:r w:rsidR="001E7AE0">
        <w:t xml:space="preserve">first </w:t>
      </w:r>
      <w:r>
        <w:t>would file an application for digital construction permit for the same technical facilities as the sharer station</w:t>
      </w:r>
      <w:r w:rsidR="001E7AE0">
        <w:t xml:space="preserve">.  </w:t>
      </w:r>
      <w:r>
        <w:t xml:space="preserve">That application would include a copy of the CSA as an exhibit and cross reference the other sharing station(s).  The sharer station would not need to take action at this time unless the CSA required technical changes to the sharer station's facilities.  If changes to the sharer station facilities were required, each sharing station would file an application for construction permit for identical technical facilities proposing to share the channel, along with the CSA.  As a second step, after the sharing stations have obtained the necessary construction permits, implemented their shared facility, and initiated shared operations, a station relinquishing its channel would notify the Commission that it has terminated operation on that channel.  At the same time, sharing stations would file applications for license to complete the licensing process. We seek comment on these proposed procedures. </w:t>
      </w:r>
    </w:p>
    <w:p w:rsidR="00A62BA5" w:rsidRDefault="007C1D47" w:rsidP="00A62BA5">
      <w:pPr>
        <w:pStyle w:val="ParaNum"/>
      </w:pPr>
      <w:r>
        <w:t>We propose to treat applications for a construction permit in order to channel share as minor change applications, similar to the approach we adopted for auction-related channel sharing.</w:t>
      </w:r>
      <w:r>
        <w:rPr>
          <w:rStyle w:val="FootnoteReference"/>
        </w:rPr>
        <w:footnoteReference w:id="138"/>
      </w:r>
      <w:r>
        <w:t xml:space="preserve">  We believe that the use of minor change applications is appropriate to facilitate </w:t>
      </w:r>
      <w:r w:rsidR="00F53FE1">
        <w:t>CSA</w:t>
      </w:r>
      <w:r>
        <w:t xml:space="preserve">s, particularly if we prohibit sharee stations from relocating outside their community of license in order to channel share, as discussed below.  We seek comment on this approach.  </w:t>
      </w:r>
    </w:p>
    <w:p w:rsidR="00A62BA5" w:rsidRDefault="007C1D47" w:rsidP="00A62BA5">
      <w:pPr>
        <w:pStyle w:val="ParaNum"/>
      </w:pPr>
      <w:r>
        <w:t xml:space="preserve">We also seek comment on an appropriate length of time for channel sharing full power and Class A stations to implement their </w:t>
      </w:r>
      <w:r w:rsidR="008B0F23">
        <w:t>agreement</w:t>
      </w:r>
      <w:r>
        <w:t xml:space="preserve">s.  In the </w:t>
      </w:r>
      <w:r w:rsidRPr="00A62BA5">
        <w:rPr>
          <w:i/>
        </w:rPr>
        <w:t>IA R&amp;O</w:t>
      </w:r>
      <w:r>
        <w:t xml:space="preserve">, we required that </w:t>
      </w:r>
      <w:r w:rsidR="00F53FE1">
        <w:t>CSA</w:t>
      </w:r>
      <w:r>
        <w:t>s be implemented within three months after the relinquishing station receives its reverse auction proceeds.</w:t>
      </w:r>
      <w:r>
        <w:rPr>
          <w:rStyle w:val="FootnoteReference"/>
        </w:rPr>
        <w:footnoteReference w:id="139"/>
      </w:r>
      <w:r>
        <w:t xml:space="preserve">  In the companion </w:t>
      </w:r>
      <w:r w:rsidR="0097717A">
        <w:t>First Order on Reconsideration</w:t>
      </w:r>
      <w:r>
        <w:t xml:space="preserve">, we modify our rules to permit post-auction CSAs, and to permit a </w:t>
      </w:r>
      <w:r w:rsidR="001E7AE0">
        <w:t xml:space="preserve">successful </w:t>
      </w:r>
      <w:r>
        <w:t>license relinquish</w:t>
      </w:r>
      <w:r w:rsidR="001E7AE0">
        <w:t>ment bidder</w:t>
      </w:r>
      <w:r>
        <w:t xml:space="preserve"> who in its application expresses a present intent to enter a post-auction CSA up to three months from the receipt of auction proceeds to execute and implement a sharing </w:t>
      </w:r>
      <w:r w:rsidR="008B0F23">
        <w:t>agreement</w:t>
      </w:r>
      <w:r>
        <w:t>.</w:t>
      </w:r>
      <w:r>
        <w:rPr>
          <w:rStyle w:val="FootnoteReference"/>
        </w:rPr>
        <w:footnoteReference w:id="140"/>
      </w:r>
      <w:r>
        <w:t xml:space="preserve">  The exigencies of the auction process do not apply in setting a deadline for stations to implement their </w:t>
      </w:r>
      <w:r w:rsidR="00F53FE1">
        <w:t>CSA</w:t>
      </w:r>
      <w:r>
        <w:t>s outside the auction context.</w:t>
      </w:r>
      <w:r>
        <w:rPr>
          <w:rStyle w:val="FootnoteReference"/>
        </w:rPr>
        <w:footnoteReference w:id="141"/>
      </w:r>
      <w:r>
        <w:t xml:space="preserve">  In </w:t>
      </w:r>
      <w:r w:rsidRPr="000B47E6">
        <w:t>the</w:t>
      </w:r>
      <w:r>
        <w:t xml:space="preserve"> </w:t>
      </w:r>
      <w:r w:rsidRPr="00A62BA5">
        <w:rPr>
          <w:i/>
        </w:rPr>
        <w:t>LPTV Channel Sharing NPRM</w:t>
      </w:r>
      <w:r>
        <w:t>, we sought comment on whether to allow channel sharing stations the standard three-year construction period under the rules to implement their sharing deals.</w:t>
      </w:r>
      <w:r>
        <w:rPr>
          <w:rStyle w:val="FootnoteReference"/>
        </w:rPr>
        <w:footnoteReference w:id="142"/>
      </w:r>
      <w:r>
        <w:t xml:space="preserve">  Should we also give full power and Class A stations the standard three-year construction period in which to implement </w:t>
      </w:r>
      <w:r w:rsidR="00F53FE1">
        <w:t>CSA</w:t>
      </w:r>
      <w:r>
        <w:t xml:space="preserve">s?  Is there another timeframe that would be more appropriate? </w:t>
      </w:r>
    </w:p>
    <w:p w:rsidR="00A62BA5" w:rsidRDefault="007C1D47" w:rsidP="00A62BA5">
      <w:pPr>
        <w:pStyle w:val="ParaNum"/>
      </w:pPr>
      <w:r>
        <w:t>W</w:t>
      </w:r>
      <w:r w:rsidR="00A73C53">
        <w:t>e also</w:t>
      </w:r>
      <w:r>
        <w:t xml:space="preserve"> seek comment on the degree of flexibility we should provide to potential sharee stations seeking to relocate to take advantage of channel sharing.  In the </w:t>
      </w:r>
      <w:r w:rsidRPr="00A62BA5">
        <w:rPr>
          <w:i/>
        </w:rPr>
        <w:t>IA R&amp;O</w:t>
      </w:r>
      <w:r>
        <w:t xml:space="preserve">, we stated that we would permit a </w:t>
      </w:r>
      <w:r w:rsidR="00A73C53">
        <w:t>sharee</w:t>
      </w:r>
      <w:r>
        <w:t xml:space="preserve"> to change its community of license only in situations where the sharee cannot meet community of license signal requirements operating from the </w:t>
      </w:r>
      <w:r w:rsidR="00A73C53">
        <w:t>sharer</w:t>
      </w:r>
      <w:r>
        <w:t>’s transmission site and provided that the sharee chooses a new community of license that, at a minimum, meets the same allotment priorities as its current community.</w:t>
      </w:r>
      <w:r>
        <w:rPr>
          <w:rStyle w:val="FootnoteReference"/>
        </w:rPr>
        <w:footnoteReference w:id="143"/>
      </w:r>
      <w:r>
        <w:t xml:space="preserve">  In addition, the Commission stated that it would not allow a bidder to propose a community of license change that would change its DMA.</w:t>
      </w:r>
      <w:r>
        <w:rPr>
          <w:rStyle w:val="FootnoteReference"/>
        </w:rPr>
        <w:footnoteReference w:id="144"/>
      </w:r>
      <w:r>
        <w:t xml:space="preserve">   The Commission adopted this restriction on changes in community of license in the auction context in order to promote the goals underlying Section 307(b) of the Communications Act</w:t>
      </w:r>
      <w:r>
        <w:rPr>
          <w:rStyle w:val="FootnoteReference"/>
        </w:rPr>
        <w:footnoteReference w:id="145"/>
      </w:r>
      <w:r>
        <w:t xml:space="preserve"> while at the same time avoiding any detrimental impact on the speed and certainty of the auction, as well as on broadcaster participation, that would result from application of the Commission’s usual analysis of community of license changes.</w:t>
      </w:r>
      <w:r>
        <w:rPr>
          <w:rStyle w:val="FootnoteReference"/>
        </w:rPr>
        <w:footnoteReference w:id="146"/>
      </w:r>
      <w:r>
        <w:t xml:space="preserve">  Outside the auction context, we </w:t>
      </w:r>
      <w:r w:rsidR="00C723C1">
        <w:t xml:space="preserve">propose to preclude </w:t>
      </w:r>
      <w:r>
        <w:t>sharee stations</w:t>
      </w:r>
      <w:r w:rsidR="00EF5E5A">
        <w:t xml:space="preserve"> from </w:t>
      </w:r>
      <w:r>
        <w:t>chang</w:t>
      </w:r>
      <w:r w:rsidR="00EF5E5A">
        <w:t>ing</w:t>
      </w:r>
      <w:r>
        <w:t xml:space="preserve"> </w:t>
      </w:r>
      <w:r w:rsidR="00EF5E5A">
        <w:t xml:space="preserve">their </w:t>
      </w:r>
      <w:r>
        <w:t xml:space="preserve">community of license, </w:t>
      </w:r>
      <w:r w:rsidR="00EF5E5A">
        <w:t xml:space="preserve">and to </w:t>
      </w:r>
      <w:r>
        <w:t xml:space="preserve">limit these stations to </w:t>
      </w:r>
      <w:r w:rsidR="00F53FE1">
        <w:t>CSA</w:t>
      </w:r>
      <w:r>
        <w:t xml:space="preserve">s with a </w:t>
      </w:r>
      <w:r w:rsidR="00A73C53">
        <w:t xml:space="preserve">sharer </w:t>
      </w:r>
      <w:r w:rsidRPr="00C31CBF">
        <w:t>from whose transmitter site the sharee will continue to meet the community of license signal requirement over its current community of license</w:t>
      </w:r>
      <w:r w:rsidR="00C723C1">
        <w:t>.</w:t>
      </w:r>
      <w:r>
        <w:rPr>
          <w:rStyle w:val="FootnoteReference"/>
        </w:rPr>
        <w:footnoteReference w:id="147"/>
      </w:r>
      <w:r>
        <w:t xml:space="preserve">  Precluding relocation that would require a community of license change would advance our interest in ensuring the provision of service to local communities, avoid viewer disruption, and avoid any potential impact on MVPDs that might result from community of license changes.</w:t>
      </w:r>
    </w:p>
    <w:p w:rsidR="007C1D47" w:rsidRDefault="00A73C53" w:rsidP="00A62BA5">
      <w:pPr>
        <w:pStyle w:val="ParaNum"/>
      </w:pPr>
      <w:r>
        <w:t>In the event that we</w:t>
      </w:r>
      <w:r w:rsidR="007C1D47">
        <w:t xml:space="preserve"> permit sharee stations to propose a change in community of license in order to channel share, we invite comment on how we should evaluate such requests.  Should we use our traditional television allotment rules and policies, pursuant to which a proposed full power television sharee would have to file a petition for rulemaking and demonstrate that the requested change in community would result in a preferential arrangement of television allotments under Section 307(b) and the Commission’s allotment priorities?</w:t>
      </w:r>
      <w:r w:rsidR="007C1D47" w:rsidRPr="00A62BA5">
        <w:rPr>
          <w:sz w:val="20"/>
          <w:vertAlign w:val="superscript"/>
        </w:rPr>
        <w:t xml:space="preserve"> </w:t>
      </w:r>
      <w:r w:rsidR="007C1D47" w:rsidRPr="003A5D64">
        <w:rPr>
          <w:vertAlign w:val="superscript"/>
        </w:rPr>
        <w:footnoteReference w:id="148"/>
      </w:r>
      <w:r w:rsidR="007C1D47">
        <w:t xml:space="preserve">  Alternatively, should we adopt a more streamlined approach that would dispense with a rulemaking?  Outside the auction context, the concerns we expressed in the </w:t>
      </w:r>
      <w:r w:rsidR="007C1D47" w:rsidRPr="00A62BA5">
        <w:rPr>
          <w:i/>
        </w:rPr>
        <w:t>IA R&amp;O</w:t>
      </w:r>
      <w:r w:rsidR="007C1D47">
        <w:t xml:space="preserve"> about the potential impact on the auction of our usual analysis of community of license changes are not relevant.  We seek comment on these possible approaches to community of license changes.  </w:t>
      </w:r>
    </w:p>
    <w:p w:rsidR="007C1D47" w:rsidRDefault="007C1D47" w:rsidP="007C1D47">
      <w:pPr>
        <w:pStyle w:val="Heading2"/>
      </w:pPr>
      <w:bookmarkStart w:id="79" w:name="_Toc415150691"/>
      <w:bookmarkStart w:id="80" w:name="_Toc415151212"/>
      <w:bookmarkStart w:id="81" w:name="_Toc415151360"/>
      <w:bookmarkStart w:id="82" w:name="_Toc416424164"/>
      <w:bookmarkStart w:id="83" w:name="_Toc416424786"/>
      <w:bookmarkStart w:id="84" w:name="_Toc416429431"/>
      <w:r>
        <w:t>Channel Sharing Operating Rules</w:t>
      </w:r>
      <w:bookmarkEnd w:id="79"/>
      <w:bookmarkEnd w:id="80"/>
      <w:bookmarkEnd w:id="81"/>
      <w:bookmarkEnd w:id="82"/>
      <w:bookmarkEnd w:id="83"/>
      <w:bookmarkEnd w:id="84"/>
    </w:p>
    <w:p w:rsidR="00A62BA5" w:rsidRDefault="007C1D47" w:rsidP="00A62BA5">
      <w:pPr>
        <w:pStyle w:val="ParaNum"/>
      </w:pPr>
      <w:r>
        <w:t>W</w:t>
      </w:r>
      <w:r w:rsidRPr="00126493">
        <w:t xml:space="preserve">e propose to adopt channel sharing operating rules similar to those adopted for full power and Class A television stations in the </w:t>
      </w:r>
      <w:r w:rsidRPr="00B14AA1">
        <w:rPr>
          <w:i/>
          <w:iCs/>
        </w:rPr>
        <w:t>IA R&amp;O</w:t>
      </w:r>
      <w:r>
        <w:t xml:space="preserve">, as modified by the </w:t>
      </w:r>
      <w:r w:rsidR="000248A1">
        <w:t xml:space="preserve">First </w:t>
      </w:r>
      <w:r w:rsidRPr="000B47E6">
        <w:t>Order</w:t>
      </w:r>
      <w:r w:rsidR="000248A1">
        <w:t xml:space="preserve"> on Reconsideration</w:t>
      </w:r>
      <w:r>
        <w:t xml:space="preserve">.  In the </w:t>
      </w:r>
      <w:r w:rsidRPr="00B14AA1">
        <w:rPr>
          <w:i/>
        </w:rPr>
        <w:t>IA R&amp;O</w:t>
      </w:r>
      <w:r>
        <w:t>, we determined that CSAs for full power and</w:t>
      </w:r>
      <w:r w:rsidRPr="00126493">
        <w:t xml:space="preserve"> Class A stations must include provisions governing certain key aspects of their operations</w:t>
      </w:r>
      <w:r>
        <w:t xml:space="preserve">: </w:t>
      </w:r>
      <w:r w:rsidRPr="00126493">
        <w:t>(1) access to facilities, including whether each licensee will have unrestrained access to the shared transmission facilities; (2) allocation of bandwidth within the shared channel; (3) operation, maintenance, repair, and modification of facilities, including a list of all relevant equipment, a description of each party</w:t>
      </w:r>
      <w:r>
        <w:t>’</w:t>
      </w:r>
      <w:r w:rsidRPr="00126493">
        <w:t xml:space="preserve">s financial obligations, and any relevant notice provisions; and (4) termination or transfer/assignment of rights to the shared licenses, including the ability of a new licensee to assume the existing CSA. </w:t>
      </w:r>
      <w:r>
        <w:t xml:space="preserve"> We propose to require full power and Class A CSAs outside the auction context to contain the same key information.  </w:t>
      </w:r>
      <w:r w:rsidRPr="00126493">
        <w:t>We</w:t>
      </w:r>
      <w:r>
        <w:t xml:space="preserve"> also</w:t>
      </w:r>
      <w:r w:rsidRPr="00126493">
        <w:t xml:space="preserve"> propose to reserve the right to review CSA provisions and require modification of any that do not comply with these requirements or the Commission's rules. We seek comment on these proposals.</w:t>
      </w:r>
    </w:p>
    <w:p w:rsidR="007C1D47" w:rsidRDefault="007C1D47" w:rsidP="00A62BA5">
      <w:pPr>
        <w:pStyle w:val="ParaNum"/>
      </w:pPr>
      <w:r w:rsidRPr="00A62BA5">
        <w:rPr>
          <w:i/>
          <w:iCs/>
        </w:rPr>
        <w:t>Termination, Assignment/Transfer, and Relinquishment of Channel Sharing Licenses</w:t>
      </w:r>
      <w:r w:rsidRPr="00126493">
        <w:t xml:space="preserve">. </w:t>
      </w:r>
      <w:r>
        <w:t xml:space="preserve">We propose to apply to full power and Class A </w:t>
      </w:r>
      <w:r w:rsidR="00F53FE1">
        <w:t>CSA</w:t>
      </w:r>
      <w:r>
        <w:t xml:space="preserve">s entered into outside the auction context the same rules regarding termination, assignment/transfer, and voluntary relinquishment of channel sharing rights that we adopted in the </w:t>
      </w:r>
      <w:r w:rsidRPr="00A62BA5">
        <w:rPr>
          <w:i/>
        </w:rPr>
        <w:t>IA R&amp;O</w:t>
      </w:r>
      <w:r>
        <w:t xml:space="preserve">, as modified by the </w:t>
      </w:r>
      <w:r w:rsidR="0097717A">
        <w:t>First Order on Reconsideration</w:t>
      </w:r>
      <w:r>
        <w:t xml:space="preserve">.  Under this proposed approach we would allow rights under a CSA to be </w:t>
      </w:r>
      <w:r w:rsidRPr="00126493">
        <w:t>assigned or transferred, subject to the requirements of Section 310 of the Communications Act,</w:t>
      </w:r>
      <w:r>
        <w:rPr>
          <w:rStyle w:val="FootnoteReference"/>
        </w:rPr>
        <w:footnoteReference w:id="149"/>
      </w:r>
      <w:r w:rsidRPr="00126493">
        <w:t xml:space="preserve"> our rules, and the requirement that the assignee or transferee </w:t>
      </w:r>
      <w:r>
        <w:t xml:space="preserve">undertake to </w:t>
      </w:r>
      <w:r w:rsidRPr="00126493">
        <w:t>comply with the applicable CSA.</w:t>
      </w:r>
      <w:r w:rsidRPr="00A62BA5">
        <w:rPr>
          <w:vertAlign w:val="superscript"/>
        </w:rPr>
        <w:t xml:space="preserve">   </w:t>
      </w:r>
      <w:r>
        <w:t xml:space="preserve">In the event a channel sharing party’s license is terminated due to voluntary relinquishment, revocation, or failure to renew, consistent with the approach we adopt in the </w:t>
      </w:r>
      <w:r w:rsidR="0097717A">
        <w:t>First Order on Reconsideration</w:t>
      </w:r>
      <w:r w:rsidR="00A10E18" w:rsidRPr="000956A0">
        <w:t xml:space="preserve"> </w:t>
      </w:r>
      <w:r>
        <w:t>we propose that the relinquished spectrum usage rights in the shared channel revert to the other sharing parties.  Further, where only one sharing partner remains on a channel after its partner relinquishes its license, it may request that its channel return to non-shared status.  We seek comment on this approach.</w:t>
      </w:r>
    </w:p>
    <w:p w:rsidR="007C1D47" w:rsidRPr="00126493" w:rsidRDefault="007C1D47" w:rsidP="007C1D47">
      <w:pPr>
        <w:pStyle w:val="Heading2"/>
      </w:pPr>
      <w:bookmarkStart w:id="85" w:name="_Toc415150692"/>
      <w:bookmarkStart w:id="86" w:name="_Toc415151213"/>
      <w:bookmarkStart w:id="87" w:name="_Toc415151361"/>
      <w:bookmarkStart w:id="88" w:name="_Toc416424165"/>
      <w:bookmarkStart w:id="89" w:name="_Toc416424787"/>
      <w:bookmarkStart w:id="90" w:name="_Toc416429432"/>
      <w:r>
        <w:t>Channel Sharing Between Full Power and Class A Stations</w:t>
      </w:r>
      <w:bookmarkEnd w:id="85"/>
      <w:bookmarkEnd w:id="86"/>
      <w:bookmarkEnd w:id="87"/>
      <w:bookmarkEnd w:id="88"/>
      <w:bookmarkEnd w:id="89"/>
      <w:bookmarkEnd w:id="90"/>
    </w:p>
    <w:p w:rsidR="007C1D47" w:rsidRDefault="007C1D47" w:rsidP="00220A9E">
      <w:pPr>
        <w:pStyle w:val="ParaNum"/>
        <w:widowControl/>
      </w:pPr>
      <w:r w:rsidRPr="00126493">
        <w:t xml:space="preserve">In the </w:t>
      </w:r>
      <w:r w:rsidRPr="0086303B">
        <w:rPr>
          <w:i/>
          <w:iCs/>
        </w:rPr>
        <w:t>IA R</w:t>
      </w:r>
      <w:r>
        <w:rPr>
          <w:i/>
          <w:iCs/>
        </w:rPr>
        <w:t>&amp;</w:t>
      </w:r>
      <w:r w:rsidRPr="0086303B">
        <w:rPr>
          <w:i/>
          <w:iCs/>
        </w:rPr>
        <w:t>O</w:t>
      </w:r>
      <w:r>
        <w:rPr>
          <w:iCs/>
        </w:rPr>
        <w:t>,</w:t>
      </w:r>
      <w:r w:rsidRPr="00126493">
        <w:t xml:space="preserve"> we allowed channel sharing between full power and Class A television stations despite the fact that each operate with different technical rules.</w:t>
      </w:r>
      <w:r>
        <w:rPr>
          <w:rStyle w:val="FootnoteReference"/>
        </w:rPr>
        <w:footnoteReference w:id="150"/>
      </w:r>
      <w:r w:rsidRPr="00126493">
        <w:t xml:space="preserve"> </w:t>
      </w:r>
      <w:r>
        <w:t xml:space="preserve"> </w:t>
      </w:r>
      <w:r w:rsidRPr="00126493">
        <w:t>We concluded that the Class A television station sharing a full power television station</w:t>
      </w:r>
      <w:r>
        <w:t>’</w:t>
      </w:r>
      <w:r w:rsidRPr="00126493">
        <w:t>s channel after the incentive auction would be permitted to operate under the Part 73 rules governing power levels and interference.</w:t>
      </w:r>
      <w:r>
        <w:rPr>
          <w:rStyle w:val="FootnoteReference"/>
        </w:rPr>
        <w:footnoteReference w:id="151"/>
      </w:r>
      <w:r>
        <w:t xml:space="preserve"> </w:t>
      </w:r>
      <w:r w:rsidRPr="00126493">
        <w:t xml:space="preserve"> </w:t>
      </w:r>
      <w:r w:rsidRPr="005842F0">
        <w:t xml:space="preserve">Similarly, </w:t>
      </w:r>
      <w:r>
        <w:t xml:space="preserve">we concluded that </w:t>
      </w:r>
      <w:r w:rsidRPr="005842F0">
        <w:t xml:space="preserve">a full power station sharing a Class A station’s channel </w:t>
      </w:r>
      <w:r>
        <w:t xml:space="preserve">after the incentive auction would be permitted to </w:t>
      </w:r>
      <w:r w:rsidRPr="005842F0">
        <w:t>operate under the Part 74 power level and interference rules.</w:t>
      </w:r>
      <w:r>
        <w:rPr>
          <w:rStyle w:val="FootnoteReference"/>
        </w:rPr>
        <w:footnoteReference w:id="152"/>
      </w:r>
      <w:r w:rsidRPr="005842F0">
        <w:t xml:space="preserve">  </w:t>
      </w:r>
      <w:r>
        <w:t xml:space="preserve">We propose herein to permit channel sharing between full power and Class A stations outside the auction context and to apply to such </w:t>
      </w:r>
      <w:r w:rsidR="008B0F23">
        <w:t>agreement</w:t>
      </w:r>
      <w:r>
        <w:t xml:space="preserve">s the same rules we adopted in the </w:t>
      </w:r>
      <w:r w:rsidRPr="0086303B">
        <w:rPr>
          <w:i/>
        </w:rPr>
        <w:t>IA R&amp;O</w:t>
      </w:r>
      <w:r>
        <w:t>.  We seek comment on this approach.</w:t>
      </w:r>
    </w:p>
    <w:p w:rsidR="007C1D47" w:rsidRDefault="007C1D47" w:rsidP="007C1D47">
      <w:pPr>
        <w:pStyle w:val="Heading2"/>
      </w:pPr>
      <w:bookmarkStart w:id="91" w:name="_Toc415150693"/>
      <w:bookmarkStart w:id="92" w:name="_Toc415151214"/>
      <w:bookmarkStart w:id="93" w:name="_Toc415151362"/>
      <w:bookmarkStart w:id="94" w:name="_Toc416424166"/>
      <w:bookmarkStart w:id="95" w:name="_Toc416424788"/>
      <w:bookmarkStart w:id="96" w:name="_Toc416429433"/>
      <w:r>
        <w:t>Reimbursement</w:t>
      </w:r>
      <w:bookmarkEnd w:id="91"/>
      <w:bookmarkEnd w:id="92"/>
      <w:bookmarkEnd w:id="93"/>
      <w:bookmarkEnd w:id="94"/>
      <w:bookmarkEnd w:id="95"/>
      <w:bookmarkEnd w:id="96"/>
    </w:p>
    <w:p w:rsidR="00A62BA5" w:rsidRDefault="007C1D47" w:rsidP="00A62BA5">
      <w:pPr>
        <w:pStyle w:val="ParaNum"/>
      </w:pPr>
      <w:r>
        <w:t xml:space="preserve">With respect to CSAs entered into outside the auction context, we do not propose to adopt rules regarding reimbursement of costs imposed on MVPDs as a result of </w:t>
      </w:r>
      <w:r w:rsidR="00F53FE1">
        <w:t>CSA</w:t>
      </w:r>
      <w:r>
        <w:t xml:space="preserve">s.    We note that our current rules do not require reimbursement of MVPD costs in connection with channel changes or other changes that modify carriage obligations outside the auction context.  Further, the reimbursement provisions of the Spectrum Act apply only to </w:t>
      </w:r>
      <w:r w:rsidR="00F53FE1">
        <w:t>CSA</w:t>
      </w:r>
      <w:r>
        <w:t>s made in connection with the incentive auction.</w:t>
      </w:r>
      <w:r>
        <w:rPr>
          <w:rStyle w:val="FootnoteReference"/>
        </w:rPr>
        <w:footnoteReference w:id="153"/>
      </w:r>
      <w:r>
        <w:t xml:space="preserve">  Thus, by the plain language of Section </w:t>
      </w:r>
      <w:r w:rsidR="001E7AE0">
        <w:t>1452</w:t>
      </w:r>
      <w:r>
        <w:t>, reimbursement under the Spectrum Act applies only to costs associated with channel sharing bids;</w:t>
      </w:r>
      <w:r>
        <w:rPr>
          <w:rStyle w:val="FootnoteReference"/>
        </w:rPr>
        <w:footnoteReference w:id="154"/>
      </w:r>
      <w:r>
        <w:t xml:space="preserve">reimbursement does not extend to CSAs unrelated to the auction.  </w:t>
      </w:r>
    </w:p>
    <w:p w:rsidR="007C1D47" w:rsidRDefault="007C1D47" w:rsidP="00A62BA5">
      <w:pPr>
        <w:pStyle w:val="ParaNum"/>
      </w:pPr>
      <w:r>
        <w:t>Accordingly, costs associated with channel sharing outside the auction context will be borne by broadcasters and MVPDs in the same manner as these parties are traditionally responsible for costs associated with television station channel moves.  For example, t</w:t>
      </w:r>
      <w:r w:rsidRPr="009C416A">
        <w:t>o obtain carriage, a local commercial television station must be capable of delivering a good quality signal to a cable system headend or bear responsibility for the cost of delivering such a good quality signal.</w:t>
      </w:r>
      <w:r>
        <w:rPr>
          <w:rStyle w:val="FootnoteReference"/>
        </w:rPr>
        <w:footnoteReference w:id="155"/>
      </w:r>
      <w:r>
        <w:t xml:space="preserve">  A television station that cannot deliver a good quality signal to a cable system headend it previously could reach with its over-the-air signal may bear costs associated with use of alternative means, such as fiber or microwave, to deliver a good quality signal to the headend.   </w:t>
      </w:r>
      <w:r w:rsidRPr="00D31A95">
        <w:t>In addition, a television station that relocates may gain carriage on a different cable or satellite system(s), which may incur costs for new equipment or other changes associated with adding the channel</w:t>
      </w:r>
      <w:r>
        <w:t xml:space="preserve">.  </w:t>
      </w:r>
    </w:p>
    <w:p w:rsidR="007C1D47" w:rsidRPr="00B0393D" w:rsidRDefault="007C1D47" w:rsidP="007C1D47">
      <w:pPr>
        <w:pStyle w:val="Heading2"/>
      </w:pPr>
      <w:bookmarkStart w:id="97" w:name="_Toc415150694"/>
      <w:bookmarkStart w:id="98" w:name="_Toc415151215"/>
      <w:bookmarkStart w:id="99" w:name="_Toc415151363"/>
      <w:bookmarkStart w:id="100" w:name="_Toc416424167"/>
      <w:bookmarkStart w:id="101" w:name="_Toc416424789"/>
      <w:bookmarkStart w:id="102" w:name="_Toc416429434"/>
      <w:r w:rsidRPr="00B0393D">
        <w:t>Notice to MVPDs</w:t>
      </w:r>
      <w:bookmarkEnd w:id="97"/>
      <w:bookmarkEnd w:id="98"/>
      <w:bookmarkEnd w:id="99"/>
      <w:bookmarkEnd w:id="100"/>
      <w:bookmarkEnd w:id="101"/>
      <w:bookmarkEnd w:id="102"/>
    </w:p>
    <w:p w:rsidR="007C1D47" w:rsidRDefault="007C1D47" w:rsidP="00B225EB">
      <w:pPr>
        <w:pStyle w:val="ParaNum"/>
        <w:widowControl/>
      </w:pPr>
      <w:r w:rsidRPr="00B0393D">
        <w:t xml:space="preserve">Similar to the requirement we adopted in the </w:t>
      </w:r>
      <w:r w:rsidRPr="00B0393D">
        <w:rPr>
          <w:i/>
        </w:rPr>
        <w:t>IA R&amp;O</w:t>
      </w:r>
      <w:r w:rsidRPr="00B0393D">
        <w:t xml:space="preserve">, we propose to require stations participating in </w:t>
      </w:r>
      <w:r w:rsidR="00F53FE1">
        <w:t>CSA</w:t>
      </w:r>
      <w:r w:rsidRPr="00B0393D">
        <w:t>s to provide notice to those MVPDs that: (1) no longer will be required to carry the station because of the relocation of the station; (2) currently carry and will continue to be obligated to carry a station that will change channels; or (3) will become obligated to carry the station due to a channel sharing relocation.</w:t>
      </w:r>
      <w:r w:rsidRPr="00B0393D">
        <w:rPr>
          <w:vertAlign w:val="superscript"/>
        </w:rPr>
        <w:footnoteReference w:id="156"/>
      </w:r>
      <w:r w:rsidRPr="00B0393D">
        <w:t xml:space="preserve">  We propose that the notice contain the following information: (1) date and time of any channel changes; (2) the channel occupied by the station before and after implementation of the CSA; (3) modification, if any, to antenna position, location, or power levels; (4) stream identification information; and (5) engineering staff contact information.</w:t>
      </w:r>
      <w:r w:rsidRPr="00B0393D">
        <w:rPr>
          <w:vertAlign w:val="superscript"/>
        </w:rPr>
        <w:footnoteReference w:id="157"/>
      </w:r>
      <w:r w:rsidRPr="00B0393D">
        <w:t xml:space="preserve">  </w:t>
      </w:r>
      <w:r w:rsidR="00EF5E5A">
        <w:t>We propose that stations be able to elect whether to provide notice via a letter notification</w:t>
      </w:r>
      <w:r w:rsidR="00EF5E5A">
        <w:rPr>
          <w:rStyle w:val="FootnoteReference"/>
        </w:rPr>
        <w:footnoteReference w:id="158"/>
      </w:r>
      <w:r w:rsidR="00EF5E5A">
        <w:t xml:space="preserve"> or provide notice electronically, if pre-arranged with the relevant MVPD.  </w:t>
      </w:r>
      <w:r w:rsidRPr="00B0393D">
        <w:t xml:space="preserve">We </w:t>
      </w:r>
      <w:r w:rsidR="00EF5E5A">
        <w:t xml:space="preserve">also </w:t>
      </w:r>
      <w:r w:rsidRPr="00B0393D">
        <w:t>propose to require that sharee stations provide notice at least 30 days prior to terminating operations on the sharee’s channel and that both sharer and sharee stations provide notice at least 30 days prior to initiation of operations on the sharer channel.</w:t>
      </w:r>
      <w:r w:rsidRPr="00B0393D">
        <w:rPr>
          <w:vertAlign w:val="superscript"/>
        </w:rPr>
        <w:footnoteReference w:id="159"/>
      </w:r>
      <w:r w:rsidRPr="00B0393D">
        <w:t xml:space="preserve">  Should the anticipated date to either cease operations or commence channel sharing operations change, we propose to require that the station(s) send a further notice to affected MVPDs informing them of the new anticipated date(s).  We seek comment on these proposals.</w:t>
      </w:r>
    </w:p>
    <w:p w:rsidR="007C1D47" w:rsidRDefault="007C1D47" w:rsidP="007C1D47">
      <w:pPr>
        <w:pStyle w:val="Heading1"/>
      </w:pPr>
      <w:bookmarkStart w:id="103" w:name="_Toc415150695"/>
      <w:bookmarkStart w:id="104" w:name="_Toc415151216"/>
      <w:bookmarkStart w:id="105" w:name="_Toc415151364"/>
      <w:bookmarkStart w:id="106" w:name="_Toc416424168"/>
      <w:bookmarkStart w:id="107" w:name="_Toc416424790"/>
      <w:bookmarkStart w:id="108" w:name="_Toc416429435"/>
      <w:r>
        <w:t xml:space="preserve">procedural matters – </w:t>
      </w:r>
      <w:bookmarkEnd w:id="103"/>
      <w:bookmarkEnd w:id="104"/>
      <w:bookmarkEnd w:id="105"/>
      <w:r w:rsidR="0097717A">
        <w:t>First Order on Reconsideration</w:t>
      </w:r>
      <w:bookmarkEnd w:id="106"/>
      <w:bookmarkEnd w:id="107"/>
      <w:bookmarkEnd w:id="108"/>
    </w:p>
    <w:p w:rsidR="007C1D47" w:rsidRDefault="007C1D47" w:rsidP="007C1D47">
      <w:pPr>
        <w:pStyle w:val="Heading2"/>
      </w:pPr>
      <w:bookmarkStart w:id="109" w:name="_Toc415150696"/>
      <w:bookmarkStart w:id="110" w:name="_Toc415151217"/>
      <w:bookmarkStart w:id="111" w:name="_Toc415151365"/>
      <w:bookmarkStart w:id="112" w:name="_Toc416424169"/>
      <w:bookmarkStart w:id="113" w:name="_Toc416424791"/>
      <w:bookmarkStart w:id="114" w:name="_Toc416429436"/>
      <w:r>
        <w:t>Supplemental Final Regulatory Flexibility Act Analysis</w:t>
      </w:r>
      <w:bookmarkEnd w:id="109"/>
      <w:bookmarkEnd w:id="110"/>
      <w:bookmarkEnd w:id="111"/>
      <w:bookmarkEnd w:id="112"/>
      <w:bookmarkEnd w:id="113"/>
      <w:bookmarkEnd w:id="114"/>
    </w:p>
    <w:p w:rsidR="001D2C2A" w:rsidRDefault="007C1D47" w:rsidP="00A62BA5">
      <w:pPr>
        <w:pStyle w:val="ParaNum"/>
      </w:pPr>
      <w:r w:rsidRPr="00365F4C">
        <w:t>As required by the Regulatory Flexibility Act of 1980 (</w:t>
      </w:r>
      <w:r w:rsidR="004439C3">
        <w:t>“</w:t>
      </w:r>
      <w:r w:rsidRPr="00365F4C">
        <w:t>RFA</w:t>
      </w:r>
      <w:r w:rsidR="004439C3">
        <w:t>”</w:t>
      </w:r>
      <w:r w:rsidR="001D2C2A" w:rsidRPr="00365F4C">
        <w:t>),</w:t>
      </w:r>
      <w:r w:rsidR="001D2C2A" w:rsidRPr="007B04CE">
        <w:rPr>
          <w:rStyle w:val="FootnoteReference"/>
        </w:rPr>
        <w:footnoteReference w:id="160"/>
      </w:r>
      <w:r w:rsidR="001D2C2A">
        <w:t xml:space="preserve"> </w:t>
      </w:r>
      <w:r w:rsidR="00C13874">
        <w:t>the Commission includes in Appendix B a</w:t>
      </w:r>
      <w:r w:rsidR="001D2C2A" w:rsidRPr="00365F4C">
        <w:t xml:space="preserve"> Supplemental Final Regulatory Flexibility Analysis (</w:t>
      </w:r>
      <w:r w:rsidR="004439C3">
        <w:t>“</w:t>
      </w:r>
      <w:r w:rsidR="001D2C2A" w:rsidRPr="00365F4C">
        <w:t>FRFA</w:t>
      </w:r>
      <w:r w:rsidR="004439C3">
        <w:t>”</w:t>
      </w:r>
      <w:r w:rsidR="001D2C2A" w:rsidRPr="00365F4C">
        <w:t>)</w:t>
      </w:r>
      <w:r w:rsidR="00C13874">
        <w:t xml:space="preserve"> relating to this </w:t>
      </w:r>
      <w:r w:rsidR="0097717A">
        <w:t>First Order on Reconsideration</w:t>
      </w:r>
      <w:r w:rsidR="001D2C2A">
        <w:t>.</w:t>
      </w:r>
    </w:p>
    <w:p w:rsidR="007C1D47" w:rsidRPr="00365F4C" w:rsidRDefault="00C47E74" w:rsidP="007C1D47">
      <w:pPr>
        <w:pStyle w:val="Heading2"/>
      </w:pPr>
      <w:bookmarkStart w:id="115" w:name="_Toc415150697"/>
      <w:bookmarkStart w:id="116" w:name="_Toc415151218"/>
      <w:bookmarkStart w:id="117" w:name="_Toc415151366"/>
      <w:bookmarkStart w:id="118" w:name="_Toc416424170"/>
      <w:bookmarkStart w:id="119" w:name="_Toc416424792"/>
      <w:bookmarkStart w:id="120" w:name="_Toc416429437"/>
      <w:r>
        <w:t xml:space="preserve">Final </w:t>
      </w:r>
      <w:r w:rsidR="007C1D47">
        <w:t>Paperwork Reduction Act Analysis</w:t>
      </w:r>
      <w:bookmarkEnd w:id="115"/>
      <w:bookmarkEnd w:id="116"/>
      <w:bookmarkEnd w:id="117"/>
      <w:bookmarkEnd w:id="118"/>
      <w:bookmarkEnd w:id="119"/>
      <w:bookmarkEnd w:id="120"/>
    </w:p>
    <w:p w:rsidR="00A62BA5" w:rsidRDefault="00C47E74" w:rsidP="00A62BA5">
      <w:pPr>
        <w:pStyle w:val="ParaNum"/>
      </w:pPr>
      <w:r w:rsidRPr="00C47E74">
        <w:t>This document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C47E74" w:rsidRDefault="00C47E74" w:rsidP="00A62BA5">
      <w:pPr>
        <w:pStyle w:val="ParaNum"/>
      </w:pPr>
      <w:r w:rsidRPr="00C47E74">
        <w:t xml:space="preserve">We have assessed the effects of the policies adopted in this </w:t>
      </w:r>
      <w:r w:rsidR="0097717A">
        <w:t>First Order on Reconsideration</w:t>
      </w:r>
      <w:r w:rsidRPr="00C47E74">
        <w:t xml:space="preserve"> with regard to information collection burdens on small business concerns, and find that these policies will benefit many companies with fewer than 25 emp</w:t>
      </w:r>
      <w:r>
        <w:t xml:space="preserve">loyees by providing them with </w:t>
      </w:r>
      <w:r w:rsidRPr="00C47E74">
        <w:t xml:space="preserve">options for voluntarily relinquishing broadcast spectrum usage rights </w:t>
      </w:r>
      <w:r w:rsidR="00152EB0">
        <w:t>and by streamlining the pre-auction application process</w:t>
      </w:r>
      <w:r>
        <w:t>.</w:t>
      </w:r>
      <w:r w:rsidRPr="00C47E74">
        <w:t xml:space="preserve">  In addition, we have described impacts that might affect small businesses, which includes most businesses with fewer than 25 employees, in the Supplemental FRFA </w:t>
      </w:r>
      <w:r w:rsidR="00152EB0">
        <w:t>in Appendix B</w:t>
      </w:r>
      <w:r w:rsidRPr="00C47E74">
        <w:t>.</w:t>
      </w:r>
    </w:p>
    <w:p w:rsidR="007C1D47" w:rsidRDefault="007C1D47" w:rsidP="007C1D47">
      <w:pPr>
        <w:pStyle w:val="Heading2"/>
      </w:pPr>
      <w:bookmarkStart w:id="121" w:name="_Toc415150698"/>
      <w:bookmarkStart w:id="122" w:name="_Toc415151219"/>
      <w:bookmarkStart w:id="123" w:name="_Toc415151367"/>
      <w:bookmarkStart w:id="124" w:name="_Toc416424171"/>
      <w:bookmarkStart w:id="125" w:name="_Toc416424793"/>
      <w:bookmarkStart w:id="126" w:name="_Toc416429438"/>
      <w:r>
        <w:t>Congressional Review Act</w:t>
      </w:r>
      <w:bookmarkEnd w:id="121"/>
      <w:bookmarkEnd w:id="122"/>
      <w:bookmarkEnd w:id="123"/>
      <w:bookmarkEnd w:id="124"/>
      <w:bookmarkEnd w:id="125"/>
      <w:bookmarkEnd w:id="126"/>
    </w:p>
    <w:p w:rsidR="007C1D47" w:rsidRPr="00365F4C" w:rsidRDefault="007C1D47" w:rsidP="00CC11F6">
      <w:pPr>
        <w:pStyle w:val="ParaNum"/>
        <w:widowControl/>
      </w:pPr>
      <w:r w:rsidRPr="00365F4C">
        <w:t xml:space="preserve">The Commission will send a copy of this </w:t>
      </w:r>
      <w:r w:rsidR="0097717A">
        <w:t>First Order on Reconsideration</w:t>
      </w:r>
      <w:r w:rsidRPr="00365F4C">
        <w:t xml:space="preserve"> to Congress and the Government Accountability Office pursuant to the Congressional Review Act.</w:t>
      </w:r>
    </w:p>
    <w:p w:rsidR="007C1D47" w:rsidRDefault="007C1D47" w:rsidP="007C1D47">
      <w:pPr>
        <w:pStyle w:val="Heading1"/>
      </w:pPr>
      <w:bookmarkStart w:id="127" w:name="_Toc415150699"/>
      <w:bookmarkStart w:id="128" w:name="_Toc415151220"/>
      <w:bookmarkStart w:id="129" w:name="_Toc415151368"/>
      <w:bookmarkStart w:id="130" w:name="_Toc416424172"/>
      <w:bookmarkStart w:id="131" w:name="_Toc416424794"/>
      <w:bookmarkStart w:id="132" w:name="_Toc416429439"/>
      <w:r>
        <w:t>procedural matters - NPRM</w:t>
      </w:r>
      <w:bookmarkEnd w:id="127"/>
      <w:bookmarkEnd w:id="128"/>
      <w:bookmarkEnd w:id="129"/>
      <w:bookmarkEnd w:id="130"/>
      <w:bookmarkEnd w:id="131"/>
      <w:bookmarkEnd w:id="132"/>
    </w:p>
    <w:p w:rsidR="007C1D47" w:rsidRPr="00192DD3" w:rsidRDefault="007C1D47" w:rsidP="007C1D47">
      <w:pPr>
        <w:pStyle w:val="Heading2"/>
      </w:pPr>
      <w:bookmarkStart w:id="133" w:name="_Toc415150700"/>
      <w:bookmarkStart w:id="134" w:name="_Toc415151221"/>
      <w:bookmarkStart w:id="135" w:name="_Toc415151369"/>
      <w:bookmarkStart w:id="136" w:name="_Toc416424173"/>
      <w:bookmarkStart w:id="137" w:name="_Toc416424795"/>
      <w:bookmarkStart w:id="138" w:name="_Toc416429440"/>
      <w:r w:rsidRPr="00192DD3">
        <w:t>Ex Parte Presentations</w:t>
      </w:r>
      <w:bookmarkEnd w:id="133"/>
      <w:bookmarkEnd w:id="134"/>
      <w:bookmarkEnd w:id="135"/>
      <w:bookmarkEnd w:id="136"/>
      <w:bookmarkEnd w:id="137"/>
      <w:bookmarkEnd w:id="138"/>
    </w:p>
    <w:p w:rsidR="007C1D47" w:rsidRPr="00192DD3" w:rsidRDefault="007C1D47" w:rsidP="00A62BA5">
      <w:pPr>
        <w:pStyle w:val="ParaNum"/>
      </w:pPr>
      <w:r w:rsidRPr="00192DD3">
        <w:t xml:space="preserve">The proceeding this </w:t>
      </w:r>
      <w:r w:rsidRPr="00192DD3">
        <w:rPr>
          <w:i/>
        </w:rPr>
        <w:t>NPRM</w:t>
      </w:r>
      <w:r w:rsidRPr="00192DD3">
        <w:t xml:space="preserve"> initiates shall be treated as a “permit-but-disclose” proceeding in accordance with the Commission’s </w:t>
      </w:r>
      <w:r w:rsidRPr="00192DD3">
        <w:rPr>
          <w:i/>
          <w:iCs/>
        </w:rPr>
        <w:t xml:space="preserve">ex parte </w:t>
      </w:r>
      <w:r w:rsidRPr="00192DD3">
        <w:t>rules.</w:t>
      </w:r>
      <w:r w:rsidRPr="00192DD3">
        <w:rPr>
          <w:vertAlign w:val="superscript"/>
        </w:rPr>
        <w:footnoteReference w:id="161"/>
      </w:r>
      <w:r w:rsidRPr="00192DD3">
        <w:t xml:space="preserve">  Persons making </w:t>
      </w:r>
      <w:r w:rsidRPr="00192DD3">
        <w:rPr>
          <w:i/>
        </w:rPr>
        <w:t xml:space="preserve">ex parte </w:t>
      </w:r>
      <w:r w:rsidRPr="00192DD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92DD3">
        <w:rPr>
          <w:i/>
          <w:iCs/>
        </w:rPr>
        <w:t xml:space="preserve">ex parte </w:t>
      </w:r>
      <w:r w:rsidRPr="00192DD3">
        <w:t xml:space="preserve">presentations are reminded that memoranda summarizing the presentation must (1) list all persons attending or otherwise participating in the meeting at which the </w:t>
      </w:r>
      <w:r w:rsidRPr="00192DD3">
        <w:rPr>
          <w:i/>
          <w:iCs/>
        </w:rPr>
        <w:t xml:space="preserve">ex parte </w:t>
      </w:r>
      <w:r w:rsidRPr="00192DD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92DD3">
        <w:rPr>
          <w:i/>
          <w:iCs/>
        </w:rPr>
        <w:t xml:space="preserve">ex parte </w:t>
      </w:r>
      <w:r w:rsidRPr="00192DD3">
        <w:t xml:space="preserve">meetings are deemed to be written </w:t>
      </w:r>
      <w:r w:rsidRPr="00192DD3">
        <w:rPr>
          <w:i/>
          <w:iCs/>
        </w:rPr>
        <w:t>ex parte</w:t>
      </w:r>
      <w:r w:rsidRPr="00192DD3">
        <w:t xml:space="preserve"> presentations and must be filed consistent with rule 1.1206(b).  In proceedings governed by rule 1.49(f) or for which the Commission has made available a method of electronic filing, written </w:t>
      </w:r>
      <w:r w:rsidRPr="00192DD3">
        <w:rPr>
          <w:i/>
          <w:iCs/>
        </w:rPr>
        <w:t xml:space="preserve">ex parte </w:t>
      </w:r>
      <w:r w:rsidRPr="00192DD3">
        <w:t xml:space="preserve">presentations and memoranda summarizing oral </w:t>
      </w:r>
      <w:r w:rsidRPr="00192DD3">
        <w:rPr>
          <w:i/>
          <w:iCs/>
        </w:rPr>
        <w:t xml:space="preserve">ex parte </w:t>
      </w:r>
      <w:r w:rsidRPr="00192DD3">
        <w:t>presentations, and all attachments thereto, must be filed through the electronic comment filing system available for that proceeding, and must be filed in their native format (</w:t>
      </w:r>
      <w:r w:rsidRPr="00192DD3">
        <w:rPr>
          <w:i/>
          <w:iCs/>
        </w:rPr>
        <w:t>e.g.</w:t>
      </w:r>
      <w:r w:rsidRPr="00192DD3">
        <w:t xml:space="preserve">, .doc, .xml, .ppt, searchable.pdf).  Participants in this proceeding should familiarize themselves with the Commission’s </w:t>
      </w:r>
      <w:r w:rsidRPr="00192DD3">
        <w:rPr>
          <w:i/>
          <w:iCs/>
        </w:rPr>
        <w:t xml:space="preserve">ex parte </w:t>
      </w:r>
      <w:r w:rsidRPr="00192DD3">
        <w:t>rules.</w:t>
      </w:r>
      <w:r w:rsidRPr="00192DD3" w:rsidDel="00473199">
        <w:t xml:space="preserve"> </w:t>
      </w:r>
    </w:p>
    <w:p w:rsidR="007C1D47" w:rsidRPr="00192DD3" w:rsidRDefault="007C1D47" w:rsidP="007C1D47">
      <w:pPr>
        <w:pStyle w:val="Heading2"/>
      </w:pPr>
      <w:bookmarkStart w:id="139" w:name="_Toc415150701"/>
      <w:bookmarkStart w:id="140" w:name="_Toc415151222"/>
      <w:bookmarkStart w:id="141" w:name="_Toc415151370"/>
      <w:bookmarkStart w:id="142" w:name="_Toc416424174"/>
      <w:bookmarkStart w:id="143" w:name="_Toc416424796"/>
      <w:bookmarkStart w:id="144" w:name="_Toc416429441"/>
      <w:r w:rsidRPr="00192DD3">
        <w:t>Initial Regulatory Flexibility Act Analysis.</w:t>
      </w:r>
      <w:bookmarkEnd w:id="139"/>
      <w:bookmarkEnd w:id="140"/>
      <w:bookmarkEnd w:id="141"/>
      <w:bookmarkEnd w:id="142"/>
      <w:bookmarkEnd w:id="143"/>
      <w:bookmarkEnd w:id="144"/>
      <w:r w:rsidRPr="00192DD3">
        <w:t xml:space="preserve"> </w:t>
      </w:r>
    </w:p>
    <w:p w:rsidR="00A62BA5" w:rsidRDefault="007C1D47" w:rsidP="00A62BA5">
      <w:pPr>
        <w:pStyle w:val="ParaNum"/>
      </w:pPr>
      <w:r w:rsidRPr="00192DD3">
        <w:t>The Regulatory Flexibility Act of 1980, as amended (“RFA”),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p>
    <w:p w:rsidR="007C1D47" w:rsidRPr="00192DD3" w:rsidRDefault="007C1D47" w:rsidP="00A62BA5">
      <w:pPr>
        <w:pStyle w:val="ParaNum"/>
      </w:pPr>
      <w:r w:rsidRPr="00192DD3">
        <w:t xml:space="preserve">With respect to this </w:t>
      </w:r>
      <w:r w:rsidRPr="00A62BA5">
        <w:rPr>
          <w:i/>
        </w:rPr>
        <w:t>NPRM</w:t>
      </w:r>
      <w:r w:rsidRPr="00192DD3">
        <w:t>, an Initial Regulatory Flexibility Analysis (“IRFA”) under the Regulatory Flexibility Act</w:t>
      </w:r>
      <w:r w:rsidRPr="00192DD3">
        <w:rPr>
          <w:vertAlign w:val="superscript"/>
        </w:rPr>
        <w:footnoteReference w:id="162"/>
      </w:r>
      <w:r w:rsidRPr="00192DD3">
        <w:t xml:space="preserve"> is contained in Appendix </w:t>
      </w:r>
      <w:r w:rsidR="00A10E18">
        <w:t>D</w:t>
      </w:r>
      <w:r w:rsidRPr="00192DD3">
        <w:t xml:space="preserve">.  Written public comments are requested </w:t>
      </w:r>
      <w:r w:rsidR="00A10E18">
        <w:t>o</w:t>
      </w:r>
      <w:r w:rsidRPr="00192DD3">
        <w:t xml:space="preserve">n the IFRA, and must be filed in accordance with the same filing deadlines as comments on the </w:t>
      </w:r>
      <w:r w:rsidRPr="00A62BA5">
        <w:rPr>
          <w:i/>
        </w:rPr>
        <w:t>NPRM</w:t>
      </w:r>
      <w:r w:rsidRPr="00192DD3">
        <w:t xml:space="preserve">, with a distinct heading designating them as responses to the IRFA.  The Commission will send a copy of this </w:t>
      </w:r>
      <w:r w:rsidRPr="00A62BA5">
        <w:rPr>
          <w:i/>
        </w:rPr>
        <w:t>NPRM</w:t>
      </w:r>
      <w:r w:rsidRPr="00192DD3">
        <w:t xml:space="preserve">, including the IRFA, in a report to Congress pursuant to the Congressional Review Act.  In addition, a copy of this </w:t>
      </w:r>
      <w:r w:rsidRPr="00A62BA5">
        <w:rPr>
          <w:i/>
        </w:rPr>
        <w:t>NPRM</w:t>
      </w:r>
      <w:r w:rsidRPr="00192DD3">
        <w:t xml:space="preserve"> and the IRFA will be sent to the Chief Counsel for Advocacy of the SBA, and will be published in the </w:t>
      </w:r>
      <w:r w:rsidRPr="00A62BA5">
        <w:rPr>
          <w:i/>
        </w:rPr>
        <w:t>Federal Register</w:t>
      </w:r>
      <w:r w:rsidRPr="00192DD3">
        <w:t>.</w:t>
      </w:r>
    </w:p>
    <w:p w:rsidR="007C1D47" w:rsidRPr="00192DD3" w:rsidRDefault="007C1D47" w:rsidP="007C1D47">
      <w:pPr>
        <w:pStyle w:val="Heading2"/>
      </w:pPr>
      <w:bookmarkStart w:id="145" w:name="_Toc415150702"/>
      <w:bookmarkStart w:id="146" w:name="_Toc415151223"/>
      <w:bookmarkStart w:id="147" w:name="_Toc415151371"/>
      <w:bookmarkStart w:id="148" w:name="_Toc416424175"/>
      <w:bookmarkStart w:id="149" w:name="_Toc416424797"/>
      <w:bookmarkStart w:id="150" w:name="_Toc416429442"/>
      <w:r w:rsidRPr="00192DD3">
        <w:t>Paperwork Reduction Act Analysis.</w:t>
      </w:r>
      <w:bookmarkEnd w:id="145"/>
      <w:bookmarkEnd w:id="146"/>
      <w:bookmarkEnd w:id="147"/>
      <w:bookmarkEnd w:id="148"/>
      <w:bookmarkEnd w:id="149"/>
      <w:bookmarkEnd w:id="150"/>
      <w:r w:rsidRPr="00192DD3">
        <w:t xml:space="preserve">  </w:t>
      </w:r>
    </w:p>
    <w:p w:rsidR="007C1D47" w:rsidRPr="00F861D8" w:rsidRDefault="007C1D47" w:rsidP="00A62BA5">
      <w:pPr>
        <w:pStyle w:val="ParaNum"/>
      </w:pPr>
      <w:r w:rsidRPr="00F861D8">
        <w:t xml:space="preserve">This </w:t>
      </w:r>
      <w:r w:rsidRPr="00F07459">
        <w:rPr>
          <w:i/>
        </w:rPr>
        <w:t xml:space="preserve">NPRM </w:t>
      </w:r>
      <w:r>
        <w:t xml:space="preserve">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w:t>
      </w:r>
      <w:r w:rsidRPr="00F861D8">
        <w:t>Paperwork Reduction Act of 1995 (PRA), Public Law 104-13</w:t>
      </w:r>
      <w:r>
        <w:t xml:space="preserve">, </w:t>
      </w:r>
      <w:r w:rsidRPr="00F07459">
        <w:rPr>
          <w:i/>
        </w:rPr>
        <w:t>see</w:t>
      </w:r>
      <w:r>
        <w:t xml:space="preserve"> 44 U.S.C. § 3507</w:t>
      </w:r>
      <w:r w:rsidRPr="00F861D8">
        <w:t xml:space="preserve">. </w:t>
      </w:r>
      <w:r>
        <w:t xml:space="preserve"> </w:t>
      </w:r>
      <w:r w:rsidRPr="00F861D8">
        <w:t xml:space="preserve">In addition, tpursuant to the Small Business Paperwork Relief Act of 2002, Public Law 107-198, </w:t>
      </w:r>
      <w:r w:rsidRPr="00F861D8">
        <w:rPr>
          <w:i/>
          <w:iCs/>
        </w:rPr>
        <w:t>see</w:t>
      </w:r>
      <w:r w:rsidRPr="00F861D8">
        <w:t xml:space="preserve"> 44 U.S.C. 3506(c)(4)</w:t>
      </w:r>
      <w:r>
        <w:t>, we seek specific comment on how we might further reduce the information collection burden for small business concerns with fewer than 25 employees</w:t>
      </w:r>
      <w:r w:rsidRPr="00F861D8">
        <w:t>.</w:t>
      </w:r>
    </w:p>
    <w:p w:rsidR="007C1D47" w:rsidRPr="00C13874" w:rsidRDefault="007C1D47" w:rsidP="007C1D47">
      <w:pPr>
        <w:pStyle w:val="Heading2"/>
        <w:rPr>
          <w:szCs w:val="22"/>
        </w:rPr>
      </w:pPr>
      <w:bookmarkStart w:id="151" w:name="_Toc415150703"/>
      <w:bookmarkStart w:id="152" w:name="_Toc415151224"/>
      <w:bookmarkStart w:id="153" w:name="_Toc415151372"/>
      <w:bookmarkStart w:id="154" w:name="_Toc416424176"/>
      <w:bookmarkStart w:id="155" w:name="_Toc416424798"/>
      <w:bookmarkStart w:id="156" w:name="_Toc416429443"/>
      <w:r w:rsidRPr="00A10E18">
        <w:rPr>
          <w:szCs w:val="22"/>
        </w:rPr>
        <w:t>Comment Filing Procedures</w:t>
      </w:r>
      <w:bookmarkEnd w:id="151"/>
      <w:bookmarkEnd w:id="152"/>
      <w:bookmarkEnd w:id="153"/>
      <w:bookmarkEnd w:id="154"/>
      <w:bookmarkEnd w:id="155"/>
      <w:bookmarkEnd w:id="156"/>
    </w:p>
    <w:p w:rsidR="00A10E18" w:rsidRPr="000956A0" w:rsidRDefault="00A10E18" w:rsidP="00A62BA5">
      <w:pPr>
        <w:pStyle w:val="ParaNum"/>
        <w:rPr>
          <w:snapToGrid/>
        </w:rPr>
      </w:pPr>
      <w:r w:rsidRPr="00152EB0">
        <w:rPr>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F64497">
        <w:rPr>
          <w:i/>
          <w:snapToGrid/>
        </w:rPr>
        <w:t>See Electronic Filing of Documents in Rulemaking Proceedings</w:t>
      </w:r>
      <w:r w:rsidRPr="000956A0">
        <w:rPr>
          <w:snapToGrid/>
        </w:rPr>
        <w:t>, 63 FR 24121 (1998).</w:t>
      </w:r>
    </w:p>
    <w:p w:rsidR="00A10E18" w:rsidRPr="000956A0" w:rsidRDefault="00A10E18" w:rsidP="00A10E18">
      <w:pPr>
        <w:widowControl/>
        <w:rPr>
          <w:snapToGrid/>
          <w:kern w:val="0"/>
          <w:szCs w:val="22"/>
        </w:rPr>
      </w:pPr>
    </w:p>
    <w:p w:rsidR="00A10E18" w:rsidRPr="000956A0" w:rsidRDefault="00A10E18" w:rsidP="00A10E18">
      <w:pPr>
        <w:widowControl/>
        <w:numPr>
          <w:ilvl w:val="0"/>
          <w:numId w:val="57"/>
        </w:numPr>
        <w:rPr>
          <w:snapToGrid/>
          <w:kern w:val="0"/>
          <w:szCs w:val="22"/>
        </w:rPr>
      </w:pPr>
      <w:r w:rsidRPr="000956A0">
        <w:rPr>
          <w:snapToGrid/>
          <w:kern w:val="0"/>
          <w:szCs w:val="22"/>
        </w:rPr>
        <w:t xml:space="preserve">Electronic Filers:  Comments may be filed electronically using the Internet by accessing the ECFS:  </w:t>
      </w:r>
      <w:hyperlink r:id="rId8" w:history="1">
        <w:r w:rsidRPr="000956A0">
          <w:rPr>
            <w:snapToGrid/>
            <w:color w:val="0000FF"/>
            <w:kern w:val="0"/>
            <w:szCs w:val="22"/>
            <w:u w:val="single"/>
          </w:rPr>
          <w:t>http://fjallfoss.fcc.gov/ecfs2/</w:t>
        </w:r>
      </w:hyperlink>
      <w:r w:rsidRPr="000956A0">
        <w:rPr>
          <w:snapToGrid/>
          <w:kern w:val="0"/>
          <w:szCs w:val="22"/>
        </w:rPr>
        <w:t xml:space="preserve">.  </w:t>
      </w:r>
    </w:p>
    <w:p w:rsidR="00A10E18" w:rsidRPr="000956A0" w:rsidRDefault="00A10E18" w:rsidP="00A10E18">
      <w:pPr>
        <w:widowControl/>
        <w:rPr>
          <w:snapToGrid/>
          <w:kern w:val="0"/>
          <w:szCs w:val="22"/>
        </w:rPr>
      </w:pPr>
    </w:p>
    <w:p w:rsidR="00A10E18" w:rsidRPr="000956A0" w:rsidRDefault="00A10E18" w:rsidP="00A10E18">
      <w:pPr>
        <w:widowControl/>
        <w:numPr>
          <w:ilvl w:val="0"/>
          <w:numId w:val="55"/>
        </w:numPr>
        <w:rPr>
          <w:snapToGrid/>
          <w:kern w:val="0"/>
          <w:szCs w:val="22"/>
        </w:rPr>
      </w:pPr>
      <w:r w:rsidRPr="000956A0">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10E18" w:rsidRPr="000956A0" w:rsidRDefault="00A10E18" w:rsidP="00A10E18">
      <w:pPr>
        <w:widowControl/>
        <w:rPr>
          <w:snapToGrid/>
          <w:kern w:val="0"/>
          <w:szCs w:val="22"/>
        </w:rPr>
      </w:pPr>
    </w:p>
    <w:p w:rsidR="00A10E18" w:rsidRPr="000956A0" w:rsidRDefault="00A10E18" w:rsidP="00A10E18">
      <w:pPr>
        <w:widowControl/>
        <w:ind w:left="720"/>
        <w:rPr>
          <w:snapToGrid/>
          <w:kern w:val="0"/>
          <w:szCs w:val="22"/>
        </w:rPr>
      </w:pPr>
      <w:r w:rsidRPr="000956A0">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10E18" w:rsidRPr="000956A0" w:rsidRDefault="00A10E18" w:rsidP="00A10E18">
      <w:pPr>
        <w:widowControl/>
        <w:rPr>
          <w:snapToGrid/>
          <w:kern w:val="0"/>
          <w:szCs w:val="22"/>
        </w:rPr>
      </w:pPr>
    </w:p>
    <w:p w:rsidR="00A10E18" w:rsidRPr="000956A0" w:rsidRDefault="00A10E18" w:rsidP="00A10E18">
      <w:pPr>
        <w:widowControl/>
        <w:numPr>
          <w:ilvl w:val="0"/>
          <w:numId w:val="56"/>
        </w:numPr>
        <w:rPr>
          <w:snapToGrid/>
          <w:kern w:val="0"/>
          <w:szCs w:val="22"/>
        </w:rPr>
      </w:pPr>
      <w:r w:rsidRPr="000956A0">
        <w:rPr>
          <w:snapToGrid/>
          <w:kern w:val="0"/>
          <w:szCs w:val="22"/>
        </w:rPr>
        <w:t>All hand-delivered or messenger-delivered paper filings for the Commission’s Secretary must be delivered to FCC Headquarters at 445 12</w:t>
      </w:r>
      <w:r w:rsidRPr="000956A0">
        <w:rPr>
          <w:snapToGrid/>
          <w:kern w:val="0"/>
          <w:szCs w:val="22"/>
          <w:vertAlign w:val="superscript"/>
        </w:rPr>
        <w:t>th</w:t>
      </w:r>
      <w:r w:rsidRPr="000956A0">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0956A0">
        <w:rPr>
          <w:snapToGrid/>
          <w:kern w:val="0"/>
          <w:szCs w:val="22"/>
          <w:u w:val="single"/>
        </w:rPr>
        <w:t>before</w:t>
      </w:r>
      <w:r w:rsidRPr="000956A0">
        <w:rPr>
          <w:snapToGrid/>
          <w:kern w:val="0"/>
          <w:szCs w:val="22"/>
        </w:rPr>
        <w:t xml:space="preserve"> entering the building.  </w:t>
      </w:r>
    </w:p>
    <w:p w:rsidR="00A10E18" w:rsidRPr="000956A0" w:rsidRDefault="00A10E18" w:rsidP="00A10E18">
      <w:pPr>
        <w:widowControl/>
        <w:ind w:left="1080"/>
        <w:rPr>
          <w:snapToGrid/>
          <w:kern w:val="0"/>
          <w:szCs w:val="22"/>
        </w:rPr>
      </w:pPr>
    </w:p>
    <w:p w:rsidR="00A10E18" w:rsidRPr="000956A0" w:rsidRDefault="00A10E18" w:rsidP="00A10E18">
      <w:pPr>
        <w:widowControl/>
        <w:numPr>
          <w:ilvl w:val="0"/>
          <w:numId w:val="56"/>
        </w:numPr>
        <w:rPr>
          <w:snapToGrid/>
          <w:kern w:val="0"/>
          <w:szCs w:val="22"/>
        </w:rPr>
      </w:pPr>
      <w:r w:rsidRPr="000956A0">
        <w:rPr>
          <w:snapToGrid/>
          <w:kern w:val="0"/>
          <w:szCs w:val="22"/>
        </w:rPr>
        <w:t>Commercial overnight mail (other than U.S. Postal Service Express Mail and Priority Mail) must be sent to 9300 East Hampton Drive, Capitol Heights, MD  20743.</w:t>
      </w:r>
    </w:p>
    <w:p w:rsidR="00A10E18" w:rsidRPr="000956A0" w:rsidRDefault="00A10E18" w:rsidP="00A10E18">
      <w:pPr>
        <w:widowControl/>
        <w:rPr>
          <w:snapToGrid/>
          <w:kern w:val="0"/>
          <w:szCs w:val="22"/>
        </w:rPr>
      </w:pPr>
    </w:p>
    <w:p w:rsidR="00A10E18" w:rsidRPr="000956A0" w:rsidRDefault="00A10E18" w:rsidP="00A10E18">
      <w:pPr>
        <w:widowControl/>
        <w:numPr>
          <w:ilvl w:val="0"/>
          <w:numId w:val="56"/>
        </w:numPr>
        <w:rPr>
          <w:snapToGrid/>
          <w:kern w:val="0"/>
          <w:szCs w:val="22"/>
        </w:rPr>
      </w:pPr>
      <w:r w:rsidRPr="000956A0">
        <w:rPr>
          <w:snapToGrid/>
          <w:kern w:val="0"/>
          <w:szCs w:val="22"/>
        </w:rPr>
        <w:t>U.S. Postal Service first-class, Express, and Priority mail must be addressed to 445 12</w:t>
      </w:r>
      <w:r w:rsidRPr="000956A0">
        <w:rPr>
          <w:snapToGrid/>
          <w:kern w:val="0"/>
          <w:szCs w:val="22"/>
          <w:vertAlign w:val="superscript"/>
        </w:rPr>
        <w:t>th</w:t>
      </w:r>
      <w:r w:rsidRPr="000956A0">
        <w:rPr>
          <w:snapToGrid/>
          <w:kern w:val="0"/>
          <w:szCs w:val="22"/>
        </w:rPr>
        <w:t xml:space="preserve"> Street, SW, Washington DC  20554.</w:t>
      </w:r>
    </w:p>
    <w:p w:rsidR="00A10E18" w:rsidRPr="000956A0" w:rsidRDefault="00A10E18" w:rsidP="00A10E18">
      <w:pPr>
        <w:widowControl/>
        <w:rPr>
          <w:snapToGrid/>
          <w:kern w:val="0"/>
          <w:szCs w:val="22"/>
        </w:rPr>
      </w:pPr>
    </w:p>
    <w:p w:rsidR="00A62BA5" w:rsidRDefault="00A10E18" w:rsidP="00A62BA5">
      <w:pPr>
        <w:pStyle w:val="ParaNum"/>
      </w:pPr>
      <w:r w:rsidRPr="000956A0">
        <w:rPr>
          <w:snapToGrid/>
        </w:rPr>
        <w:t xml:space="preserve">People with Disabilities:  To request materials in accessible formats for people with disabilities (braille, large print, electronic files, audio format), send an e-mail to </w:t>
      </w:r>
      <w:hyperlink r:id="rId9" w:history="1">
        <w:r w:rsidRPr="000956A0">
          <w:rPr>
            <w:snapToGrid/>
            <w:color w:val="0000FF"/>
            <w:u w:val="single"/>
          </w:rPr>
          <w:t>fcc504@fcc.gov</w:t>
        </w:r>
      </w:hyperlink>
      <w:r w:rsidRPr="000956A0">
        <w:rPr>
          <w:snapToGrid/>
        </w:rPr>
        <w:t xml:space="preserve"> or call the Consumer &amp; Governmental Affairs Bureau at 202-418-0530 (voice), 202-418-0432 (tty).</w:t>
      </w:r>
    </w:p>
    <w:p w:rsidR="007C1D47" w:rsidRDefault="007C1D47" w:rsidP="00A62BA5">
      <w:pPr>
        <w:pStyle w:val="ParaNum"/>
      </w:pPr>
      <w:r w:rsidRPr="00A62BA5">
        <w:rPr>
          <w:i/>
          <w:szCs w:val="22"/>
        </w:rPr>
        <w:t xml:space="preserve">Additional Information:  </w:t>
      </w:r>
      <w:r w:rsidRPr="00A62BA5">
        <w:rPr>
          <w:szCs w:val="22"/>
        </w:rPr>
        <w:t xml:space="preserve">For additional information on this </w:t>
      </w:r>
      <w:r w:rsidRPr="00A62BA5">
        <w:rPr>
          <w:i/>
          <w:szCs w:val="22"/>
        </w:rPr>
        <w:t>NPRM</w:t>
      </w:r>
      <w:r w:rsidRPr="00A62BA5">
        <w:rPr>
          <w:szCs w:val="22"/>
        </w:rPr>
        <w:t>, please contact Kim Matthews of the Media Bureau, Policy Division, Kim.Matthews</w:t>
      </w:r>
      <w:r w:rsidRPr="00F342E3">
        <w:t>@fcc.gov</w:t>
      </w:r>
      <w:r w:rsidRPr="00192DD3">
        <w:t>, (202) 418-2154.</w:t>
      </w:r>
    </w:p>
    <w:p w:rsidR="007C1D47" w:rsidRPr="00192DD3" w:rsidRDefault="007C1D47" w:rsidP="007C1D47">
      <w:pPr>
        <w:pStyle w:val="Heading1"/>
      </w:pPr>
      <w:bookmarkStart w:id="157" w:name="_Toc415150704"/>
      <w:bookmarkStart w:id="158" w:name="_Toc415151225"/>
      <w:bookmarkStart w:id="159" w:name="_Toc415151373"/>
      <w:bookmarkStart w:id="160" w:name="_Toc416424177"/>
      <w:bookmarkStart w:id="161" w:name="_Toc416424799"/>
      <w:bookmarkStart w:id="162" w:name="_Toc416429444"/>
      <w:r w:rsidRPr="00192DD3">
        <w:t>Ordering clauseS</w:t>
      </w:r>
      <w:bookmarkEnd w:id="157"/>
      <w:bookmarkEnd w:id="158"/>
      <w:bookmarkEnd w:id="159"/>
      <w:bookmarkEnd w:id="160"/>
      <w:bookmarkEnd w:id="161"/>
      <w:bookmarkEnd w:id="162"/>
      <w:r w:rsidRPr="00192DD3">
        <w:t xml:space="preserve"> </w:t>
      </w:r>
    </w:p>
    <w:p w:rsidR="00A62BA5" w:rsidRDefault="002502FF" w:rsidP="002502FF">
      <w:pPr>
        <w:pStyle w:val="ParaNum"/>
      </w:pPr>
      <w:r w:rsidRPr="002502FF">
        <w:t xml:space="preserve">Accordingly, </w:t>
      </w:r>
      <w:r w:rsidRPr="002502FF">
        <w:rPr>
          <w:b/>
        </w:rPr>
        <w:t>IT IS ORDERED</w:t>
      </w:r>
      <w:r w:rsidRPr="002502FF">
        <w:t xml:space="preserve"> that, pursuant to the authority contained in Sections 1, 4, 301, 303, 307, 308, 309, 310, 316, 319, and 405 of the Communications Act of 1934, as amended,  and sections  6402 and 6403 of Middle Class Tax Relief and Job Creation Act of 2012, Pub. L. No. 112-96, 126 Stat. 156, 47 U.S.C. §§ 151, 154, 301, 303, 307, 308, 309, 310, 316, 319, 405, 1404, and 1452</w:t>
      </w:r>
      <w:r w:rsidR="007C1D47">
        <w:t>,</w:t>
      </w:r>
      <w:r w:rsidR="007C1D47" w:rsidRPr="001B5FFE">
        <w:t xml:space="preserve"> this </w:t>
      </w:r>
      <w:r w:rsidR="0097717A">
        <w:t>FIRST ORDER ON RECONSIDERATION</w:t>
      </w:r>
      <w:r w:rsidR="007C1D47" w:rsidRPr="001B5FFE">
        <w:t xml:space="preserve"> </w:t>
      </w:r>
      <w:r w:rsidR="007C1D47">
        <w:t xml:space="preserve">is </w:t>
      </w:r>
      <w:r w:rsidR="007C1D47" w:rsidRPr="001D2C2A">
        <w:rPr>
          <w:b/>
        </w:rPr>
        <w:t>ADOPTED</w:t>
      </w:r>
      <w:r w:rsidR="007C1D47" w:rsidRPr="001B5FFE">
        <w:t xml:space="preserve"> and Part</w:t>
      </w:r>
      <w:r w:rsidR="00F64497">
        <w:t>s 1 and</w:t>
      </w:r>
      <w:r w:rsidR="007C1D47" w:rsidRPr="001B5FFE">
        <w:t xml:space="preserve"> </w:t>
      </w:r>
      <w:r w:rsidR="007C1D47">
        <w:t>73</w:t>
      </w:r>
      <w:r w:rsidR="007C1D47" w:rsidRPr="001B5FFE">
        <w:t xml:space="preserve"> of Commission's rules </w:t>
      </w:r>
      <w:r w:rsidR="00F64497">
        <w:t>are</w:t>
      </w:r>
      <w:r w:rsidR="00F64497" w:rsidRPr="001B5FFE">
        <w:t xml:space="preserve"> </w:t>
      </w:r>
      <w:r w:rsidR="007C1D47" w:rsidRPr="001D2C2A">
        <w:rPr>
          <w:b/>
        </w:rPr>
        <w:t>AMENDED</w:t>
      </w:r>
      <w:r w:rsidR="007C1D47" w:rsidRPr="001B5FFE">
        <w:t xml:space="preserve"> as set forth in the Appendix </w:t>
      </w:r>
      <w:r w:rsidR="00F64497">
        <w:t>A</w:t>
      </w:r>
      <w:r w:rsidR="007C1D47" w:rsidRPr="001B5FFE">
        <w:t>.</w:t>
      </w:r>
    </w:p>
    <w:p w:rsidR="00A62BA5" w:rsidRDefault="007C1D47" w:rsidP="00A62BA5">
      <w:pPr>
        <w:pStyle w:val="ParaNum"/>
      </w:pPr>
      <w:r w:rsidRPr="00A62BA5">
        <w:rPr>
          <w:b/>
        </w:rPr>
        <w:t>IT IS FURTHER ORDERED</w:t>
      </w:r>
      <w:r w:rsidRPr="001B5FFE">
        <w:t xml:space="preserve"> that the </w:t>
      </w:r>
      <w:r w:rsidR="001D2C2A">
        <w:t xml:space="preserve">rules adopted herein </w:t>
      </w:r>
      <w:r w:rsidR="001D2C2A" w:rsidRPr="00A62BA5">
        <w:rPr>
          <w:b/>
        </w:rPr>
        <w:t>WILL BECOME EFFETIVE</w:t>
      </w:r>
      <w:r w:rsidR="001D2C2A">
        <w:t xml:space="preserve"> </w:t>
      </w:r>
      <w:r w:rsidR="001D2C2A" w:rsidRPr="001B5FFE">
        <w:t xml:space="preserve">thirty days </w:t>
      </w:r>
      <w:r w:rsidR="001D2C2A">
        <w:t xml:space="preserve">after </w:t>
      </w:r>
      <w:r w:rsidR="001D2C2A" w:rsidRPr="001B5FFE">
        <w:t xml:space="preserve">the date of publication in the </w:t>
      </w:r>
      <w:r w:rsidR="001D2C2A" w:rsidRPr="00A62BA5">
        <w:rPr>
          <w:i/>
          <w:iCs/>
        </w:rPr>
        <w:t>Federal Register</w:t>
      </w:r>
      <w:r w:rsidR="001D2C2A" w:rsidRPr="001B5FFE">
        <w:t xml:space="preserve">, except </w:t>
      </w:r>
      <w:r w:rsidR="001D2C2A">
        <w:t>for S</w:t>
      </w:r>
      <w:r w:rsidR="001D2C2A" w:rsidRPr="00F342E3">
        <w:t>ection</w:t>
      </w:r>
      <w:r w:rsidR="00F64497">
        <w:t>s 1.2204(c)(4) and</w:t>
      </w:r>
      <w:r w:rsidR="001D2C2A" w:rsidRPr="00F342E3">
        <w:t xml:space="preserve"> </w:t>
      </w:r>
      <w:r w:rsidR="001D2C2A" w:rsidRPr="00CB1A27">
        <w:t>73.3700</w:t>
      </w:r>
      <w:r w:rsidR="001D2C2A" w:rsidRPr="006B7413">
        <w:t>(b)(</w:t>
      </w:r>
      <w:r w:rsidR="001D2C2A">
        <w:t>1)</w:t>
      </w:r>
      <w:r w:rsidR="001D2C2A" w:rsidRPr="00F342E3">
        <w:t xml:space="preserve">, </w:t>
      </w:r>
      <w:r w:rsidR="001D2C2A">
        <w:t>which</w:t>
      </w:r>
      <w:r w:rsidR="001D2C2A" w:rsidRPr="00F342E3">
        <w:t xml:space="preserve"> con</w:t>
      </w:r>
      <w:r w:rsidR="001D2C2A" w:rsidRPr="001B5FFE">
        <w:t>tain</w:t>
      </w:r>
      <w:r w:rsidR="001D2C2A">
        <w:t xml:space="preserve"> new or modified</w:t>
      </w:r>
      <w:r w:rsidR="001D2C2A" w:rsidRPr="001B5FFE">
        <w:t xml:space="preserve"> information collection requirements </w:t>
      </w:r>
      <w:r w:rsidR="001D2C2A">
        <w:t xml:space="preserve">that require approval by the OMB </w:t>
      </w:r>
      <w:r w:rsidR="001D2C2A" w:rsidRPr="001B5FFE">
        <w:t xml:space="preserve">under the PRA </w:t>
      </w:r>
      <w:r w:rsidR="001D2C2A">
        <w:t xml:space="preserve">and </w:t>
      </w:r>
      <w:r w:rsidR="001D2C2A" w:rsidRPr="006B7413">
        <w:t>WILL BECOME  EFFECTIVE</w:t>
      </w:r>
      <w:r w:rsidR="00A64223">
        <w:t xml:space="preserve"> </w:t>
      </w:r>
      <w:r w:rsidR="001D2C2A">
        <w:t>after t</w:t>
      </w:r>
      <w:r w:rsidR="001D2C2A" w:rsidRPr="001B5FFE">
        <w:t>he Commission publish</w:t>
      </w:r>
      <w:r w:rsidR="001D2C2A">
        <w:t>es</w:t>
      </w:r>
      <w:r w:rsidR="001D2C2A" w:rsidRPr="001B5FFE">
        <w:t xml:space="preserve"> a </w:t>
      </w:r>
      <w:r w:rsidR="001D2C2A">
        <w:t>notice</w:t>
      </w:r>
      <w:r w:rsidR="001D2C2A" w:rsidRPr="001B5FFE">
        <w:t xml:space="preserve"> in the </w:t>
      </w:r>
      <w:r w:rsidR="001D2C2A" w:rsidRPr="00A62BA5">
        <w:rPr>
          <w:i/>
          <w:iCs/>
        </w:rPr>
        <w:t>Federal Register</w:t>
      </w:r>
      <w:r w:rsidR="001D2C2A" w:rsidRPr="001B5FFE">
        <w:t xml:space="preserve"> announcing </w:t>
      </w:r>
      <w:r w:rsidR="001D2C2A">
        <w:t xml:space="preserve">such approval and the relevant </w:t>
      </w:r>
      <w:r w:rsidR="001D2C2A" w:rsidRPr="001B5FFE">
        <w:t>effective date.</w:t>
      </w:r>
    </w:p>
    <w:p w:rsidR="00A62BA5" w:rsidRDefault="007C1D47" w:rsidP="00A62BA5">
      <w:pPr>
        <w:pStyle w:val="ParaNum"/>
      </w:pPr>
      <w:r w:rsidRPr="00A62BA5">
        <w:rPr>
          <w:b/>
        </w:rPr>
        <w:t>IT IS FURTHER ORDERED</w:t>
      </w:r>
      <w:r>
        <w:t xml:space="preserve"> that, </w:t>
      </w:r>
      <w:r w:rsidRPr="00782C62">
        <w:t xml:space="preserve">that pursuant to </w:t>
      </w:r>
      <w:r w:rsidRPr="00A64223">
        <w:t>sections 4(i)</w:t>
      </w:r>
      <w:r w:rsidRPr="00782C62">
        <w:t xml:space="preserve">, and </w:t>
      </w:r>
      <w:r w:rsidRPr="00A64223">
        <w:t>405</w:t>
      </w:r>
      <w:r w:rsidRPr="00782C62">
        <w:t xml:space="preserve"> of the Communications Act of 1934, as amended, </w:t>
      </w:r>
      <w:r w:rsidRPr="00A64223">
        <w:t>47 U.S.C. §§ 154(i)</w:t>
      </w:r>
      <w:r w:rsidRPr="00782C62">
        <w:t xml:space="preserve"> and </w:t>
      </w:r>
      <w:r w:rsidRPr="00A64223">
        <w:t>405</w:t>
      </w:r>
      <w:r w:rsidRPr="00782C62">
        <w:t>, and section 1.</w:t>
      </w:r>
      <w:r w:rsidR="00A64223">
        <w:t>429</w:t>
      </w:r>
      <w:r w:rsidRPr="00782C62">
        <w:t xml:space="preserve"> of the Commission</w:t>
      </w:r>
      <w:r w:rsidR="00A64223">
        <w:t>’</w:t>
      </w:r>
      <w:r w:rsidRPr="00782C62">
        <w:t xml:space="preserve">s rules, </w:t>
      </w:r>
      <w:r w:rsidRPr="00A64223">
        <w:t>47 C.F.R. § 1.</w:t>
      </w:r>
      <w:r w:rsidR="00A64223">
        <w:t>429</w:t>
      </w:r>
      <w:r w:rsidRPr="00782C62">
        <w:t xml:space="preserve">, the Petition for Reconsideration filed by </w:t>
      </w:r>
      <w:r w:rsidR="00F945C4">
        <w:t xml:space="preserve">the </w:t>
      </w:r>
      <w:r w:rsidR="00F945C4" w:rsidRPr="004D2F87">
        <w:t xml:space="preserve">Expanding Opportunities for Broadcasters Coalition </w:t>
      </w:r>
      <w:r w:rsidRPr="00782C62">
        <w:t xml:space="preserve"> </w:t>
      </w:r>
      <w:r w:rsidR="00F945C4" w:rsidRPr="00A62BA5">
        <w:rPr>
          <w:b/>
        </w:rPr>
        <w:t>IS</w:t>
      </w:r>
      <w:r w:rsidRPr="00A62BA5">
        <w:rPr>
          <w:b/>
        </w:rPr>
        <w:t xml:space="preserve"> HEREBY GRANTED IN PART AND </w:t>
      </w:r>
      <w:r w:rsidR="00F945C4" w:rsidRPr="00A62BA5">
        <w:rPr>
          <w:b/>
        </w:rPr>
        <w:t>IS</w:t>
      </w:r>
      <w:r w:rsidRPr="00A62BA5">
        <w:rPr>
          <w:b/>
        </w:rPr>
        <w:t xml:space="preserve"> OTHERWISE DISMISSED AS MOOT</w:t>
      </w:r>
      <w:r w:rsidRPr="00782C62">
        <w:t>.</w:t>
      </w:r>
    </w:p>
    <w:p w:rsidR="00A62BA5" w:rsidRDefault="007C1D47" w:rsidP="00A62BA5">
      <w:pPr>
        <w:pStyle w:val="ParaNum"/>
      </w:pPr>
      <w:r w:rsidRPr="00A62BA5">
        <w:rPr>
          <w:b/>
        </w:rPr>
        <w:t>IT IS FURTHER ORDERED</w:t>
      </w:r>
      <w:r w:rsidRPr="00192DD3">
        <w:t xml:space="preserve"> that, pursuant to the authority contained in Sections 1, 4,</w:t>
      </w:r>
      <w:r>
        <w:t xml:space="preserve"> 301, 303, 307, 308, 309, 310, 316, 319, 338, 403, 614, and 615</w:t>
      </w:r>
      <w:r w:rsidRPr="00192DD3">
        <w:t xml:space="preserve"> of the Communications Act of 1934, as amended, 47 U.S.C. §§ 151, 154, </w:t>
      </w:r>
      <w:r>
        <w:t>301, 303, 307, 308, 309, 310, 316, 319, 338, 403, 614 and 615</w:t>
      </w:r>
      <w:r w:rsidR="00F945C4">
        <w:t>,</w:t>
      </w:r>
      <w:r>
        <w:t xml:space="preserve"> </w:t>
      </w:r>
      <w:r w:rsidR="0022544D">
        <w:t>]</w:t>
      </w:r>
      <w:r w:rsidRPr="00192DD3">
        <w:t xml:space="preserve">this Notice of Proposed Rulemaking </w:t>
      </w:r>
      <w:r w:rsidRPr="00A62BA5">
        <w:rPr>
          <w:b/>
        </w:rPr>
        <w:t>IS ADOPTED</w:t>
      </w:r>
      <w:r w:rsidRPr="00192DD3">
        <w:t>.</w:t>
      </w:r>
    </w:p>
    <w:p w:rsidR="00A62BA5" w:rsidRDefault="007C1D47" w:rsidP="00A62BA5">
      <w:pPr>
        <w:pStyle w:val="ParaNum"/>
      </w:pPr>
      <w:r w:rsidRPr="00A62BA5">
        <w:rPr>
          <w:b/>
        </w:rPr>
        <w:t>IT IS FURTHER ORDERED</w:t>
      </w:r>
      <w:r w:rsidRPr="00192DD3">
        <w:t xml:space="preserve"> that the Commission’s Consumer and Governmental Affairs Bureau, Reference Information Center, </w:t>
      </w:r>
      <w:r w:rsidRPr="00A62BA5">
        <w:rPr>
          <w:b/>
        </w:rPr>
        <w:t>SHALL SEND</w:t>
      </w:r>
      <w:r w:rsidRPr="00192DD3">
        <w:t xml:space="preserve"> a copy of this </w:t>
      </w:r>
      <w:r w:rsidR="0097717A">
        <w:t>First Order on Reconsideration</w:t>
      </w:r>
      <w:r>
        <w:t xml:space="preserve"> and </w:t>
      </w:r>
      <w:r w:rsidRPr="00192DD3">
        <w:t xml:space="preserve">Notice of Proposed Rulemaking, including the </w:t>
      </w:r>
      <w:r>
        <w:t xml:space="preserve">Supplemental Final Regulatory Flexibility Analysis and the </w:t>
      </w:r>
      <w:r w:rsidRPr="00192DD3">
        <w:t>Initial Regulatory Flexibility Analysis, to the Chief Counsel for Advocacy of the Small Business Administration.</w:t>
      </w:r>
    </w:p>
    <w:p w:rsidR="007C1D47" w:rsidRDefault="007C1D47" w:rsidP="00A62BA5">
      <w:pPr>
        <w:pStyle w:val="ParaNum"/>
      </w:pPr>
      <w:r w:rsidRPr="00A62BA5">
        <w:rPr>
          <w:b/>
        </w:rPr>
        <w:t>IT IS FURTHER ORDERED</w:t>
      </w:r>
      <w:r w:rsidRPr="00192DD3">
        <w:t xml:space="preserve"> that the Commission</w:t>
      </w:r>
      <w:r>
        <w:t xml:space="preserve"> </w:t>
      </w:r>
      <w:r w:rsidRPr="00A62BA5">
        <w:rPr>
          <w:b/>
        </w:rPr>
        <w:t>SHALL SEND</w:t>
      </w:r>
      <w:r w:rsidRPr="00192DD3">
        <w:t xml:space="preserve"> a copy of this </w:t>
      </w:r>
      <w:r w:rsidR="0097717A">
        <w:t>First Order on Reconsideration</w:t>
      </w:r>
      <w:r>
        <w:t xml:space="preserve"> in a report to be sent to Congress and the Government Accountability Office pursuant to the Congressional Review Act, see 5 U.S.C. §801(a)(1)(A).</w:t>
      </w:r>
    </w:p>
    <w:p w:rsidR="007C1D47" w:rsidRDefault="007C1D47" w:rsidP="004D287E">
      <w:pPr>
        <w:pStyle w:val="ParaNum"/>
        <w:numPr>
          <w:ilvl w:val="0"/>
          <w:numId w:val="0"/>
        </w:numPr>
      </w:pPr>
    </w:p>
    <w:p w:rsidR="004D287E" w:rsidRDefault="004D287E" w:rsidP="003B0984">
      <w:r>
        <w:tab/>
      </w:r>
      <w:r>
        <w:tab/>
      </w:r>
      <w:r>
        <w:tab/>
      </w:r>
      <w:r>
        <w:tab/>
      </w:r>
      <w:r>
        <w:tab/>
      </w:r>
      <w:r>
        <w:tab/>
        <w:t>FEDERAL COMMUNICATIONS COMMISSION</w:t>
      </w:r>
    </w:p>
    <w:p w:rsidR="004D287E" w:rsidRDefault="004D287E" w:rsidP="003B0984"/>
    <w:p w:rsidR="004D287E" w:rsidRDefault="004D287E" w:rsidP="003B0984"/>
    <w:p w:rsidR="004D287E" w:rsidRDefault="004D287E" w:rsidP="003B0984"/>
    <w:p w:rsidR="004D287E" w:rsidRDefault="004D287E" w:rsidP="003B0984"/>
    <w:p w:rsidR="004D287E" w:rsidRDefault="004D287E" w:rsidP="003B0984">
      <w:r>
        <w:tab/>
      </w:r>
      <w:r>
        <w:tab/>
      </w:r>
      <w:r>
        <w:tab/>
      </w:r>
      <w:r>
        <w:tab/>
      </w:r>
      <w:r>
        <w:tab/>
      </w:r>
      <w:r>
        <w:tab/>
        <w:t>Marlene H. Dortch</w:t>
      </w:r>
    </w:p>
    <w:p w:rsidR="003B0984" w:rsidRDefault="004D287E" w:rsidP="004D287E">
      <w:pPr>
        <w:sectPr w:rsidR="003B0984" w:rsidSect="003B09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60"/>
        </w:sectPr>
      </w:pPr>
      <w:r>
        <w:tab/>
      </w:r>
      <w:r>
        <w:tab/>
      </w:r>
      <w:r>
        <w:tab/>
      </w:r>
      <w:r>
        <w:tab/>
      </w:r>
      <w:r>
        <w:tab/>
      </w:r>
      <w:r>
        <w:tab/>
        <w:t>Secretary</w:t>
      </w:r>
    </w:p>
    <w:p w:rsidR="0062288A" w:rsidRPr="00491139" w:rsidRDefault="0062288A" w:rsidP="0062288A">
      <w:pPr>
        <w:spacing w:line="480" w:lineRule="auto"/>
        <w:jc w:val="center"/>
        <w:rPr>
          <w:b/>
        </w:rPr>
      </w:pPr>
      <w:r w:rsidRPr="00491139">
        <w:rPr>
          <w:b/>
        </w:rPr>
        <w:t>APPENDIX A</w:t>
      </w:r>
    </w:p>
    <w:p w:rsidR="0062288A" w:rsidRPr="00491139" w:rsidRDefault="0062288A" w:rsidP="0062288A">
      <w:pPr>
        <w:spacing w:line="480" w:lineRule="auto"/>
        <w:jc w:val="center"/>
        <w:rPr>
          <w:b/>
          <w:bCs/>
        </w:rPr>
      </w:pPr>
      <w:r w:rsidRPr="00491139">
        <w:rPr>
          <w:b/>
          <w:bCs/>
        </w:rPr>
        <w:t>Final Rules</w:t>
      </w:r>
    </w:p>
    <w:p w:rsidR="00C47E74" w:rsidRDefault="00C47E74" w:rsidP="001200F8">
      <w:pPr>
        <w:rPr>
          <w:b/>
          <w:u w:val="single"/>
        </w:rPr>
      </w:pPr>
      <w:r w:rsidRPr="00491139">
        <w:t xml:space="preserve">For the reasons discussed in the preamble, the Federal Communications Commission </w:t>
      </w:r>
      <w:r w:rsidRPr="00491139">
        <w:rPr>
          <w:bCs/>
        </w:rPr>
        <w:t xml:space="preserve">amends </w:t>
      </w:r>
      <w:r>
        <w:rPr>
          <w:bCs/>
        </w:rPr>
        <w:t xml:space="preserve">Parts 1 and 73 of Title </w:t>
      </w:r>
      <w:r w:rsidRPr="00491139">
        <w:rPr>
          <w:bCs/>
        </w:rPr>
        <w:t xml:space="preserve">47 </w:t>
      </w:r>
      <w:r>
        <w:rPr>
          <w:bCs/>
        </w:rPr>
        <w:t>of the Code of Federal Regulations as follows:</w:t>
      </w:r>
      <w:r>
        <w:rPr>
          <w:b/>
          <w:u w:val="single"/>
        </w:rPr>
        <w:t xml:space="preserve"> </w:t>
      </w:r>
    </w:p>
    <w:p w:rsidR="001200F8" w:rsidRPr="00491139" w:rsidRDefault="001200F8" w:rsidP="001200F8"/>
    <w:p w:rsidR="00C47E74" w:rsidRPr="00FF14D9" w:rsidRDefault="00C47E74" w:rsidP="001200F8">
      <w:pPr>
        <w:spacing w:line="480" w:lineRule="auto"/>
        <w:rPr>
          <w:b/>
          <w:iCs/>
        </w:rPr>
      </w:pPr>
      <w:r w:rsidRPr="00491139">
        <w:rPr>
          <w:b/>
          <w:iCs/>
        </w:rPr>
        <w:t>PART 1—PRACTICE AND PROCEDURE</w:t>
      </w:r>
    </w:p>
    <w:p w:rsidR="00C47E74" w:rsidRDefault="009C63BD" w:rsidP="001200F8">
      <w:pPr>
        <w:pStyle w:val="ListParagraph"/>
        <w:numPr>
          <w:ilvl w:val="0"/>
          <w:numId w:val="35"/>
        </w:numPr>
        <w:spacing w:after="0"/>
        <w:ind w:left="720"/>
        <w:rPr>
          <w:rFonts w:ascii="Times New Roman" w:hAnsi="Times New Roman"/>
        </w:rPr>
      </w:pPr>
      <w:r>
        <w:rPr>
          <w:rFonts w:ascii="Times New Roman" w:hAnsi="Times New Roman"/>
        </w:rPr>
        <w:t>Section 1.2200 is amended by revising paragraph (d) to read as follows</w:t>
      </w:r>
      <w:r w:rsidR="00C47E74">
        <w:rPr>
          <w:rFonts w:ascii="Times New Roman" w:hAnsi="Times New Roman"/>
        </w:rPr>
        <w:t>:</w:t>
      </w:r>
    </w:p>
    <w:p w:rsidR="00C47E74" w:rsidRDefault="00C47E74" w:rsidP="001200F8">
      <w:pPr>
        <w:pStyle w:val="ListParagraph"/>
        <w:spacing w:after="0"/>
        <w:ind w:left="360"/>
        <w:rPr>
          <w:rFonts w:ascii="Times New Roman" w:hAnsi="Times New Roman"/>
        </w:rPr>
      </w:pPr>
    </w:p>
    <w:p w:rsidR="00C47E74" w:rsidRPr="00FF14D9" w:rsidRDefault="00C47E74" w:rsidP="001200F8">
      <w:pPr>
        <w:pStyle w:val="ListParagraph"/>
        <w:spacing w:after="0"/>
        <w:ind w:left="0"/>
        <w:rPr>
          <w:rFonts w:ascii="Times New Roman" w:hAnsi="Times New Roman"/>
        </w:rPr>
      </w:pPr>
      <w:r>
        <w:rPr>
          <w:rFonts w:ascii="Times New Roman" w:hAnsi="Times New Roman"/>
        </w:rPr>
        <w:t>*****</w:t>
      </w:r>
    </w:p>
    <w:p w:rsidR="00C47E74" w:rsidRDefault="00C47E74" w:rsidP="001200F8">
      <w:pPr>
        <w:rPr>
          <w:iCs/>
        </w:rPr>
      </w:pPr>
      <w:r w:rsidRPr="00491139">
        <w:rPr>
          <w:iCs/>
        </w:rPr>
        <w:t>(</w:t>
      </w:r>
      <w:r w:rsidR="00AF0E0B">
        <w:rPr>
          <w:iCs/>
        </w:rPr>
        <w:t>d</w:t>
      </w:r>
      <w:r w:rsidRPr="00491139">
        <w:rPr>
          <w:iCs/>
        </w:rPr>
        <w:t xml:space="preserve">) </w:t>
      </w:r>
      <w:r w:rsidRPr="00491139">
        <w:rPr>
          <w:iCs/>
          <w:u w:val="single"/>
        </w:rPr>
        <w:t>Channel sharing bid</w:t>
      </w:r>
      <w:r w:rsidRPr="00491139">
        <w:rPr>
          <w:iCs/>
        </w:rPr>
        <w:t xml:space="preserve">.  The term </w:t>
      </w:r>
      <w:r w:rsidRPr="00491139">
        <w:rPr>
          <w:iCs/>
          <w:u w:val="single"/>
        </w:rPr>
        <w:t>channel sharing bid</w:t>
      </w:r>
      <w:r w:rsidRPr="00491139">
        <w:rPr>
          <w:iCs/>
        </w:rPr>
        <w:t xml:space="preserve"> means a bid to relinquish all spectrum usage rights with respect to a particular television channel in order to share a television channel with another broadcast television licensee</w:t>
      </w:r>
      <w:r>
        <w:rPr>
          <w:iCs/>
        </w:rPr>
        <w:t xml:space="preserve"> </w:t>
      </w:r>
      <w:r w:rsidRPr="00C124C2">
        <w:rPr>
          <w:iCs/>
        </w:rPr>
        <w:t xml:space="preserve">by an </w:t>
      </w:r>
      <w:r w:rsidRPr="001200F8">
        <w:t>applicant</w:t>
      </w:r>
      <w:r w:rsidRPr="00C124C2">
        <w:rPr>
          <w:iCs/>
        </w:rPr>
        <w:t xml:space="preserve"> </w:t>
      </w:r>
      <w:r w:rsidR="00DE03D7">
        <w:rPr>
          <w:iCs/>
        </w:rPr>
        <w:t>that submits</w:t>
      </w:r>
      <w:r w:rsidRPr="00C124C2">
        <w:rPr>
          <w:iCs/>
        </w:rPr>
        <w:t xml:space="preserve"> an executed channel sharing agreement</w:t>
      </w:r>
      <w:r w:rsidR="00DE03D7">
        <w:rPr>
          <w:iCs/>
        </w:rPr>
        <w:t xml:space="preserve"> with its application</w:t>
      </w:r>
      <w:r w:rsidRPr="00C124C2">
        <w:rPr>
          <w:iCs/>
        </w:rPr>
        <w:t>.</w:t>
      </w:r>
      <w:r>
        <w:rPr>
          <w:iCs/>
        </w:rPr>
        <w:t xml:space="preserve">  </w:t>
      </w:r>
    </w:p>
    <w:p w:rsidR="00C47E74" w:rsidRDefault="00C47E74" w:rsidP="001200F8">
      <w:pPr>
        <w:spacing w:line="480" w:lineRule="auto"/>
        <w:rPr>
          <w:iCs/>
        </w:rPr>
      </w:pPr>
      <w:r>
        <w:rPr>
          <w:iCs/>
        </w:rPr>
        <w:t>*****</w:t>
      </w:r>
    </w:p>
    <w:p w:rsidR="00C47E74" w:rsidRPr="004B1F7C" w:rsidRDefault="009C63BD" w:rsidP="001200F8">
      <w:pPr>
        <w:pStyle w:val="ListParagraph"/>
        <w:numPr>
          <w:ilvl w:val="0"/>
          <w:numId w:val="35"/>
        </w:numPr>
        <w:spacing w:after="0"/>
        <w:ind w:left="720"/>
        <w:rPr>
          <w:rFonts w:ascii="Times New Roman" w:hAnsi="Times New Roman"/>
          <w:kern w:val="28"/>
        </w:rPr>
      </w:pPr>
      <w:r w:rsidRPr="00C124C2">
        <w:rPr>
          <w:rFonts w:ascii="Times New Roman" w:hAnsi="Times New Roman"/>
          <w:color w:val="000000" w:themeColor="text1"/>
        </w:rPr>
        <w:t xml:space="preserve">Section 1.2204 is amended by </w:t>
      </w:r>
      <w:r w:rsidR="00BB7F71">
        <w:rPr>
          <w:rFonts w:ascii="Times New Roman" w:hAnsi="Times New Roman"/>
          <w:color w:val="000000" w:themeColor="text1"/>
        </w:rPr>
        <w:t xml:space="preserve">redesignating </w:t>
      </w:r>
      <w:r>
        <w:rPr>
          <w:rFonts w:ascii="Times New Roman" w:hAnsi="Times New Roman"/>
          <w:color w:val="000000" w:themeColor="text1"/>
        </w:rPr>
        <w:t>paragraphs (c)(4)(i) through (c)(4)(iii)  as  (c)(4)(ii) through  (c)(4)(iv), and adding new paragraph (c)(4)(i) to read as follows</w:t>
      </w:r>
      <w:r w:rsidR="00C47E74">
        <w:rPr>
          <w:rFonts w:ascii="Times New Roman" w:hAnsi="Times New Roman"/>
          <w:color w:val="000000" w:themeColor="text1"/>
        </w:rPr>
        <w:t xml:space="preserve">:  </w:t>
      </w:r>
    </w:p>
    <w:p w:rsidR="00C47E74" w:rsidRDefault="00C47E74" w:rsidP="001200F8">
      <w:pPr>
        <w:pStyle w:val="ListParagraph"/>
        <w:spacing w:after="0"/>
        <w:ind w:left="360"/>
        <w:rPr>
          <w:rFonts w:ascii="Times New Roman" w:hAnsi="Times New Roman"/>
          <w:b/>
          <w:kern w:val="28"/>
          <w:u w:val="single"/>
        </w:rPr>
      </w:pPr>
    </w:p>
    <w:p w:rsidR="00C47E74" w:rsidRDefault="00C47E74" w:rsidP="001200F8">
      <w:pPr>
        <w:pStyle w:val="ListParagraph"/>
        <w:spacing w:after="0"/>
        <w:ind w:left="0"/>
        <w:rPr>
          <w:rFonts w:ascii="Times New Roman" w:hAnsi="Times New Roman"/>
          <w:kern w:val="28"/>
        </w:rPr>
      </w:pPr>
      <w:r>
        <w:rPr>
          <w:rFonts w:ascii="Times New Roman" w:hAnsi="Times New Roman"/>
          <w:kern w:val="28"/>
        </w:rPr>
        <w:t>***</w:t>
      </w:r>
      <w:r w:rsidRPr="004B1F7C">
        <w:rPr>
          <w:rFonts w:ascii="Times New Roman" w:hAnsi="Times New Roman"/>
          <w:kern w:val="28"/>
        </w:rPr>
        <w:t>**</w:t>
      </w:r>
    </w:p>
    <w:p w:rsidR="00C47E74" w:rsidRDefault="00C47E74" w:rsidP="001200F8">
      <w:pPr>
        <w:pStyle w:val="ListParagraph"/>
        <w:spacing w:after="0"/>
        <w:ind w:left="0"/>
        <w:rPr>
          <w:rFonts w:ascii="Times New Roman" w:hAnsi="Times New Roman"/>
          <w:kern w:val="28"/>
        </w:rPr>
      </w:pPr>
    </w:p>
    <w:p w:rsidR="00C47E74" w:rsidRDefault="00C47E74" w:rsidP="001200F8">
      <w:pPr>
        <w:pStyle w:val="ListParagraph"/>
        <w:spacing w:after="0"/>
        <w:ind w:left="0"/>
        <w:rPr>
          <w:rFonts w:ascii="Times New Roman" w:hAnsi="Times New Roman"/>
          <w:kern w:val="28"/>
        </w:rPr>
      </w:pPr>
      <w:r>
        <w:rPr>
          <w:rFonts w:ascii="Times New Roman" w:hAnsi="Times New Roman"/>
          <w:kern w:val="28"/>
        </w:rPr>
        <w:t>(c) ***</w:t>
      </w:r>
    </w:p>
    <w:p w:rsidR="00C47E74" w:rsidRDefault="00C47E74" w:rsidP="001200F8">
      <w:pPr>
        <w:pStyle w:val="ListParagraph"/>
        <w:spacing w:after="0"/>
        <w:ind w:left="0"/>
        <w:rPr>
          <w:rFonts w:ascii="Times New Roman" w:hAnsi="Times New Roman"/>
          <w:kern w:val="28"/>
        </w:rPr>
      </w:pPr>
    </w:p>
    <w:p w:rsidR="00C47E74" w:rsidRPr="004B1F7C" w:rsidRDefault="00C47E74" w:rsidP="001200F8">
      <w:pPr>
        <w:pStyle w:val="ListParagraph"/>
        <w:spacing w:after="0"/>
        <w:ind w:left="0"/>
        <w:rPr>
          <w:rFonts w:ascii="Times New Roman" w:hAnsi="Times New Roman"/>
          <w:kern w:val="28"/>
        </w:rPr>
      </w:pPr>
      <w:r>
        <w:rPr>
          <w:rFonts w:ascii="Times New Roman" w:hAnsi="Times New Roman"/>
          <w:kern w:val="28"/>
        </w:rPr>
        <w:t>(4) ***</w:t>
      </w:r>
    </w:p>
    <w:p w:rsidR="00C47E74" w:rsidRDefault="00C47E74" w:rsidP="001200F8">
      <w:pPr>
        <w:pStyle w:val="ListParagraph"/>
        <w:spacing w:after="0"/>
        <w:ind w:left="360"/>
        <w:rPr>
          <w:rFonts w:ascii="Times New Roman" w:hAnsi="Times New Roman"/>
          <w:b/>
          <w:kern w:val="28"/>
          <w:u w:val="single"/>
        </w:rPr>
      </w:pPr>
    </w:p>
    <w:p w:rsidR="00C47E74" w:rsidRDefault="00C47E74" w:rsidP="001200F8">
      <w:pPr>
        <w:pStyle w:val="ListParagraph"/>
        <w:spacing w:after="0"/>
        <w:ind w:left="0"/>
        <w:rPr>
          <w:rFonts w:ascii="Times New Roman" w:hAnsi="Times New Roman"/>
          <w:kern w:val="28"/>
        </w:rPr>
      </w:pPr>
      <w:r w:rsidRPr="00491139">
        <w:rPr>
          <w:rFonts w:ascii="Times New Roman" w:hAnsi="Times New Roman"/>
          <w:kern w:val="28"/>
        </w:rPr>
        <w:t xml:space="preserve">(i) </w:t>
      </w:r>
      <w:r>
        <w:rPr>
          <w:rFonts w:ascii="Times New Roman" w:hAnsi="Times New Roman"/>
          <w:kern w:val="28"/>
        </w:rPr>
        <w:t>Whether it intends to enter into a channel sharing agreement if it becomes a winning bidder;</w:t>
      </w:r>
    </w:p>
    <w:p w:rsidR="00C47E74" w:rsidRDefault="00C47E74" w:rsidP="001200F8">
      <w:pPr>
        <w:pStyle w:val="ListParagraph"/>
        <w:spacing w:after="0"/>
        <w:ind w:left="0"/>
        <w:rPr>
          <w:rFonts w:ascii="Times New Roman" w:hAnsi="Times New Roman"/>
          <w:kern w:val="28"/>
        </w:rPr>
      </w:pPr>
    </w:p>
    <w:p w:rsidR="00C47E74" w:rsidRDefault="00C47E74" w:rsidP="001200F8">
      <w:pPr>
        <w:pStyle w:val="ListParagraph"/>
        <w:spacing w:after="0"/>
        <w:ind w:left="0"/>
        <w:rPr>
          <w:rFonts w:ascii="Times New Roman" w:hAnsi="Times New Roman"/>
          <w:kern w:val="28"/>
        </w:rPr>
      </w:pPr>
      <w:r>
        <w:rPr>
          <w:rFonts w:ascii="Times New Roman" w:hAnsi="Times New Roman"/>
          <w:kern w:val="28"/>
        </w:rPr>
        <w:t>*****</w:t>
      </w:r>
    </w:p>
    <w:p w:rsidR="00C47E74" w:rsidRDefault="00C47E74" w:rsidP="001200F8">
      <w:pPr>
        <w:spacing w:line="480" w:lineRule="auto"/>
        <w:rPr>
          <w:b/>
          <w:iCs/>
        </w:rPr>
      </w:pPr>
      <w:r w:rsidRPr="00491139">
        <w:rPr>
          <w:b/>
          <w:bCs/>
          <w:color w:val="010101"/>
        </w:rPr>
        <w:t>PART 73—RADIO BROADCAST SERVICES</w:t>
      </w:r>
      <w:r w:rsidRPr="00491139">
        <w:rPr>
          <w:b/>
          <w:iCs/>
        </w:rPr>
        <w:t xml:space="preserve"> </w:t>
      </w:r>
    </w:p>
    <w:p w:rsidR="00C47E74" w:rsidRPr="00F1262F" w:rsidRDefault="00AE05DA" w:rsidP="00F1262F">
      <w:pPr>
        <w:pStyle w:val="ListParagraph"/>
        <w:widowControl w:val="0"/>
        <w:numPr>
          <w:ilvl w:val="0"/>
          <w:numId w:val="35"/>
        </w:numPr>
        <w:autoSpaceDE w:val="0"/>
        <w:autoSpaceDN w:val="0"/>
        <w:adjustRightInd w:val="0"/>
        <w:spacing w:after="0" w:line="240" w:lineRule="auto"/>
        <w:ind w:left="720"/>
        <w:rPr>
          <w:rFonts w:ascii="Times New Roman" w:eastAsia="TimesNewRoman" w:hAnsi="Times New Roman"/>
          <w:color w:val="010101"/>
        </w:rPr>
      </w:pPr>
      <w:r w:rsidRPr="00F1262F">
        <w:rPr>
          <w:rFonts w:ascii="Times New Roman" w:eastAsia="TimesNewRoman" w:hAnsi="Times New Roman"/>
          <w:color w:val="010101"/>
        </w:rPr>
        <w:t xml:space="preserve">Section 73.3700 is amended by revising paragraph (a)(3); revising paragraph (b)(1)(i); adding paragraph (b)(1)(vii); revising paragraphs (b)(2)(i), (b)(2)(ii) and (b)(3); </w:t>
      </w:r>
      <w:r w:rsidRPr="00F1262F">
        <w:rPr>
          <w:rFonts w:ascii="Times New Roman" w:hAnsi="Times New Roman"/>
          <w:color w:val="000000" w:themeColor="text1"/>
        </w:rPr>
        <w:t>removing paragraphs (h)(3)(v) and (h)(5)</w:t>
      </w:r>
      <w:r w:rsidRPr="00F1262F">
        <w:rPr>
          <w:rFonts w:ascii="Times New Roman" w:eastAsia="TimesNewRoman" w:hAnsi="Times New Roman"/>
          <w:color w:val="010101"/>
        </w:rPr>
        <w:t>; r</w:t>
      </w:r>
      <w:r w:rsidRPr="00F1262F">
        <w:rPr>
          <w:rFonts w:ascii="Times New Roman" w:hAnsi="Times New Roman"/>
          <w:color w:val="000000" w:themeColor="text1"/>
        </w:rPr>
        <w:t xml:space="preserve">edesignating paragraphs (h)(2) through (h)(4) as (h)(3) through (h)(5); adding a new paragraph </w:t>
      </w:r>
      <w:r w:rsidRPr="00F1262F">
        <w:rPr>
          <w:rFonts w:ascii="Times New Roman" w:eastAsia="TimesNewRoman" w:hAnsi="Times New Roman"/>
          <w:color w:val="010101"/>
        </w:rPr>
        <w:t xml:space="preserve">(h)(2); revising redesignated paragraph (h)(5)(i)(D); adding new paragraph (h)(5)(i)(E); and revising redesignated paragraph (h)(5)(ii)(A) </w:t>
      </w:r>
      <w:r w:rsidRPr="00F1262F">
        <w:rPr>
          <w:rFonts w:ascii="Times New Roman" w:hAnsi="Times New Roman"/>
          <w:color w:val="000000" w:themeColor="text1"/>
        </w:rPr>
        <w:t>to read as follows:</w:t>
      </w:r>
    </w:p>
    <w:p w:rsidR="00C47E74" w:rsidRPr="00510CE4" w:rsidRDefault="00C47E74" w:rsidP="001200F8">
      <w:pPr>
        <w:pStyle w:val="ListParagraph"/>
        <w:widowControl w:val="0"/>
        <w:autoSpaceDE w:val="0"/>
        <w:autoSpaceDN w:val="0"/>
        <w:adjustRightInd w:val="0"/>
        <w:spacing w:after="0" w:line="240" w:lineRule="auto"/>
        <w:rPr>
          <w:rFonts w:ascii="Times New Roman" w:eastAsia="TimesNewRoman" w:hAnsi="Times New Roman"/>
          <w:color w:val="010101"/>
        </w:rPr>
      </w:pPr>
    </w:p>
    <w:p w:rsidR="00C47E74" w:rsidRDefault="00C47E74" w:rsidP="001200F8">
      <w:pPr>
        <w:spacing w:line="480" w:lineRule="auto"/>
      </w:pPr>
      <w:r w:rsidRPr="004B1F7C">
        <w:t>*****</w:t>
      </w:r>
    </w:p>
    <w:p w:rsidR="00C47E74" w:rsidRPr="004B1F7C" w:rsidRDefault="00C47E74" w:rsidP="001200F8">
      <w:pPr>
        <w:spacing w:line="480" w:lineRule="auto"/>
        <w:rPr>
          <w:rFonts w:eastAsia="TimesNewRoman"/>
          <w:color w:val="010101"/>
        </w:rPr>
      </w:pPr>
      <w:r>
        <w:rPr>
          <w:rFonts w:eastAsia="TimesNewRoman"/>
          <w:color w:val="010101"/>
        </w:rPr>
        <w:t>(a) ***</w:t>
      </w:r>
    </w:p>
    <w:p w:rsidR="00C47E74" w:rsidRDefault="00C47E74" w:rsidP="001200F8">
      <w:pPr>
        <w:rPr>
          <w:rFonts w:eastAsia="TimesNewRoman"/>
          <w:color w:val="010101"/>
        </w:rPr>
      </w:pPr>
      <w:r w:rsidRPr="00EE638E">
        <w:rPr>
          <w:rFonts w:eastAsia="TimesNewRoman"/>
          <w:color w:val="010101"/>
        </w:rPr>
        <w:t xml:space="preserve">(3) </w:t>
      </w:r>
      <w:r w:rsidRPr="00EE638E">
        <w:rPr>
          <w:rFonts w:eastAsia="TimesNewRoman"/>
          <w:color w:val="010101"/>
          <w:u w:val="single"/>
        </w:rPr>
        <w:t>Channel sharee station</w:t>
      </w:r>
      <w:r w:rsidRPr="00EE638E">
        <w:rPr>
          <w:rFonts w:eastAsia="TimesNewRoman"/>
          <w:color w:val="010101"/>
        </w:rPr>
        <w:t xml:space="preserve">.  For purposes of this </w:t>
      </w:r>
      <w:r w:rsidRPr="00EE638E">
        <w:t>section</w:t>
      </w:r>
      <w:r w:rsidRPr="00EE638E">
        <w:rPr>
          <w:rFonts w:eastAsia="TimesNewRoman"/>
          <w:color w:val="010101"/>
        </w:rPr>
        <w:t xml:space="preserve">, </w:t>
      </w:r>
      <w:r w:rsidRPr="00EE638E">
        <w:rPr>
          <w:rFonts w:eastAsia="TimesNewRoman"/>
          <w:color w:val="010101"/>
          <w:u w:val="single"/>
        </w:rPr>
        <w:t>channel sharee station</w:t>
      </w:r>
      <w:r w:rsidRPr="00EE638E">
        <w:rPr>
          <w:rFonts w:eastAsia="TimesNewRoman"/>
          <w:color w:val="010101"/>
        </w:rPr>
        <w:t xml:space="preserve"> means a broadcast television station for which a winning </w:t>
      </w:r>
      <w:r w:rsidRPr="001200F8">
        <w:t>channel</w:t>
      </w:r>
      <w:r w:rsidRPr="00EE638E">
        <w:rPr>
          <w:rFonts w:eastAsia="TimesNewRoman"/>
          <w:color w:val="010101"/>
        </w:rPr>
        <w:t xml:space="preserve"> sharing bid, as defined in § 1.2200(</w:t>
      </w:r>
      <w:r w:rsidR="00E47875">
        <w:rPr>
          <w:rFonts w:eastAsia="TimesNewRoman"/>
          <w:color w:val="010101"/>
        </w:rPr>
        <w:t>d</w:t>
      </w:r>
      <w:r w:rsidRPr="00EE638E">
        <w:t xml:space="preserve">) of </w:t>
      </w:r>
      <w:r w:rsidRPr="00EE638E">
        <w:rPr>
          <w:rFonts w:eastAsia="TimesNewRoman"/>
          <w:color w:val="010101"/>
        </w:rPr>
        <w:t>this chapter, was submitted</w:t>
      </w:r>
      <w:r>
        <w:rPr>
          <w:rFonts w:eastAsia="TimesNewRoman"/>
          <w:color w:val="010101"/>
        </w:rPr>
        <w:t xml:space="preserve"> </w:t>
      </w:r>
      <w:r w:rsidRPr="00EE638E">
        <w:rPr>
          <w:rFonts w:eastAsia="TimesNewRoman"/>
          <w:color w:val="010101"/>
        </w:rPr>
        <w:t>or a broadcast television station for which a winning license relinquishment bid, as defined in § 1.2200(</w:t>
      </w:r>
      <w:r w:rsidR="00E47875">
        <w:rPr>
          <w:rFonts w:eastAsia="TimesNewRoman"/>
          <w:color w:val="010101"/>
        </w:rPr>
        <w:t>g</w:t>
      </w:r>
      <w:r w:rsidRPr="00EE638E">
        <w:t xml:space="preserve">) of </w:t>
      </w:r>
      <w:r w:rsidRPr="00EE638E">
        <w:rPr>
          <w:rFonts w:eastAsia="TimesNewRoman"/>
          <w:color w:val="010101"/>
        </w:rPr>
        <w:t>this chapter, was submitted where the station licensee executes and implements a post-auction channel sharing agreement.</w:t>
      </w:r>
    </w:p>
    <w:p w:rsidR="00D55760" w:rsidRDefault="00D55760" w:rsidP="001200F8">
      <w:pPr>
        <w:rPr>
          <w:rFonts w:eastAsia="TimesNewRoman"/>
          <w:color w:val="010101"/>
        </w:rPr>
      </w:pPr>
    </w:p>
    <w:p w:rsidR="00C47E74" w:rsidRDefault="00C47E74" w:rsidP="001200F8">
      <w:pPr>
        <w:spacing w:line="480" w:lineRule="auto"/>
        <w:rPr>
          <w:rFonts w:eastAsia="TimesNewRoman"/>
          <w:color w:val="010101"/>
        </w:rPr>
      </w:pPr>
      <w:r>
        <w:rPr>
          <w:rFonts w:eastAsia="TimesNewRoman"/>
          <w:color w:val="010101"/>
        </w:rPr>
        <w:t>******</w:t>
      </w:r>
    </w:p>
    <w:p w:rsidR="00C47E74" w:rsidRDefault="00C47E74" w:rsidP="001200F8">
      <w:pPr>
        <w:spacing w:line="480" w:lineRule="auto"/>
        <w:rPr>
          <w:rFonts w:eastAsia="TimesNewRoman"/>
          <w:iCs/>
          <w:color w:val="010101"/>
        </w:rPr>
      </w:pPr>
      <w:r>
        <w:rPr>
          <w:rFonts w:eastAsia="TimesNewRoman"/>
          <w:iCs/>
          <w:color w:val="010101"/>
        </w:rPr>
        <w:t>(b) ***</w:t>
      </w:r>
    </w:p>
    <w:p w:rsidR="00C47E74" w:rsidRPr="00491139" w:rsidRDefault="00C47E74" w:rsidP="001200F8">
      <w:pPr>
        <w:spacing w:line="480" w:lineRule="auto"/>
        <w:rPr>
          <w:rFonts w:eastAsia="TimesNewRoman"/>
          <w:iCs/>
          <w:color w:val="010101"/>
        </w:rPr>
      </w:pPr>
      <w:r>
        <w:rPr>
          <w:rFonts w:eastAsia="TimesNewRoman"/>
          <w:iCs/>
          <w:color w:val="010101"/>
        </w:rPr>
        <w:t>(1) ***</w:t>
      </w:r>
    </w:p>
    <w:p w:rsidR="00C47E74" w:rsidRDefault="00C47E74" w:rsidP="001200F8">
      <w:r w:rsidRPr="00491139">
        <w:rPr>
          <w:rFonts w:eastAsia="TimesNewRoman"/>
          <w:color w:val="010101"/>
        </w:rPr>
        <w:t>(i) Licensees of reassigned stations, UHF-to-VHF stations, and High-VHF-to-Low-VHF stations</w:t>
      </w:r>
      <w:r w:rsidRPr="00491139">
        <w:t xml:space="preserve"> must file a minor change application for a construction permit for the channel specified in the Channel Reassignment Public Notice using FCC Form </w:t>
      </w:r>
      <w:r>
        <w:t>2100 Schedule A (for a full power station) or E (for a Class A station)</w:t>
      </w:r>
      <w:r w:rsidRPr="00491139">
        <w:t xml:space="preserve"> within three months of the release date of the Channel Reassignment Public Notice.  </w:t>
      </w:r>
      <w:r w:rsidRPr="00491139">
        <w:rPr>
          <w:rFonts w:eastAsia="TimesNewRoman"/>
          <w:color w:val="010101"/>
        </w:rPr>
        <w:t>Licensees that are unable to meet this filing deadline</w:t>
      </w:r>
      <w:r w:rsidRPr="00491139">
        <w:t xml:space="preserve"> may request a waiver of the deadline no later than 30 days prior to the deadline.</w:t>
      </w:r>
    </w:p>
    <w:p w:rsidR="001200F8" w:rsidRDefault="001200F8" w:rsidP="001200F8"/>
    <w:p w:rsidR="00C47E74" w:rsidRDefault="00C47E74" w:rsidP="001200F8">
      <w:pPr>
        <w:spacing w:line="480" w:lineRule="auto"/>
      </w:pPr>
      <w:r>
        <w:t>*****</w:t>
      </w:r>
    </w:p>
    <w:p w:rsidR="00C47E74" w:rsidRDefault="00C47E74" w:rsidP="001200F8">
      <w:r>
        <w:t xml:space="preserve">(vii) Channel sharee stations must file a minor change application for a construction permit for the channel on which the channel sharer operates at least sixty (60) days prior to the date by which it must terminate operations on its pre-auction channel pursuant to </w:t>
      </w:r>
      <w:r>
        <w:rPr>
          <w:rFonts w:eastAsia="TimesNewRoman"/>
          <w:color w:val="010101"/>
        </w:rPr>
        <w:t>§ 73.3700(c)(</w:t>
      </w:r>
      <w:r w:rsidRPr="00EE638E">
        <w:rPr>
          <w:rFonts w:eastAsia="TimesNewRoman"/>
          <w:color w:val="010101"/>
        </w:rPr>
        <w:t>4</w:t>
      </w:r>
      <w:r w:rsidRPr="00EE638E">
        <w:t>)</w:t>
      </w:r>
      <w:r>
        <w:t>(i) and (ii)</w:t>
      </w:r>
      <w:r w:rsidRPr="00EE638E">
        <w:t xml:space="preserve"> of </w:t>
      </w:r>
      <w:r w:rsidRPr="00EE638E">
        <w:rPr>
          <w:rFonts w:eastAsia="TimesNewRoman"/>
          <w:color w:val="010101"/>
        </w:rPr>
        <w:t xml:space="preserve">this </w:t>
      </w:r>
      <w:r>
        <w:rPr>
          <w:rFonts w:eastAsia="TimesNewRoman"/>
          <w:color w:val="010101"/>
        </w:rPr>
        <w:t>rule</w:t>
      </w:r>
      <w:r>
        <w:t xml:space="preserve">.  The application must include a copy of the executed channel sharing agreement. </w:t>
      </w:r>
    </w:p>
    <w:p w:rsidR="001200F8" w:rsidRDefault="001200F8" w:rsidP="001200F8"/>
    <w:p w:rsidR="00C47E74" w:rsidRDefault="00C47E74" w:rsidP="001200F8">
      <w:pPr>
        <w:spacing w:line="480" w:lineRule="auto"/>
      </w:pPr>
      <w:r>
        <w:t>*****</w:t>
      </w:r>
    </w:p>
    <w:p w:rsidR="00C47E74" w:rsidRPr="00491139" w:rsidRDefault="00C47E74" w:rsidP="001200F8">
      <w:pPr>
        <w:spacing w:line="480" w:lineRule="auto"/>
      </w:pPr>
      <w:r w:rsidRPr="00491139">
        <w:t xml:space="preserve">(2) </w:t>
      </w:r>
      <w:r w:rsidRPr="00B1299B">
        <w:t>***</w:t>
      </w:r>
    </w:p>
    <w:p w:rsidR="00C47E74" w:rsidRDefault="00C47E74" w:rsidP="001200F8">
      <w:r w:rsidRPr="00491139">
        <w:t xml:space="preserve">(i) </w:t>
      </w:r>
      <w:r w:rsidRPr="00491139">
        <w:rPr>
          <w:u w:val="single"/>
        </w:rPr>
        <w:t>Alternate channels</w:t>
      </w:r>
      <w:r w:rsidRPr="00491139">
        <w:t xml:space="preserve">.  </w:t>
      </w:r>
      <w:r w:rsidRPr="00491139">
        <w:rPr>
          <w:rFonts w:eastAsia="TimesNewRoman"/>
          <w:color w:val="010101"/>
        </w:rPr>
        <w:t xml:space="preserve">The licensee of a reassigned </w:t>
      </w:r>
      <w:r w:rsidRPr="001200F8">
        <w:t>station</w:t>
      </w:r>
      <w:r w:rsidRPr="00491139">
        <w:rPr>
          <w:rFonts w:eastAsia="TimesNewRoman"/>
          <w:color w:val="010101"/>
        </w:rPr>
        <w:t>, a</w:t>
      </w:r>
      <w:r w:rsidRPr="00491139">
        <w:t xml:space="preserve"> UHF-to-VHF station, or a </w:t>
      </w:r>
      <w:r w:rsidRPr="00491139">
        <w:rPr>
          <w:rFonts w:eastAsia="TimesNewRoman"/>
          <w:color w:val="010101"/>
        </w:rPr>
        <w:t>High-VHF-to-Low-VHF station</w:t>
      </w:r>
      <w:r w:rsidRPr="00491139">
        <w:t xml:space="preserve"> will be permitted to file a major change application for a construction permit for an alternate channel on FCC Form </w:t>
      </w:r>
      <w:r>
        <w:t xml:space="preserve">2100 Schedules A (for a full power station) and E (for a Class A station) </w:t>
      </w:r>
      <w:r w:rsidRPr="00491139">
        <w:t>during a filing window to be announced by the Media Bureau by public notice, provided that:</w:t>
      </w:r>
      <w:r>
        <w:t xml:space="preserve"> ***</w:t>
      </w:r>
    </w:p>
    <w:p w:rsidR="00464EF6" w:rsidRDefault="00464EF6" w:rsidP="001200F8"/>
    <w:p w:rsidR="00464EF6" w:rsidRDefault="00C207F4" w:rsidP="00464EF6">
      <w:r>
        <w:t>*****</w:t>
      </w:r>
    </w:p>
    <w:p w:rsidR="00C207F4" w:rsidRDefault="00C207F4" w:rsidP="00464EF6">
      <w:pPr>
        <w:rPr>
          <w:snapToGrid/>
          <w:kern w:val="0"/>
          <w:szCs w:val="22"/>
        </w:rPr>
      </w:pPr>
      <w:r w:rsidRPr="00C207F4">
        <w:rPr>
          <w:snapToGrid/>
          <w:kern w:val="0"/>
          <w:szCs w:val="22"/>
        </w:rPr>
        <w:t xml:space="preserve">(ii) </w:t>
      </w:r>
      <w:r w:rsidRPr="00C207F4">
        <w:rPr>
          <w:snapToGrid/>
          <w:kern w:val="0"/>
          <w:szCs w:val="22"/>
          <w:u w:val="single"/>
        </w:rPr>
        <w:t>Expanded facilities</w:t>
      </w:r>
      <w:r w:rsidRPr="00C207F4">
        <w:rPr>
          <w:snapToGrid/>
          <w:kern w:val="0"/>
          <w:szCs w:val="22"/>
        </w:rPr>
        <w:t xml:space="preserve">.  </w:t>
      </w:r>
      <w:r w:rsidRPr="00C207F4">
        <w:rPr>
          <w:snapToGrid/>
          <w:color w:val="010101"/>
          <w:kern w:val="0"/>
          <w:szCs w:val="22"/>
        </w:rPr>
        <w:t>The licensee of a reassigned station, a</w:t>
      </w:r>
      <w:r w:rsidRPr="00C207F4">
        <w:rPr>
          <w:snapToGrid/>
          <w:kern w:val="0"/>
          <w:szCs w:val="22"/>
        </w:rPr>
        <w:t xml:space="preserve"> UHF-to-VHF station, or a </w:t>
      </w:r>
      <w:r w:rsidRPr="00C207F4">
        <w:rPr>
          <w:snapToGrid/>
          <w:color w:val="010101"/>
          <w:kern w:val="0"/>
          <w:szCs w:val="22"/>
        </w:rPr>
        <w:t>High-VHF-to-Low-VHF station</w:t>
      </w:r>
      <w:r w:rsidRPr="00C207F4">
        <w:rPr>
          <w:snapToGrid/>
          <w:kern w:val="0"/>
          <w:szCs w:val="22"/>
        </w:rPr>
        <w:t xml:space="preserve"> will be permitted to file a minor change application for a construction permit on FCC Form </w:t>
      </w:r>
      <w:r>
        <w:rPr>
          <w:snapToGrid/>
          <w:kern w:val="0"/>
          <w:szCs w:val="22"/>
        </w:rPr>
        <w:t xml:space="preserve">2100 Schedules A (for a full </w:t>
      </w:r>
      <w:r w:rsidRPr="00464EF6">
        <w:t>power</w:t>
      </w:r>
      <w:r>
        <w:rPr>
          <w:snapToGrid/>
          <w:kern w:val="0"/>
          <w:szCs w:val="22"/>
        </w:rPr>
        <w:t xml:space="preserve"> station) and E (for a Class A station) </w:t>
      </w:r>
      <w:r w:rsidRPr="00C207F4">
        <w:rPr>
          <w:snapToGrid/>
          <w:kern w:val="0"/>
          <w:szCs w:val="22"/>
        </w:rPr>
        <w:t>during a filing window to be announced by the Media Bureau by public notice, in order to request a change in the technical parameters specified in the Channel Reassignment Public Notice with respect to height above average terrain (HAAT), effective radiated power (ERP), or transmitter location that would be considered a minor change under §§ 73.3572(a)(1),(2) or 74.787(b) of this chapter.</w:t>
      </w:r>
    </w:p>
    <w:p w:rsidR="00464EF6" w:rsidRPr="00C207F4" w:rsidRDefault="00464EF6" w:rsidP="00464EF6">
      <w:pPr>
        <w:rPr>
          <w:snapToGrid/>
          <w:kern w:val="0"/>
          <w:szCs w:val="22"/>
        </w:rPr>
      </w:pPr>
    </w:p>
    <w:p w:rsidR="00C47E74" w:rsidRDefault="00C47E74" w:rsidP="001200F8">
      <w:pPr>
        <w:spacing w:line="480" w:lineRule="auto"/>
      </w:pPr>
      <w:r>
        <w:t>*****</w:t>
      </w:r>
    </w:p>
    <w:p w:rsidR="00C47E74" w:rsidRDefault="00C47E74" w:rsidP="00464EF6">
      <w:pPr>
        <w:rPr>
          <w:rFonts w:eastAsia="TimesNewRoman"/>
          <w:color w:val="010101"/>
        </w:rPr>
      </w:pPr>
      <w:r w:rsidRPr="00491139">
        <w:t xml:space="preserve">(3) </w:t>
      </w:r>
      <w:r w:rsidRPr="00491139">
        <w:rPr>
          <w:rFonts w:eastAsia="TimesNewRoman"/>
          <w:color w:val="010101"/>
          <w:u w:val="single"/>
        </w:rPr>
        <w:t>License applications for channel sharing stations</w:t>
      </w:r>
      <w:r w:rsidRPr="00491139">
        <w:rPr>
          <w:rFonts w:eastAsia="TimesNewRoman"/>
          <w:i/>
          <w:iCs/>
          <w:color w:val="010101"/>
        </w:rPr>
        <w:t xml:space="preserve">. </w:t>
      </w:r>
      <w:r w:rsidRPr="00491139">
        <w:t xml:space="preserve">The </w:t>
      </w:r>
      <w:r w:rsidRPr="00464EF6">
        <w:rPr>
          <w:snapToGrid/>
          <w:kern w:val="0"/>
          <w:szCs w:val="22"/>
        </w:rPr>
        <w:t>licensee</w:t>
      </w:r>
      <w:r w:rsidRPr="00491139">
        <w:t xml:space="preserve"> of each channel sharee station and channel sharer station</w:t>
      </w:r>
      <w:r w:rsidRPr="00491139">
        <w:rPr>
          <w:rFonts w:eastAsia="TimesNewRoman"/>
          <w:color w:val="010101"/>
        </w:rPr>
        <w:t xml:space="preserve"> must file an application for a license for the shared channel using FCC Form </w:t>
      </w:r>
      <w:r>
        <w:rPr>
          <w:rFonts w:eastAsia="TimesNewRoman"/>
          <w:color w:val="010101"/>
        </w:rPr>
        <w:t>2100 Schedule B (for a full power station) or F (for a Class A station)</w:t>
      </w:r>
      <w:r w:rsidRPr="00491139">
        <w:rPr>
          <w:rFonts w:eastAsia="TimesNewRoman"/>
          <w:color w:val="010101"/>
        </w:rPr>
        <w:t xml:space="preserve"> within three months of the date that the channel sharee station licensee receives its incentive payment pursuant to section 6403(a)(1) of </w:t>
      </w:r>
      <w:r w:rsidRPr="00491139">
        <w:rPr>
          <w:iCs/>
        </w:rPr>
        <w:t xml:space="preserve">the </w:t>
      </w:r>
      <w:r w:rsidRPr="00491139">
        <w:rPr>
          <w:iCs/>
          <w:u w:val="single"/>
        </w:rPr>
        <w:t>Spectrum Act</w:t>
      </w:r>
      <w:r w:rsidRPr="00491139">
        <w:rPr>
          <w:rFonts w:eastAsia="TimesNewRoman"/>
          <w:color w:val="010101"/>
        </w:rPr>
        <w:t>.</w:t>
      </w:r>
    </w:p>
    <w:p w:rsidR="00464EF6" w:rsidRPr="00491139" w:rsidRDefault="00464EF6" w:rsidP="00464EF6"/>
    <w:p w:rsidR="00C47E74" w:rsidRDefault="00C47E74" w:rsidP="001200F8">
      <w:pPr>
        <w:spacing w:line="480" w:lineRule="auto"/>
        <w:rPr>
          <w:rFonts w:eastAsia="TimesNewRoman"/>
          <w:color w:val="010101"/>
        </w:rPr>
      </w:pPr>
      <w:r w:rsidRPr="00510CE4">
        <w:rPr>
          <w:rFonts w:eastAsia="TimesNewRoman"/>
          <w:color w:val="010101"/>
        </w:rPr>
        <w:t>******</w:t>
      </w:r>
    </w:p>
    <w:p w:rsidR="00C47E74" w:rsidRDefault="00C47E74" w:rsidP="001200F8">
      <w:pPr>
        <w:spacing w:line="480" w:lineRule="auto"/>
        <w:rPr>
          <w:rFonts w:eastAsia="TimesNewRoman"/>
          <w:iCs/>
          <w:color w:val="010101"/>
        </w:rPr>
      </w:pPr>
      <w:r>
        <w:rPr>
          <w:rFonts w:eastAsia="TimesNewRoman"/>
          <w:iCs/>
          <w:color w:val="010101"/>
        </w:rPr>
        <w:t>(h) ***</w:t>
      </w:r>
    </w:p>
    <w:p w:rsidR="00C47E74" w:rsidRPr="00510CE4" w:rsidRDefault="00C47E74" w:rsidP="001200F8">
      <w:pPr>
        <w:spacing w:line="480" w:lineRule="auto"/>
        <w:rPr>
          <w:rFonts w:eastAsia="TimesNewRoman"/>
          <w:iCs/>
          <w:color w:val="010101"/>
        </w:rPr>
      </w:pPr>
      <w:r>
        <w:rPr>
          <w:rFonts w:eastAsia="TimesNewRoman"/>
          <w:iCs/>
          <w:color w:val="010101"/>
        </w:rPr>
        <w:t>*****</w:t>
      </w:r>
    </w:p>
    <w:p w:rsidR="00C47E74" w:rsidRDefault="00C47E74" w:rsidP="00BB7F71">
      <w:pPr>
        <w:widowControl/>
        <w:rPr>
          <w:rFonts w:eastAsia="TimesNewRoman"/>
          <w:color w:val="010101"/>
        </w:rPr>
      </w:pPr>
      <w:r w:rsidRPr="00510CE4">
        <w:rPr>
          <w:rFonts w:eastAsia="TimesNewRoman"/>
          <w:color w:val="010101"/>
        </w:rPr>
        <w:t xml:space="preserve">(2) </w:t>
      </w:r>
      <w:r w:rsidR="00097E09" w:rsidRPr="00510CE4">
        <w:rPr>
          <w:rFonts w:eastAsia="TimesNewRoman"/>
          <w:color w:val="010101"/>
        </w:rPr>
        <w:t xml:space="preserve">Upon termination of the license of a party to a CSA, the spectrum usage rights covered by that license may revert to the remaining parties to the CSA.  Such reversion shall be governed by the terms of the CSA in accordance with paragraph </w:t>
      </w:r>
      <w:r w:rsidR="00097E09" w:rsidRPr="00262921">
        <w:rPr>
          <w:rFonts w:eastAsia="TimesNewRoman"/>
          <w:color w:val="010101"/>
        </w:rPr>
        <w:t>(h)(</w:t>
      </w:r>
      <w:r w:rsidR="00097E09">
        <w:rPr>
          <w:rFonts w:eastAsia="TimesNewRoman"/>
          <w:color w:val="010101"/>
        </w:rPr>
        <w:t>5</w:t>
      </w:r>
      <w:r w:rsidR="00097E09" w:rsidRPr="00262921">
        <w:rPr>
          <w:rFonts w:eastAsia="TimesNewRoman"/>
          <w:color w:val="010101"/>
        </w:rPr>
        <w:t>)</w:t>
      </w:r>
      <w:r w:rsidR="00097E09">
        <w:rPr>
          <w:rFonts w:eastAsia="TimesNewRoman"/>
          <w:color w:val="010101"/>
        </w:rPr>
        <w:t>(i)</w:t>
      </w:r>
      <w:r w:rsidR="00097E09" w:rsidRPr="00262921">
        <w:rPr>
          <w:rFonts w:eastAsia="TimesNewRoman"/>
          <w:color w:val="010101"/>
        </w:rPr>
        <w:t>(E)</w:t>
      </w:r>
      <w:r w:rsidR="00097E09" w:rsidRPr="00510CE4">
        <w:rPr>
          <w:rFonts w:eastAsia="TimesNewRoman"/>
          <w:color w:val="010101"/>
        </w:rPr>
        <w:t xml:space="preserve"> of this section.  I</w:t>
      </w:r>
      <w:r w:rsidR="00097E09">
        <w:rPr>
          <w:rFonts w:eastAsia="TimesNewRoman"/>
          <w:color w:val="010101"/>
        </w:rPr>
        <w:t>f</w:t>
      </w:r>
      <w:r w:rsidR="00097E09" w:rsidRPr="00510CE4">
        <w:rPr>
          <w:rFonts w:eastAsia="TimesNewRoman"/>
          <w:color w:val="010101"/>
        </w:rPr>
        <w:t xml:space="preserve"> upon termination of the license of a party to a CSA only one party to the CSA remains, the remaining licensee may file an application to change its license to non-shared status using FCC Form 2100, Schedule B (for a full power licensee) or F (for a Class A licensee).</w:t>
      </w:r>
    </w:p>
    <w:p w:rsidR="00464EF6" w:rsidRDefault="00464EF6" w:rsidP="00464EF6">
      <w:pPr>
        <w:rPr>
          <w:rFonts w:eastAsia="TimesNewRoman"/>
          <w:color w:val="010101"/>
        </w:rPr>
      </w:pPr>
    </w:p>
    <w:p w:rsidR="00C47E74" w:rsidRPr="00510CE4" w:rsidRDefault="00C47E74" w:rsidP="001200F8">
      <w:pPr>
        <w:spacing w:line="480" w:lineRule="auto"/>
        <w:rPr>
          <w:rFonts w:eastAsia="TimesNewRoman"/>
          <w:color w:val="010101"/>
        </w:rPr>
      </w:pPr>
      <w:r>
        <w:rPr>
          <w:rFonts w:eastAsia="TimesNewRoman"/>
          <w:color w:val="010101"/>
        </w:rPr>
        <w:t>*****</w:t>
      </w:r>
    </w:p>
    <w:p w:rsidR="00C47E74" w:rsidRPr="00491139" w:rsidRDefault="00C47E74" w:rsidP="001200F8">
      <w:pPr>
        <w:spacing w:line="480" w:lineRule="auto"/>
        <w:rPr>
          <w:rFonts w:eastAsia="TimesNewRoman"/>
          <w:color w:val="010101"/>
        </w:rPr>
      </w:pPr>
      <w:r w:rsidRPr="00491139">
        <w:rPr>
          <w:rFonts w:eastAsia="TimesNewRoman"/>
          <w:color w:val="010101"/>
        </w:rPr>
        <w:t>(</w:t>
      </w:r>
      <w:r w:rsidR="002701D8">
        <w:rPr>
          <w:rFonts w:eastAsia="TimesNewRoman"/>
          <w:color w:val="010101"/>
        </w:rPr>
        <w:t>5</w:t>
      </w:r>
      <w:r w:rsidRPr="00491139">
        <w:rPr>
          <w:rFonts w:eastAsia="TimesNewRoman"/>
          <w:color w:val="010101"/>
        </w:rPr>
        <w:t xml:space="preserve">) </w:t>
      </w:r>
      <w:r w:rsidRPr="00757CE2">
        <w:rPr>
          <w:rFonts w:eastAsia="TimesNewRoman"/>
          <w:color w:val="010101"/>
        </w:rPr>
        <w:t>***</w:t>
      </w:r>
    </w:p>
    <w:p w:rsidR="00C47E74" w:rsidRPr="00491139" w:rsidRDefault="00C47E74" w:rsidP="001200F8">
      <w:pPr>
        <w:spacing w:line="480" w:lineRule="auto"/>
      </w:pPr>
      <w:r w:rsidRPr="00491139">
        <w:rPr>
          <w:rFonts w:eastAsia="TimesNewRoman"/>
          <w:color w:val="010101"/>
        </w:rPr>
        <w:t xml:space="preserve">(i) </w:t>
      </w:r>
      <w:r>
        <w:rPr>
          <w:rFonts w:eastAsia="TimesNewRoman"/>
          <w:color w:val="010101"/>
        </w:rPr>
        <w:t>***</w:t>
      </w:r>
      <w:r w:rsidRPr="00491139">
        <w:t xml:space="preserve"> </w:t>
      </w:r>
    </w:p>
    <w:p w:rsidR="00C47E74" w:rsidRDefault="00C47E74" w:rsidP="00464EF6">
      <w:r w:rsidRPr="00491139">
        <w:t xml:space="preserve">(D) </w:t>
      </w:r>
      <w:r>
        <w:t>T</w:t>
      </w:r>
      <w:r w:rsidRPr="00491139">
        <w:t xml:space="preserve">ransfer/assignment of </w:t>
      </w:r>
      <w:r>
        <w:t xml:space="preserve">a </w:t>
      </w:r>
      <w:r w:rsidRPr="00491139">
        <w:t xml:space="preserve">shared </w:t>
      </w:r>
      <w:r w:rsidRPr="00464EF6">
        <w:rPr>
          <w:rFonts w:eastAsia="TimesNewRoman"/>
          <w:color w:val="010101"/>
        </w:rPr>
        <w:t>license</w:t>
      </w:r>
      <w:r w:rsidRPr="00491139">
        <w:t>, including the ability of a new licensee to assume the existing CSA</w:t>
      </w:r>
      <w:r>
        <w:t xml:space="preserve">; and </w:t>
      </w:r>
    </w:p>
    <w:p w:rsidR="002042AC" w:rsidRDefault="002042AC" w:rsidP="00464EF6"/>
    <w:p w:rsidR="00C47E74" w:rsidRDefault="00C47E74" w:rsidP="00464EF6">
      <w:r>
        <w:t>(E)</w:t>
      </w:r>
      <w:r w:rsidRPr="00757CE2">
        <w:t xml:space="preserve"> </w:t>
      </w:r>
      <w:r w:rsidRPr="00491139">
        <w:t xml:space="preserve">Termination </w:t>
      </w:r>
      <w:r>
        <w:t xml:space="preserve">of the license of a </w:t>
      </w:r>
      <w:r w:rsidRPr="00464EF6">
        <w:rPr>
          <w:rFonts w:eastAsia="TimesNewRoman"/>
          <w:color w:val="010101"/>
        </w:rPr>
        <w:t>party</w:t>
      </w:r>
      <w:r>
        <w:t xml:space="preserve"> to the CSA, including reversion of spectrum usage rights to the remaining parties to the CSA.</w:t>
      </w:r>
    </w:p>
    <w:p w:rsidR="00464EF6" w:rsidRPr="00491139" w:rsidRDefault="00464EF6" w:rsidP="00464EF6"/>
    <w:p w:rsidR="00C47E74" w:rsidRPr="00491139" w:rsidRDefault="00C47E74" w:rsidP="001200F8">
      <w:pPr>
        <w:spacing w:line="480" w:lineRule="auto"/>
      </w:pPr>
      <w:r w:rsidRPr="00491139">
        <w:t>(i</w:t>
      </w:r>
      <w:r>
        <w:t>i) ***</w:t>
      </w:r>
    </w:p>
    <w:p w:rsidR="00C47E74" w:rsidRDefault="00C47E74" w:rsidP="00464EF6">
      <w:pPr>
        <w:rPr>
          <w:color w:val="000000"/>
        </w:rPr>
      </w:pPr>
      <w:r w:rsidRPr="00491139">
        <w:t xml:space="preserve">(A) </w:t>
      </w:r>
      <w:r w:rsidR="00F35ACB" w:rsidRPr="00491139">
        <w:t xml:space="preserve">Affirming compliance with the requirements in </w:t>
      </w:r>
      <w:r w:rsidR="00F35ACB">
        <w:t>paragraph (h)(5</w:t>
      </w:r>
      <w:r w:rsidR="00F35ACB" w:rsidRPr="00757CE2">
        <w:t>) of this section and all relevant Commission rules and policies</w:t>
      </w:r>
      <w:r w:rsidR="00F35ACB" w:rsidRPr="0057031B">
        <w:rPr>
          <w:color w:val="000000"/>
        </w:rPr>
        <w:t>; and</w:t>
      </w:r>
    </w:p>
    <w:p w:rsidR="00464EF6" w:rsidRDefault="00464EF6" w:rsidP="00464EF6">
      <w:pPr>
        <w:rPr>
          <w:color w:val="000000"/>
        </w:rPr>
      </w:pPr>
    </w:p>
    <w:p w:rsidR="006613B6" w:rsidRDefault="006613B6" w:rsidP="001200F8">
      <w:pPr>
        <w:spacing w:line="480" w:lineRule="auto"/>
        <w:rPr>
          <w:color w:val="000000"/>
        </w:rPr>
      </w:pPr>
      <w:r>
        <w:rPr>
          <w:color w:val="000000"/>
        </w:rPr>
        <w:t>*****</w:t>
      </w:r>
    </w:p>
    <w:p w:rsidR="00472C5D" w:rsidRDefault="00472C5D">
      <w:pPr>
        <w:widowControl/>
        <w:rPr>
          <w:b/>
        </w:rPr>
      </w:pPr>
    </w:p>
    <w:p w:rsidR="00472C5D" w:rsidRDefault="00472C5D" w:rsidP="006613B6">
      <w:pPr>
        <w:pageBreakBefore/>
        <w:widowControl/>
        <w:spacing w:line="480" w:lineRule="auto"/>
        <w:jc w:val="center"/>
        <w:rPr>
          <w:b/>
        </w:rPr>
        <w:sectPr w:rsidR="00472C5D" w:rsidSect="00926E7D">
          <w:pgSz w:w="12240" w:h="15840"/>
          <w:pgMar w:top="1440" w:right="1440" w:bottom="720" w:left="1440" w:header="720" w:footer="720" w:gutter="0"/>
          <w:cols w:space="720"/>
          <w:docGrid w:linePitch="360"/>
        </w:sectPr>
      </w:pPr>
    </w:p>
    <w:p w:rsidR="00F64497" w:rsidRPr="00323274" w:rsidRDefault="00F64497" w:rsidP="006613B6">
      <w:pPr>
        <w:pageBreakBefore/>
        <w:widowControl/>
        <w:spacing w:line="480" w:lineRule="auto"/>
        <w:jc w:val="center"/>
        <w:rPr>
          <w:b/>
        </w:rPr>
      </w:pPr>
      <w:r w:rsidRPr="00323274">
        <w:rPr>
          <w:b/>
        </w:rPr>
        <w:t xml:space="preserve">APPENDIX </w:t>
      </w:r>
      <w:r>
        <w:rPr>
          <w:b/>
        </w:rPr>
        <w:t>B</w:t>
      </w:r>
    </w:p>
    <w:p w:rsidR="00F64497" w:rsidRPr="00593674" w:rsidRDefault="00F64497" w:rsidP="00F64497">
      <w:pPr>
        <w:widowControl/>
        <w:spacing w:after="240"/>
        <w:jc w:val="center"/>
        <w:rPr>
          <w:b/>
          <w:snapToGrid/>
          <w:szCs w:val="22"/>
        </w:rPr>
      </w:pPr>
      <w:r w:rsidRPr="00593674">
        <w:rPr>
          <w:b/>
          <w:snapToGrid/>
          <w:szCs w:val="22"/>
        </w:rPr>
        <w:t>Supplemental Final Regulatory Flexibility Analysis</w:t>
      </w:r>
    </w:p>
    <w:p w:rsidR="00F64497" w:rsidRPr="00593674" w:rsidRDefault="00F64497" w:rsidP="00A62BA5">
      <w:pPr>
        <w:widowControl/>
        <w:numPr>
          <w:ilvl w:val="0"/>
          <w:numId w:val="7"/>
        </w:numPr>
        <w:tabs>
          <w:tab w:val="clear" w:pos="1080"/>
          <w:tab w:val="num" w:pos="1440"/>
        </w:tabs>
        <w:spacing w:after="120"/>
        <w:rPr>
          <w:snapToGrid/>
        </w:rPr>
      </w:pPr>
      <w:r w:rsidRPr="00593674">
        <w:rPr>
          <w:snapToGrid/>
        </w:rPr>
        <w:t xml:space="preserve">As </w:t>
      </w:r>
      <w:r w:rsidRPr="00593674">
        <w:rPr>
          <w:bCs/>
          <w:snapToGrid/>
          <w:color w:val="000000"/>
        </w:rPr>
        <w:t>required</w:t>
      </w:r>
      <w:r w:rsidRPr="00593674">
        <w:rPr>
          <w:snapToGrid/>
        </w:rPr>
        <w:t xml:space="preserve"> by the Regulatory Flexibility Act of 1980, as amended (“RFA”),</w:t>
      </w:r>
      <w:r w:rsidRPr="00593674">
        <w:rPr>
          <w:snapToGrid/>
          <w:sz w:val="20"/>
          <w:vertAlign w:val="superscript"/>
        </w:rPr>
        <w:footnoteReference w:id="163"/>
      </w:r>
      <w:r w:rsidRPr="00593674">
        <w:rPr>
          <w:snapToGrid/>
        </w:rPr>
        <w:t xml:space="preserve"> an Initial Regulatory Flexibility Analysis (“IRFA”) was incorporated in the </w:t>
      </w:r>
      <w:r w:rsidRPr="00593674">
        <w:rPr>
          <w:i/>
          <w:snapToGrid/>
        </w:rPr>
        <w:t>Notice of Proposed Rule Making</w:t>
      </w:r>
      <w:r w:rsidRPr="00593674">
        <w:rPr>
          <w:snapToGrid/>
        </w:rPr>
        <w:t xml:space="preserve"> (“</w:t>
      </w:r>
      <w:r w:rsidRPr="00593674">
        <w:rPr>
          <w:i/>
          <w:snapToGrid/>
        </w:rPr>
        <w:t>Notice”</w:t>
      </w:r>
      <w:r w:rsidRPr="00593674">
        <w:rPr>
          <w:snapToGrid/>
        </w:rPr>
        <w:t>).</w:t>
      </w:r>
      <w:r w:rsidRPr="00593674">
        <w:rPr>
          <w:snapToGrid/>
          <w:sz w:val="20"/>
          <w:vertAlign w:val="superscript"/>
        </w:rPr>
        <w:footnoteReference w:id="164"/>
      </w:r>
      <w:r w:rsidRPr="00593674">
        <w:rPr>
          <w:snapToGrid/>
        </w:rPr>
        <w:t xml:space="preserve">  The Commission sought written public comment on the proposals in the </w:t>
      </w:r>
      <w:r w:rsidRPr="00593674">
        <w:rPr>
          <w:i/>
          <w:snapToGrid/>
        </w:rPr>
        <w:t>Notice</w:t>
      </w:r>
      <w:r w:rsidRPr="00593674">
        <w:rPr>
          <w:snapToGrid/>
        </w:rPr>
        <w:t>, including comment on the IRFA.</w:t>
      </w:r>
      <w:r w:rsidRPr="00593674">
        <w:rPr>
          <w:snapToGrid/>
          <w:sz w:val="20"/>
          <w:vertAlign w:val="superscript"/>
        </w:rPr>
        <w:footnoteReference w:id="165"/>
      </w:r>
      <w:r w:rsidRPr="00593674">
        <w:rPr>
          <w:snapToGrid/>
        </w:rPr>
        <w:t xml:space="preserve">  The Commission subsequently incorporated a Final Regulatory Flexibility Analysis (“FRFA”) in the Report and Order.</w:t>
      </w:r>
      <w:r w:rsidRPr="00593674">
        <w:rPr>
          <w:snapToGrid/>
          <w:sz w:val="20"/>
          <w:vertAlign w:val="superscript"/>
        </w:rPr>
        <w:footnoteReference w:id="166"/>
      </w:r>
      <w:r w:rsidRPr="00593674">
        <w:rPr>
          <w:snapToGrid/>
        </w:rPr>
        <w:t xml:space="preserve">   This Supplemental FRFA conforms to the RFA and incorporates by reference the FRFA in the IA R&amp;O.  It reflects changes to the Commission’s rules arising from the </w:t>
      </w:r>
      <w:r w:rsidR="0097717A">
        <w:rPr>
          <w:snapToGrid/>
        </w:rPr>
        <w:t>First Order on Reconsideration</w:t>
      </w:r>
      <w:r w:rsidRPr="00593674">
        <w:rPr>
          <w:snapToGrid/>
        </w:rPr>
        <w:t xml:space="preserve"> prepared in response to the Petition for Reconsideration filed by the Expanding Opportunities for Broadcasters Coalition (“EOBC”).</w:t>
      </w:r>
      <w:r w:rsidRPr="00593674">
        <w:rPr>
          <w:snapToGrid/>
          <w:sz w:val="20"/>
          <w:vertAlign w:val="superscript"/>
        </w:rPr>
        <w:footnoteReference w:id="167"/>
      </w:r>
      <w:r w:rsidRPr="00593674">
        <w:rPr>
          <w:snapToGrid/>
        </w:rPr>
        <w:t xml:space="preserve"> </w:t>
      </w:r>
    </w:p>
    <w:p w:rsidR="00F64497" w:rsidRPr="00593674" w:rsidRDefault="00F64497" w:rsidP="00F64497">
      <w:pPr>
        <w:keepNext/>
        <w:widowControl/>
        <w:numPr>
          <w:ilvl w:val="1"/>
          <w:numId w:val="58"/>
        </w:numPr>
        <w:spacing w:after="120" w:line="276" w:lineRule="auto"/>
        <w:outlineLvl w:val="1"/>
        <w:rPr>
          <w:b/>
          <w:snapToGrid/>
        </w:rPr>
      </w:pPr>
      <w:bookmarkStart w:id="163" w:name="_Toc388962664"/>
      <w:bookmarkStart w:id="164" w:name="_Toc388975516"/>
      <w:r w:rsidRPr="00593674">
        <w:rPr>
          <w:b/>
          <w:snapToGrid/>
        </w:rPr>
        <w:t>Need for, and Objectives of, the Order</w:t>
      </w:r>
      <w:bookmarkEnd w:id="163"/>
      <w:bookmarkEnd w:id="164"/>
    </w:p>
    <w:p w:rsidR="00A62BA5" w:rsidRDefault="00F64497" w:rsidP="00A62BA5">
      <w:pPr>
        <w:pStyle w:val="ParaNum"/>
        <w:numPr>
          <w:ilvl w:val="0"/>
          <w:numId w:val="7"/>
        </w:numPr>
        <w:tabs>
          <w:tab w:val="clear" w:pos="1080"/>
          <w:tab w:val="num" w:pos="1440"/>
        </w:tabs>
        <w:rPr>
          <w:snapToGrid/>
        </w:rPr>
      </w:pPr>
      <w:bookmarkStart w:id="165" w:name="_Toc388962665"/>
      <w:bookmarkStart w:id="166" w:name="_Toc388975517"/>
      <w:r w:rsidRPr="002B7FB0">
        <w:rPr>
          <w:snapToGrid/>
        </w:rPr>
        <w:t xml:space="preserve">This </w:t>
      </w:r>
      <w:r w:rsidR="0097717A">
        <w:rPr>
          <w:snapToGrid/>
        </w:rPr>
        <w:t>First Order on Reconsideration</w:t>
      </w:r>
      <w:r w:rsidRPr="002B7FB0">
        <w:rPr>
          <w:snapToGrid/>
        </w:rPr>
        <w:t xml:space="preserve"> affirms the Commission’s commitment to making the channel sharing reverse auction bid option attractive to television broadcasters.  In the </w:t>
      </w:r>
      <w:r w:rsidRPr="002B7FB0">
        <w:rPr>
          <w:i/>
          <w:snapToGrid/>
        </w:rPr>
        <w:t>Channel Sharing R&amp;O</w:t>
      </w:r>
      <w:r w:rsidRPr="002B7FB0">
        <w:rPr>
          <w:snapToGrid/>
        </w:rPr>
        <w:t>, the Commission established rules authorizing channel sharing in connection with the incentive auction.</w:t>
      </w:r>
      <w:r w:rsidRPr="00593674">
        <w:rPr>
          <w:snapToGrid/>
          <w:sz w:val="20"/>
          <w:vertAlign w:val="superscript"/>
        </w:rPr>
        <w:footnoteReference w:id="168"/>
      </w:r>
      <w:r w:rsidRPr="002B7FB0">
        <w:rPr>
          <w:snapToGrid/>
        </w:rPr>
        <w:t xml:space="preserve">  The Commission addressed a variety of further issues related to channel sharing in the </w:t>
      </w:r>
      <w:r w:rsidRPr="002B7FB0">
        <w:rPr>
          <w:i/>
          <w:snapToGrid/>
        </w:rPr>
        <w:t>IA R&amp;O</w:t>
      </w:r>
      <w:r w:rsidRPr="002B7FB0">
        <w:rPr>
          <w:snapToGrid/>
        </w:rPr>
        <w:t xml:space="preserve"> in order to complete the framework for incentive auction-related channel sharing.  In this </w:t>
      </w:r>
      <w:r w:rsidR="0097717A">
        <w:rPr>
          <w:snapToGrid/>
        </w:rPr>
        <w:t>First Order on Reconsideration</w:t>
      </w:r>
      <w:r w:rsidRPr="002B7FB0">
        <w:rPr>
          <w:snapToGrid/>
        </w:rPr>
        <w:t xml:space="preserve">, the Commission generally grants the EOBC Petition, finding that modifying its original determination will increase broadcasters’ flexibility to use the channel sharing bid option, will make the option more attractive and will provide an improved ability of the Commission to monitor compliance of </w:t>
      </w:r>
      <w:r w:rsidR="00837302">
        <w:rPr>
          <w:snapToGrid/>
        </w:rPr>
        <w:t>CSA</w:t>
      </w:r>
      <w:r w:rsidRPr="002B7FB0">
        <w:rPr>
          <w:snapToGrid/>
        </w:rPr>
        <w:t xml:space="preserve">s with our rules.  </w:t>
      </w:r>
    </w:p>
    <w:p w:rsidR="00F64497" w:rsidRPr="00A62BA5" w:rsidRDefault="00F64497" w:rsidP="00236A1F">
      <w:pPr>
        <w:pStyle w:val="ParaNum"/>
        <w:widowControl/>
        <w:numPr>
          <w:ilvl w:val="0"/>
          <w:numId w:val="7"/>
        </w:numPr>
        <w:tabs>
          <w:tab w:val="clear" w:pos="1080"/>
          <w:tab w:val="num" w:pos="1440"/>
        </w:tabs>
        <w:rPr>
          <w:snapToGrid/>
        </w:rPr>
      </w:pPr>
      <w:r w:rsidRPr="00A62BA5">
        <w:rPr>
          <w:snapToGrid/>
        </w:rPr>
        <w:t xml:space="preserve">Specifically, in the </w:t>
      </w:r>
      <w:r w:rsidR="0097717A" w:rsidRPr="00A62BA5">
        <w:rPr>
          <w:snapToGrid/>
        </w:rPr>
        <w:t>First Order on Reconsideration</w:t>
      </w:r>
      <w:r w:rsidRPr="00A62BA5">
        <w:rPr>
          <w:snapToGrid/>
        </w:rPr>
        <w:t>, the Commission grants in part the EOBC petition for reconsideration by: clarifying that the reversionary interest rule does not apply to CSAs; allowing parties the flexibility to enter into term-limited CSAs and to execute a CSAs post-auction;</w:t>
      </w:r>
      <w:r w:rsidRPr="00593674">
        <w:rPr>
          <w:snapToGrid/>
          <w:sz w:val="20"/>
          <w:vertAlign w:val="superscript"/>
        </w:rPr>
        <w:footnoteReference w:id="169"/>
      </w:r>
      <w:r w:rsidRPr="00A62BA5">
        <w:rPr>
          <w:snapToGrid/>
        </w:rPr>
        <w:t xml:space="preserve">  and modifying the rules to allow </w:t>
      </w:r>
      <w:r w:rsidRPr="00A62BA5">
        <w:rPr>
          <w:snapToGrid/>
          <w:szCs w:val="22"/>
        </w:rPr>
        <w:t xml:space="preserve">the spectrum usage rights of a sharing party whose license is terminated to revert to the remaining sharing parties rather than having the rights revert to the Commission for reassignment.  The Order also clarifies that at the pre- auction stage Commission staff will only review CSAs to determine whether the bidder qualifies for the anti-collusion rule exception.  To allow review for compliance with Commission rules, the Order requires that a channel sharee file a construction permit application, including a copy of the CSA, after the auction.  </w:t>
      </w:r>
      <w:r w:rsidRPr="00A62BA5">
        <w:rPr>
          <w:snapToGrid/>
        </w:rPr>
        <w:t>Most notably, the flexibility granted herein will make it easier for entities such as small businesses and non- commercial education stations to avail themselves of the opportunity to channel share as part of the incentive auction</w:t>
      </w:r>
      <w:r w:rsidRPr="00A62BA5">
        <w:rPr>
          <w:snapToGrid/>
          <w:szCs w:val="22"/>
        </w:rPr>
        <w:t>.</w:t>
      </w:r>
    </w:p>
    <w:p w:rsidR="00F64497" w:rsidRPr="00A62BA5" w:rsidRDefault="00F64497" w:rsidP="00A62BA5">
      <w:pPr>
        <w:keepNext/>
        <w:widowControl/>
        <w:numPr>
          <w:ilvl w:val="1"/>
          <w:numId w:val="5"/>
        </w:numPr>
        <w:spacing w:after="120"/>
        <w:outlineLvl w:val="1"/>
        <w:rPr>
          <w:b/>
          <w:snapToGrid/>
          <w:szCs w:val="22"/>
        </w:rPr>
      </w:pPr>
      <w:r w:rsidRPr="00A62BA5">
        <w:rPr>
          <w:b/>
          <w:snapToGrid/>
          <w:szCs w:val="22"/>
        </w:rPr>
        <w:t>Summary of Significant Issues Raised by Public Comments in Response to the IRFA</w:t>
      </w:r>
      <w:bookmarkEnd w:id="165"/>
      <w:bookmarkEnd w:id="166"/>
      <w:r w:rsidRPr="00A62BA5">
        <w:rPr>
          <w:b/>
          <w:snapToGrid/>
          <w:szCs w:val="22"/>
        </w:rPr>
        <w:t xml:space="preserve"> and the IA R&amp;O.</w:t>
      </w:r>
    </w:p>
    <w:p w:rsidR="00F64497" w:rsidRPr="00A62BA5" w:rsidRDefault="00F64497" w:rsidP="00A62BA5">
      <w:pPr>
        <w:widowControl/>
        <w:numPr>
          <w:ilvl w:val="0"/>
          <w:numId w:val="7"/>
        </w:numPr>
        <w:tabs>
          <w:tab w:val="clear" w:pos="1080"/>
          <w:tab w:val="num" w:pos="1440"/>
        </w:tabs>
        <w:spacing w:after="120"/>
        <w:rPr>
          <w:snapToGrid/>
          <w:szCs w:val="22"/>
        </w:rPr>
      </w:pPr>
      <w:bookmarkStart w:id="167" w:name="_Toc388962666"/>
      <w:bookmarkStart w:id="168" w:name="_Toc388975518"/>
      <w:r w:rsidRPr="00A62BA5">
        <w:rPr>
          <w:snapToGrid/>
          <w:szCs w:val="22"/>
        </w:rPr>
        <w:t xml:space="preserve">No commenters directly responded to the IRFA in the </w:t>
      </w:r>
      <w:r w:rsidRPr="00A62BA5">
        <w:rPr>
          <w:i/>
          <w:snapToGrid/>
          <w:szCs w:val="22"/>
        </w:rPr>
        <w:t>Notice</w:t>
      </w:r>
      <w:r w:rsidRPr="00A62BA5">
        <w:rPr>
          <w:snapToGrid/>
          <w:szCs w:val="22"/>
        </w:rPr>
        <w:t xml:space="preserve">.  Because a number of commenters raised concerns about the impact on small businesses of various auction design issues, the FRFA in the </w:t>
      </w:r>
      <w:r w:rsidRPr="00A62BA5">
        <w:rPr>
          <w:i/>
          <w:snapToGrid/>
          <w:szCs w:val="22"/>
        </w:rPr>
        <w:t>IA R&amp;O</w:t>
      </w:r>
      <w:r w:rsidRPr="00A62BA5">
        <w:rPr>
          <w:snapToGrid/>
          <w:szCs w:val="22"/>
        </w:rPr>
        <w:t xml:space="preserve"> addressed those concerns.  The EOBC Petition addressed herein, and associated pleadings, did not raise any concerns with the FRFA.</w:t>
      </w:r>
      <w:r w:rsidRPr="00A62BA5">
        <w:rPr>
          <w:snapToGrid/>
          <w:szCs w:val="22"/>
          <w:vertAlign w:val="superscript"/>
        </w:rPr>
        <w:footnoteReference w:id="170"/>
      </w:r>
      <w:r w:rsidRPr="00A62BA5">
        <w:rPr>
          <w:snapToGrid/>
          <w:szCs w:val="22"/>
        </w:rPr>
        <w:t xml:space="preserve">   </w:t>
      </w:r>
    </w:p>
    <w:p w:rsidR="00F64497" w:rsidRPr="00A62BA5" w:rsidRDefault="00F64497" w:rsidP="00A62BA5">
      <w:pPr>
        <w:keepNext/>
        <w:widowControl/>
        <w:numPr>
          <w:ilvl w:val="1"/>
          <w:numId w:val="5"/>
        </w:numPr>
        <w:spacing w:after="120"/>
        <w:outlineLvl w:val="1"/>
        <w:rPr>
          <w:b/>
          <w:snapToGrid/>
          <w:szCs w:val="22"/>
        </w:rPr>
      </w:pPr>
      <w:r w:rsidRPr="00A62BA5">
        <w:rPr>
          <w:rFonts w:eastAsiaTheme="minorHAnsi"/>
          <w:b/>
          <w:snapToGrid/>
          <w:kern w:val="0"/>
          <w:szCs w:val="22"/>
        </w:rPr>
        <w:t xml:space="preserve">Response to Comments by the Chief Counsel for Advocacy of the Small Business Administration </w:t>
      </w:r>
    </w:p>
    <w:p w:rsidR="00F64497" w:rsidRPr="00A62BA5" w:rsidRDefault="00F64497" w:rsidP="00A62BA5">
      <w:pPr>
        <w:widowControl/>
        <w:numPr>
          <w:ilvl w:val="0"/>
          <w:numId w:val="6"/>
        </w:numPr>
        <w:tabs>
          <w:tab w:val="clear" w:pos="1080"/>
          <w:tab w:val="num" w:pos="1440"/>
        </w:tabs>
        <w:spacing w:after="120"/>
        <w:rPr>
          <w:snapToGrid/>
          <w:szCs w:val="22"/>
        </w:rPr>
      </w:pPr>
      <w:r w:rsidRPr="00A62BA5">
        <w:rPr>
          <w:rFonts w:eastAsiaTheme="minorHAnsi"/>
          <w:snapToGrid/>
          <w:kern w:val="0"/>
          <w:szCs w:val="22"/>
        </w:rP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rules adopted in this proceeding.</w:t>
      </w:r>
    </w:p>
    <w:p w:rsidR="00F64497" w:rsidRPr="00A62BA5" w:rsidRDefault="00F64497" w:rsidP="00A62BA5">
      <w:pPr>
        <w:keepNext/>
        <w:widowControl/>
        <w:numPr>
          <w:ilvl w:val="1"/>
          <w:numId w:val="5"/>
        </w:numPr>
        <w:spacing w:after="120"/>
        <w:outlineLvl w:val="1"/>
        <w:rPr>
          <w:b/>
          <w:snapToGrid/>
          <w:szCs w:val="22"/>
        </w:rPr>
      </w:pPr>
      <w:r w:rsidRPr="00A62BA5">
        <w:rPr>
          <w:b/>
          <w:snapToGrid/>
          <w:szCs w:val="22"/>
        </w:rPr>
        <w:t>Description and Estimate of the Number of Small Entities to Which Rules Will Apply</w:t>
      </w:r>
      <w:bookmarkEnd w:id="167"/>
      <w:bookmarkEnd w:id="168"/>
    </w:p>
    <w:p w:rsidR="00A62BA5" w:rsidRDefault="00F64497" w:rsidP="00A62BA5">
      <w:pPr>
        <w:widowControl/>
        <w:numPr>
          <w:ilvl w:val="0"/>
          <w:numId w:val="6"/>
        </w:numPr>
        <w:tabs>
          <w:tab w:val="clear" w:pos="1080"/>
          <w:tab w:val="num" w:pos="1440"/>
        </w:tabs>
        <w:spacing w:after="120"/>
        <w:rPr>
          <w:snapToGrid/>
          <w:szCs w:val="22"/>
        </w:rPr>
      </w:pPr>
      <w:r w:rsidRPr="00A62BA5">
        <w:rPr>
          <w:snapToGrid/>
          <w:szCs w:val="22"/>
        </w:rPr>
        <w:t>The RFA directs the Commission to provide a description of and, where feasible, an estimate of the number of small entities that will be affected by the adopted rules, if adopted.</w:t>
      </w:r>
      <w:r w:rsidRPr="00A62BA5">
        <w:rPr>
          <w:snapToGrid/>
          <w:szCs w:val="22"/>
          <w:vertAlign w:val="superscript"/>
        </w:rPr>
        <w:footnoteReference w:id="171"/>
      </w:r>
      <w:r w:rsidRPr="00A62BA5">
        <w:rPr>
          <w:snapToGrid/>
          <w:szCs w:val="22"/>
        </w:rPr>
        <w:t xml:space="preserve">  The RFA generally defines the term “small entity” as having the same meaning as the terms “small business,” small organization,” and “small government jurisdiction.”</w:t>
      </w:r>
      <w:r w:rsidRPr="00A62BA5">
        <w:rPr>
          <w:snapToGrid/>
          <w:szCs w:val="22"/>
          <w:vertAlign w:val="superscript"/>
        </w:rPr>
        <w:footnoteReference w:id="172"/>
      </w:r>
      <w:r w:rsidRPr="00A62BA5">
        <w:rPr>
          <w:snapToGrid/>
          <w:szCs w:val="22"/>
        </w:rPr>
        <w:t xml:space="preserve">  In addition, the term “small business” has the same meaning as the term “small business concern” under the Small Business Act.</w:t>
      </w:r>
      <w:r w:rsidRPr="00A62BA5">
        <w:rPr>
          <w:snapToGrid/>
          <w:szCs w:val="22"/>
          <w:vertAlign w:val="superscript"/>
        </w:rPr>
        <w:footnoteReference w:id="173"/>
      </w:r>
      <w:r w:rsidRPr="00A62BA5">
        <w:rPr>
          <w:snapToGrid/>
          <w:szCs w:val="22"/>
        </w:rPr>
        <w:t xml:space="preserve">  A small business concern is one which: (1) is independently owned and operated; (2) is not dominant in its field of operation; and (3) satisfies any additional criteria established by the SBA.</w:t>
      </w:r>
      <w:r w:rsidRPr="00A62BA5">
        <w:rPr>
          <w:snapToGrid/>
          <w:szCs w:val="22"/>
          <w:vertAlign w:val="superscript"/>
        </w:rPr>
        <w:footnoteReference w:id="174"/>
      </w:r>
    </w:p>
    <w:p w:rsidR="00F64497" w:rsidRPr="00A62BA5" w:rsidRDefault="00F64497" w:rsidP="00A62BA5">
      <w:pPr>
        <w:widowControl/>
        <w:numPr>
          <w:ilvl w:val="0"/>
          <w:numId w:val="6"/>
        </w:numPr>
        <w:tabs>
          <w:tab w:val="clear" w:pos="1080"/>
          <w:tab w:val="num" w:pos="1440"/>
        </w:tabs>
        <w:spacing w:after="120"/>
        <w:rPr>
          <w:snapToGrid/>
          <w:szCs w:val="22"/>
        </w:rPr>
      </w:pPr>
      <w:r w:rsidRPr="00A62BA5">
        <w:rPr>
          <w:snapToGrid/>
          <w:szCs w:val="22"/>
        </w:rPr>
        <w:t>As noted, we incorporated a FRFA into the</w:t>
      </w:r>
      <w:r w:rsidRPr="00A62BA5">
        <w:rPr>
          <w:i/>
          <w:snapToGrid/>
          <w:szCs w:val="22"/>
        </w:rPr>
        <w:t xml:space="preserve"> IA R&amp;O.</w:t>
      </w:r>
      <w:r w:rsidRPr="00A62BA5">
        <w:rPr>
          <w:snapToGrid/>
          <w:szCs w:val="22"/>
        </w:rPr>
        <w:t xml:space="preserve">  In that analysis, the Commission described in detail the various small business entities that may be affected by the final rules, including television broadcast entities.</w:t>
      </w:r>
      <w:r w:rsidRPr="00A62BA5">
        <w:rPr>
          <w:snapToGrid/>
          <w:szCs w:val="22"/>
          <w:vertAlign w:val="superscript"/>
        </w:rPr>
        <w:footnoteReference w:id="175"/>
      </w:r>
      <w:r w:rsidRPr="00A62BA5">
        <w:rPr>
          <w:snapToGrid/>
          <w:szCs w:val="22"/>
        </w:rPr>
        <w:t xml:space="preserve">  This </w:t>
      </w:r>
      <w:r w:rsidR="0097717A" w:rsidRPr="00A62BA5">
        <w:rPr>
          <w:snapToGrid/>
          <w:szCs w:val="22"/>
        </w:rPr>
        <w:t>First Order on Reconsideration</w:t>
      </w:r>
      <w:r w:rsidRPr="00A62BA5">
        <w:rPr>
          <w:snapToGrid/>
          <w:szCs w:val="22"/>
        </w:rPr>
        <w:t xml:space="preserve"> amends the final rules adopted in the </w:t>
      </w:r>
      <w:r w:rsidRPr="00A62BA5">
        <w:rPr>
          <w:i/>
          <w:snapToGrid/>
          <w:szCs w:val="22"/>
        </w:rPr>
        <w:t>IA R&amp;O</w:t>
      </w:r>
      <w:r w:rsidRPr="00A62BA5">
        <w:rPr>
          <w:snapToGrid/>
          <w:szCs w:val="22"/>
        </w:rPr>
        <w:t xml:space="preserve"> affecting television broadcasting.  </w:t>
      </w:r>
      <w:r w:rsidR="00AE0C5C" w:rsidRPr="00A62BA5">
        <w:rPr>
          <w:snapToGrid/>
          <w:szCs w:val="22"/>
        </w:rPr>
        <w:t xml:space="preserve">This Supplemental FRFA incorporates by reference the description and estimate of the number of television broadcasting small entities from the IRFA in the Notice of Proposed Rulemaking accompanying this </w:t>
      </w:r>
      <w:r w:rsidR="0097717A" w:rsidRPr="00A62BA5">
        <w:rPr>
          <w:snapToGrid/>
          <w:szCs w:val="22"/>
        </w:rPr>
        <w:t>First Order on Reconsideration</w:t>
      </w:r>
      <w:r w:rsidR="00AE0C5C" w:rsidRPr="00A62BA5">
        <w:rPr>
          <w:snapToGrid/>
          <w:szCs w:val="22"/>
        </w:rPr>
        <w:t>.</w:t>
      </w:r>
      <w:r w:rsidR="00AE0C5C" w:rsidRPr="00A62BA5">
        <w:rPr>
          <w:rStyle w:val="FootnoteReference"/>
          <w:snapToGrid/>
          <w:sz w:val="22"/>
          <w:szCs w:val="22"/>
        </w:rPr>
        <w:footnoteReference w:id="176"/>
      </w:r>
    </w:p>
    <w:p w:rsidR="00F64497" w:rsidRPr="00A62BA5" w:rsidRDefault="00F64497" w:rsidP="00A62BA5">
      <w:pPr>
        <w:keepNext/>
        <w:widowControl/>
        <w:numPr>
          <w:ilvl w:val="1"/>
          <w:numId w:val="5"/>
        </w:numPr>
        <w:spacing w:after="120"/>
        <w:outlineLvl w:val="1"/>
        <w:rPr>
          <w:b/>
          <w:snapToGrid/>
          <w:szCs w:val="22"/>
        </w:rPr>
      </w:pPr>
      <w:bookmarkStart w:id="169" w:name="_Toc388962667"/>
      <w:bookmarkStart w:id="170" w:name="_Toc388975519"/>
      <w:r w:rsidRPr="00A62BA5">
        <w:rPr>
          <w:b/>
          <w:snapToGrid/>
          <w:szCs w:val="22"/>
        </w:rPr>
        <w:t>Description of Projected Reporting, Recordkeeping, and Other Compliance Requirements for Small Entities</w:t>
      </w:r>
      <w:bookmarkEnd w:id="169"/>
      <w:bookmarkEnd w:id="170"/>
    </w:p>
    <w:p w:rsidR="00F64497" w:rsidRPr="00A62BA5" w:rsidRDefault="00F64497" w:rsidP="00A62BA5">
      <w:pPr>
        <w:widowControl/>
        <w:numPr>
          <w:ilvl w:val="0"/>
          <w:numId w:val="6"/>
        </w:numPr>
        <w:tabs>
          <w:tab w:val="clear" w:pos="1080"/>
          <w:tab w:val="num" w:pos="1440"/>
        </w:tabs>
        <w:spacing w:after="120"/>
        <w:rPr>
          <w:rFonts w:eastAsiaTheme="minorHAnsi"/>
          <w:snapToGrid/>
          <w:kern w:val="0"/>
          <w:szCs w:val="22"/>
        </w:rPr>
      </w:pPr>
      <w:r w:rsidRPr="00A62BA5">
        <w:rPr>
          <w:rFonts w:eastAsiaTheme="minorHAnsi"/>
          <w:snapToGrid/>
          <w:kern w:val="0"/>
          <w:szCs w:val="22"/>
        </w:rPr>
        <w:t xml:space="preserve">In Section D of the FRFA incorporated into the </w:t>
      </w:r>
      <w:r w:rsidRPr="00A62BA5">
        <w:rPr>
          <w:rFonts w:eastAsiaTheme="minorHAnsi"/>
          <w:i/>
          <w:snapToGrid/>
          <w:kern w:val="0"/>
          <w:szCs w:val="22"/>
        </w:rPr>
        <w:t>IA R&amp;O</w:t>
      </w:r>
      <w:r w:rsidRPr="00A62BA5">
        <w:rPr>
          <w:rFonts w:eastAsiaTheme="minorHAnsi"/>
          <w:snapToGrid/>
          <w:kern w:val="0"/>
          <w:szCs w:val="22"/>
        </w:rPr>
        <w:t xml:space="preserve">, the Commission described in detail the projected recording, recordkeeping, reporting and other compliance requirements for small entities arising from the rules adopted in the </w:t>
      </w:r>
      <w:r w:rsidRPr="00A62BA5">
        <w:rPr>
          <w:rFonts w:eastAsiaTheme="minorHAnsi"/>
          <w:i/>
          <w:snapToGrid/>
          <w:kern w:val="0"/>
          <w:szCs w:val="22"/>
        </w:rPr>
        <w:t>IA R&amp;O</w:t>
      </w:r>
      <w:r w:rsidRPr="00A62BA5">
        <w:rPr>
          <w:rFonts w:eastAsiaTheme="minorHAnsi"/>
          <w:snapToGrid/>
          <w:kern w:val="0"/>
          <w:szCs w:val="22"/>
        </w:rPr>
        <w:t>.</w:t>
      </w:r>
      <w:r w:rsidRPr="00A62BA5">
        <w:rPr>
          <w:rFonts w:eastAsiaTheme="minorHAnsi"/>
          <w:snapToGrid/>
          <w:kern w:val="0"/>
          <w:szCs w:val="22"/>
          <w:vertAlign w:val="superscript"/>
        </w:rPr>
        <w:footnoteReference w:id="177"/>
      </w:r>
      <w:r w:rsidRPr="00A62BA5">
        <w:rPr>
          <w:rFonts w:eastAsiaTheme="minorHAnsi"/>
          <w:snapToGrid/>
          <w:kern w:val="0"/>
          <w:szCs w:val="22"/>
        </w:rPr>
        <w:t xml:space="preserve">  This Supplemental FRFA incorporates by reference the requirements described in Section D of the FRFA.  In this </w:t>
      </w:r>
      <w:r w:rsidR="0097717A" w:rsidRPr="00A62BA5">
        <w:rPr>
          <w:rFonts w:eastAsiaTheme="minorHAnsi"/>
          <w:snapToGrid/>
          <w:kern w:val="0"/>
          <w:szCs w:val="22"/>
        </w:rPr>
        <w:t>First Order on Reconsideration</w:t>
      </w:r>
      <w:r w:rsidRPr="00A62BA5">
        <w:rPr>
          <w:rFonts w:eastAsiaTheme="minorHAnsi"/>
          <w:snapToGrid/>
          <w:kern w:val="0"/>
          <w:szCs w:val="22"/>
        </w:rPr>
        <w:t xml:space="preserve">, however, the Commission adds and modifies rules adopted in the </w:t>
      </w:r>
      <w:r w:rsidRPr="00A62BA5">
        <w:rPr>
          <w:rFonts w:eastAsiaTheme="minorHAnsi"/>
          <w:i/>
          <w:snapToGrid/>
          <w:kern w:val="0"/>
          <w:szCs w:val="22"/>
        </w:rPr>
        <w:t>IA R&amp;O.</w:t>
      </w:r>
      <w:r w:rsidRPr="00A62BA5">
        <w:rPr>
          <w:rFonts w:eastAsiaTheme="minorHAnsi"/>
          <w:snapToGrid/>
          <w:kern w:val="0"/>
          <w:szCs w:val="22"/>
        </w:rPr>
        <w:t xml:space="preserve">  It adds the requirement that in order to take advantage of the flexibility adopted in this </w:t>
      </w:r>
      <w:r w:rsidR="0097717A" w:rsidRPr="00A62BA5">
        <w:rPr>
          <w:rFonts w:eastAsiaTheme="minorHAnsi"/>
          <w:snapToGrid/>
          <w:kern w:val="0"/>
          <w:szCs w:val="22"/>
        </w:rPr>
        <w:t>First Order on Reconsideration</w:t>
      </w:r>
      <w:r w:rsidRPr="00A62BA5">
        <w:rPr>
          <w:rFonts w:eastAsiaTheme="minorHAnsi"/>
          <w:snapToGrid/>
          <w:kern w:val="0"/>
          <w:szCs w:val="22"/>
        </w:rPr>
        <w:t xml:space="preserve"> to enter into a channel sharing agreement post-auction, a license relinquishment bidder must indicate its intent to enter a post auction channel sharing agreement on its pre-auction application.  </w:t>
      </w:r>
      <w:r w:rsidRPr="00A62BA5">
        <w:rPr>
          <w:rFonts w:eastAsiaTheme="minorHAnsi"/>
          <w:snapToGrid/>
          <w:color w:val="000000"/>
          <w:kern w:val="0"/>
          <w:szCs w:val="22"/>
        </w:rPr>
        <w:t xml:space="preserve">The </w:t>
      </w:r>
      <w:r w:rsidR="0097717A" w:rsidRPr="00A62BA5">
        <w:rPr>
          <w:rFonts w:eastAsiaTheme="minorHAnsi"/>
          <w:snapToGrid/>
          <w:color w:val="000000"/>
          <w:kern w:val="0"/>
          <w:szCs w:val="22"/>
        </w:rPr>
        <w:t>First Order on Reconsideration</w:t>
      </w:r>
      <w:r w:rsidRPr="00A62BA5">
        <w:rPr>
          <w:rFonts w:eastAsiaTheme="minorHAnsi"/>
          <w:snapToGrid/>
          <w:kern w:val="0"/>
          <w:szCs w:val="22"/>
        </w:rPr>
        <w:t xml:space="preserve"> also requires channel sharee stations to file an </w:t>
      </w:r>
      <w:r w:rsidRPr="00A62BA5">
        <w:rPr>
          <w:rFonts w:eastAsiaTheme="minorHAnsi"/>
          <w:snapToGrid/>
          <w:color w:val="000000"/>
          <w:kern w:val="0"/>
          <w:szCs w:val="22"/>
        </w:rPr>
        <w:t xml:space="preserve">application for construction permit, including a copy of the executed channel sharing agreement.  Commercial stations must pay the fee associated with this filing.  (Non-commercial entities are fee exempt.)    In addition, it require CSAs to include a provision regarding the reversion of spectrum usage rights to remaining channel sharing partners in the event that one party has its license terminated.  Finally, to take advantage of the new rule allowing the last remaining licensee to a channel sharing agreement to have its license revert to non-shared status, that last remaining licensee must file a license application requesting this reversion. </w:t>
      </w:r>
    </w:p>
    <w:p w:rsidR="00F64497" w:rsidRPr="00A62BA5" w:rsidRDefault="00F64497" w:rsidP="00A62BA5">
      <w:pPr>
        <w:keepNext/>
        <w:widowControl/>
        <w:numPr>
          <w:ilvl w:val="1"/>
          <w:numId w:val="5"/>
        </w:numPr>
        <w:spacing w:after="120"/>
        <w:outlineLvl w:val="1"/>
        <w:rPr>
          <w:b/>
          <w:snapToGrid/>
          <w:szCs w:val="22"/>
        </w:rPr>
      </w:pPr>
      <w:bookmarkStart w:id="171" w:name="_Toc388962668"/>
      <w:bookmarkStart w:id="172" w:name="_Toc388975520"/>
      <w:r w:rsidRPr="00A62BA5">
        <w:rPr>
          <w:b/>
          <w:snapToGrid/>
          <w:szCs w:val="22"/>
        </w:rPr>
        <w:t>Steps Taken to Minimize the Significant Economic Impact on Small Entities, and Significant Alternatives Considered</w:t>
      </w:r>
      <w:bookmarkEnd w:id="171"/>
      <w:bookmarkEnd w:id="172"/>
    </w:p>
    <w:p w:rsidR="00F64497" w:rsidRPr="00A62BA5" w:rsidRDefault="00F64497" w:rsidP="00A62BA5">
      <w:pPr>
        <w:widowControl/>
        <w:numPr>
          <w:ilvl w:val="0"/>
          <w:numId w:val="6"/>
        </w:numPr>
        <w:tabs>
          <w:tab w:val="clear" w:pos="1080"/>
          <w:tab w:val="num" w:pos="1440"/>
        </w:tabs>
        <w:spacing w:after="120"/>
        <w:rPr>
          <w:snapToGrid/>
          <w:szCs w:val="22"/>
        </w:rPr>
      </w:pPr>
      <w:r w:rsidRPr="00A62BA5">
        <w:rPr>
          <w:snapToGrid/>
          <w:szCs w:val="22"/>
        </w:rP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p>
    <w:p w:rsidR="00F64497" w:rsidRPr="00A62BA5" w:rsidRDefault="00F64497" w:rsidP="00A62BA5">
      <w:pPr>
        <w:widowControl/>
        <w:numPr>
          <w:ilvl w:val="0"/>
          <w:numId w:val="6"/>
        </w:numPr>
        <w:tabs>
          <w:tab w:val="clear" w:pos="1080"/>
          <w:tab w:val="num" w:pos="1440"/>
        </w:tabs>
        <w:spacing w:after="120"/>
        <w:rPr>
          <w:snapToGrid/>
          <w:szCs w:val="22"/>
        </w:rPr>
      </w:pPr>
      <w:r w:rsidRPr="00A62BA5">
        <w:rPr>
          <w:snapToGrid/>
          <w:szCs w:val="22"/>
        </w:rPr>
        <w:t xml:space="preserve">The reporting, recordkeeping, and other compliance requirements resulting from the </w:t>
      </w:r>
      <w:r w:rsidR="0097717A" w:rsidRPr="00A62BA5">
        <w:rPr>
          <w:snapToGrid/>
          <w:szCs w:val="22"/>
        </w:rPr>
        <w:t>First Order on Reconsideration</w:t>
      </w:r>
      <w:r w:rsidRPr="00A62BA5">
        <w:rPr>
          <w:i/>
          <w:snapToGrid/>
          <w:szCs w:val="22"/>
        </w:rPr>
        <w:t xml:space="preserve"> </w:t>
      </w:r>
      <w:r w:rsidRPr="00A62BA5">
        <w:rPr>
          <w:snapToGrid/>
          <w:szCs w:val="22"/>
        </w:rPr>
        <w:t xml:space="preserve">will apply to all entities in the same manner.  The Commission believes that applying the same rules equally to all entities in this context promotes fairness.  The Commission does not believe that the costs and/or administrative burdens associated with the rules, including the payment of a construction permit filing fee by commercial broadcasters who are reverse auction winners and who will channel share, will unduly burden small entities.  (Non-commercial broadcasters are exempt from such filing fees.)  The construction permit itself will contain the same information included in the construction permit and license information of the channel sharer station and therefore can be copied without additional engineering work.  The submission of the executed channel sharing agreement does not add cost as the rules already require execution of a channel sharing agreement between sharing parties.  </w:t>
      </w:r>
    </w:p>
    <w:p w:rsidR="00F64497" w:rsidRPr="00A62BA5" w:rsidRDefault="00F64497" w:rsidP="00A62BA5">
      <w:pPr>
        <w:widowControl/>
        <w:numPr>
          <w:ilvl w:val="0"/>
          <w:numId w:val="6"/>
        </w:numPr>
        <w:tabs>
          <w:tab w:val="clear" w:pos="1080"/>
          <w:tab w:val="num" w:pos="1440"/>
        </w:tabs>
        <w:spacing w:after="120"/>
        <w:rPr>
          <w:szCs w:val="22"/>
        </w:rPr>
      </w:pPr>
      <w:r w:rsidRPr="00A62BA5">
        <w:rPr>
          <w:snapToGrid/>
          <w:szCs w:val="22"/>
        </w:rPr>
        <w:t>While</w:t>
      </w:r>
      <w:r w:rsidRPr="00A62BA5">
        <w:rPr>
          <w:szCs w:val="22"/>
        </w:rPr>
        <w:t xml:space="preserve"> these new rules require additional filings for those reverse auction winning bidders that channel share, they give bidders, including broadcast television entities meeting the definition of small businesses, the increased flexibility to enter into post auction CSAs, to limit the term of their CSAs rather than make them permanent, and to request reversion of spectrum usage rights in the event of the termination of the license of a broadcaster with whom they share spectrum.  Lastly, the requirement that a channel sharee file a construction permit including a copy of the channel sharing agreement will streamline the pre-auction application process.  </w:t>
      </w:r>
    </w:p>
    <w:p w:rsidR="00F64497" w:rsidRPr="00A62BA5" w:rsidRDefault="00F64497" w:rsidP="00A62BA5">
      <w:pPr>
        <w:keepNext/>
        <w:widowControl/>
        <w:numPr>
          <w:ilvl w:val="1"/>
          <w:numId w:val="5"/>
        </w:numPr>
        <w:spacing w:after="120"/>
        <w:outlineLvl w:val="1"/>
        <w:rPr>
          <w:b/>
          <w:snapToGrid/>
          <w:szCs w:val="22"/>
        </w:rPr>
      </w:pPr>
      <w:bookmarkStart w:id="173" w:name="_Toc388962669"/>
      <w:bookmarkStart w:id="174" w:name="_Toc388975521"/>
      <w:r w:rsidRPr="00A62BA5">
        <w:rPr>
          <w:b/>
          <w:snapToGrid/>
          <w:szCs w:val="22"/>
        </w:rPr>
        <w:t>Federal Rules that Might Duplicate, Overlap, or Conflict with the Rules</w:t>
      </w:r>
      <w:bookmarkEnd w:id="173"/>
      <w:bookmarkEnd w:id="174"/>
      <w:r w:rsidRPr="00A62BA5">
        <w:rPr>
          <w:b/>
          <w:snapToGrid/>
          <w:szCs w:val="22"/>
        </w:rPr>
        <w:t xml:space="preserve"> </w:t>
      </w:r>
    </w:p>
    <w:p w:rsidR="00F64497" w:rsidRPr="00A62BA5" w:rsidRDefault="00F64497" w:rsidP="00A62BA5">
      <w:pPr>
        <w:widowControl/>
        <w:numPr>
          <w:ilvl w:val="0"/>
          <w:numId w:val="6"/>
        </w:numPr>
        <w:tabs>
          <w:tab w:val="clear" w:pos="1080"/>
          <w:tab w:val="num" w:pos="1440"/>
        </w:tabs>
        <w:spacing w:after="120"/>
        <w:rPr>
          <w:snapToGrid/>
          <w:szCs w:val="22"/>
        </w:rPr>
      </w:pPr>
      <w:r w:rsidRPr="00A62BA5">
        <w:rPr>
          <w:snapToGrid/>
          <w:szCs w:val="22"/>
        </w:rPr>
        <w:t>None.</w:t>
      </w:r>
    </w:p>
    <w:p w:rsidR="00F64497" w:rsidRPr="00A62BA5" w:rsidRDefault="00F64497" w:rsidP="00A62BA5">
      <w:pPr>
        <w:keepNext/>
        <w:widowControl/>
        <w:numPr>
          <w:ilvl w:val="1"/>
          <w:numId w:val="5"/>
        </w:numPr>
        <w:spacing w:after="120"/>
        <w:outlineLvl w:val="1"/>
        <w:rPr>
          <w:b/>
          <w:snapToGrid/>
          <w:szCs w:val="22"/>
        </w:rPr>
      </w:pPr>
      <w:bookmarkStart w:id="175" w:name="_Toc388962670"/>
      <w:bookmarkStart w:id="176" w:name="_Toc388975522"/>
      <w:r w:rsidRPr="00A62BA5">
        <w:rPr>
          <w:b/>
          <w:snapToGrid/>
          <w:szCs w:val="22"/>
        </w:rPr>
        <w:t>Report to Congress</w:t>
      </w:r>
      <w:bookmarkEnd w:id="175"/>
      <w:bookmarkEnd w:id="176"/>
    </w:p>
    <w:p w:rsidR="00F64497" w:rsidRPr="00A62BA5" w:rsidRDefault="00F64497" w:rsidP="00A62BA5">
      <w:pPr>
        <w:widowControl/>
        <w:numPr>
          <w:ilvl w:val="0"/>
          <w:numId w:val="6"/>
        </w:numPr>
        <w:tabs>
          <w:tab w:val="clear" w:pos="1080"/>
          <w:tab w:val="num" w:pos="1350"/>
          <w:tab w:val="num" w:pos="1440"/>
        </w:tabs>
        <w:spacing w:after="120"/>
        <w:rPr>
          <w:snapToGrid/>
          <w:szCs w:val="22"/>
        </w:rPr>
      </w:pPr>
      <w:r w:rsidRPr="00A62BA5">
        <w:rPr>
          <w:snapToGrid/>
          <w:szCs w:val="22"/>
        </w:rPr>
        <w:t xml:space="preserve">The Commission will send a copy of the Order, including this FRFA, in a report to be sent to Congress and the Government Accountability Office pursuant to the Congressional Review Act.  A copy of the Order and FRFA (or summaries thereof) will also be published in the Federal Register.   </w:t>
      </w:r>
    </w:p>
    <w:p w:rsidR="00F64497" w:rsidRPr="00A62BA5" w:rsidRDefault="00F64497" w:rsidP="00A62BA5">
      <w:pPr>
        <w:keepNext/>
        <w:widowControl/>
        <w:numPr>
          <w:ilvl w:val="1"/>
          <w:numId w:val="5"/>
        </w:numPr>
        <w:spacing w:after="120"/>
        <w:outlineLvl w:val="1"/>
        <w:rPr>
          <w:b/>
          <w:snapToGrid/>
          <w:szCs w:val="22"/>
        </w:rPr>
      </w:pPr>
      <w:bookmarkStart w:id="177" w:name="_Toc388962671"/>
      <w:bookmarkStart w:id="178" w:name="_Toc388975523"/>
      <w:r w:rsidRPr="00A62BA5">
        <w:rPr>
          <w:b/>
          <w:snapToGrid/>
          <w:szCs w:val="22"/>
        </w:rPr>
        <w:t>Report to Small Business Administration</w:t>
      </w:r>
      <w:bookmarkEnd w:id="177"/>
      <w:bookmarkEnd w:id="178"/>
    </w:p>
    <w:p w:rsidR="00554AD2" w:rsidRDefault="00F64497" w:rsidP="00554AD2">
      <w:pPr>
        <w:widowControl/>
        <w:numPr>
          <w:ilvl w:val="0"/>
          <w:numId w:val="6"/>
        </w:numPr>
        <w:tabs>
          <w:tab w:val="clear" w:pos="1080"/>
          <w:tab w:val="num" w:pos="1440"/>
        </w:tabs>
        <w:spacing w:after="120"/>
        <w:rPr>
          <w:snapToGrid/>
        </w:rPr>
        <w:sectPr w:rsidR="00554AD2" w:rsidSect="00BB7F71">
          <w:footnotePr>
            <w:numRestart w:val="eachSect"/>
          </w:footnotePr>
          <w:type w:val="continuous"/>
          <w:pgSz w:w="12240" w:h="15840"/>
          <w:pgMar w:top="1440" w:right="1440" w:bottom="720" w:left="1440" w:header="720" w:footer="720" w:gutter="0"/>
          <w:cols w:space="720"/>
          <w:docGrid w:linePitch="360"/>
        </w:sectPr>
      </w:pPr>
      <w:r w:rsidRPr="00554AD2">
        <w:rPr>
          <w:snapToGrid/>
          <w:szCs w:val="22"/>
        </w:rPr>
        <w:t xml:space="preserve">The Commission will send a copy of this </w:t>
      </w:r>
      <w:r w:rsidR="0097717A" w:rsidRPr="00554AD2">
        <w:rPr>
          <w:snapToGrid/>
          <w:szCs w:val="22"/>
        </w:rPr>
        <w:t>First Order on Reconsideration</w:t>
      </w:r>
      <w:r w:rsidRPr="00554AD2">
        <w:rPr>
          <w:snapToGrid/>
          <w:szCs w:val="22"/>
        </w:rPr>
        <w:t>, including this Supplemental FRFA, to the Chief Counsel for Advocacy</w:t>
      </w:r>
      <w:r w:rsidRPr="00554AD2">
        <w:rPr>
          <w:snapToGrid/>
        </w:rPr>
        <w:t xml:space="preserve"> of the Small Business Administration. </w:t>
      </w:r>
    </w:p>
    <w:p w:rsidR="007C1D47" w:rsidRPr="00323274" w:rsidRDefault="007C1D47" w:rsidP="007C1D47">
      <w:pPr>
        <w:widowControl/>
        <w:jc w:val="center"/>
        <w:rPr>
          <w:b/>
        </w:rPr>
      </w:pPr>
      <w:r w:rsidRPr="00323274">
        <w:rPr>
          <w:b/>
        </w:rPr>
        <w:t xml:space="preserve">APPENDIX </w:t>
      </w:r>
      <w:r w:rsidR="006C02DF">
        <w:rPr>
          <w:b/>
        </w:rPr>
        <w:t>C</w:t>
      </w:r>
    </w:p>
    <w:p w:rsidR="007C1D47" w:rsidRPr="00323274" w:rsidRDefault="007C1D47" w:rsidP="007C1D47">
      <w:pPr>
        <w:widowControl/>
        <w:jc w:val="center"/>
        <w:rPr>
          <w:b/>
        </w:rPr>
      </w:pPr>
    </w:p>
    <w:p w:rsidR="007C1D47" w:rsidRPr="00323274" w:rsidRDefault="007C1D47" w:rsidP="007C1D47">
      <w:pPr>
        <w:widowControl/>
        <w:jc w:val="center"/>
        <w:rPr>
          <w:b/>
        </w:rPr>
      </w:pPr>
      <w:r w:rsidRPr="00323274">
        <w:rPr>
          <w:b/>
        </w:rPr>
        <w:t>Proposed Rules</w:t>
      </w:r>
    </w:p>
    <w:p w:rsidR="007C1D47" w:rsidRPr="00323274" w:rsidRDefault="007C1D47" w:rsidP="007C1D47">
      <w:pPr>
        <w:widowControl/>
        <w:jc w:val="center"/>
        <w:rPr>
          <w:b/>
        </w:rPr>
      </w:pPr>
    </w:p>
    <w:p w:rsidR="007C1D47" w:rsidRDefault="007C1D47" w:rsidP="007C1D47">
      <w:pPr>
        <w:widowControl/>
      </w:pPr>
    </w:p>
    <w:p w:rsidR="007C1D47" w:rsidRPr="00323274" w:rsidRDefault="007C1D47" w:rsidP="007C1D47">
      <w:pPr>
        <w:widowControl/>
      </w:pPr>
      <w:r w:rsidRPr="00323274">
        <w:t>Part 73 of Title 47 of the U.S. Code of Federal Regulations is amended to read as follows:</w:t>
      </w:r>
    </w:p>
    <w:p w:rsidR="007C1D47" w:rsidRPr="00323274" w:rsidRDefault="007C1D47" w:rsidP="007C1D47">
      <w:pPr>
        <w:widowControl/>
      </w:pPr>
    </w:p>
    <w:p w:rsidR="007C1D47" w:rsidRPr="00323274" w:rsidRDefault="007C1D47" w:rsidP="007C1D47">
      <w:pPr>
        <w:widowControl/>
      </w:pPr>
      <w:r w:rsidRPr="00323274">
        <w:t>PART 73 – RADIO BROADCAST SERVICES</w:t>
      </w:r>
    </w:p>
    <w:p w:rsidR="007C1D47" w:rsidRPr="00323274" w:rsidRDefault="007C1D47" w:rsidP="007C1D47">
      <w:pPr>
        <w:widowControl/>
      </w:pPr>
    </w:p>
    <w:p w:rsidR="007C1D47" w:rsidRPr="00323274" w:rsidRDefault="007C1D47" w:rsidP="007C1D47">
      <w:pPr>
        <w:widowControl/>
      </w:pPr>
      <w:r w:rsidRPr="00323274">
        <w:t>1.</w:t>
      </w:r>
      <w:r w:rsidRPr="00323274">
        <w:tab/>
        <w:t>The Authority citation for Part 73 continues to read as follows:</w:t>
      </w:r>
    </w:p>
    <w:p w:rsidR="007C1D47" w:rsidRPr="00323274" w:rsidRDefault="007C1D47" w:rsidP="007C1D47">
      <w:pPr>
        <w:widowControl/>
      </w:pPr>
    </w:p>
    <w:p w:rsidR="007C1D47" w:rsidRPr="00323274" w:rsidRDefault="007C1D47" w:rsidP="007C1D47">
      <w:pPr>
        <w:widowControl/>
      </w:pPr>
      <w:r w:rsidRPr="00323274">
        <w:t>AUTHORITY: 47 U.S.C. 154, 303, 334, 336 and 339.</w:t>
      </w:r>
    </w:p>
    <w:p w:rsidR="007C1D47" w:rsidRPr="00323274" w:rsidRDefault="007C1D47" w:rsidP="007C1D47">
      <w:pPr>
        <w:widowControl/>
      </w:pPr>
    </w:p>
    <w:p w:rsidR="007C1D47" w:rsidRPr="00323274" w:rsidRDefault="007C1D47" w:rsidP="007C1D47">
      <w:pPr>
        <w:widowControl/>
      </w:pPr>
      <w:r w:rsidRPr="00323274">
        <w:t xml:space="preserve">2. </w:t>
      </w:r>
      <w:r w:rsidRPr="00323274">
        <w:tab/>
        <w:t>New section 73.3800 is added to read as follows:</w:t>
      </w:r>
    </w:p>
    <w:p w:rsidR="007C1D47" w:rsidRPr="00323274" w:rsidRDefault="007C1D47" w:rsidP="007C1D47">
      <w:pPr>
        <w:widowControl/>
      </w:pPr>
    </w:p>
    <w:p w:rsidR="007C1D47" w:rsidRPr="00323274" w:rsidRDefault="007C1D47" w:rsidP="007C1D47">
      <w:pPr>
        <w:widowControl/>
        <w:rPr>
          <w:b/>
        </w:rPr>
      </w:pPr>
      <w:r w:rsidRPr="00323274">
        <w:rPr>
          <w:b/>
        </w:rPr>
        <w:t>§ 73.3800   Full Power Television Channel Sharing Outside the Auction Context</w:t>
      </w:r>
    </w:p>
    <w:p w:rsidR="007C1D47" w:rsidRPr="00323274" w:rsidRDefault="007C1D47" w:rsidP="007C1D47">
      <w:pPr>
        <w:widowControl/>
        <w:rPr>
          <w:b/>
        </w:rPr>
      </w:pPr>
    </w:p>
    <w:p w:rsidR="002042AC" w:rsidRDefault="007C1D47" w:rsidP="00464EF6">
      <w:r w:rsidRPr="00323274">
        <w:t>(a) Channel sharing generally.</w:t>
      </w:r>
      <w:r w:rsidRPr="00323274">
        <w:br/>
      </w:r>
      <w:bookmarkStart w:id="179" w:name="sp_999_20"/>
      <w:bookmarkStart w:id="180" w:name="SDU_20"/>
    </w:p>
    <w:p w:rsidR="002042AC" w:rsidRDefault="007C1D47" w:rsidP="00464EF6">
      <w:r w:rsidRPr="00323274">
        <w:t xml:space="preserve">(1) Subject to the provisions of this section, full power television stations may voluntarily seek Commission approval to share a single six megahertz channel with other full power television and Class A television stations.  </w:t>
      </w:r>
      <w:r w:rsidRPr="00323274">
        <w:br/>
      </w:r>
    </w:p>
    <w:p w:rsidR="00464EF6" w:rsidRDefault="007C1D47" w:rsidP="00464EF6">
      <w:r w:rsidRPr="00323274">
        <w:t xml:space="preserve">(2) Each station sharing a single channel pursuant to this section shall continue to be licensed and operated separately, have its own call sign, and be separately subject to all </w:t>
      </w:r>
      <w:r w:rsidR="004C1BD5">
        <w:t>applicable</w:t>
      </w:r>
      <w:r w:rsidRPr="00323274">
        <w:t xml:space="preserve"> Commission obligations, rules, and policies.</w:t>
      </w:r>
    </w:p>
    <w:p w:rsidR="00464EF6" w:rsidRDefault="00464EF6" w:rsidP="00464EF6"/>
    <w:p w:rsidR="00464EF6" w:rsidRDefault="007C1D47" w:rsidP="00464EF6">
      <w:r w:rsidRPr="00323274">
        <w:t xml:space="preserve">(b) Licensing of Channel Sharing Stations. A full power television channel sharing station relinquishing its channel must file an application for the initial channel sharing construction permit (FCC Form 2100), include a copy of the channel sharing agreement as an exhibit, and cross reference the other sharing station(s). Any engineering changes necessitated by the channel sharing </w:t>
      </w:r>
      <w:r w:rsidR="008B0F23">
        <w:t>agreement</w:t>
      </w:r>
      <w:r w:rsidRPr="00323274">
        <w:t xml:space="preserve"> may be included in the station's application. Upon initiation of shared operations, the station relinquishing its channel must notify the Commission that it has terminated operation pursuant to 47 C.F.R. 73.1750 and each sharing station must file an application for license (FCC Form 2100). </w:t>
      </w:r>
      <w:r w:rsidRPr="00323274">
        <w:rPr>
          <w:b/>
        </w:rPr>
        <w:br/>
      </w:r>
    </w:p>
    <w:p w:rsidR="00464EF6" w:rsidRDefault="007C1D47" w:rsidP="00464EF6">
      <w:r w:rsidRPr="00323274">
        <w:t xml:space="preserve">(c) Deadline For Implementing Channel Sharing </w:t>
      </w:r>
      <w:r w:rsidR="008B0F23">
        <w:t>Agreement</w:t>
      </w:r>
      <w:r w:rsidRPr="00323274">
        <w:t xml:space="preserve">s. Channel sharing </w:t>
      </w:r>
      <w:r w:rsidR="008B0F23">
        <w:t>agreement</w:t>
      </w:r>
      <w:r w:rsidRPr="00323274">
        <w:t>s submitted pursuant to this section must be implemented within three years of the grant of the initial channel sharing construction permit.</w:t>
      </w:r>
      <w:r w:rsidRPr="00323274">
        <w:br/>
      </w:r>
    </w:p>
    <w:p w:rsidR="002042AC" w:rsidRDefault="007C1D47" w:rsidP="00464EF6">
      <w:r w:rsidRPr="00323274">
        <w:t>(d) Chann</w:t>
      </w:r>
      <w:r w:rsidR="00926E7D">
        <w:t>el Sharing Agreements (CSAs).</w:t>
      </w:r>
      <w:r w:rsidR="00926E7D">
        <w:br/>
      </w:r>
    </w:p>
    <w:p w:rsidR="002042AC" w:rsidRDefault="00926E7D" w:rsidP="00464EF6">
      <w:r>
        <w:t>(1</w:t>
      </w:r>
      <w:r w:rsidR="007C1D47" w:rsidRPr="00323274">
        <w:t>) Channel sharing agreements submitted under this section must contain provisions outlining each licensee's rights an</w:t>
      </w:r>
      <w:r>
        <w:t>d responsibilities regarding:</w:t>
      </w:r>
      <w:r>
        <w:br/>
      </w:r>
    </w:p>
    <w:p w:rsidR="002042AC" w:rsidRDefault="00926E7D" w:rsidP="00464EF6">
      <w:r>
        <w:t>(i</w:t>
      </w:r>
      <w:r w:rsidR="007C1D47" w:rsidRPr="00323274">
        <w:t>) Access to facilities, including whether each licensee will have unrestrained access to the sh</w:t>
      </w:r>
      <w:r>
        <w:t>ared transmission facilities;</w:t>
      </w:r>
      <w:r>
        <w:br/>
      </w:r>
    </w:p>
    <w:p w:rsidR="002042AC" w:rsidRDefault="00926E7D" w:rsidP="00464EF6">
      <w:r>
        <w:t>(ii</w:t>
      </w:r>
      <w:r w:rsidR="007C1D47" w:rsidRPr="00323274">
        <w:t>) Operation, maintenance, repair, and modification of facilities, including a list of all relevant equipment, a description of each party's financial obligations, and any rele</w:t>
      </w:r>
      <w:r>
        <w:t>vant notice provisions; and</w:t>
      </w:r>
      <w:r>
        <w:br/>
      </w:r>
    </w:p>
    <w:p w:rsidR="004C1BD5" w:rsidRDefault="00926E7D" w:rsidP="00464EF6">
      <w:r>
        <w:t>(iii</w:t>
      </w:r>
      <w:r w:rsidR="007C1D47" w:rsidRPr="00323274">
        <w:t xml:space="preserve">) Transfer/assignment of </w:t>
      </w:r>
      <w:r w:rsidR="004C1BD5">
        <w:t>a</w:t>
      </w:r>
      <w:r w:rsidR="007C1D47" w:rsidRPr="00323274">
        <w:t xml:space="preserve"> shared license, including the ability of a new licensee to assume the existing CSA</w:t>
      </w:r>
      <w:r w:rsidR="004C1BD5">
        <w:t>; and</w:t>
      </w:r>
    </w:p>
    <w:p w:rsidR="002042AC" w:rsidRDefault="002042AC" w:rsidP="00464EF6"/>
    <w:p w:rsidR="002042AC" w:rsidRDefault="00926E7D" w:rsidP="00464EF6">
      <w:r>
        <w:t>(iv</w:t>
      </w:r>
      <w:r w:rsidR="004C1BD5">
        <w:t>)</w:t>
      </w:r>
      <w:r w:rsidR="004C1BD5" w:rsidRPr="00757CE2">
        <w:t xml:space="preserve"> </w:t>
      </w:r>
      <w:r w:rsidR="004C1BD5" w:rsidRPr="00491139">
        <w:t xml:space="preserve">Termination </w:t>
      </w:r>
      <w:r w:rsidR="004C1BD5">
        <w:t>of the license of a party to the CSA, including reversion of spectrum usage rights to the remaining parties to the CSA.</w:t>
      </w:r>
      <w:r>
        <w:br/>
      </w:r>
    </w:p>
    <w:p w:rsidR="00464EF6" w:rsidRDefault="00926E7D" w:rsidP="00464EF6">
      <w:r>
        <w:t>(2</w:t>
      </w:r>
      <w:r w:rsidR="007C1D47" w:rsidRPr="00323274">
        <w:t>) Channel sharing agreements submitted under this section must include a provision affirming compliance with the channel sharing requirements in this section including a provision requiring that each channel sharing licensee shall retain spectrum usage rights adequate to ensure a sufficient amount of the shared channel capacity to allow it to provide at least one Standard Definition (SD) program stream at all times.</w:t>
      </w:r>
      <w:r w:rsidR="007C1D47" w:rsidRPr="00323274">
        <w:br/>
      </w:r>
      <w:bookmarkEnd w:id="179"/>
      <w:bookmarkEnd w:id="180"/>
    </w:p>
    <w:p w:rsidR="007C1D47" w:rsidRPr="00323274" w:rsidRDefault="007C1D47" w:rsidP="00464EF6">
      <w:r w:rsidRPr="00323274">
        <w:t xml:space="preserve">(e) Termination and Assignment/Transfer of Shared Channel. </w:t>
      </w:r>
      <w:r w:rsidR="00682DD8">
        <w:t xml:space="preserve"> </w:t>
      </w:r>
      <w:r w:rsidR="004C1BD5" w:rsidRPr="00510CE4">
        <w:rPr>
          <w:rFonts w:eastAsia="TimesNewRoman"/>
          <w:color w:val="010101"/>
        </w:rPr>
        <w:t xml:space="preserve">Upon termination of the license of a party to a CSA, the spectrum usage rights covered by that license may revert to the remaining parties to the CSA.  Such reversion shall be governed by the terms of the CSA in accordance with paragraph </w:t>
      </w:r>
      <w:r w:rsidR="00A10E18">
        <w:rPr>
          <w:rFonts w:eastAsia="TimesNewRoman"/>
          <w:color w:val="010101"/>
        </w:rPr>
        <w:t>(d</w:t>
      </w:r>
      <w:r w:rsidR="004C1BD5" w:rsidRPr="00262921">
        <w:rPr>
          <w:rFonts w:eastAsia="TimesNewRoman"/>
          <w:color w:val="010101"/>
        </w:rPr>
        <w:t>)(</w:t>
      </w:r>
      <w:r w:rsidR="003E11EE">
        <w:rPr>
          <w:rFonts w:eastAsia="TimesNewRoman"/>
          <w:color w:val="010101"/>
        </w:rPr>
        <w:t>1</w:t>
      </w:r>
      <w:r w:rsidR="004C1BD5" w:rsidRPr="00262921">
        <w:rPr>
          <w:rFonts w:eastAsia="TimesNewRoman"/>
          <w:color w:val="010101"/>
        </w:rPr>
        <w:t>)(</w:t>
      </w:r>
      <w:r w:rsidR="003E11EE">
        <w:rPr>
          <w:rFonts w:eastAsia="TimesNewRoman"/>
          <w:color w:val="010101"/>
        </w:rPr>
        <w:t>iv</w:t>
      </w:r>
      <w:r w:rsidR="004C1BD5" w:rsidRPr="00262921">
        <w:rPr>
          <w:rFonts w:eastAsia="TimesNewRoman"/>
          <w:color w:val="010101"/>
        </w:rPr>
        <w:t>)</w:t>
      </w:r>
      <w:r w:rsidR="004C1BD5" w:rsidRPr="00510CE4">
        <w:rPr>
          <w:rFonts w:eastAsia="TimesNewRoman"/>
          <w:color w:val="010101"/>
        </w:rPr>
        <w:t xml:space="preserve"> of this section.  I</w:t>
      </w:r>
      <w:r w:rsidR="004C1BD5">
        <w:rPr>
          <w:rFonts w:eastAsia="TimesNewRoman"/>
          <w:color w:val="010101"/>
        </w:rPr>
        <w:t>f</w:t>
      </w:r>
      <w:r w:rsidR="004C1BD5" w:rsidRPr="00510CE4">
        <w:rPr>
          <w:rFonts w:eastAsia="TimesNewRoman"/>
          <w:color w:val="010101"/>
        </w:rPr>
        <w:t xml:space="preserve"> upon termination of the license of a party to a CSA only one party to the CSA remains, the remaining licensee may file an application to change its license to non-shared status using FCC Form 2100, Schedule B (for a full power licensee) or</w:t>
      </w:r>
      <w:r w:rsidR="004C1BD5">
        <w:rPr>
          <w:rFonts w:eastAsia="TimesNewRoman"/>
          <w:color w:val="010101"/>
        </w:rPr>
        <w:t xml:space="preserve"> F (for a Class A licensee).</w:t>
      </w:r>
    </w:p>
    <w:p w:rsidR="00464EF6" w:rsidRDefault="00464EF6" w:rsidP="00464EF6"/>
    <w:p w:rsidR="007C1D47" w:rsidRPr="00323274" w:rsidRDefault="007C1D47" w:rsidP="00464EF6">
      <w:r w:rsidRPr="00323274">
        <w:t xml:space="preserve">(f) Notice to MVPDs.  </w:t>
      </w:r>
    </w:p>
    <w:p w:rsidR="002042AC" w:rsidRDefault="002042AC" w:rsidP="00464EF6"/>
    <w:p w:rsidR="003E11EE" w:rsidRDefault="00926E7D" w:rsidP="00464EF6">
      <w:r>
        <w:t>(1</w:t>
      </w:r>
      <w:r w:rsidR="007C1D47" w:rsidRPr="00323274">
        <w:t xml:space="preserve">) Stations participating in channel sharing </w:t>
      </w:r>
      <w:r w:rsidR="008B0F23">
        <w:t>agreement</w:t>
      </w:r>
      <w:r w:rsidR="007C1D47" w:rsidRPr="00323274">
        <w:t xml:space="preserve">s must </w:t>
      </w:r>
      <w:r w:rsidR="003E11EE">
        <w:t xml:space="preserve">provide notice to MVPDs that: </w:t>
      </w:r>
    </w:p>
    <w:p w:rsidR="003E11EE" w:rsidRDefault="003E11EE" w:rsidP="00464EF6"/>
    <w:p w:rsidR="003E11EE" w:rsidRDefault="003E11EE" w:rsidP="00464EF6">
      <w:r>
        <w:t>(i</w:t>
      </w:r>
      <w:r w:rsidR="007C1D47" w:rsidRPr="00323274">
        <w:t>) no longer will be required to carry the station because of t</w:t>
      </w:r>
      <w:r>
        <w:t xml:space="preserve">he relocation of the station; </w:t>
      </w:r>
    </w:p>
    <w:p w:rsidR="003E11EE" w:rsidRDefault="003E11EE" w:rsidP="00464EF6"/>
    <w:p w:rsidR="003E11EE" w:rsidRDefault="003E11EE" w:rsidP="00464EF6">
      <w:r>
        <w:t>(ii</w:t>
      </w:r>
      <w:r w:rsidR="007C1D47" w:rsidRPr="00323274">
        <w:t xml:space="preserve">) currently carry and will continue to be obligated to carry a station </w:t>
      </w:r>
      <w:r>
        <w:t xml:space="preserve">that will change channels; or </w:t>
      </w:r>
    </w:p>
    <w:p w:rsidR="003E11EE" w:rsidRDefault="003E11EE" w:rsidP="00464EF6"/>
    <w:p w:rsidR="007C1D47" w:rsidRPr="00323274" w:rsidRDefault="003E11EE" w:rsidP="00464EF6">
      <w:r>
        <w:t>(iii</w:t>
      </w:r>
      <w:r w:rsidR="007C1D47" w:rsidRPr="00323274">
        <w:t xml:space="preserve">) will become obligated to carry the station due to a channel sharing relocation.  </w:t>
      </w:r>
    </w:p>
    <w:p w:rsidR="002042AC" w:rsidRDefault="002042AC" w:rsidP="00464EF6"/>
    <w:p w:rsidR="003E11EE" w:rsidRDefault="00926E7D" w:rsidP="00464EF6">
      <w:r>
        <w:t>(2</w:t>
      </w:r>
      <w:r w:rsidR="007C1D47" w:rsidRPr="00323274">
        <w:t>) The notice required by this section must conta</w:t>
      </w:r>
      <w:r w:rsidR="003E11EE">
        <w:t xml:space="preserve">in the following information: </w:t>
      </w:r>
    </w:p>
    <w:p w:rsidR="003E11EE" w:rsidRDefault="003E11EE" w:rsidP="00464EF6"/>
    <w:p w:rsidR="003E11EE" w:rsidRDefault="003E11EE" w:rsidP="00464EF6">
      <w:r>
        <w:t>(i</w:t>
      </w:r>
      <w:r w:rsidR="007C1D47" w:rsidRPr="00323274">
        <w:t>) date and</w:t>
      </w:r>
      <w:r>
        <w:t xml:space="preserve"> time of any channel changes; </w:t>
      </w:r>
    </w:p>
    <w:p w:rsidR="003E11EE" w:rsidRDefault="003E11EE" w:rsidP="00464EF6"/>
    <w:p w:rsidR="003E11EE" w:rsidRDefault="003E11EE" w:rsidP="00464EF6">
      <w:r>
        <w:t>(ii</w:t>
      </w:r>
      <w:r w:rsidR="007C1D47" w:rsidRPr="00323274">
        <w:t>) the channel occupied by the station before and aft</w:t>
      </w:r>
      <w:r>
        <w:t xml:space="preserve">er implementation of the CSA; </w:t>
      </w:r>
    </w:p>
    <w:p w:rsidR="003E11EE" w:rsidRDefault="003E11EE" w:rsidP="00464EF6"/>
    <w:p w:rsidR="003E11EE" w:rsidRDefault="003E11EE" w:rsidP="00464EF6">
      <w:r>
        <w:t>(iii</w:t>
      </w:r>
      <w:r w:rsidR="007C1D47" w:rsidRPr="00323274">
        <w:t>) modification, if any, to antenna position, locat</w:t>
      </w:r>
      <w:r>
        <w:t xml:space="preserve">ion, or power levels; </w:t>
      </w:r>
    </w:p>
    <w:p w:rsidR="003E11EE" w:rsidRDefault="003E11EE" w:rsidP="00464EF6"/>
    <w:p w:rsidR="003E11EE" w:rsidRDefault="003E11EE" w:rsidP="00464EF6">
      <w:r>
        <w:t>(iv</w:t>
      </w:r>
      <w:r w:rsidR="007C1D47" w:rsidRPr="00323274">
        <w:t xml:space="preserve">) stream identification information; and </w:t>
      </w:r>
    </w:p>
    <w:p w:rsidR="003E11EE" w:rsidRDefault="003E11EE" w:rsidP="00464EF6"/>
    <w:p w:rsidR="007C1D47" w:rsidRPr="00323274" w:rsidRDefault="003E11EE" w:rsidP="00464EF6">
      <w:r>
        <w:t>(v</w:t>
      </w:r>
      <w:r w:rsidR="007C1D47" w:rsidRPr="00323274">
        <w:t xml:space="preserve">) engineering staff contact information.  </w:t>
      </w:r>
    </w:p>
    <w:p w:rsidR="002042AC" w:rsidRDefault="002042AC" w:rsidP="00464EF6"/>
    <w:p w:rsidR="007C1D47" w:rsidRPr="00323274" w:rsidRDefault="00926E7D" w:rsidP="00464EF6">
      <w:r>
        <w:t>(3</w:t>
      </w:r>
      <w:r w:rsidR="007C1D47" w:rsidRPr="00323274">
        <w:t xml:space="preserve">) Sharee stations (those relinquishing a channel in order to share) must provide notice as required by this section at least 30 days prior to terminating operations on the sharee’s channel.  Sharer stations (those hosting a sharee as part of a channel sharing agreement) and sharee stations must provide notice as required by this section at least 30 days prior to initiation of operations on the sharer channel.  Should the anticipated date to either cease operations or commence channel sharing operations change, the stations must send a further notice to affected MVPDs informing them of the new anticipated date(s).  </w:t>
      </w:r>
    </w:p>
    <w:p w:rsidR="002042AC" w:rsidRDefault="002042AC" w:rsidP="002042AC"/>
    <w:p w:rsidR="00926E7D" w:rsidRDefault="00926E7D" w:rsidP="002042AC">
      <w:r>
        <w:t>(4</w:t>
      </w:r>
      <w:r w:rsidR="007C1D47" w:rsidRPr="00323274">
        <w:t xml:space="preserve">)  </w:t>
      </w:r>
      <w:r w:rsidR="00EF5E5A">
        <w:t>Notifications</w:t>
      </w:r>
      <w:r w:rsidR="007C1D47" w:rsidRPr="00323274">
        <w:t xml:space="preserve"> provided to cable systems pursuant to this section must be </w:t>
      </w:r>
      <w:r w:rsidR="003E11EE">
        <w:t>either mailed</w:t>
      </w:r>
      <w:r w:rsidR="007C1D47" w:rsidRPr="00323274">
        <w:t xml:space="preserve"> to the system’s official address of record provided in the cable system’s most recent filing in the FCC’s Cable Operations and Licensing System (COALS) Form 322</w:t>
      </w:r>
      <w:r w:rsidR="00EF5E5A">
        <w:t>, or emailed to the system if the system has</w:t>
      </w:r>
      <w:r w:rsidR="00EF5E5A" w:rsidRPr="00B33A44">
        <w:t xml:space="preserve"> </w:t>
      </w:r>
      <w:r w:rsidR="00EF5E5A">
        <w:t>provided an email address</w:t>
      </w:r>
      <w:r w:rsidR="007C1D47" w:rsidRPr="00323274">
        <w:t>.  For all other MVPDs, the letter must be addressed to the official corporate address registered with their State of incorporation.</w:t>
      </w:r>
    </w:p>
    <w:p w:rsidR="002042AC" w:rsidRDefault="002042AC" w:rsidP="002042AC"/>
    <w:p w:rsidR="007C1D47" w:rsidRPr="00323274" w:rsidRDefault="007C1D47" w:rsidP="003E11EE">
      <w:pPr>
        <w:keepNext/>
        <w:widowControl/>
        <w:spacing w:line="480" w:lineRule="auto"/>
      </w:pPr>
      <w:r w:rsidRPr="00323274">
        <w:t xml:space="preserve"> 3. </w:t>
      </w:r>
      <w:r w:rsidRPr="00323274">
        <w:tab/>
        <w:t>New section 73.6028 is added to read as follows:</w:t>
      </w:r>
    </w:p>
    <w:p w:rsidR="007C1D47" w:rsidRPr="00323274" w:rsidRDefault="007C1D47" w:rsidP="009A1877">
      <w:pPr>
        <w:widowControl/>
        <w:spacing w:line="480" w:lineRule="auto"/>
        <w:rPr>
          <w:b/>
        </w:rPr>
      </w:pPr>
      <w:r w:rsidRPr="00323274">
        <w:rPr>
          <w:b/>
        </w:rPr>
        <w:t>§ 73.6028   Class A Television Channel Sharing Outside the Auction Context</w:t>
      </w:r>
    </w:p>
    <w:p w:rsidR="002042AC" w:rsidRDefault="007C1D47" w:rsidP="00926E7D">
      <w:r w:rsidRPr="00323274">
        <w:t>(a) Channel sharing generally.</w:t>
      </w:r>
      <w:r w:rsidRPr="00323274">
        <w:br/>
      </w:r>
    </w:p>
    <w:p w:rsidR="002042AC" w:rsidRDefault="007C1D47" w:rsidP="00926E7D">
      <w:r w:rsidRPr="00323274">
        <w:t xml:space="preserve">(1) Subject to the provisions of this section, Class A television stations may voluntarily seek Commission approval to share a single six megahertz channel with other Class A and full power television stations.  </w:t>
      </w:r>
      <w:r w:rsidRPr="00323274">
        <w:br/>
      </w:r>
    </w:p>
    <w:p w:rsidR="00926E7D" w:rsidRDefault="007C1D47" w:rsidP="00926E7D">
      <w:r w:rsidRPr="00323274">
        <w:t>(2) Each station sharing a single channel pursuant to this section shall continue to be licensed and operated separately, have its own call sign, and be separately subject to all of the Commission's obligations, rules, and policies.</w:t>
      </w:r>
    </w:p>
    <w:p w:rsidR="00926E7D" w:rsidRDefault="00926E7D" w:rsidP="00926E7D"/>
    <w:p w:rsidR="00926E7D" w:rsidRDefault="007C1D47" w:rsidP="00926E7D">
      <w:r w:rsidRPr="00323274">
        <w:t xml:space="preserve">(b) Licensing of Channel Sharing Stations. A full power television channel sharing station relinquishing its channel must file an application for the initial channel sharing construction permit (FCC Form 2100), include a copy of the channel sharing agreement as an exhibit, and cross reference the other sharing station(s). Any engineering changes necessitated by the channel sharing </w:t>
      </w:r>
      <w:r w:rsidR="008B0F23">
        <w:t>agreement</w:t>
      </w:r>
      <w:r w:rsidRPr="00323274">
        <w:t xml:space="preserve"> may be included in the station's application. Upon initiation of shared operations, the station relinquishing its channel must notify the Commission that it has terminated operation pursuant to 47 C.F.R. 73.1750 and each sharing station must file an application for license (FCC Form 2100). </w:t>
      </w:r>
      <w:r w:rsidRPr="00323274">
        <w:rPr>
          <w:b/>
        </w:rPr>
        <w:br/>
      </w:r>
    </w:p>
    <w:p w:rsidR="00926E7D" w:rsidRDefault="007C1D47" w:rsidP="00926E7D">
      <w:r w:rsidRPr="00323274">
        <w:t xml:space="preserve">(c) Deadline For Implementing Channel Sharing </w:t>
      </w:r>
      <w:r w:rsidR="008B0F23">
        <w:t>Agreement</w:t>
      </w:r>
      <w:r w:rsidRPr="00323274">
        <w:t xml:space="preserve">s. Channel sharing </w:t>
      </w:r>
      <w:r w:rsidR="008B0F23">
        <w:t>agreement</w:t>
      </w:r>
      <w:r w:rsidRPr="00323274">
        <w:t>s submitted pursuant to this section must be implemented within three years of the grant of the initial channel sharing construction permit.</w:t>
      </w:r>
      <w:r w:rsidRPr="00323274">
        <w:br/>
      </w:r>
    </w:p>
    <w:p w:rsidR="002042AC" w:rsidRDefault="007C1D47" w:rsidP="00926E7D">
      <w:r w:rsidRPr="00323274">
        <w:t>(d) Chann</w:t>
      </w:r>
      <w:r w:rsidR="00926E7D">
        <w:t>el Sharing Agreements (CSAs).</w:t>
      </w:r>
      <w:r w:rsidR="00926E7D">
        <w:br/>
      </w:r>
    </w:p>
    <w:p w:rsidR="002042AC" w:rsidRDefault="00926E7D" w:rsidP="00926E7D">
      <w:r>
        <w:t>(1</w:t>
      </w:r>
      <w:r w:rsidR="007C1D47" w:rsidRPr="00323274">
        <w:t>) Channel sharing agreements submitted under this section must contain provisions outlining each licensee's rights an</w:t>
      </w:r>
      <w:r>
        <w:t>d responsibilities regarding:</w:t>
      </w:r>
      <w:r>
        <w:br/>
      </w:r>
    </w:p>
    <w:p w:rsidR="002042AC" w:rsidRDefault="00926E7D" w:rsidP="00926E7D">
      <w:r>
        <w:t>(i</w:t>
      </w:r>
      <w:r w:rsidR="007C1D47" w:rsidRPr="00323274">
        <w:t>) Access to facilities, including whether each licensee will have unrestrained access to the sh</w:t>
      </w:r>
      <w:r>
        <w:t>ared transmission facilities;</w:t>
      </w:r>
      <w:r>
        <w:br/>
      </w:r>
    </w:p>
    <w:p w:rsidR="002042AC" w:rsidRDefault="00926E7D" w:rsidP="00926E7D">
      <w:r>
        <w:t>(ii</w:t>
      </w:r>
      <w:r w:rsidR="007C1D47" w:rsidRPr="00323274">
        <w:t>) Operation, maintenance, repair, and modification of facilities, including a list of all relevant equipment, a description of each party's financial obligations, and any re</w:t>
      </w:r>
      <w:r>
        <w:t>levant notice provisions; and</w:t>
      </w:r>
      <w:r>
        <w:br/>
      </w:r>
    </w:p>
    <w:p w:rsidR="002042AC" w:rsidRDefault="00926E7D" w:rsidP="00926E7D">
      <w:r>
        <w:t>(iii</w:t>
      </w:r>
      <w:r w:rsidR="007C1D47" w:rsidRPr="00323274">
        <w:t>) Termination or transfer/assignment of rights to the shared licenses, including the ability of a new licensee</w:t>
      </w:r>
      <w:r>
        <w:t xml:space="preserve"> to assume the existing CSA.</w:t>
      </w:r>
      <w:r>
        <w:br/>
      </w:r>
    </w:p>
    <w:p w:rsidR="00926E7D" w:rsidRDefault="00926E7D" w:rsidP="00926E7D">
      <w:r>
        <w:t>(2</w:t>
      </w:r>
      <w:r w:rsidR="007C1D47" w:rsidRPr="00323274">
        <w:t>) Channel sharing agreements submitted under this section must include a provision affirming compliance with the channel sharing requirements in this section including a provision requiring that each channel sharing licensee shall retain spectrum usage rights adequate to ensure a sufficient amount of the shared channel capacity to allow it to provide at least one Standard Definition (SD) program stream at all times.</w:t>
      </w:r>
    </w:p>
    <w:p w:rsidR="00926E7D" w:rsidRDefault="00926E7D" w:rsidP="00926E7D"/>
    <w:p w:rsidR="00926E7D" w:rsidRDefault="007C1D47" w:rsidP="00926E7D">
      <w:r w:rsidRPr="00323274">
        <w:t xml:space="preserve">(e) Termination and Assignment/Transfer of Shared Channel. </w:t>
      </w:r>
      <w:r w:rsidR="00A10E18" w:rsidRPr="00510CE4">
        <w:rPr>
          <w:rFonts w:eastAsia="TimesNewRoman"/>
          <w:color w:val="010101"/>
        </w:rPr>
        <w:t xml:space="preserve">Upon termination of the license of a party to a CSA, the spectrum usage rights covered by that license may revert to the remaining parties to the CSA.  Such reversion shall be governed by the terms of the CSA in accordance with paragraph </w:t>
      </w:r>
      <w:r w:rsidR="00A10E18" w:rsidRPr="00262921">
        <w:rPr>
          <w:rFonts w:eastAsia="TimesNewRoman"/>
          <w:color w:val="010101"/>
        </w:rPr>
        <w:t>(</w:t>
      </w:r>
      <w:r w:rsidR="00A10E18">
        <w:rPr>
          <w:rFonts w:eastAsia="TimesNewRoman"/>
          <w:color w:val="010101"/>
        </w:rPr>
        <w:t>d</w:t>
      </w:r>
      <w:r w:rsidR="00A10E18" w:rsidRPr="00262921">
        <w:rPr>
          <w:rFonts w:eastAsia="TimesNewRoman"/>
          <w:color w:val="010101"/>
        </w:rPr>
        <w:t>)(</w:t>
      </w:r>
      <w:r w:rsidR="003E11EE">
        <w:rPr>
          <w:rFonts w:eastAsia="TimesNewRoman"/>
          <w:color w:val="010101"/>
        </w:rPr>
        <w:t>1</w:t>
      </w:r>
      <w:r w:rsidR="00A10E18" w:rsidRPr="00262921">
        <w:rPr>
          <w:rFonts w:eastAsia="TimesNewRoman"/>
          <w:color w:val="010101"/>
        </w:rPr>
        <w:t>)(</w:t>
      </w:r>
      <w:r w:rsidR="003E11EE">
        <w:rPr>
          <w:rFonts w:eastAsia="TimesNewRoman"/>
          <w:color w:val="010101"/>
        </w:rPr>
        <w:t>iv</w:t>
      </w:r>
      <w:r w:rsidR="00A10E18" w:rsidRPr="00262921">
        <w:rPr>
          <w:rFonts w:eastAsia="TimesNewRoman"/>
          <w:color w:val="010101"/>
        </w:rPr>
        <w:t>)</w:t>
      </w:r>
      <w:r w:rsidR="00A10E18" w:rsidRPr="00510CE4">
        <w:rPr>
          <w:rFonts w:eastAsia="TimesNewRoman"/>
          <w:color w:val="010101"/>
        </w:rPr>
        <w:t xml:space="preserve"> of this section.  I</w:t>
      </w:r>
      <w:r w:rsidR="00A10E18">
        <w:rPr>
          <w:rFonts w:eastAsia="TimesNewRoman"/>
          <w:color w:val="010101"/>
        </w:rPr>
        <w:t>f</w:t>
      </w:r>
      <w:r w:rsidR="00A10E18" w:rsidRPr="00510CE4">
        <w:rPr>
          <w:rFonts w:eastAsia="TimesNewRoman"/>
          <w:color w:val="010101"/>
        </w:rPr>
        <w:t xml:space="preserve"> upon termination of the license of a party to a CSA only one party to the CSA remains, the remaining licensee may file an application to change its license to non-shared status using FCC Form 2100, Schedule B (for a full power licensee) or</w:t>
      </w:r>
      <w:r w:rsidR="00A10E18">
        <w:rPr>
          <w:rFonts w:eastAsia="TimesNewRoman"/>
          <w:color w:val="010101"/>
        </w:rPr>
        <w:t xml:space="preserve"> F (for a Class A licensee).</w:t>
      </w:r>
      <w:r w:rsidRPr="00323274">
        <w:br/>
      </w:r>
    </w:p>
    <w:p w:rsidR="007C1D47" w:rsidRPr="00323274" w:rsidRDefault="007C1D47" w:rsidP="003E11EE">
      <w:pPr>
        <w:keepNext/>
      </w:pPr>
      <w:r w:rsidRPr="00323274">
        <w:t xml:space="preserve">(f) Notice to MVPDs.  </w:t>
      </w:r>
    </w:p>
    <w:p w:rsidR="002042AC" w:rsidRDefault="002042AC" w:rsidP="00926E7D"/>
    <w:p w:rsidR="003E11EE" w:rsidRDefault="00926E7D" w:rsidP="00926E7D">
      <w:r>
        <w:t>(1</w:t>
      </w:r>
      <w:r w:rsidR="007C1D47" w:rsidRPr="00323274">
        <w:t xml:space="preserve">) Stations participating in </w:t>
      </w:r>
      <w:r w:rsidR="007C1D47" w:rsidRPr="00926E7D">
        <w:rPr>
          <w:rFonts w:eastAsia="TimesNewRoman"/>
          <w:color w:val="010101"/>
        </w:rPr>
        <w:t>channel</w:t>
      </w:r>
      <w:r w:rsidR="007C1D47" w:rsidRPr="00323274">
        <w:t xml:space="preserve"> sharing </w:t>
      </w:r>
      <w:r w:rsidR="008B0F23">
        <w:t>agreement</w:t>
      </w:r>
      <w:r w:rsidR="002042AC">
        <w:t xml:space="preserve">s must provide notice to </w:t>
      </w:r>
      <w:r w:rsidR="003E11EE">
        <w:t xml:space="preserve">MVPDs that: </w:t>
      </w:r>
    </w:p>
    <w:p w:rsidR="003E11EE" w:rsidRDefault="003E11EE" w:rsidP="00926E7D"/>
    <w:p w:rsidR="003E11EE" w:rsidRDefault="003E11EE" w:rsidP="00926E7D">
      <w:r>
        <w:t>(i</w:t>
      </w:r>
      <w:r w:rsidR="007C1D47" w:rsidRPr="00323274">
        <w:t>) no longer will be required to carry the station because of t</w:t>
      </w:r>
      <w:r>
        <w:t xml:space="preserve">he relocation of the station; </w:t>
      </w:r>
    </w:p>
    <w:p w:rsidR="003E11EE" w:rsidRDefault="003E11EE" w:rsidP="00926E7D"/>
    <w:p w:rsidR="003E11EE" w:rsidRDefault="003E11EE" w:rsidP="00926E7D">
      <w:r>
        <w:t>(ii</w:t>
      </w:r>
      <w:r w:rsidR="007C1D47" w:rsidRPr="00323274">
        <w:t>) currently carry and will continue to be obligated to carry a station t</w:t>
      </w:r>
      <w:r>
        <w:t xml:space="preserve">hat will change channels; or </w:t>
      </w:r>
    </w:p>
    <w:p w:rsidR="003E11EE" w:rsidRDefault="003E11EE" w:rsidP="00926E7D"/>
    <w:p w:rsidR="007C1D47" w:rsidRPr="00323274" w:rsidRDefault="003E11EE" w:rsidP="00926E7D">
      <w:r>
        <w:t>(iii</w:t>
      </w:r>
      <w:r w:rsidR="007C1D47" w:rsidRPr="00323274">
        <w:t xml:space="preserve">) will become obligated to carry the station due to a channel sharing relocation.  </w:t>
      </w:r>
    </w:p>
    <w:p w:rsidR="002042AC" w:rsidRDefault="002042AC" w:rsidP="00926E7D"/>
    <w:p w:rsidR="003E11EE" w:rsidRDefault="00926E7D" w:rsidP="00926E7D">
      <w:r>
        <w:t>(2</w:t>
      </w:r>
      <w:r w:rsidR="007C1D47" w:rsidRPr="00323274">
        <w:t>) The notice required by this section must conta</w:t>
      </w:r>
      <w:r w:rsidR="003E11EE">
        <w:t xml:space="preserve">in the following information: </w:t>
      </w:r>
    </w:p>
    <w:p w:rsidR="003E11EE" w:rsidRDefault="003E11EE" w:rsidP="00926E7D"/>
    <w:p w:rsidR="003E11EE" w:rsidRDefault="003E11EE" w:rsidP="00926E7D">
      <w:r>
        <w:t>(i</w:t>
      </w:r>
      <w:r w:rsidR="007C1D47" w:rsidRPr="00323274">
        <w:t>) date and</w:t>
      </w:r>
      <w:r>
        <w:t xml:space="preserve"> time of any channel changes; </w:t>
      </w:r>
    </w:p>
    <w:p w:rsidR="003E11EE" w:rsidRDefault="003E11EE" w:rsidP="00926E7D"/>
    <w:p w:rsidR="003E11EE" w:rsidRDefault="003E11EE" w:rsidP="00926E7D">
      <w:r>
        <w:t>(ii</w:t>
      </w:r>
      <w:r w:rsidR="007C1D47" w:rsidRPr="00323274">
        <w:t>) the channel occupied by the station before and aft</w:t>
      </w:r>
      <w:r>
        <w:t xml:space="preserve">er implementation of the CSA; </w:t>
      </w:r>
    </w:p>
    <w:p w:rsidR="003E11EE" w:rsidRDefault="003E11EE" w:rsidP="00926E7D"/>
    <w:p w:rsidR="003E11EE" w:rsidRDefault="003E11EE" w:rsidP="00926E7D">
      <w:r>
        <w:t>(iii</w:t>
      </w:r>
      <w:r w:rsidR="007C1D47" w:rsidRPr="00323274">
        <w:t>) modification, if any, to antenna position, locat</w:t>
      </w:r>
      <w:r>
        <w:t xml:space="preserve">ion, or power levels; </w:t>
      </w:r>
    </w:p>
    <w:p w:rsidR="003E11EE" w:rsidRDefault="003E11EE" w:rsidP="00926E7D"/>
    <w:p w:rsidR="003E11EE" w:rsidRDefault="003E11EE" w:rsidP="00926E7D">
      <w:r>
        <w:t>(iv</w:t>
      </w:r>
      <w:r w:rsidR="007C1D47" w:rsidRPr="00323274">
        <w:t>) stream id</w:t>
      </w:r>
      <w:r>
        <w:t xml:space="preserve">entification information; and </w:t>
      </w:r>
    </w:p>
    <w:p w:rsidR="003E11EE" w:rsidRDefault="003E11EE" w:rsidP="00926E7D"/>
    <w:p w:rsidR="007C1D47" w:rsidRPr="00323274" w:rsidRDefault="003E11EE" w:rsidP="00926E7D">
      <w:r>
        <w:t>(v</w:t>
      </w:r>
      <w:r w:rsidR="007C1D47" w:rsidRPr="00323274">
        <w:t xml:space="preserve">) engineering staff contact information.  </w:t>
      </w:r>
    </w:p>
    <w:p w:rsidR="002042AC" w:rsidRDefault="002042AC" w:rsidP="00926E7D"/>
    <w:p w:rsidR="007C1D47" w:rsidRDefault="00926E7D" w:rsidP="002042AC">
      <w:pPr>
        <w:widowControl/>
      </w:pPr>
      <w:r>
        <w:t>(3</w:t>
      </w:r>
      <w:r w:rsidR="007C1D47" w:rsidRPr="00323274">
        <w:t xml:space="preserve">) Sharee stations (those relinquishing a channel in order to share) must provide notice as required by this section at least 30 days prior to terminating operations on the sharee’s channel.  Sharer stations (those hosting a sharee as part of a channel sharing agreement) and sharee stations must provide notice as required by this section at least 30 days prior to initiation of operations on the sharer channel.  Should the anticipated date to either cease operations or commence channel sharing operations change, the station(s) must snd a further notice to affected MVPDs informing them of the new anticipated date(s).  </w:t>
      </w:r>
    </w:p>
    <w:p w:rsidR="002042AC" w:rsidRPr="00323274" w:rsidRDefault="002042AC" w:rsidP="002042AC">
      <w:pPr>
        <w:widowControl/>
      </w:pPr>
    </w:p>
    <w:p w:rsidR="00554AD2" w:rsidRDefault="00926E7D" w:rsidP="00926E7D">
      <w:pPr>
        <w:sectPr w:rsidR="00554AD2" w:rsidSect="00BB7F71">
          <w:footnotePr>
            <w:numRestart w:val="eachSect"/>
          </w:footnotePr>
          <w:pgSz w:w="12240" w:h="15840"/>
          <w:pgMar w:top="1440" w:right="1440" w:bottom="720" w:left="1440" w:header="720" w:footer="720" w:gutter="0"/>
          <w:cols w:space="720"/>
          <w:docGrid w:linePitch="360"/>
        </w:sectPr>
      </w:pPr>
      <w:r>
        <w:t>(4</w:t>
      </w:r>
      <w:r w:rsidR="007C1D47" w:rsidRPr="00323274">
        <w:t xml:space="preserve">) </w:t>
      </w:r>
      <w:r w:rsidR="00EF5E5A">
        <w:t>Notifications</w:t>
      </w:r>
      <w:r w:rsidR="007C1D47" w:rsidRPr="00323274">
        <w:t xml:space="preserve"> provided to cable systems pursuant to this section must be</w:t>
      </w:r>
      <w:r w:rsidR="00EF5E5A" w:rsidRPr="00EF5E5A">
        <w:t xml:space="preserve"> </w:t>
      </w:r>
      <w:r w:rsidR="00EF5E5A">
        <w:t>either mailed</w:t>
      </w:r>
      <w:r w:rsidR="007C1D47" w:rsidRPr="00323274">
        <w:t>to the system’s official address of record provided in the cable system’s most recent filing in the FCC’s Cable Operations and Licensing System (COALS) Form 322</w:t>
      </w:r>
      <w:r w:rsidR="00EF5E5A">
        <w:t>, or emailed to the system if the system has</w:t>
      </w:r>
      <w:r w:rsidR="00EF5E5A" w:rsidRPr="00B33A44">
        <w:t xml:space="preserve"> </w:t>
      </w:r>
      <w:r w:rsidR="00EF5E5A">
        <w:t>provided an email address</w:t>
      </w:r>
      <w:r w:rsidR="007C1D47" w:rsidRPr="00323274">
        <w:t>.  For all other MVPDs, the letter must be addressed to the official corporate address registered with their State of incorporation.</w:t>
      </w:r>
    </w:p>
    <w:p w:rsidR="0004222F" w:rsidRPr="00E81C30" w:rsidRDefault="00554AD2" w:rsidP="0004222F">
      <w:pPr>
        <w:snapToGrid w:val="0"/>
        <w:jc w:val="center"/>
        <w:rPr>
          <w:b/>
        </w:rPr>
      </w:pPr>
      <w:r>
        <w:rPr>
          <w:b/>
        </w:rPr>
        <w:t>A</w:t>
      </w:r>
      <w:r w:rsidR="0004222F" w:rsidRPr="00E81C30">
        <w:rPr>
          <w:b/>
        </w:rPr>
        <w:t xml:space="preserve">PPENDIX </w:t>
      </w:r>
      <w:r w:rsidR="006C02DF">
        <w:rPr>
          <w:b/>
        </w:rPr>
        <w:t>D</w:t>
      </w:r>
    </w:p>
    <w:p w:rsidR="0004222F" w:rsidRPr="00E81C30" w:rsidRDefault="0004222F" w:rsidP="0004222F">
      <w:pPr>
        <w:snapToGrid w:val="0"/>
        <w:jc w:val="center"/>
        <w:rPr>
          <w:b/>
        </w:rPr>
      </w:pPr>
    </w:p>
    <w:p w:rsidR="0004222F" w:rsidRPr="00E81C30" w:rsidRDefault="0004222F" w:rsidP="0004222F">
      <w:pPr>
        <w:snapToGrid w:val="0"/>
        <w:jc w:val="center"/>
        <w:rPr>
          <w:b/>
        </w:rPr>
      </w:pPr>
      <w:r w:rsidRPr="00E81C30">
        <w:rPr>
          <w:b/>
        </w:rPr>
        <w:t>Initial Regulatory Flexibility Act Analysis</w:t>
      </w:r>
    </w:p>
    <w:p w:rsidR="0004222F" w:rsidRPr="00E81C30" w:rsidRDefault="0004222F" w:rsidP="0004222F">
      <w:pPr>
        <w:snapToGrid w:val="0"/>
        <w:jc w:val="center"/>
        <w:rPr>
          <w:b/>
        </w:rPr>
      </w:pPr>
    </w:p>
    <w:p w:rsidR="0004222F" w:rsidRPr="00E81C30" w:rsidRDefault="0004222F" w:rsidP="006B7413">
      <w:pPr>
        <w:pStyle w:val="ParaNum"/>
        <w:numPr>
          <w:ilvl w:val="0"/>
          <w:numId w:val="46"/>
        </w:numPr>
      </w:pPr>
      <w:r w:rsidRPr="00E81C30">
        <w:t>As required by the Regulatory Flexibility Act of 1980, as amended (“RFA”),</w:t>
      </w:r>
      <w:r w:rsidRPr="00E81C30">
        <w:rPr>
          <w:sz w:val="20"/>
          <w:vertAlign w:val="superscript"/>
        </w:rPr>
        <w:footnoteReference w:id="178"/>
      </w:r>
      <w:r w:rsidRPr="00E81C30">
        <w:t xml:space="preserve"> the Commission has prepared this Initial Regulatory Flexibility Analysis (“IRFA”) concerning the possible significant economic impact on small entities of the policies and rules proposed in the </w:t>
      </w:r>
      <w:r w:rsidRPr="00910580">
        <w:rPr>
          <w:i/>
          <w:iCs/>
        </w:rPr>
        <w:t xml:space="preserve">Notice of Proposed Rulemaking </w:t>
      </w:r>
      <w:r w:rsidRPr="00E81C30">
        <w:t>(“</w:t>
      </w:r>
      <w:r w:rsidRPr="00910580">
        <w:rPr>
          <w:i/>
          <w:iCs/>
        </w:rPr>
        <w:t>NPRM</w:t>
      </w:r>
      <w:r w:rsidRPr="00E81C30">
        <w:t xml:space="preserve">”). Written public comments are requested on this IRFA. Comments must be identified as responses to the IRFA and must be filed by the deadlines for comments provided on the first page of the </w:t>
      </w:r>
      <w:r w:rsidRPr="00910580">
        <w:rPr>
          <w:i/>
          <w:iCs/>
        </w:rPr>
        <w:t>NPRM</w:t>
      </w:r>
      <w:r w:rsidRPr="00E81C30">
        <w:t xml:space="preserve">. The Commission will send a copy of the </w:t>
      </w:r>
      <w:r w:rsidRPr="00910580">
        <w:rPr>
          <w:i/>
          <w:iCs/>
        </w:rPr>
        <w:t>NPRM</w:t>
      </w:r>
      <w:r w:rsidRPr="00E81C30">
        <w:t>, including this IRFA, to the Chief Counsel for Advocacy of the Small Business Administration (“SBA”).</w:t>
      </w:r>
      <w:r w:rsidRPr="00E81C30">
        <w:rPr>
          <w:sz w:val="20"/>
          <w:vertAlign w:val="superscript"/>
        </w:rPr>
        <w:footnoteReference w:id="179"/>
      </w:r>
      <w:r w:rsidRPr="00E81C30">
        <w:t xml:space="preserve"> In addition, the </w:t>
      </w:r>
      <w:r w:rsidRPr="00910580">
        <w:rPr>
          <w:i/>
          <w:iCs/>
        </w:rPr>
        <w:t xml:space="preserve">NPRM </w:t>
      </w:r>
      <w:r w:rsidRPr="00E81C30">
        <w:t xml:space="preserve">and IRFA (or summaries thereof) will be published in the </w:t>
      </w:r>
      <w:r w:rsidRPr="00910580">
        <w:rPr>
          <w:iCs/>
        </w:rPr>
        <w:t>Federal Register</w:t>
      </w:r>
      <w:r w:rsidRPr="00E81C30">
        <w:t>.</w:t>
      </w:r>
      <w:r w:rsidRPr="00E81C30">
        <w:rPr>
          <w:sz w:val="20"/>
          <w:vertAlign w:val="superscript"/>
        </w:rPr>
        <w:footnoteReference w:id="180"/>
      </w:r>
    </w:p>
    <w:p w:rsidR="0004222F" w:rsidRPr="00E81C30" w:rsidRDefault="0004222F" w:rsidP="0004222F">
      <w:pPr>
        <w:keepNext/>
        <w:numPr>
          <w:ilvl w:val="1"/>
          <w:numId w:val="0"/>
        </w:numPr>
        <w:tabs>
          <w:tab w:val="num" w:pos="1440"/>
        </w:tabs>
        <w:snapToGrid w:val="0"/>
        <w:spacing w:after="120"/>
        <w:ind w:left="1440" w:hanging="720"/>
        <w:outlineLvl w:val="1"/>
        <w:rPr>
          <w:b/>
        </w:rPr>
      </w:pPr>
      <w:bookmarkStart w:id="181" w:name="_Toc406672184"/>
      <w:bookmarkStart w:id="182" w:name="_Toc402433421"/>
      <w:r w:rsidRPr="00E81C30">
        <w:rPr>
          <w:b/>
        </w:rPr>
        <w:t>Need for, and Objectives of, the Proposed Rule Changes</w:t>
      </w:r>
      <w:bookmarkEnd w:id="181"/>
      <w:bookmarkEnd w:id="182"/>
    </w:p>
    <w:p w:rsidR="0004222F" w:rsidRPr="00E81C30" w:rsidRDefault="0004222F" w:rsidP="006B7413">
      <w:pPr>
        <w:pStyle w:val="ParaNum"/>
      </w:pPr>
      <w:r w:rsidRPr="00E81C30">
        <w:t xml:space="preserve">The </w:t>
      </w:r>
      <w:r w:rsidRPr="00E81C30">
        <w:rPr>
          <w:i/>
        </w:rPr>
        <w:t>NPRM</w:t>
      </w:r>
      <w:r w:rsidRPr="00E81C30">
        <w:t xml:space="preserve"> </w:t>
      </w:r>
      <w:r w:rsidRPr="00B13D86">
        <w:t xml:space="preserve">proposes to adopt rules to permit channel sharing by and between full power and Class A television stations outside the context of the incentive auction, including by one or both parties to auction-related CSAs with other entities after those auction-related agreements terminate.  </w:t>
      </w:r>
      <w:r w:rsidRPr="00E81C30">
        <w:t>Our goal is to provide clarification regarding the scope of channel sharing outside the context of the incentive auction</w:t>
      </w:r>
      <w:r>
        <w:t xml:space="preserve"> in order to encourage auction participation.  In addition, our goal is to extend the</w:t>
      </w:r>
      <w:r w:rsidRPr="002E58BA">
        <w:t xml:space="preserve"> </w:t>
      </w:r>
      <w:r>
        <w:t>public interest benefits of channel sharing to full power and Class A stations that are not participating in the auction.</w:t>
      </w:r>
      <w:r w:rsidRPr="00E81C30">
        <w:t xml:space="preserve"> </w:t>
      </w:r>
      <w:r>
        <w:t xml:space="preserve"> Th</w:t>
      </w:r>
      <w:r w:rsidRPr="00E34E19">
        <w:t>e Commission has previously concluded that channel sharing can help broadcasters, including existing small, minority-owned, and niche stations, to reduce operating costs and provide broadcasters with additional net income to strengthen operations and improve programming services.</w:t>
      </w:r>
      <w:r>
        <w:t xml:space="preserve">  Thus, extending channel sharing to full power and Class A stations outside the auction context would permit these stations to take advantage of the potential benefits of channel sharing. </w:t>
      </w:r>
    </w:p>
    <w:p w:rsidR="0004222F" w:rsidRPr="00E81C30" w:rsidRDefault="0004222F" w:rsidP="0004222F">
      <w:pPr>
        <w:keepNext/>
        <w:numPr>
          <w:ilvl w:val="1"/>
          <w:numId w:val="0"/>
        </w:numPr>
        <w:tabs>
          <w:tab w:val="num" w:pos="1440"/>
        </w:tabs>
        <w:snapToGrid w:val="0"/>
        <w:spacing w:after="120"/>
        <w:ind w:left="1440" w:hanging="720"/>
        <w:outlineLvl w:val="1"/>
        <w:rPr>
          <w:b/>
        </w:rPr>
      </w:pPr>
      <w:bookmarkStart w:id="183" w:name="_Toc406672185"/>
      <w:bookmarkStart w:id="184" w:name="_Toc402433422"/>
      <w:r w:rsidRPr="00E81C30">
        <w:rPr>
          <w:b/>
        </w:rPr>
        <w:t>Legal Basis</w:t>
      </w:r>
      <w:bookmarkEnd w:id="183"/>
      <w:bookmarkEnd w:id="184"/>
    </w:p>
    <w:p w:rsidR="0004222F" w:rsidRPr="00E81C30" w:rsidRDefault="0004222F" w:rsidP="00682DD8">
      <w:pPr>
        <w:pStyle w:val="ParaNum"/>
      </w:pPr>
      <w:r w:rsidRPr="00E81C30">
        <w:t xml:space="preserve">The proposed action is authorized pursuant to Sections </w:t>
      </w:r>
      <w:r w:rsidRPr="002E58BA">
        <w:t>1, 4, 301, 303, 307, 308, 309, 310, 316, 319, 338, 403, 614, and 615 of the Communications Act of 1934, as amended, 47 U.S.C. §§ 151, 154, 301, 303, 307, 308, 309, 310, 316, 319, 338, 403, 614 and 615.</w:t>
      </w:r>
    </w:p>
    <w:p w:rsidR="0004222F" w:rsidRPr="00E81C30" w:rsidRDefault="0004222F" w:rsidP="0004222F">
      <w:pPr>
        <w:keepNext/>
        <w:numPr>
          <w:ilvl w:val="1"/>
          <w:numId w:val="0"/>
        </w:numPr>
        <w:tabs>
          <w:tab w:val="num" w:pos="1440"/>
        </w:tabs>
        <w:snapToGrid w:val="0"/>
        <w:spacing w:after="120"/>
        <w:ind w:left="1440" w:hanging="720"/>
        <w:outlineLvl w:val="1"/>
        <w:rPr>
          <w:b/>
        </w:rPr>
      </w:pPr>
      <w:bookmarkStart w:id="185" w:name="_Toc406672186"/>
      <w:bookmarkStart w:id="186" w:name="_Toc402433423"/>
      <w:r w:rsidRPr="00E81C30">
        <w:rPr>
          <w:b/>
        </w:rPr>
        <w:t>Description and Estimate of the Number of Small Entities to Which the Proposed Rules Will Apply</w:t>
      </w:r>
      <w:bookmarkEnd w:id="185"/>
      <w:bookmarkEnd w:id="186"/>
    </w:p>
    <w:p w:rsidR="0004222F" w:rsidRPr="00E81C30" w:rsidRDefault="0004222F" w:rsidP="006B7413">
      <w:pPr>
        <w:pStyle w:val="ParaNum"/>
      </w:pPr>
      <w:r w:rsidRPr="00E81C30">
        <w:t>The RFA directs agencies to provide a description of, and where feasible, an estimate of the number of small entities that may be affected by the proposed rules, if adopted.</w:t>
      </w:r>
      <w:r w:rsidRPr="00E81C30">
        <w:rPr>
          <w:sz w:val="20"/>
          <w:vertAlign w:val="superscript"/>
        </w:rPr>
        <w:footnoteReference w:id="181"/>
      </w:r>
      <w:r w:rsidRPr="00E81C30">
        <w:t xml:space="preserve">  The RFA generally defines the term “small entity” as having the same meaning as the terms “small business,” “small organization,” and “small governmental jurisdiction.”</w:t>
      </w:r>
      <w:r w:rsidRPr="00E81C30">
        <w:rPr>
          <w:sz w:val="20"/>
          <w:vertAlign w:val="superscript"/>
        </w:rPr>
        <w:footnoteReference w:id="182"/>
      </w:r>
      <w:r w:rsidRPr="00E81C30">
        <w:t xml:space="preserve">  In addition, the term “small business” has the same meaning as the term “small business concern” under the Small Business Act.</w:t>
      </w:r>
      <w:r w:rsidRPr="00E81C30">
        <w:rPr>
          <w:sz w:val="20"/>
          <w:vertAlign w:val="superscript"/>
        </w:rPr>
        <w:footnoteReference w:id="183"/>
      </w:r>
      <w:r w:rsidRPr="00E81C30">
        <w:t xml:space="preserve">  A small business concern is one which: (1) is independently owned and operated; (2) is not dominant in its field of operation; and (3) satisfies any additional criteria established by the SBA.</w:t>
      </w:r>
      <w:r w:rsidRPr="00E81C30">
        <w:rPr>
          <w:sz w:val="20"/>
          <w:vertAlign w:val="superscript"/>
        </w:rPr>
        <w:footnoteReference w:id="184"/>
      </w:r>
      <w:r w:rsidRPr="00E81C30">
        <w:t xml:space="preserve">  Below, we provide a description of such small entities, as well as an estimate of the number of such small entities, where feasible. </w:t>
      </w:r>
    </w:p>
    <w:p w:rsidR="0004107F" w:rsidRPr="006B3EE9" w:rsidRDefault="0004107F" w:rsidP="0004107F">
      <w:pPr>
        <w:pStyle w:val="ParaNum"/>
      </w:pPr>
      <w:r w:rsidRPr="006B3EE9">
        <w:rPr>
          <w:i/>
        </w:rPr>
        <w:t>Wired Telecommunications Carriers</w:t>
      </w:r>
      <w:r w:rsidRPr="006B3EE9">
        <w:t>.  The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6B3EE9">
        <w:rPr>
          <w:sz w:val="20"/>
          <w:szCs w:val="22"/>
          <w:vertAlign w:val="superscript"/>
        </w:rPr>
        <w:footnoteReference w:id="185"/>
      </w:r>
      <w:r w:rsidRPr="006B3EE9">
        <w:t xml:space="preserve">  The SBA has developed a small business size standard for wireline firms for the broad economic census category of “Wired Telecommunications Carriers.”  Under this category, a wireline business is small if it has 1,500 or fewer employees.</w:t>
      </w:r>
      <w:r w:rsidRPr="006B3EE9">
        <w:rPr>
          <w:sz w:val="20"/>
          <w:szCs w:val="22"/>
          <w:vertAlign w:val="superscript"/>
        </w:rPr>
        <w:footnoteReference w:id="186"/>
      </w:r>
      <w:r w:rsidRPr="006B3EE9">
        <w:t xml:space="preserve">  Census data for 2007 shows that there were 3,188 firms</w:t>
      </w:r>
      <w:r w:rsidRPr="006B3EE9" w:rsidDel="00215F7B">
        <w:t xml:space="preserve"> </w:t>
      </w:r>
      <w:r w:rsidRPr="006B3EE9">
        <w:t>that operated for the entire year.</w:t>
      </w:r>
      <w:r w:rsidRPr="006B3EE9">
        <w:rPr>
          <w:sz w:val="20"/>
          <w:vertAlign w:val="superscript"/>
        </w:rPr>
        <w:footnoteReference w:id="187"/>
      </w:r>
      <w:r w:rsidRPr="006B3EE9">
        <w:t xml:space="preserve">  Of this total, 3,144 firms</w:t>
      </w:r>
      <w:r w:rsidRPr="006B3EE9" w:rsidDel="00215F7B">
        <w:t xml:space="preserve"> </w:t>
      </w:r>
      <w:r w:rsidRPr="006B3EE9">
        <w:t>had fewer than 1,000 employees, and 44 firms had 1,000 or more employees.</w:t>
      </w:r>
      <w:r w:rsidRPr="006B3EE9">
        <w:rPr>
          <w:sz w:val="20"/>
          <w:vertAlign w:val="superscript"/>
        </w:rPr>
        <w:footnoteReference w:id="188"/>
      </w:r>
      <w:r w:rsidRPr="006B3EE9">
        <w:t xml:space="preserve">  Therefore, under this size standard, we estimate that the majority of businesses can be considered small entities.</w:t>
      </w:r>
    </w:p>
    <w:p w:rsidR="0004107F" w:rsidRPr="00C94C13" w:rsidRDefault="0004107F" w:rsidP="0004107F">
      <w:pPr>
        <w:pStyle w:val="ParaNum"/>
      </w:pPr>
      <w:r w:rsidRPr="006B3EE9">
        <w:rPr>
          <w:i/>
        </w:rPr>
        <w:t>Cable Television Distribution Services.</w:t>
      </w:r>
      <w:r w:rsidRPr="006B3EE9">
        <w:t xml:space="preserve">  Since 2007, these services have been defined within the broad economic census category of Wired Telecommunications Carriers, which category is defined above.</w:t>
      </w:r>
      <w:r w:rsidRPr="006B3EE9">
        <w:rPr>
          <w:rStyle w:val="FootnoteReference"/>
        </w:rPr>
        <w:footnoteReference w:id="189"/>
      </w:r>
      <w:r w:rsidRPr="006B3EE9">
        <w:t xml:space="preserve">  The SBA has developed a small business size standard for this category, which is: All such businesses having 1,500 or fewer employees.</w:t>
      </w:r>
      <w:r w:rsidRPr="006B3EE9">
        <w:rPr>
          <w:sz w:val="20"/>
          <w:szCs w:val="22"/>
          <w:vertAlign w:val="superscript"/>
        </w:rPr>
        <w:footnoteReference w:id="190"/>
      </w:r>
      <w:r w:rsidRPr="006B3EE9">
        <w:t xml:space="preserve">  Census data for 2007 shows that there were 3,188 firms</w:t>
      </w:r>
      <w:r w:rsidRPr="006B3EE9" w:rsidDel="00215F7B">
        <w:t xml:space="preserve"> </w:t>
      </w:r>
      <w:r w:rsidRPr="006B3EE9">
        <w:t>that operated for the entire year.</w:t>
      </w:r>
      <w:r w:rsidRPr="006B3EE9">
        <w:rPr>
          <w:sz w:val="20"/>
          <w:vertAlign w:val="superscript"/>
        </w:rPr>
        <w:footnoteReference w:id="191"/>
      </w:r>
      <w:r w:rsidRPr="006B3EE9">
        <w:t xml:space="preserve">  Of this total, 3,144 firms</w:t>
      </w:r>
      <w:r w:rsidRPr="006B3EE9" w:rsidDel="00215F7B">
        <w:t xml:space="preserve"> </w:t>
      </w:r>
      <w:r w:rsidRPr="006B3EE9">
        <w:t>had fewer than 1,000 employees, and 44 firms had 1,000 or more employees.</w:t>
      </w:r>
      <w:r w:rsidRPr="006B3EE9">
        <w:rPr>
          <w:sz w:val="20"/>
          <w:vertAlign w:val="superscript"/>
        </w:rPr>
        <w:footnoteReference w:id="192"/>
      </w:r>
      <w:r w:rsidRPr="006B3EE9">
        <w:t xml:space="preserve">  Therefore, under this size standard, we estimate that the majority of businesses can be considered small entities. </w:t>
      </w:r>
    </w:p>
    <w:p w:rsidR="0004222F" w:rsidRPr="00E81C30" w:rsidRDefault="0004222F" w:rsidP="006B7413">
      <w:pPr>
        <w:pStyle w:val="ParaNum"/>
      </w:pPr>
      <w:r w:rsidRPr="00E81C30">
        <w:rPr>
          <w:i/>
        </w:rPr>
        <w:t>Cable Companies and Systems.</w:t>
      </w:r>
      <w:r w:rsidRPr="00E81C30">
        <w:t xml:space="preserve">  The Commission has developed its own small business size standards for the purpose of cable rate regulation.  Under the Commission’s rules, a “small cable company” is one serving 400,000 or fewer subscribers nationwide.</w:t>
      </w:r>
      <w:r w:rsidRPr="00E81C30">
        <w:rPr>
          <w:sz w:val="20"/>
          <w:vertAlign w:val="superscript"/>
        </w:rPr>
        <w:footnoteReference w:id="193"/>
      </w:r>
      <w:r w:rsidRPr="00E81C30">
        <w:t xml:space="preserve">  Industry data shows that there are currently 660 cable operators</w:t>
      </w:r>
      <w:r w:rsidRPr="00E81C30">
        <w:rPr>
          <w:b/>
        </w:rPr>
        <w:t>.</w:t>
      </w:r>
      <w:r w:rsidRPr="00E81C30">
        <w:rPr>
          <w:sz w:val="20"/>
          <w:vertAlign w:val="superscript"/>
        </w:rPr>
        <w:footnoteReference w:id="194"/>
      </w:r>
      <w:r w:rsidRPr="00E81C30">
        <w:rPr>
          <w:b/>
        </w:rPr>
        <w:t xml:space="preserve">  </w:t>
      </w:r>
      <w:r w:rsidRPr="00E81C30">
        <w:t>Of this total, all but ten cable operators nationwide are small under this size standard.</w:t>
      </w:r>
      <w:r w:rsidRPr="00E81C30">
        <w:rPr>
          <w:sz w:val="20"/>
          <w:vertAlign w:val="superscript"/>
        </w:rPr>
        <w:footnoteReference w:id="195"/>
      </w:r>
      <w:r w:rsidRPr="00E81C30">
        <w:t xml:space="preserve">  In addition, under the Commission’s rate regulation rules, a “small system” is a cable system serving 15,000 or fewer subscribers.</w:t>
      </w:r>
      <w:r w:rsidRPr="00E81C30">
        <w:rPr>
          <w:sz w:val="20"/>
          <w:vertAlign w:val="superscript"/>
        </w:rPr>
        <w:footnoteReference w:id="196"/>
      </w:r>
      <w:r w:rsidRPr="00E81C30">
        <w:t xml:space="preserve">  Current Commission records show 4,629 cable systems nationwide.</w:t>
      </w:r>
      <w:r w:rsidRPr="00E81C30">
        <w:rPr>
          <w:sz w:val="20"/>
          <w:vertAlign w:val="superscript"/>
        </w:rPr>
        <w:footnoteReference w:id="197"/>
      </w:r>
      <w:r w:rsidRPr="00E81C30">
        <w:t xml:space="preserve">  Of this total, 4,057 cable systems have less than 20,000 subscribers, and 572 systems have 20,000 or more subscribers, based on the same records.  Thus, under this standard, we estimate that most cable systems are small entities.</w:t>
      </w:r>
    </w:p>
    <w:p w:rsidR="0004222F" w:rsidRPr="00E81C30" w:rsidRDefault="0004222F" w:rsidP="006B7413">
      <w:pPr>
        <w:pStyle w:val="ParaNum"/>
      </w:pPr>
      <w:r w:rsidRPr="00E81C30">
        <w:rPr>
          <w:i/>
        </w:rPr>
        <w:t>Cable System Operators (Telecom Act Standard)</w:t>
      </w:r>
      <w:r w:rsidRPr="00E81C30">
        <w:t>.</w:t>
      </w:r>
      <w:r w:rsidRPr="00E81C30">
        <w:rPr>
          <w:b/>
        </w:rPr>
        <w:t xml:space="preserve">  </w:t>
      </w:r>
      <w:r w:rsidRPr="00E81C30">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E81C30">
        <w:rPr>
          <w:sz w:val="20"/>
          <w:vertAlign w:val="superscript"/>
        </w:rPr>
        <w:footnoteReference w:id="198"/>
      </w:r>
      <w:r w:rsidRPr="00E81C30">
        <w:t xml:space="preserve">  There are approximately 54 million cable video subscribers in the United States today.</w:t>
      </w:r>
      <w:r w:rsidRPr="00E81C30">
        <w:rPr>
          <w:sz w:val="20"/>
          <w:vertAlign w:val="superscript"/>
        </w:rPr>
        <w:footnoteReference w:id="199"/>
      </w:r>
      <w:r w:rsidRPr="00E81C30">
        <w:t xml:space="preserve">  Accordingly, an operator serving fewer than 540,000 subscribers shall be deemed a small operator if its annual revenues, when combined with the total annual revenues of all its affiliates, do not exceed $250 million in the aggregate.</w:t>
      </w:r>
      <w:r w:rsidRPr="00E81C30">
        <w:rPr>
          <w:sz w:val="20"/>
          <w:vertAlign w:val="superscript"/>
        </w:rPr>
        <w:footnoteReference w:id="200"/>
      </w:r>
      <w:r w:rsidRPr="00E81C30">
        <w:t xml:space="preserve">  Based on available data, we find that all but ten incumbent cable operators are small entities under this size standard.</w:t>
      </w:r>
      <w:r w:rsidRPr="00E81C30">
        <w:rPr>
          <w:sz w:val="20"/>
          <w:vertAlign w:val="superscript"/>
        </w:rPr>
        <w:footnoteReference w:id="201"/>
      </w:r>
      <w:r w:rsidRPr="00E81C30">
        <w:t xml:space="preserve">  We note that the Commission neither requests nor collects information on whether cable system operators are affiliated with entities whose gross annual revenues exceed $250 million.</w:t>
      </w:r>
      <w:r w:rsidRPr="00E81C30">
        <w:rPr>
          <w:sz w:val="20"/>
          <w:vertAlign w:val="superscript"/>
        </w:rPr>
        <w:footnoteReference w:id="202"/>
      </w:r>
      <w:r w:rsidRPr="00E81C30">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04222F" w:rsidRDefault="0004222F" w:rsidP="006B7413">
      <w:pPr>
        <w:pStyle w:val="ParaNum"/>
      </w:pPr>
      <w:r w:rsidRPr="00E81C30">
        <w:rPr>
          <w:i/>
        </w:rPr>
        <w:t>Direct Broadcast Satellite (DBS) Service.</w:t>
      </w:r>
      <w:r w:rsidRPr="00E81C30">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E81C30">
        <w:rPr>
          <w:sz w:val="20"/>
          <w:vertAlign w:val="superscript"/>
        </w:rPr>
        <w:footnoteReference w:id="203"/>
      </w:r>
      <w:r w:rsidRPr="00E81C30">
        <w:t xml:space="preserve"> which was developed for small wireline businesses.  Under this category, the SBA deems a wireline business to be small if it has 1,500 or fewer employees.</w:t>
      </w:r>
      <w:r w:rsidRPr="00E81C30">
        <w:rPr>
          <w:sz w:val="20"/>
          <w:vertAlign w:val="superscript"/>
        </w:rPr>
        <w:footnoteReference w:id="204"/>
      </w:r>
      <w:r w:rsidRPr="00E81C30">
        <w:t xml:space="preserve">  Census data for 2007 shows that there were 3,188 firms that operated for that entire year.</w:t>
      </w:r>
      <w:r w:rsidRPr="00E81C30">
        <w:rPr>
          <w:sz w:val="20"/>
          <w:vertAlign w:val="superscript"/>
        </w:rPr>
        <w:footnoteReference w:id="205"/>
      </w:r>
      <w:r w:rsidRPr="00E81C30">
        <w:t xml:space="preserve">  Of this total, 2,940 firms had fewer than 100 employees, and 248 firms had 100 or more employees.</w:t>
      </w:r>
      <w:r w:rsidRPr="00E81C30">
        <w:rPr>
          <w:sz w:val="20"/>
          <w:vertAlign w:val="superscript"/>
        </w:rPr>
        <w:footnoteReference w:id="206"/>
      </w:r>
      <w:r w:rsidRPr="00E81C30">
        <w:t xml:space="preserve">  Therefore, under this size standard, the majority of such businesses can be considered small entities.  However, the data we have available as a basis for estimating the number of such small entities were gathered under a superseded SBA small business size standard formerly titled “Cable and Other Program Distribution.”  As of 2002, the SBA defined a small Cable and Other Program Distribution provider as one with $12.5 million or less in annual receipts.</w:t>
      </w:r>
      <w:r w:rsidRPr="00E81C30">
        <w:rPr>
          <w:sz w:val="20"/>
          <w:vertAlign w:val="superscript"/>
        </w:rPr>
        <w:footnoteReference w:id="207"/>
      </w:r>
      <w:r w:rsidRPr="00E81C30">
        <w:t xml:space="preserve">  Currently, only two entities provide DBS service, which requires a great investment of capital for operation:  DIRECTV and DISH Network.</w:t>
      </w:r>
      <w:r w:rsidRPr="00E81C30">
        <w:rPr>
          <w:sz w:val="20"/>
          <w:vertAlign w:val="superscript"/>
        </w:rPr>
        <w:footnoteReference w:id="208"/>
      </w:r>
      <w:r w:rsidRPr="00E81C30">
        <w:t xml:space="preserve">  Each currently offers subscription services.  DIRECTV and DISH Network each report annual revenues that are in excess of the threshold for a small business.  Because DBS service requires significant capital, we believe it is unlikely that a small entity as defined under the superseded SBA size standard would have the financial wherewithal to become a DBS service provider.  </w:t>
      </w:r>
    </w:p>
    <w:p w:rsidR="0004107F" w:rsidRPr="006B3EE9" w:rsidRDefault="0004107F" w:rsidP="00BB7F71">
      <w:pPr>
        <w:pStyle w:val="ParaNum"/>
        <w:widowControl/>
        <w:rPr>
          <w:szCs w:val="22"/>
        </w:rPr>
      </w:pPr>
      <w:r w:rsidRPr="006B3EE9">
        <w:rPr>
          <w:i/>
          <w:szCs w:val="22"/>
        </w:rPr>
        <w:t>Television Broadcasting</w:t>
      </w:r>
      <w:r w:rsidRPr="006B3EE9">
        <w:rPr>
          <w:szCs w:val="22"/>
        </w:rPr>
        <w:t xml:space="preserve">.  </w:t>
      </w:r>
      <w:r w:rsidRPr="006B3EE9">
        <w:t>This economic census category “comprises establishments primarily engaged in broadcasting images together with sound.”</w:t>
      </w:r>
      <w:r w:rsidRPr="006B3EE9">
        <w:rPr>
          <w:rStyle w:val="FootnoteReference"/>
        </w:rPr>
        <w:footnoteReference w:id="209"/>
      </w:r>
      <w:r w:rsidRPr="006B3EE9">
        <w:t xml:space="preserve">  The SBA has created the following small business size standard for such businesses:  those having $38.5 million or less in annual receipts.</w:t>
      </w:r>
      <w:r w:rsidRPr="006B3EE9">
        <w:rPr>
          <w:sz w:val="20"/>
          <w:szCs w:val="22"/>
          <w:vertAlign w:val="superscript"/>
        </w:rPr>
        <w:footnoteReference w:id="210"/>
      </w:r>
      <w:r w:rsidRPr="006B3EE9">
        <w:t xml:space="preserve">    The 2007 U.S. Census indicates that 808 firms in this category operated in that year.  Of that number, 709 had annual receipts of $25,000,000 or less, and 99 had annual receipts of more than $25,000,000.</w:t>
      </w:r>
      <w:r w:rsidRPr="006B3EE9">
        <w:rPr>
          <w:rStyle w:val="FootnoteReference"/>
        </w:rPr>
        <w:footnoteReference w:id="211"/>
      </w:r>
      <w:r w:rsidRPr="006B3EE9">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w:t>
      </w:r>
    </w:p>
    <w:p w:rsidR="0004107F" w:rsidRPr="006B3EE9" w:rsidRDefault="0004107F" w:rsidP="0004107F">
      <w:pPr>
        <w:pStyle w:val="ParaNum"/>
        <w:rPr>
          <w:szCs w:val="22"/>
        </w:rPr>
      </w:pPr>
      <w:r w:rsidRPr="006B3EE9">
        <w:rPr>
          <w:szCs w:val="22"/>
        </w:rPr>
        <w:t xml:space="preserve">Apart from the U.S. Census, the Commission has estimated </w:t>
      </w:r>
      <w:r w:rsidRPr="006B3EE9">
        <w:t>the number of licensed commercial television stations to be 1,390 stations.</w:t>
      </w:r>
      <w:r w:rsidRPr="006B3EE9">
        <w:rPr>
          <w:rStyle w:val="FootnoteReference"/>
        </w:rPr>
        <w:footnoteReference w:id="212"/>
      </w:r>
      <w:r w:rsidRPr="006B3EE9">
        <w:t xml:space="preserve">  Of this total, 1,221 stations (or about 88 percent) had revenues of $38.5 million or less, according to Commission staff review of the BIA Kelsey Inc. Media Access Pro Television Database (BIA) on July 2, 2014.  </w:t>
      </w:r>
      <w:r w:rsidRPr="006B3EE9">
        <w:rPr>
          <w:szCs w:val="22"/>
        </w:rPr>
        <w:t>In addition, the Commission has estimated the number of licensed noncommercial educational (NCE) television stations to be 395.</w:t>
      </w:r>
      <w:r w:rsidRPr="006B3EE9">
        <w:rPr>
          <w:rStyle w:val="FootnoteReference"/>
          <w:szCs w:val="22"/>
        </w:rPr>
        <w:footnoteReference w:id="213"/>
      </w:r>
      <w:r w:rsidRPr="006B3EE9">
        <w:rPr>
          <w:szCs w:val="22"/>
        </w:rPr>
        <w:t xml:space="preserve">  </w:t>
      </w:r>
      <w:r w:rsidRPr="006B3EE9">
        <w:t>NCE stations are non-profit, and therefore considered to be small entities.</w:t>
      </w:r>
      <w:r w:rsidRPr="006B3EE9">
        <w:rPr>
          <w:rStyle w:val="FootnoteReference"/>
        </w:rPr>
        <w:footnoteReference w:id="214"/>
      </w:r>
      <w:r w:rsidRPr="006B3EE9">
        <w:t xml:space="preserve">  Therefore, w</w:t>
      </w:r>
      <w:r w:rsidRPr="006B3EE9">
        <w:rPr>
          <w:szCs w:val="22"/>
        </w:rPr>
        <w:t xml:space="preserve">e estimate that the majority of television broadcast </w:t>
      </w:r>
      <w:r w:rsidRPr="006B3EE9">
        <w:t>stations</w:t>
      </w:r>
      <w:r w:rsidRPr="006B3EE9">
        <w:rPr>
          <w:szCs w:val="22"/>
        </w:rPr>
        <w:t xml:space="preserve"> are small entities.</w:t>
      </w:r>
    </w:p>
    <w:p w:rsidR="0004107F" w:rsidRPr="00307618" w:rsidRDefault="0004107F" w:rsidP="0004107F">
      <w:pPr>
        <w:pStyle w:val="ParaNum"/>
        <w:rPr>
          <w:u w:val="single"/>
        </w:rPr>
      </w:pPr>
      <w:r w:rsidRPr="006B3EE9">
        <w:t>We note, however, that in assessing whether a business concern qualifies as small under the above definition, business (control) affiliations</w:t>
      </w:r>
      <w:r w:rsidRPr="006B3EE9">
        <w:rPr>
          <w:rStyle w:val="FootnoteReference"/>
        </w:rPr>
        <w:footnoteReference w:id="215"/>
      </w:r>
      <w:r w:rsidRPr="006B3EE9">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04107F" w:rsidRPr="00E81C30" w:rsidRDefault="0004107F" w:rsidP="0004107F">
      <w:pPr>
        <w:pStyle w:val="ParaNum"/>
      </w:pPr>
      <w:r w:rsidRPr="00307618">
        <w:rPr>
          <w:i/>
        </w:rPr>
        <w:t>Class A TV Stations</w:t>
      </w:r>
      <w:r w:rsidRPr="006B3EE9">
        <w:t>.  The same SBA definition that applies to television broadcast stations would apply to licensees of Class A television stations.  As noted above, the SBA has created the following small business size standard for this category:  those having $38.5 million or less in annual receipts.</w:t>
      </w:r>
      <w:r w:rsidRPr="006B3EE9">
        <w:rPr>
          <w:sz w:val="20"/>
          <w:vertAlign w:val="superscript"/>
        </w:rPr>
        <w:footnoteReference w:id="216"/>
      </w:r>
      <w:r w:rsidRPr="006B3EE9">
        <w:t xml:space="preserve">  The Commission has estimated the number of licensed Class A television stations to be 4</w:t>
      </w:r>
      <w:r w:rsidR="00682DD8">
        <w:t>05</w:t>
      </w:r>
      <w:r w:rsidRPr="006B3EE9">
        <w:t>.</w:t>
      </w:r>
      <w:r w:rsidRPr="006B3EE9">
        <w:rPr>
          <w:sz w:val="20"/>
          <w:szCs w:val="22"/>
          <w:vertAlign w:val="superscript"/>
        </w:rPr>
        <w:footnoteReference w:id="217"/>
      </w:r>
      <w:r w:rsidRPr="00307618">
        <w:rPr>
          <w:szCs w:val="22"/>
        </w:rPr>
        <w:t xml:space="preserve"> </w:t>
      </w:r>
      <w:r w:rsidRPr="006B3EE9">
        <w:t xml:space="preserve"> Given the nature of these services, we will presume that these licensees qualify as small entities under the SBA definition.</w:t>
      </w:r>
    </w:p>
    <w:p w:rsidR="0004222F" w:rsidRPr="00E81C30" w:rsidRDefault="0004222F" w:rsidP="0004222F">
      <w:pPr>
        <w:keepNext/>
        <w:numPr>
          <w:ilvl w:val="1"/>
          <w:numId w:val="0"/>
        </w:numPr>
        <w:tabs>
          <w:tab w:val="num" w:pos="1440"/>
        </w:tabs>
        <w:snapToGrid w:val="0"/>
        <w:spacing w:after="120"/>
        <w:ind w:left="1440" w:hanging="720"/>
        <w:outlineLvl w:val="1"/>
        <w:rPr>
          <w:b/>
        </w:rPr>
      </w:pPr>
      <w:bookmarkStart w:id="187" w:name="_Toc406672187"/>
      <w:bookmarkStart w:id="188" w:name="_Toc402433424"/>
      <w:r w:rsidRPr="00E81C30">
        <w:rPr>
          <w:b/>
        </w:rPr>
        <w:t>Description of Projected Reporting, Recordkeeping, and Other Compliance Requirements</w:t>
      </w:r>
      <w:bookmarkEnd w:id="187"/>
      <w:bookmarkEnd w:id="188"/>
    </w:p>
    <w:p w:rsidR="0004222F" w:rsidRPr="00E81C30" w:rsidRDefault="0004222F" w:rsidP="006B7413">
      <w:pPr>
        <w:pStyle w:val="ParaNum"/>
      </w:pPr>
      <w:r w:rsidRPr="00E81C30">
        <w:t xml:space="preserve">The </w:t>
      </w:r>
      <w:r w:rsidRPr="00E81C30">
        <w:rPr>
          <w:i/>
        </w:rPr>
        <w:t>NPRM</w:t>
      </w:r>
      <w:r w:rsidRPr="00E81C30">
        <w:t xml:space="preserve"> </w:t>
      </w:r>
      <w:r w:rsidRPr="00980248">
        <w:t xml:space="preserve">proposes several regulatory requirements that will require either new </w:t>
      </w:r>
      <w:r>
        <w:t xml:space="preserve">information </w:t>
      </w:r>
      <w:r w:rsidRPr="00980248">
        <w:t xml:space="preserve">collections or revisions to existing collections.  The </w:t>
      </w:r>
      <w:r w:rsidRPr="00980248">
        <w:rPr>
          <w:i/>
        </w:rPr>
        <w:t>NPRM</w:t>
      </w:r>
      <w:r w:rsidRPr="00980248">
        <w:t xml:space="preserve"> proposes to require full power and Class A stations seeking to channel share outside the auction context to </w:t>
      </w:r>
      <w:r w:rsidRPr="00980248">
        <w:rPr>
          <w:color w:val="000000"/>
        </w:rPr>
        <w:t xml:space="preserve">follow a two-step licensing process - first filing an application for construction permit and then an application for license. </w:t>
      </w:r>
      <w:r w:rsidR="00A64223">
        <w:rPr>
          <w:color w:val="000000"/>
        </w:rPr>
        <w:t xml:space="preserve"> </w:t>
      </w:r>
      <w:r w:rsidRPr="00980248">
        <w:rPr>
          <w:color w:val="000000"/>
        </w:rPr>
        <w:t xml:space="preserve">These existing collections will need to be revised to reflect these new channel-sharing related filings and the associated burden estimates.  In addition, the </w:t>
      </w:r>
      <w:r w:rsidRPr="00980248">
        <w:rPr>
          <w:i/>
          <w:color w:val="000000"/>
        </w:rPr>
        <w:t>NPRM</w:t>
      </w:r>
      <w:r w:rsidRPr="00980248">
        <w:rPr>
          <w:color w:val="000000"/>
        </w:rPr>
        <w:t xml:space="preserve"> proposes that channel sharing stations submit their channel sharing agreements (CSAs) with the Commission and be required to include certain provisions in their CSAs. </w:t>
      </w:r>
      <w:r w:rsidR="00A64223">
        <w:rPr>
          <w:color w:val="000000"/>
        </w:rPr>
        <w:t xml:space="preserve"> </w:t>
      </w:r>
      <w:r w:rsidRPr="00980248">
        <w:rPr>
          <w:color w:val="000000"/>
        </w:rPr>
        <w:t xml:space="preserve">The existing collection concerning the execution and filing of CSAs will need to be revised.  Finally, the </w:t>
      </w:r>
      <w:r w:rsidRPr="00980248">
        <w:rPr>
          <w:i/>
          <w:color w:val="000000"/>
        </w:rPr>
        <w:t>NPRM</w:t>
      </w:r>
      <w:r w:rsidRPr="00980248">
        <w:rPr>
          <w:color w:val="000000"/>
        </w:rPr>
        <w:t xml:space="preserve"> proposes to require channel sharing stations to notify affected MVPDs.  </w:t>
      </w:r>
      <w:r w:rsidRPr="00E81C30">
        <w:t xml:space="preserve">  </w:t>
      </w:r>
      <w:bookmarkStart w:id="189" w:name="_Toc406672188"/>
      <w:bookmarkStart w:id="190" w:name="_Toc402433425"/>
    </w:p>
    <w:p w:rsidR="0004222F" w:rsidRPr="00E81C30" w:rsidRDefault="0004222F" w:rsidP="0004222F">
      <w:pPr>
        <w:keepNext/>
        <w:numPr>
          <w:ilvl w:val="1"/>
          <w:numId w:val="0"/>
        </w:numPr>
        <w:tabs>
          <w:tab w:val="num" w:pos="1440"/>
        </w:tabs>
        <w:snapToGrid w:val="0"/>
        <w:spacing w:after="120"/>
        <w:ind w:left="1440" w:hanging="720"/>
        <w:outlineLvl w:val="1"/>
        <w:rPr>
          <w:b/>
        </w:rPr>
      </w:pPr>
      <w:r w:rsidRPr="00E81C30">
        <w:rPr>
          <w:b/>
        </w:rPr>
        <w:t>Steps Taken to Minimize Significant Impact on Small Entities and Significant Alternatives Considered</w:t>
      </w:r>
      <w:bookmarkEnd w:id="189"/>
      <w:bookmarkEnd w:id="190"/>
    </w:p>
    <w:p w:rsidR="0004222F" w:rsidRPr="00E81C30" w:rsidRDefault="0004222F" w:rsidP="006B7413">
      <w:pPr>
        <w:pStyle w:val="ParaNum"/>
      </w:pPr>
      <w:r w:rsidRPr="00E81C3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sidRPr="00E81C30">
        <w:rPr>
          <w:sz w:val="20"/>
          <w:vertAlign w:val="superscript"/>
        </w:rPr>
        <w:footnoteReference w:id="218"/>
      </w:r>
    </w:p>
    <w:p w:rsidR="0004222F" w:rsidRPr="00E81C30" w:rsidRDefault="0004222F" w:rsidP="006B7413">
      <w:pPr>
        <w:pStyle w:val="ParaNum"/>
      </w:pPr>
      <w:r w:rsidRPr="00E81C30">
        <w:t xml:space="preserve">The </w:t>
      </w:r>
      <w:r w:rsidRPr="00E81C30">
        <w:rPr>
          <w:i/>
        </w:rPr>
        <w:t>NPRM</w:t>
      </w:r>
      <w:r w:rsidRPr="00E81C30">
        <w:t xml:space="preserve"> </w:t>
      </w:r>
      <w:r w:rsidRPr="00E34E19">
        <w:t xml:space="preserve">proposes to permit channel sharing by and between full power and Class A television stations outside the context of the incentive auction and seeks comment on that proposal as well as a proposed regulatory framework for such </w:t>
      </w:r>
      <w:r w:rsidR="008B0F23">
        <w:t>agreement</w:t>
      </w:r>
      <w:r w:rsidRPr="00E34E19">
        <w:t xml:space="preserve">s.  The Commission has previously concluded that channel sharing can help broadcasters, including existing small, minority-owned, and niche stations, to reduce operating costs and provide broadcasters with additional net income to strengthen operations and improve programming services.  Thus, the proposals in the </w:t>
      </w:r>
      <w:r w:rsidRPr="00E34E19">
        <w:rPr>
          <w:i/>
        </w:rPr>
        <w:t>NPRM</w:t>
      </w:r>
      <w:r w:rsidRPr="00E34E19">
        <w:t xml:space="preserve"> may help smaller broadcasters </w:t>
      </w:r>
      <w:r w:rsidR="00B31DEC">
        <w:t>c</w:t>
      </w:r>
      <w:r w:rsidRPr="00E34E19">
        <w:t xml:space="preserve">onserve resources.  In addition, the </w:t>
      </w:r>
      <w:r w:rsidRPr="00E34E19">
        <w:rPr>
          <w:i/>
        </w:rPr>
        <w:t>NPRM</w:t>
      </w:r>
      <w:r w:rsidRPr="00E34E19">
        <w:t xml:space="preserve"> </w:t>
      </w:r>
      <w:r w:rsidRPr="00E34E19">
        <w:rPr>
          <w:color w:val="000000"/>
        </w:rPr>
        <w:t xml:space="preserve">proposes licensing and operating rules for channel sharing by and between full power and Class A stations that are designed to minimize impact on small entities. The rules provide a streamlined method for reviewing and licensing channel sharing for these stations and seek comment on whether to adopt a streamlined approach for reviewing proposals for a change in community of license of sharee stations. </w:t>
      </w:r>
      <w:r w:rsidRPr="00E34E19">
        <w:t xml:space="preserve">The Commission will consider all comments submitted in connection with the </w:t>
      </w:r>
      <w:r w:rsidRPr="00E34E19">
        <w:rPr>
          <w:i/>
        </w:rPr>
        <w:t>NPRM</w:t>
      </w:r>
      <w:r w:rsidRPr="00E34E19">
        <w:t xml:space="preserve">, including any suggested alternative approaches to channel sharing by full power and Class A stations that would reduce the burden and costs on smaller entities. </w:t>
      </w:r>
    </w:p>
    <w:p w:rsidR="0004222F" w:rsidRPr="00E81C30" w:rsidRDefault="0004222F" w:rsidP="0004222F">
      <w:pPr>
        <w:keepNext/>
        <w:numPr>
          <w:ilvl w:val="1"/>
          <w:numId w:val="0"/>
        </w:numPr>
        <w:tabs>
          <w:tab w:val="num" w:pos="1440"/>
        </w:tabs>
        <w:snapToGrid w:val="0"/>
        <w:spacing w:after="120"/>
        <w:ind w:left="1440" w:hanging="720"/>
        <w:outlineLvl w:val="1"/>
        <w:rPr>
          <w:b/>
        </w:rPr>
      </w:pPr>
      <w:bookmarkStart w:id="191" w:name="_Toc406672189"/>
      <w:bookmarkStart w:id="192" w:name="_Toc402433426"/>
      <w:r w:rsidRPr="00E81C30">
        <w:rPr>
          <w:b/>
        </w:rPr>
        <w:t>Federal Rules that May Duplicate, Overlap, or Conflict with the Proposed Rule</w:t>
      </w:r>
      <w:bookmarkEnd w:id="191"/>
      <w:bookmarkEnd w:id="192"/>
    </w:p>
    <w:p w:rsidR="0004222F" w:rsidRPr="00E81C30" w:rsidRDefault="0004222F" w:rsidP="006B7413">
      <w:pPr>
        <w:pStyle w:val="ParaNum"/>
      </w:pPr>
      <w:r w:rsidRPr="00E81C30">
        <w:t>None.</w:t>
      </w:r>
    </w:p>
    <w:sectPr w:rsidR="0004222F" w:rsidRPr="00E81C30" w:rsidSect="00BB7F71">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07" w:rsidRDefault="00107107">
      <w:pPr>
        <w:spacing w:line="20" w:lineRule="exact"/>
      </w:pPr>
    </w:p>
  </w:endnote>
  <w:endnote w:type="continuationSeparator" w:id="0">
    <w:p w:rsidR="00107107" w:rsidRDefault="00107107">
      <w:r>
        <w:t xml:space="preserve"> </w:t>
      </w:r>
    </w:p>
  </w:endnote>
  <w:endnote w:type="continuationNotice" w:id="1">
    <w:p w:rsidR="00107107" w:rsidRDefault="001071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B3" w:rsidRDefault="00291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75960"/>
      <w:docPartObj>
        <w:docPartGallery w:val="Page Numbers (Bottom of Page)"/>
        <w:docPartUnique/>
      </w:docPartObj>
    </w:sdtPr>
    <w:sdtEndPr>
      <w:rPr>
        <w:noProof/>
      </w:rPr>
    </w:sdtEndPr>
    <w:sdtContent>
      <w:p w:rsidR="00107107" w:rsidRDefault="00107107" w:rsidP="003B0984">
        <w:pPr>
          <w:pStyle w:val="Footer"/>
          <w:jc w:val="center"/>
        </w:pPr>
        <w:r>
          <w:fldChar w:fldCharType="begin"/>
        </w:r>
        <w:r>
          <w:instrText xml:space="preserve"> PAGE   \* MERGEFORMAT </w:instrText>
        </w:r>
        <w:r>
          <w:fldChar w:fldCharType="separate"/>
        </w:r>
        <w:r w:rsidR="00415CD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B3" w:rsidRDefault="00291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07" w:rsidRDefault="00107107">
      <w:r>
        <w:separator/>
      </w:r>
    </w:p>
  </w:footnote>
  <w:footnote w:type="continuationSeparator" w:id="0">
    <w:p w:rsidR="00107107" w:rsidRDefault="00107107" w:rsidP="008839B1">
      <w:pPr>
        <w:spacing w:before="120"/>
        <w:rPr>
          <w:sz w:val="20"/>
        </w:rPr>
      </w:pPr>
      <w:r>
        <w:rPr>
          <w:sz w:val="20"/>
        </w:rPr>
        <w:t xml:space="preserve">(Continued from previous page)  </w:t>
      </w:r>
      <w:r>
        <w:rPr>
          <w:sz w:val="20"/>
        </w:rPr>
        <w:separator/>
      </w:r>
    </w:p>
  </w:footnote>
  <w:footnote w:type="continuationNotice" w:id="1">
    <w:p w:rsidR="00107107" w:rsidRDefault="00107107" w:rsidP="008839B1">
      <w:pPr>
        <w:jc w:val="right"/>
        <w:rPr>
          <w:sz w:val="20"/>
        </w:rPr>
      </w:pPr>
      <w:r>
        <w:rPr>
          <w:sz w:val="20"/>
        </w:rPr>
        <w:t>(continued….)</w:t>
      </w:r>
    </w:p>
  </w:footnote>
  <w:footnote w:id="2">
    <w:p w:rsidR="00107107" w:rsidRPr="00CB1007" w:rsidRDefault="00107107" w:rsidP="00087AA2">
      <w:pPr>
        <w:pStyle w:val="FootnoteText"/>
      </w:pPr>
      <w:r w:rsidRPr="00CB1007">
        <w:rPr>
          <w:rStyle w:val="FootnoteReference"/>
        </w:rPr>
        <w:footnoteRef/>
      </w:r>
      <w:r w:rsidRPr="00CB1007">
        <w:t xml:space="preserve"> </w:t>
      </w:r>
      <w:r w:rsidRPr="00CB1007">
        <w:rPr>
          <w:i/>
        </w:rPr>
        <w:t>Expanding the Economic and Innovation Opportunities of Spectrum Through Incentive Auctions</w:t>
      </w:r>
      <w:r w:rsidRPr="00CB1007">
        <w:t>, GN Docket No. 12-268, Report and Order, 29 FCC Rcd 6567, para. 1 (2014) (“</w:t>
      </w:r>
      <w:r w:rsidRPr="00CB1007">
        <w:rPr>
          <w:i/>
        </w:rPr>
        <w:t>IA R&amp;O”</w:t>
      </w:r>
      <w:r w:rsidRPr="00CB1007">
        <w:t>) (petitions for reconsideration pending).</w:t>
      </w:r>
    </w:p>
  </w:footnote>
  <w:footnote w:id="3">
    <w:p w:rsidR="00107107" w:rsidRPr="00CB1007" w:rsidRDefault="00107107" w:rsidP="00087AA2">
      <w:pPr>
        <w:pStyle w:val="FootnoteText"/>
      </w:pPr>
      <w:r w:rsidRPr="00CB1007">
        <w:rPr>
          <w:rStyle w:val="FootnoteReference"/>
        </w:rPr>
        <w:footnoteRef/>
      </w:r>
      <w:r w:rsidRPr="00CB1007">
        <w:t xml:space="preserve"> </w:t>
      </w:r>
      <w:r w:rsidRPr="00CB1007">
        <w:rPr>
          <w:i/>
        </w:rPr>
        <w:t xml:space="preserve">Id. </w:t>
      </w:r>
      <w:r w:rsidRPr="00CB1007">
        <w:t>at 6572, para. 9.</w:t>
      </w:r>
    </w:p>
  </w:footnote>
  <w:footnote w:id="4">
    <w:p w:rsidR="00107107" w:rsidRPr="00CB1007" w:rsidRDefault="00107107" w:rsidP="00087AA2">
      <w:pPr>
        <w:pStyle w:val="FootnoteText"/>
      </w:pPr>
      <w:r w:rsidRPr="00CB1007">
        <w:rPr>
          <w:rStyle w:val="FootnoteReference"/>
        </w:rPr>
        <w:footnoteRef/>
      </w:r>
      <w:r w:rsidRPr="00CB1007">
        <w:t xml:space="preserve"> </w:t>
      </w:r>
      <w:r w:rsidRPr="00CB1007">
        <w:rPr>
          <w:i/>
        </w:rPr>
        <w:t>Id.</w:t>
      </w:r>
      <w:r w:rsidRPr="00CB1007">
        <w:t xml:space="preserve"> at 6726-29, paras. 374-78; 6795-96, para. 558; </w:t>
      </w:r>
      <w:r>
        <w:rPr>
          <w:i/>
        </w:rPr>
        <w:t xml:space="preserve">Innovation in the Broadcast Television Bands:  Allocations, Channel Sharing and Improvements to VHF, </w:t>
      </w:r>
      <w:r>
        <w:t>ET</w:t>
      </w:r>
      <w:r w:rsidRPr="00CB1007">
        <w:rPr>
          <w:i/>
        </w:rPr>
        <w:t xml:space="preserve"> </w:t>
      </w:r>
      <w:r>
        <w:t xml:space="preserve"> Docket No. 10-235, Report and Order, 27 FCC Rcd. 4616 (2012) (“</w:t>
      </w:r>
      <w:r w:rsidRPr="005A6CA9">
        <w:rPr>
          <w:i/>
        </w:rPr>
        <w:t>Channel Sharing R&amp;O</w:t>
      </w:r>
      <w:r>
        <w:t>”)</w:t>
      </w:r>
      <w:r w:rsidRPr="00CB1007">
        <w:t>.</w:t>
      </w:r>
    </w:p>
  </w:footnote>
  <w:footnote w:id="5">
    <w:p w:rsidR="00107107" w:rsidRPr="007B18EA" w:rsidRDefault="00107107" w:rsidP="00087AA2">
      <w:pPr>
        <w:pStyle w:val="FootnoteText"/>
      </w:pPr>
      <w:r w:rsidRPr="00CB1007">
        <w:rPr>
          <w:rStyle w:val="FootnoteReference"/>
        </w:rPr>
        <w:footnoteRef/>
      </w:r>
      <w:r w:rsidRPr="00CB1007">
        <w:t xml:space="preserve"> </w:t>
      </w:r>
      <w:r w:rsidRPr="00916163">
        <w:t xml:space="preserve">Channel sharing outside the context of the incentive auction is an entirely voluntary arrangement between stations; nothing in the NPRM is intended to require, encourage or discourage stations to enter into such arrangements.  </w:t>
      </w:r>
      <w:r w:rsidRPr="00CB1007">
        <w:t xml:space="preserve">We recently proposed to authorize channel sharing by low-power television stations and translators in a separate proceeding.  </w:t>
      </w:r>
      <w:r w:rsidRPr="00300119">
        <w:rPr>
          <w:i/>
        </w:rPr>
        <w:t xml:space="preserve">See </w:t>
      </w:r>
      <w:r w:rsidRPr="007B18EA">
        <w:rPr>
          <w:i/>
        </w:rPr>
        <w:t xml:space="preserve">Amendment of Parts 73 and 74 of the Commission’s Rules to </w:t>
      </w:r>
      <w:r w:rsidRPr="00894D4C">
        <w:rPr>
          <w:i/>
        </w:rPr>
        <w:t>Establish Rules for Digital Low Power Television and Television Translator Stations</w:t>
      </w:r>
      <w:r w:rsidRPr="00894D4C">
        <w:t>, MB Docket No. 03-185, Third Notice of Proposed Rulemaking, 29 FCC Rcd 12536 (2014)</w:t>
      </w:r>
      <w:r w:rsidRPr="00657DDD">
        <w:t xml:space="preserve"> (“</w:t>
      </w:r>
      <w:r w:rsidRPr="006335E3">
        <w:rPr>
          <w:i/>
        </w:rPr>
        <w:t>LPTV DTV Third Notice</w:t>
      </w:r>
      <w:r w:rsidRPr="00CB1007">
        <w:t>”)</w:t>
      </w:r>
      <w:r w:rsidRPr="007B18EA">
        <w:t xml:space="preserve">.  </w:t>
      </w:r>
    </w:p>
  </w:footnote>
  <w:footnote w:id="6">
    <w:p w:rsidR="00107107" w:rsidRPr="00894D4C" w:rsidRDefault="00107107" w:rsidP="00300119">
      <w:pPr>
        <w:pStyle w:val="FootnoteText"/>
      </w:pPr>
      <w:r w:rsidRPr="00CB1007">
        <w:rPr>
          <w:rStyle w:val="FootnoteReference"/>
        </w:rPr>
        <w:footnoteRef/>
      </w:r>
      <w:r w:rsidRPr="00CB1007">
        <w:t xml:space="preserve"> </w:t>
      </w:r>
      <w:r w:rsidRPr="00300119">
        <w:rPr>
          <w:i/>
        </w:rPr>
        <w:t xml:space="preserve">See </w:t>
      </w:r>
      <w:r w:rsidRPr="007B18EA">
        <w:t>Middle Class Tax Relief and Job Creation Act of 2012</w:t>
      </w:r>
      <w:r w:rsidRPr="00894D4C">
        <w:t>, Pub. L. No. 112-96, §§ 6402 (codified at 47 U.S.C. § 309(j)(8)(G)), 6403 (codified at 47 U.S.C. § 1452), 126 Stat. 156 (2012) (“Spectrum Act”).</w:t>
      </w:r>
    </w:p>
  </w:footnote>
  <w:footnote w:id="7">
    <w:p w:rsidR="00107107" w:rsidRPr="00894D4C" w:rsidRDefault="00107107" w:rsidP="00544D9B">
      <w:pPr>
        <w:pStyle w:val="FootnoteText"/>
      </w:pPr>
      <w:r w:rsidRPr="00CB1007">
        <w:rPr>
          <w:rStyle w:val="FootnoteReference"/>
        </w:rPr>
        <w:footnoteRef/>
      </w:r>
      <w:r w:rsidRPr="00CB1007">
        <w:t xml:space="preserve"> 47 U.S.C. § 1452(a)(2).  In the </w:t>
      </w:r>
      <w:r w:rsidRPr="00300119">
        <w:rPr>
          <w:i/>
        </w:rPr>
        <w:t>IA</w:t>
      </w:r>
      <w:r w:rsidRPr="007B18EA">
        <w:rPr>
          <w:i/>
        </w:rPr>
        <w:t xml:space="preserve"> R&amp;O</w:t>
      </w:r>
      <w:r w:rsidRPr="00894D4C">
        <w:t xml:space="preserve">, the Commission determined </w:t>
      </w:r>
      <w:r>
        <w:t xml:space="preserve">that </w:t>
      </w:r>
      <w:r w:rsidRPr="00894D4C">
        <w:t xml:space="preserve">it would also </w:t>
      </w:r>
      <w:r w:rsidRPr="00894D4C">
        <w:rPr>
          <w:color w:val="000000"/>
        </w:rPr>
        <w:t>offer an option for high VHF stations to move to low VHF channels.</w:t>
      </w:r>
      <w:r w:rsidRPr="006335E3">
        <w:rPr>
          <w:color w:val="000000"/>
        </w:rPr>
        <w:t xml:space="preserve">  </w:t>
      </w:r>
      <w:r w:rsidRPr="00CB1007">
        <w:rPr>
          <w:i/>
        </w:rPr>
        <w:t xml:space="preserve">See </w:t>
      </w:r>
      <w:r>
        <w:rPr>
          <w:i/>
        </w:rPr>
        <w:t>IA R&amp;O</w:t>
      </w:r>
      <w:r w:rsidRPr="00982D25">
        <w:t xml:space="preserve">, 29 FCC Rcd </w:t>
      </w:r>
      <w:r>
        <w:t>at</w:t>
      </w:r>
      <w:r w:rsidRPr="00982D25">
        <w:t xml:space="preserve"> 6</w:t>
      </w:r>
      <w:r>
        <w:t>729</w:t>
      </w:r>
      <w:r w:rsidRPr="00982D25">
        <w:t xml:space="preserve">, para. </w:t>
      </w:r>
      <w:r>
        <w:t>380</w:t>
      </w:r>
      <w:r w:rsidRPr="00894D4C">
        <w:t xml:space="preserve">. </w:t>
      </w:r>
    </w:p>
  </w:footnote>
  <w:footnote w:id="8">
    <w:p w:rsidR="00107107" w:rsidRPr="00CB1007" w:rsidRDefault="00107107" w:rsidP="00894D4C">
      <w:pPr>
        <w:pStyle w:val="FootnoteText"/>
        <w:rPr>
          <w:b/>
        </w:rPr>
      </w:pPr>
      <w:r w:rsidRPr="00CB1007">
        <w:rPr>
          <w:rStyle w:val="FootnoteReference"/>
        </w:rPr>
        <w:footnoteRef/>
      </w:r>
      <w:r w:rsidRPr="00CB1007">
        <w:t xml:space="preserve"> 47 U.S.C. § 1452(a)(4).  </w:t>
      </w:r>
      <w:r w:rsidRPr="00300119">
        <w:rPr>
          <w:i/>
        </w:rPr>
        <w:t>See also</w:t>
      </w:r>
      <w:r w:rsidRPr="007B18EA">
        <w:t xml:space="preserve"> 47 C.F.R. § 76.56(g).  We use the term “sharee” </w:t>
      </w:r>
      <w:r w:rsidRPr="00894D4C">
        <w:t xml:space="preserve">in this Order to refer to a station that relinquishes its spectrum usage rights in order to share a channel with a “sharer” station.  More than two stations may share a channel, </w:t>
      </w:r>
      <w:r w:rsidRPr="00CB1007">
        <w:rPr>
          <w:i/>
        </w:rPr>
        <w:t>see IA R&amp;O</w:t>
      </w:r>
      <w:r w:rsidRPr="00CB1007">
        <w:t xml:space="preserve"> at 6795, n. 1580 (citing the </w:t>
      </w:r>
      <w:r w:rsidRPr="00CB1007">
        <w:rPr>
          <w:i/>
        </w:rPr>
        <w:t>NPRM</w:t>
      </w:r>
      <w:r w:rsidRPr="00CB1007">
        <w:t xml:space="preserve"> at 27 FCC Rcd at 12442</w:t>
      </w:r>
      <w:r>
        <w:t xml:space="preserve"> </w:t>
      </w:r>
      <w:r w:rsidRPr="00CB1007">
        <w:t xml:space="preserve">n. 382), so there may be multiple sharees in a channel sharing relationship, but only one sharer.  </w:t>
      </w:r>
    </w:p>
  </w:footnote>
  <w:footnote w:id="9">
    <w:p w:rsidR="00107107" w:rsidRPr="00CB1007" w:rsidRDefault="00107107" w:rsidP="00894D4C">
      <w:pPr>
        <w:pStyle w:val="FootnoteText"/>
      </w:pPr>
      <w:r w:rsidRPr="00CB1007">
        <w:rPr>
          <w:rStyle w:val="FootnoteReference"/>
        </w:rPr>
        <w:footnoteRef/>
      </w:r>
      <w:r w:rsidRPr="00CB1007">
        <w:t xml:space="preserve"> </w:t>
      </w:r>
      <w:r w:rsidRPr="005A6CA9">
        <w:rPr>
          <w:i/>
        </w:rPr>
        <w:t>Channel Sharing R&amp;O</w:t>
      </w:r>
      <w:r>
        <w:t>, 27 FCC Rcd. 4616</w:t>
      </w:r>
      <w:r w:rsidRPr="00CB1007">
        <w:t>.</w:t>
      </w:r>
      <w:r>
        <w:t xml:space="preserve">  </w:t>
      </w:r>
      <w:r w:rsidRPr="00CB1007">
        <w:t xml:space="preserve">The </w:t>
      </w:r>
      <w:r>
        <w:t>Commission</w:t>
      </w:r>
      <w:r w:rsidRPr="00300119">
        <w:t xml:space="preserve"> declined in the </w:t>
      </w:r>
      <w:r w:rsidRPr="007B18EA">
        <w:rPr>
          <w:i/>
        </w:rPr>
        <w:t xml:space="preserve">Channel Sharing </w:t>
      </w:r>
      <w:r w:rsidRPr="00894D4C">
        <w:rPr>
          <w:i/>
        </w:rPr>
        <w:t xml:space="preserve">R&amp;O </w:t>
      </w:r>
      <w:r w:rsidRPr="00657DDD">
        <w:t xml:space="preserve">to address channel sharing outside the incentive auction context, stating that it would do so in a future proceeding.  </w:t>
      </w:r>
      <w:r>
        <w:rPr>
          <w:i/>
        </w:rPr>
        <w:t>Id</w:t>
      </w:r>
      <w:r w:rsidRPr="00CB1007">
        <w:t>. at 4621-22, para. 11.</w:t>
      </w:r>
    </w:p>
  </w:footnote>
  <w:footnote w:id="10">
    <w:p w:rsidR="00107107" w:rsidRPr="00894D4C" w:rsidRDefault="00107107" w:rsidP="00894D4C">
      <w:pPr>
        <w:pStyle w:val="FootnoteText"/>
      </w:pPr>
      <w:r w:rsidRPr="00CB1007">
        <w:rPr>
          <w:rStyle w:val="FootnoteReference"/>
        </w:rPr>
        <w:footnoteRef/>
      </w:r>
      <w:r w:rsidRPr="00CB1007">
        <w:t xml:space="preserve"> </w:t>
      </w:r>
      <w:r w:rsidRPr="00300119">
        <w:rPr>
          <w:i/>
        </w:rPr>
        <w:t>I</w:t>
      </w:r>
      <w:r w:rsidRPr="007B18EA">
        <w:rPr>
          <w:i/>
        </w:rPr>
        <w:t xml:space="preserve">A R&amp;O, </w:t>
      </w:r>
      <w:r w:rsidRPr="00894D4C">
        <w:t xml:space="preserve">29 FCC Rcd at 6744, para. 418; 6852, n. 1945.  </w:t>
      </w:r>
    </w:p>
  </w:footnote>
  <w:footnote w:id="11">
    <w:p w:rsidR="00107107" w:rsidRPr="00CB1007" w:rsidRDefault="00107107">
      <w:pPr>
        <w:pStyle w:val="FootnoteText"/>
      </w:pPr>
      <w:r w:rsidRPr="00CB1007">
        <w:rPr>
          <w:rStyle w:val="FootnoteReference"/>
        </w:rPr>
        <w:footnoteRef/>
      </w:r>
      <w:r w:rsidRPr="00CB1007">
        <w:t xml:space="preserve"> </w:t>
      </w:r>
      <w:r w:rsidRPr="00300119">
        <w:rPr>
          <w:i/>
        </w:rPr>
        <w:t>Id.</w:t>
      </w:r>
      <w:r w:rsidRPr="007B18EA">
        <w:t xml:space="preserve"> at 6726-28, paras. 372-77.  The Commission noted that a station’s carriage rights will not be expanded or diminished through this process, although its ability to exercise these rights may change based upon the</w:t>
      </w:r>
      <w:r w:rsidRPr="00894D4C">
        <w:t xml:space="preserve"> facts of its specific </w:t>
      </w:r>
      <w:r>
        <w:t>CSA</w:t>
      </w:r>
      <w:r w:rsidRPr="00894D4C">
        <w:t xml:space="preserve"> if, for example, it can no longer provide a “good quality signal” to the cable or satellite provider at the shared channel. </w:t>
      </w:r>
      <w:r>
        <w:t xml:space="preserve"> </w:t>
      </w:r>
      <w:r w:rsidRPr="00CB1007">
        <w:rPr>
          <w:i/>
        </w:rPr>
        <w:t>Id</w:t>
      </w:r>
      <w:r w:rsidRPr="00CB1007">
        <w:t>. at 6857-58, para. 709 (citing 47 U.S.C. §§ 338(b), 534(h)(1)(B)(iii)).</w:t>
      </w:r>
    </w:p>
  </w:footnote>
  <w:footnote w:id="12">
    <w:p w:rsidR="00107107" w:rsidRPr="00657DDD" w:rsidRDefault="00107107">
      <w:pPr>
        <w:pStyle w:val="FootnoteText"/>
        <w:rPr>
          <w:b/>
        </w:rPr>
      </w:pPr>
      <w:r w:rsidRPr="00CB1007">
        <w:rPr>
          <w:rStyle w:val="FootnoteReference"/>
        </w:rPr>
        <w:footnoteRef/>
      </w:r>
      <w:r w:rsidRPr="00CB1007">
        <w:t xml:space="preserve"> </w:t>
      </w:r>
      <w:r w:rsidRPr="00300119">
        <w:rPr>
          <w:i/>
        </w:rPr>
        <w:t xml:space="preserve">See </w:t>
      </w:r>
      <w:r w:rsidRPr="007B18EA">
        <w:rPr>
          <w:i/>
        </w:rPr>
        <w:t xml:space="preserve">IA R&amp;O, </w:t>
      </w:r>
      <w:r w:rsidRPr="00894D4C">
        <w:t>29 FCC Rcd</w:t>
      </w:r>
      <w:r w:rsidRPr="00894D4C">
        <w:rPr>
          <w:i/>
        </w:rPr>
        <w:t xml:space="preserve"> </w:t>
      </w:r>
      <w:r w:rsidRPr="00894D4C">
        <w:t xml:space="preserve">at 6795-96, para.  558.  </w:t>
      </w:r>
    </w:p>
  </w:footnote>
  <w:footnote w:id="13">
    <w:p w:rsidR="00107107" w:rsidRPr="007B18EA" w:rsidRDefault="00107107">
      <w:pPr>
        <w:pStyle w:val="FootnoteText"/>
      </w:pPr>
      <w:r w:rsidRPr="00CB1007">
        <w:rPr>
          <w:rStyle w:val="FootnoteReference"/>
        </w:rPr>
        <w:footnoteRef/>
      </w:r>
      <w:r w:rsidRPr="00CB1007">
        <w:t xml:space="preserve"> </w:t>
      </w:r>
      <w:r w:rsidRPr="00300119">
        <w:rPr>
          <w:i/>
        </w:rPr>
        <w:t xml:space="preserve">Id. </w:t>
      </w:r>
      <w:r w:rsidRPr="007B18EA">
        <w:t xml:space="preserve">at 6853, n. 1948.  </w:t>
      </w:r>
    </w:p>
  </w:footnote>
  <w:footnote w:id="14">
    <w:p w:rsidR="00107107" w:rsidRPr="007B18EA" w:rsidRDefault="00107107">
      <w:pPr>
        <w:pStyle w:val="FootnoteText"/>
      </w:pPr>
      <w:r w:rsidRPr="00CB1007">
        <w:rPr>
          <w:rStyle w:val="FootnoteReference"/>
        </w:rPr>
        <w:footnoteRef/>
      </w:r>
      <w:r w:rsidRPr="00CB1007">
        <w:t xml:space="preserve"> </w:t>
      </w:r>
      <w:r w:rsidRPr="00300119">
        <w:t>EOBC Petition</w:t>
      </w:r>
      <w:r w:rsidRPr="007B18EA">
        <w:t xml:space="preserve"> </w:t>
      </w:r>
      <w:r>
        <w:t xml:space="preserve">for Reconsideration, GN Docket No. 12-268 </w:t>
      </w:r>
      <w:r w:rsidRPr="00CB1007">
        <w:t xml:space="preserve">(filed </w:t>
      </w:r>
      <w:r>
        <w:t>Sept</w:t>
      </w:r>
      <w:r w:rsidRPr="00CB1007">
        <w:t>. 12, 2014)</w:t>
      </w:r>
      <w:r>
        <w:t xml:space="preserve"> </w:t>
      </w:r>
      <w:r w:rsidRPr="007B18EA">
        <w:t>at 1</w:t>
      </w:r>
      <w:r>
        <w:t xml:space="preserve"> (“EOBC Petition”)</w:t>
      </w:r>
      <w:r w:rsidRPr="007B18EA">
        <w:t>.</w:t>
      </w:r>
    </w:p>
  </w:footnote>
  <w:footnote w:id="15">
    <w:p w:rsidR="00107107" w:rsidRPr="007B18EA" w:rsidRDefault="00107107">
      <w:pPr>
        <w:pStyle w:val="FootnoteText"/>
      </w:pPr>
      <w:r w:rsidRPr="00CB1007">
        <w:rPr>
          <w:rStyle w:val="FootnoteReference"/>
        </w:rPr>
        <w:footnoteRef/>
      </w:r>
      <w:r w:rsidRPr="00CB1007">
        <w:t xml:space="preserve"> </w:t>
      </w:r>
      <w:r w:rsidRPr="00300119">
        <w:rPr>
          <w:i/>
        </w:rPr>
        <w:t xml:space="preserve">Id. </w:t>
      </w:r>
      <w:r w:rsidRPr="007B18EA">
        <w:t>at 5.</w:t>
      </w:r>
    </w:p>
  </w:footnote>
  <w:footnote w:id="16">
    <w:p w:rsidR="00107107" w:rsidRPr="00894D4C" w:rsidRDefault="00107107">
      <w:pPr>
        <w:pStyle w:val="FootnoteText"/>
      </w:pPr>
      <w:r w:rsidRPr="00CB1007">
        <w:rPr>
          <w:rStyle w:val="FootnoteReference"/>
        </w:rPr>
        <w:footnoteRef/>
      </w:r>
      <w:r w:rsidRPr="00CB1007">
        <w:t xml:space="preserve"> </w:t>
      </w:r>
      <w:r w:rsidRPr="00300119">
        <w:rPr>
          <w:i/>
        </w:rPr>
        <w:t>Id.</w:t>
      </w:r>
      <w:r w:rsidRPr="007B18EA">
        <w:rPr>
          <w:i/>
        </w:rPr>
        <w:t xml:space="preserve"> </w:t>
      </w:r>
      <w:r w:rsidRPr="00894D4C">
        <w:t>at 10-12.</w:t>
      </w:r>
    </w:p>
  </w:footnote>
  <w:footnote w:id="17">
    <w:p w:rsidR="00107107" w:rsidRPr="00CB1007" w:rsidRDefault="00107107">
      <w:pPr>
        <w:pStyle w:val="FootnoteText"/>
        <w:rPr>
          <w:b/>
        </w:rPr>
      </w:pPr>
      <w:r w:rsidRPr="00CB1007">
        <w:rPr>
          <w:rStyle w:val="FootnoteReference"/>
        </w:rPr>
        <w:footnoteRef/>
      </w:r>
      <w:r w:rsidRPr="00CB1007">
        <w:t xml:space="preserve"> </w:t>
      </w:r>
      <w:r w:rsidRPr="00300119">
        <w:rPr>
          <w:i/>
        </w:rPr>
        <w:t>Id</w:t>
      </w:r>
      <w:r w:rsidRPr="007B18EA">
        <w:t>. at 12 (</w:t>
      </w:r>
      <w:r w:rsidRPr="00894D4C">
        <w:rPr>
          <w:i/>
        </w:rPr>
        <w:t>citing</w:t>
      </w:r>
      <w:r w:rsidRPr="00894D4C">
        <w:t xml:space="preserve"> Spectrum Act § 6403(a)(4)).  EOBC also argues that these “transient” sharee stations should be permitted to propose community of license changes if they cannot satisfy signal coverage requirements from their new transmitter sites, provided that the new communities meet the same allotment priorities as the current ones and are located in the same DMA.  </w:t>
      </w:r>
      <w:r w:rsidRPr="00CB1007">
        <w:rPr>
          <w:i/>
        </w:rPr>
        <w:t>See</w:t>
      </w:r>
      <w:r w:rsidRPr="00CB1007">
        <w:t xml:space="preserve"> </w:t>
      </w:r>
      <w:r w:rsidRPr="00CB1007">
        <w:rPr>
          <w:i/>
        </w:rPr>
        <w:t>id.</w:t>
      </w:r>
      <w:r w:rsidRPr="00CB1007">
        <w:t xml:space="preserve"> at 12. </w:t>
      </w:r>
    </w:p>
  </w:footnote>
  <w:footnote w:id="18">
    <w:p w:rsidR="00107107" w:rsidRPr="007B18EA" w:rsidRDefault="00107107">
      <w:pPr>
        <w:pStyle w:val="FootnoteText"/>
      </w:pPr>
      <w:r w:rsidRPr="00CB1007">
        <w:rPr>
          <w:rStyle w:val="FootnoteReference"/>
        </w:rPr>
        <w:footnoteRef/>
      </w:r>
      <w:r w:rsidRPr="00CB1007">
        <w:t xml:space="preserve"> </w:t>
      </w:r>
      <w:r w:rsidRPr="00300119">
        <w:rPr>
          <w:i/>
        </w:rPr>
        <w:t>See</w:t>
      </w:r>
      <w:r w:rsidRPr="007B18EA">
        <w:t xml:space="preserve"> National Cable &amp; Telecommunications Association, Opposition to Petition for Reconsideration, GN Docket No. 12-268 (November 12, 2014) (“NCTA Opp.”) at 3.</w:t>
      </w:r>
    </w:p>
  </w:footnote>
  <w:footnote w:id="19">
    <w:p w:rsidR="00107107" w:rsidRDefault="00107107">
      <w:pPr>
        <w:pStyle w:val="FootnoteText"/>
      </w:pPr>
      <w:r>
        <w:rPr>
          <w:rStyle w:val="FootnoteReference"/>
        </w:rPr>
        <w:footnoteRef/>
      </w:r>
      <w:r>
        <w:t xml:space="preserve"> </w:t>
      </w:r>
      <w:r w:rsidRPr="000956A0">
        <w:rPr>
          <w:i/>
        </w:rPr>
        <w:t>Id</w:t>
      </w:r>
      <w:r>
        <w:t>. at 1-2.</w:t>
      </w:r>
    </w:p>
  </w:footnote>
  <w:footnote w:id="20">
    <w:p w:rsidR="00107107" w:rsidRPr="007B18EA" w:rsidRDefault="00107107">
      <w:pPr>
        <w:pStyle w:val="FootnoteText"/>
      </w:pPr>
      <w:r w:rsidRPr="00CB1007">
        <w:rPr>
          <w:rStyle w:val="FootnoteReference"/>
        </w:rPr>
        <w:footnoteRef/>
      </w:r>
      <w:r w:rsidRPr="00CB1007">
        <w:t xml:space="preserve"> </w:t>
      </w:r>
      <w:r w:rsidRPr="00300119">
        <w:rPr>
          <w:i/>
        </w:rPr>
        <w:t>Id</w:t>
      </w:r>
      <w:r w:rsidRPr="007B18EA">
        <w:t xml:space="preserve">. </w:t>
      </w:r>
    </w:p>
  </w:footnote>
  <w:footnote w:id="21">
    <w:p w:rsidR="00107107" w:rsidRPr="00894D4C" w:rsidRDefault="00107107">
      <w:pPr>
        <w:pStyle w:val="FootnoteText"/>
        <w:rPr>
          <w:b/>
        </w:rPr>
      </w:pPr>
      <w:r w:rsidRPr="00CB1007">
        <w:rPr>
          <w:rStyle w:val="FootnoteReference"/>
        </w:rPr>
        <w:footnoteRef/>
      </w:r>
      <w:r w:rsidRPr="00CB1007">
        <w:t xml:space="preserve"> </w:t>
      </w:r>
      <w:r w:rsidRPr="00300119">
        <w:rPr>
          <w:i/>
        </w:rPr>
        <w:t>Id.</w:t>
      </w:r>
      <w:r w:rsidRPr="007B18EA">
        <w:rPr>
          <w:i/>
        </w:rPr>
        <w:t xml:space="preserve"> </w:t>
      </w:r>
      <w:r w:rsidRPr="00894D4C">
        <w:t>at 4.</w:t>
      </w:r>
    </w:p>
  </w:footnote>
  <w:footnote w:id="22">
    <w:p w:rsidR="00107107" w:rsidRDefault="00107107">
      <w:pPr>
        <w:pStyle w:val="FootnoteText"/>
      </w:pPr>
      <w:r>
        <w:rPr>
          <w:rStyle w:val="FootnoteReference"/>
        </w:rPr>
        <w:footnoteRef/>
      </w:r>
      <w:r>
        <w:t xml:space="preserve"> </w:t>
      </w:r>
      <w:r w:rsidRPr="00CB1007">
        <w:t>Opposition and Reply of CTIA—the Wireless Association to Petitions for Reconsideration</w:t>
      </w:r>
      <w:r>
        <w:t>, GN Docket No. 12-268</w:t>
      </w:r>
      <w:r w:rsidRPr="00CB1007">
        <w:t xml:space="preserve"> (filed Nov. 12, 2014) (“CTIA Opp.”)</w:t>
      </w:r>
      <w:r>
        <w:t>.</w:t>
      </w:r>
    </w:p>
  </w:footnote>
  <w:footnote w:id="23">
    <w:p w:rsidR="00107107" w:rsidRDefault="00107107">
      <w:pPr>
        <w:pStyle w:val="FootnoteText"/>
      </w:pPr>
      <w:r>
        <w:rPr>
          <w:rStyle w:val="FootnoteReference"/>
        </w:rPr>
        <w:footnoteRef/>
      </w:r>
      <w:r>
        <w:t xml:space="preserve"> </w:t>
      </w:r>
      <w:r w:rsidRPr="004439C3">
        <w:t>Joint Reply Comments of Fox Television Stations Inc., Ion Media Networks, Inc., Tribune Media Company, and Univision Communications Inc.</w:t>
      </w:r>
      <w:r>
        <w:t>, GN Docket No. 12-268 (filed March 13, 2015) (“Fox Reply”) at 5-6.</w:t>
      </w:r>
    </w:p>
  </w:footnote>
  <w:footnote w:id="24">
    <w:p w:rsidR="00107107" w:rsidRPr="00894D4C" w:rsidRDefault="00107107" w:rsidP="002C390B">
      <w:pPr>
        <w:pStyle w:val="FootnoteText"/>
      </w:pPr>
      <w:r w:rsidRPr="00CB1007">
        <w:rPr>
          <w:rStyle w:val="FootnoteReference"/>
        </w:rPr>
        <w:footnoteRef/>
      </w:r>
      <w:r w:rsidRPr="00CB1007">
        <w:t xml:space="preserve"> </w:t>
      </w:r>
      <w:r w:rsidRPr="00300119">
        <w:rPr>
          <w:i/>
        </w:rPr>
        <w:t>IA R&amp;O</w:t>
      </w:r>
      <w:r w:rsidRPr="007B18EA">
        <w:t>, 29 FCC Rcd at 6852, n. 1942 (</w:t>
      </w:r>
      <w:r>
        <w:t>n</w:t>
      </w:r>
      <w:r w:rsidRPr="007B18EA">
        <w:t>oting that “[a]ny rights of first refusal included in a CSA would have to be consistent with … Commission rules and policies” and citing the reversionary interest</w:t>
      </w:r>
      <w:r w:rsidRPr="00894D4C">
        <w:t xml:space="preserve"> rule) &amp; 6853, n. 1948 (CSAs “may not contain provisions permitting one licensee to retain any reversionary interest in another licensee’s portion of the shared channel”). </w:t>
      </w:r>
    </w:p>
  </w:footnote>
  <w:footnote w:id="25">
    <w:p w:rsidR="00107107" w:rsidRPr="00CB1007" w:rsidRDefault="00107107" w:rsidP="00DA437C">
      <w:pPr>
        <w:pStyle w:val="FootnoteText"/>
        <w:rPr>
          <w:i/>
        </w:rPr>
      </w:pPr>
      <w:r w:rsidRPr="00CB1007">
        <w:rPr>
          <w:rStyle w:val="FootnoteReference"/>
        </w:rPr>
        <w:footnoteRef/>
      </w:r>
      <w:r w:rsidRPr="00CB1007">
        <w:t xml:space="preserve"> 47 C.F.R. § 73.1150 (pr</w:t>
      </w:r>
      <w:r w:rsidRPr="00300119">
        <w:t>oviding</w:t>
      </w:r>
      <w:r w:rsidRPr="007B18EA">
        <w:t xml:space="preserve"> that a licensee, “</w:t>
      </w:r>
      <w:r w:rsidRPr="00894D4C">
        <w:t xml:space="preserve">[i]n transferring a broadcast station … may retain no right of reversion of the license, no right to reassignment of the license in the future, and may not reserve the right to use the facilities of the station for any period whatsoever.”).  </w:t>
      </w:r>
      <w:r w:rsidRPr="00894D4C">
        <w:rPr>
          <w:i/>
        </w:rPr>
        <w:t>See Kidd Communications v. FCC</w:t>
      </w:r>
      <w:r w:rsidRPr="00657DDD">
        <w:t>, 427 F.3d 1, 5 (D.C. Cir. 2005) (“The Commission’s control-based rationale is not uniquely applicable to reversionary interests acquired at the time of a station’s transfer; logically it applies to the prohibition of a subsequently acquired reversionary interest or any t</w:t>
      </w:r>
      <w:r w:rsidRPr="00CB1007">
        <w:t>ype of security interest in a broadcast license.”).</w:t>
      </w:r>
    </w:p>
  </w:footnote>
  <w:footnote w:id="26">
    <w:p w:rsidR="00107107" w:rsidRPr="00CB1007" w:rsidRDefault="00107107">
      <w:pPr>
        <w:pStyle w:val="FootnoteText"/>
      </w:pPr>
      <w:r w:rsidRPr="00CB1007">
        <w:rPr>
          <w:rStyle w:val="FootnoteReference"/>
        </w:rPr>
        <w:footnoteRef/>
      </w:r>
      <w:r w:rsidRPr="00CB1007">
        <w:t xml:space="preserve"> EOBC Petition at 6.  </w:t>
      </w:r>
      <w:r w:rsidRPr="00300119">
        <w:rPr>
          <w:i/>
        </w:rPr>
        <w:t>See</w:t>
      </w:r>
      <w:r w:rsidRPr="007B18EA">
        <w:t xml:space="preserve"> 47 C.F.R. § 73.1150</w:t>
      </w:r>
      <w:r w:rsidRPr="00894D4C">
        <w:rPr>
          <w:rStyle w:val="enumxml"/>
          <w:bCs/>
          <w:shd w:val="clear" w:color="auto" w:fill="FFFFFF"/>
        </w:rPr>
        <w:t>(a)</w:t>
      </w:r>
      <w:r w:rsidRPr="00894D4C">
        <w:rPr>
          <w:rStyle w:val="apple-converted-space"/>
          <w:shd w:val="clear" w:color="auto" w:fill="FFFFFF"/>
        </w:rPr>
        <w:t> (“</w:t>
      </w:r>
      <w:r w:rsidRPr="00894D4C">
        <w:rPr>
          <w:rStyle w:val="ptext-1"/>
          <w:shd w:val="clear" w:color="auto" w:fill="FFFFFF"/>
        </w:rPr>
        <w:t xml:space="preserve">In transferring a broadcast station, the licensee may retain no right of reversion of the license, no right to reassignment of the license in the future, and may not reserve the right to use the facilities of the station for any period whatsoever.”).  </w:t>
      </w:r>
    </w:p>
  </w:footnote>
  <w:footnote w:id="27">
    <w:p w:rsidR="00107107" w:rsidRDefault="00107107">
      <w:pPr>
        <w:pStyle w:val="FootnoteText"/>
      </w:pPr>
      <w:r>
        <w:rPr>
          <w:rStyle w:val="FootnoteReference"/>
        </w:rPr>
        <w:footnoteRef/>
      </w:r>
      <w:r>
        <w:t xml:space="preserve"> </w:t>
      </w:r>
      <w:r w:rsidRPr="00CB1007">
        <w:t>CTIA Opp. at 6-8.</w:t>
      </w:r>
      <w:r>
        <w:t xml:space="preserve">  </w:t>
      </w:r>
    </w:p>
  </w:footnote>
  <w:footnote w:id="28">
    <w:p w:rsidR="00107107" w:rsidRDefault="00107107">
      <w:pPr>
        <w:pStyle w:val="FootnoteText"/>
      </w:pPr>
      <w:r>
        <w:rPr>
          <w:rStyle w:val="FootnoteReference"/>
        </w:rPr>
        <w:footnoteRef/>
      </w:r>
      <w:r>
        <w:t xml:space="preserve"> Fox Reply at 6.</w:t>
      </w:r>
    </w:p>
  </w:footnote>
  <w:footnote w:id="29">
    <w:p w:rsidR="00107107" w:rsidRPr="00894D4C" w:rsidRDefault="00107107">
      <w:pPr>
        <w:pStyle w:val="FootnoteText"/>
      </w:pPr>
      <w:r w:rsidRPr="00CB1007">
        <w:rPr>
          <w:rStyle w:val="FootnoteReference"/>
        </w:rPr>
        <w:footnoteRef/>
      </w:r>
      <w:r w:rsidRPr="00CB1007">
        <w:t xml:space="preserve"> EOBC Petition at 6.  </w:t>
      </w:r>
      <w:r w:rsidRPr="00300119">
        <w:rPr>
          <w:i/>
        </w:rPr>
        <w:t>See</w:t>
      </w:r>
      <w:r w:rsidRPr="007B18EA">
        <w:rPr>
          <w:i/>
        </w:rPr>
        <w:t xml:space="preserve"> also IA R&amp;O</w:t>
      </w:r>
      <w:r w:rsidRPr="00894D4C">
        <w:t>, 29 FCC Rcd at 6852-53, para. 700 (“Channel sharing will create new and complex relationships between television stations.”).</w:t>
      </w:r>
    </w:p>
  </w:footnote>
  <w:footnote w:id="30">
    <w:p w:rsidR="00107107" w:rsidRDefault="00107107" w:rsidP="00DF30A1">
      <w:pPr>
        <w:pStyle w:val="FootnoteText"/>
      </w:pPr>
      <w:r w:rsidRPr="00251187">
        <w:rPr>
          <w:rStyle w:val="FootnoteReference"/>
        </w:rPr>
        <w:footnoteRef/>
      </w:r>
      <w:r w:rsidRPr="00C9491F">
        <w:t xml:space="preserve"> </w:t>
      </w:r>
      <w:r w:rsidRPr="00300119">
        <w:rPr>
          <w:i/>
        </w:rPr>
        <w:t>IA R&amp;O</w:t>
      </w:r>
      <w:r w:rsidRPr="007B18EA">
        <w:t>, 29 FCC Rcd</w:t>
      </w:r>
      <w:r w:rsidRPr="007C1D47">
        <w:t xml:space="preserve"> at 6748-49, para. 436.</w:t>
      </w:r>
    </w:p>
  </w:footnote>
  <w:footnote w:id="31">
    <w:p w:rsidR="00107107" w:rsidRDefault="00107107" w:rsidP="00DF30A1">
      <w:pPr>
        <w:pStyle w:val="FootnoteText"/>
      </w:pPr>
      <w:r>
        <w:rPr>
          <w:rStyle w:val="FootnoteReference"/>
        </w:rPr>
        <w:footnoteRef/>
      </w:r>
      <w:r>
        <w:t xml:space="preserve"> </w:t>
      </w:r>
      <w:r w:rsidRPr="00300119">
        <w:rPr>
          <w:i/>
        </w:rPr>
        <w:t>Id,</w:t>
      </w:r>
      <w:r w:rsidRPr="007B18EA">
        <w:t xml:space="preserve"> at</w:t>
      </w:r>
      <w:r>
        <w:t xml:space="preserve"> </w:t>
      </w:r>
      <w:r w:rsidRPr="007B18EA">
        <w:t>6</w:t>
      </w:r>
      <w:r w:rsidRPr="00894D4C">
        <w:t>748-49, para. 436</w:t>
      </w:r>
      <w:r>
        <w:t xml:space="preserve">; </w:t>
      </w:r>
      <w:r w:rsidRPr="006114C9">
        <w:rPr>
          <w:color w:val="000000"/>
        </w:rPr>
        <w:t>47 C.F.R. 1.2204(c)(5).  We take this opportunity to clarify that after the auction closes, a winning channel sharing bidder changing its community of license will indicate the new community on Form 301 when it files the minor change application for a construction permit specifying the same technical facilities as the sharer station.</w:t>
      </w:r>
    </w:p>
  </w:footnote>
  <w:footnote w:id="32">
    <w:p w:rsidR="00107107" w:rsidRPr="00300119" w:rsidRDefault="00107107" w:rsidP="00DF30A1">
      <w:pPr>
        <w:pStyle w:val="FootnoteText"/>
      </w:pPr>
      <w:r w:rsidRPr="00CB1007">
        <w:rPr>
          <w:rStyle w:val="FootnoteReference"/>
        </w:rPr>
        <w:footnoteRef/>
      </w:r>
      <w:r w:rsidRPr="00CB1007">
        <w:t xml:space="preserve"> EOBC Petition at 7.</w:t>
      </w:r>
      <w:r>
        <w:t xml:space="preserve">  </w:t>
      </w:r>
    </w:p>
  </w:footnote>
  <w:footnote w:id="33">
    <w:p w:rsidR="00107107" w:rsidRDefault="00107107">
      <w:pPr>
        <w:pStyle w:val="FootnoteText"/>
      </w:pPr>
      <w:r>
        <w:rPr>
          <w:rStyle w:val="FootnoteReference"/>
        </w:rPr>
        <w:footnoteRef/>
      </w:r>
      <w:r>
        <w:t xml:space="preserve"> Fox Reply at 5.</w:t>
      </w:r>
    </w:p>
  </w:footnote>
  <w:footnote w:id="34">
    <w:p w:rsidR="00107107" w:rsidRPr="007B18EA" w:rsidRDefault="00107107" w:rsidP="00DF30A1">
      <w:pPr>
        <w:pStyle w:val="FootnoteText"/>
      </w:pPr>
      <w:r w:rsidRPr="00CB1007">
        <w:rPr>
          <w:rStyle w:val="FootnoteReference"/>
        </w:rPr>
        <w:footnoteRef/>
      </w:r>
      <w:r w:rsidRPr="00CB1007">
        <w:t xml:space="preserve"> </w:t>
      </w:r>
      <w:r w:rsidRPr="00300119">
        <w:t>EOBC Petition at 8</w:t>
      </w:r>
      <w:r w:rsidRPr="007B18EA">
        <w:t xml:space="preserve">.    </w:t>
      </w:r>
    </w:p>
  </w:footnote>
  <w:footnote w:id="35">
    <w:p w:rsidR="00107107" w:rsidRDefault="00107107">
      <w:pPr>
        <w:pStyle w:val="FootnoteText"/>
      </w:pPr>
      <w:r>
        <w:rPr>
          <w:rStyle w:val="FootnoteReference"/>
        </w:rPr>
        <w:footnoteRef/>
      </w:r>
      <w:r>
        <w:t xml:space="preserve"> </w:t>
      </w:r>
      <w:r w:rsidRPr="007B18EA">
        <w:t>CTIA Opp. at 7.</w:t>
      </w:r>
    </w:p>
  </w:footnote>
  <w:footnote w:id="36">
    <w:p w:rsidR="00107107" w:rsidRPr="00300119" w:rsidRDefault="00107107" w:rsidP="00DF30A1">
      <w:pPr>
        <w:pStyle w:val="FootnoteText"/>
      </w:pPr>
      <w:r w:rsidRPr="00CB1007">
        <w:rPr>
          <w:rStyle w:val="FootnoteReference"/>
        </w:rPr>
        <w:footnoteRef/>
      </w:r>
      <w:r w:rsidRPr="00CB1007">
        <w:t xml:space="preserve"> NCTA Opp. at 1-2.</w:t>
      </w:r>
    </w:p>
  </w:footnote>
  <w:footnote w:id="37">
    <w:p w:rsidR="00107107" w:rsidRDefault="00107107">
      <w:pPr>
        <w:pStyle w:val="FootnoteText"/>
      </w:pPr>
      <w:r>
        <w:rPr>
          <w:rStyle w:val="FootnoteReference"/>
        </w:rPr>
        <w:footnoteRef/>
      </w:r>
      <w:r>
        <w:t xml:space="preserve"> As discussed below, the expression of present intent will not bind an applicant to seek out a channel sharing partner or enter into a post-auction CSA.  </w:t>
      </w:r>
      <w:r>
        <w:rPr>
          <w:i/>
        </w:rPr>
        <w:t>See infra</w:t>
      </w:r>
      <w:r>
        <w:t xml:space="preserve">, para. 13.  </w:t>
      </w:r>
    </w:p>
  </w:footnote>
  <w:footnote w:id="38">
    <w:p w:rsidR="00107107" w:rsidRPr="00CB1007" w:rsidRDefault="00107107">
      <w:pPr>
        <w:pStyle w:val="FootnoteText"/>
      </w:pPr>
      <w:r w:rsidRPr="00CB1007">
        <w:rPr>
          <w:rStyle w:val="FootnoteReference"/>
        </w:rPr>
        <w:footnoteRef/>
      </w:r>
      <w:r w:rsidRPr="00CB1007">
        <w:t xml:space="preserve"> </w:t>
      </w:r>
      <w:r w:rsidRPr="00300119">
        <w:rPr>
          <w:i/>
        </w:rPr>
        <w:t>IA R&amp;O</w:t>
      </w:r>
      <w:r w:rsidRPr="007B18EA">
        <w:t>, 29 FCC Rcd at 6740, para. 406 (“the exception to the prohibition for parties to a [CSA] will apply only if the agreement has been executed prior to the reverse auctio</w:t>
      </w:r>
      <w:r w:rsidRPr="00894D4C">
        <w:t xml:space="preserve">n application filing deadline and has been disclosed on the application.”).  </w:t>
      </w:r>
    </w:p>
  </w:footnote>
  <w:footnote w:id="39">
    <w:p w:rsidR="00107107" w:rsidRPr="00300119" w:rsidRDefault="00107107">
      <w:pPr>
        <w:pStyle w:val="FootnoteText"/>
      </w:pPr>
      <w:r w:rsidRPr="00CB1007">
        <w:rPr>
          <w:rStyle w:val="FootnoteReference"/>
        </w:rPr>
        <w:footnoteRef/>
      </w:r>
      <w:r w:rsidRPr="00CB1007">
        <w:t xml:space="preserve"> EOBC Petition at 7-8.  </w:t>
      </w:r>
    </w:p>
  </w:footnote>
  <w:footnote w:id="40">
    <w:p w:rsidR="00107107" w:rsidRPr="00300119" w:rsidRDefault="00107107">
      <w:pPr>
        <w:pStyle w:val="FootnoteText"/>
      </w:pPr>
      <w:r w:rsidRPr="00CB1007">
        <w:rPr>
          <w:rStyle w:val="FootnoteReference"/>
        </w:rPr>
        <w:footnoteRef/>
      </w:r>
      <w:r w:rsidRPr="00CB1007">
        <w:t xml:space="preserve"> EOBC Reply at 6.</w:t>
      </w:r>
    </w:p>
  </w:footnote>
  <w:footnote w:id="41">
    <w:p w:rsidR="00107107" w:rsidRPr="00894D4C" w:rsidRDefault="00107107">
      <w:pPr>
        <w:pStyle w:val="FootnoteText"/>
      </w:pPr>
      <w:r w:rsidRPr="00CB1007">
        <w:rPr>
          <w:rStyle w:val="FootnoteReference"/>
        </w:rPr>
        <w:footnoteRef/>
      </w:r>
      <w:r w:rsidRPr="00CB1007">
        <w:t xml:space="preserve"> </w:t>
      </w:r>
      <w:r w:rsidRPr="00300119">
        <w:rPr>
          <w:i/>
        </w:rPr>
        <w:t>IA R&amp;O</w:t>
      </w:r>
      <w:r w:rsidRPr="007B18EA">
        <w:t xml:space="preserve">, 29 FCC Rcd at 6850, para. 695.  </w:t>
      </w:r>
      <w:r w:rsidRPr="00894D4C">
        <w:rPr>
          <w:i/>
        </w:rPr>
        <w:t>See</w:t>
      </w:r>
      <w:r w:rsidRPr="00894D4C">
        <w:t xml:space="preserve"> Section III.E (FCC Review of CSAs and Licensing of Channel Sharees).  </w:t>
      </w:r>
    </w:p>
  </w:footnote>
  <w:footnote w:id="42">
    <w:p w:rsidR="00107107" w:rsidRPr="00CB1007" w:rsidRDefault="00107107" w:rsidP="007A01CF">
      <w:pPr>
        <w:pStyle w:val="FootnoteText"/>
      </w:pPr>
      <w:r w:rsidRPr="00CB1007">
        <w:rPr>
          <w:rStyle w:val="FootnoteReference"/>
        </w:rPr>
        <w:footnoteRef/>
      </w:r>
      <w:r w:rsidRPr="00CB1007">
        <w:t xml:space="preserve"> </w:t>
      </w:r>
      <w:r w:rsidRPr="00300119">
        <w:rPr>
          <w:i/>
        </w:rPr>
        <w:t>IA R&amp;O</w:t>
      </w:r>
      <w:r w:rsidRPr="007B18EA">
        <w:t>, 29 FCC Rcd at 6740, para. 406</w:t>
      </w:r>
      <w:r w:rsidRPr="00894D4C">
        <w:t>.</w:t>
      </w:r>
      <w:r>
        <w:t xml:space="preserve">  </w:t>
      </w:r>
      <w:r>
        <w:rPr>
          <w:i/>
        </w:rPr>
        <w:t>See supra</w:t>
      </w:r>
      <w:r>
        <w:t>, para. 10.</w:t>
      </w:r>
      <w:r w:rsidRPr="00894D4C">
        <w:t xml:space="preserve">  </w:t>
      </w:r>
    </w:p>
  </w:footnote>
  <w:footnote w:id="43">
    <w:p w:rsidR="00107107" w:rsidRPr="00894D4C" w:rsidRDefault="00107107">
      <w:pPr>
        <w:pStyle w:val="FootnoteText"/>
      </w:pPr>
      <w:r w:rsidRPr="00CB1007">
        <w:rPr>
          <w:rStyle w:val="FootnoteReference"/>
        </w:rPr>
        <w:footnoteRef/>
      </w:r>
      <w:r w:rsidRPr="00CB1007">
        <w:t xml:space="preserve"> </w:t>
      </w:r>
      <w:r>
        <w:rPr>
          <w:i/>
        </w:rPr>
        <w:t xml:space="preserve">Channel Sharing R&amp;O, </w:t>
      </w:r>
      <w:r w:rsidRPr="00CB1007">
        <w:t xml:space="preserve">27 FCC Rcd. </w:t>
      </w:r>
      <w:r>
        <w:t>at 4627,</w:t>
      </w:r>
      <w:r w:rsidRPr="00CB1007">
        <w:t xml:space="preserve"> </w:t>
      </w:r>
      <w:r w:rsidRPr="007B18EA">
        <w:t xml:space="preserve"> para. 21.  </w:t>
      </w:r>
      <w:r w:rsidRPr="00894D4C">
        <w:rPr>
          <w:i/>
        </w:rPr>
        <w:t xml:space="preserve">See </w:t>
      </w:r>
      <w:r w:rsidRPr="00894D4C">
        <w:t xml:space="preserve">EOBC at 8, citing 47 U.S.C. § 1452(a)(2).  </w:t>
      </w:r>
    </w:p>
  </w:footnote>
  <w:footnote w:id="44">
    <w:p w:rsidR="00107107" w:rsidRPr="00CB1007" w:rsidRDefault="00107107">
      <w:pPr>
        <w:pStyle w:val="FootnoteText"/>
      </w:pPr>
      <w:r w:rsidRPr="00CB1007">
        <w:rPr>
          <w:rStyle w:val="FootnoteReference"/>
        </w:rPr>
        <w:footnoteRef/>
      </w:r>
      <w:r w:rsidRPr="00CB1007">
        <w:t xml:space="preserve"> 47 U.S.C. § 1452(a)(4).  </w:t>
      </w:r>
      <w:r w:rsidRPr="00300119">
        <w:rPr>
          <w:i/>
        </w:rPr>
        <w:t xml:space="preserve">See </w:t>
      </w:r>
      <w:r w:rsidRPr="007B18EA">
        <w:t>NCTA Opp. at 3-4 (</w:t>
      </w:r>
      <w:r w:rsidRPr="00894D4C">
        <w:t>“[i]f a broadcaster has not volunteered to participate in the auction based on an intention to channel share, the Spectrum Act by its terms does not give it carriage rights at the new shared location.</w:t>
      </w:r>
      <w:r w:rsidRPr="00CB1007">
        <w:t xml:space="preserve">”).  </w:t>
      </w:r>
      <w:r w:rsidRPr="00CB1007">
        <w:rPr>
          <w:i/>
        </w:rPr>
        <w:t xml:space="preserve">See also </w:t>
      </w:r>
      <w:r w:rsidRPr="00CB1007">
        <w:t xml:space="preserve">§ 1452(a)(2) (providing that eligible relinquishments in the reverse auction shall include “[r]elinquishing usage rights in order to share a television channel with another licensee”).  We note that </w:t>
      </w:r>
      <w:r>
        <w:t xml:space="preserve">     </w:t>
      </w:r>
      <w:r w:rsidRPr="00CB1007">
        <w:t>§ 1452(a)(4) also requires that the sharee have possessed carriage rights on November 30, 2010.</w:t>
      </w:r>
    </w:p>
  </w:footnote>
  <w:footnote w:id="45">
    <w:p w:rsidR="00107107" w:rsidRPr="00CB1007" w:rsidRDefault="00107107">
      <w:pPr>
        <w:pStyle w:val="FootnoteText"/>
      </w:pPr>
      <w:r w:rsidRPr="00CB1007">
        <w:rPr>
          <w:rStyle w:val="FootnoteReference"/>
        </w:rPr>
        <w:footnoteRef/>
      </w:r>
      <w:r w:rsidRPr="00CB1007">
        <w:t xml:space="preserve"> NCTA Opp. at 1.</w:t>
      </w:r>
      <w:r w:rsidRPr="00300119">
        <w:t xml:space="preserve">  </w:t>
      </w:r>
      <w:r w:rsidRPr="007B18EA">
        <w:t>In light of this requirement, we disagree with</w:t>
      </w:r>
      <w:r w:rsidRPr="00894D4C">
        <w:t xml:space="preserve"> NCTA that allowing post-auction CSAs would “confer greater cable carriage rights on ‘sharee’ stations than Congress intended.”  </w:t>
      </w:r>
      <w:r w:rsidRPr="00894D4C">
        <w:rPr>
          <w:i/>
        </w:rPr>
        <w:t xml:space="preserve">Id.  </w:t>
      </w:r>
      <w:r w:rsidRPr="00894D4C">
        <w:t>We need not address NCTA’s</w:t>
      </w:r>
      <w:r w:rsidRPr="00CB1007">
        <w:t xml:space="preserve"> argument that the Spectrum Act requires that a CSA be implemented by the time that spectrum usage rights are relinquished in order for the relinquisher to retain its cable carriage rights given our decision below to require that post-auction CSAs be implemented by the sharee’s license relinquishment deadline.  NCTA Opp. at 4.</w:t>
      </w:r>
    </w:p>
  </w:footnote>
  <w:footnote w:id="46">
    <w:p w:rsidR="00107107" w:rsidRPr="00894D4C" w:rsidRDefault="00107107">
      <w:pPr>
        <w:pStyle w:val="FootnoteText"/>
      </w:pPr>
      <w:r w:rsidRPr="00CB1007">
        <w:rPr>
          <w:rStyle w:val="FootnoteReference"/>
        </w:rPr>
        <w:footnoteRef/>
      </w:r>
      <w:r w:rsidRPr="00CB1007">
        <w:t xml:space="preserve"> </w:t>
      </w:r>
      <w:r w:rsidRPr="00300119">
        <w:rPr>
          <w:i/>
        </w:rPr>
        <w:t>IA</w:t>
      </w:r>
      <w:r w:rsidRPr="007B18EA">
        <w:rPr>
          <w:i/>
        </w:rPr>
        <w:t xml:space="preserve"> R&amp;O, </w:t>
      </w:r>
      <w:r w:rsidRPr="00894D4C">
        <w:t>29 FCC Rcd at 6803, para. 57</w:t>
      </w:r>
      <w:r>
        <w:t xml:space="preserve">6; </w:t>
      </w:r>
      <w:r w:rsidRPr="00B217A3">
        <w:rPr>
          <w:i/>
        </w:rPr>
        <w:t>see also</w:t>
      </w:r>
      <w:r>
        <w:t xml:space="preserve"> 47 C.F.R. </w:t>
      </w:r>
      <w:r w:rsidRPr="00CB1007">
        <w:t>§</w:t>
      </w:r>
      <w:r>
        <w:t>73.3700(b)(4)(i)(requiring a winning license relinquishment bidder to terminate operations within three months of receiving its incentive auction payment).</w:t>
      </w:r>
      <w:r w:rsidRPr="00894D4C">
        <w:t xml:space="preserve">  </w:t>
      </w:r>
    </w:p>
  </w:footnote>
  <w:footnote w:id="47">
    <w:p w:rsidR="00107107" w:rsidRPr="00300119" w:rsidRDefault="00107107">
      <w:pPr>
        <w:pStyle w:val="FootnoteText"/>
      </w:pPr>
      <w:r w:rsidRPr="00CB1007">
        <w:rPr>
          <w:rStyle w:val="FootnoteReference"/>
        </w:rPr>
        <w:footnoteRef/>
      </w:r>
      <w:r w:rsidRPr="00CB1007">
        <w:t xml:space="preserve"> EOBC Petition at 9, citing 47 U.S.C. § 312(g).</w:t>
      </w:r>
    </w:p>
  </w:footnote>
  <w:footnote w:id="48">
    <w:p w:rsidR="00107107" w:rsidRPr="00CB1007" w:rsidRDefault="00107107">
      <w:pPr>
        <w:pStyle w:val="FootnoteText"/>
      </w:pPr>
      <w:r w:rsidRPr="00CB1007">
        <w:rPr>
          <w:rStyle w:val="FootnoteReference"/>
        </w:rPr>
        <w:footnoteRef/>
      </w:r>
      <w:r w:rsidRPr="00CB1007">
        <w:t xml:space="preserve"> </w:t>
      </w:r>
      <w:r w:rsidRPr="00A01B92">
        <w:t xml:space="preserve">We clarify that, after the license relinquishment deadline, a winning license relinquishment bidder’s license to operate on its pre-auction channel will be cancelled because, by the terms of its bid, it no longer will have any spectrum usage rights with respect to its pre-auction channel.  </w:t>
      </w:r>
      <w:r w:rsidRPr="00A01B92">
        <w:rPr>
          <w:i/>
        </w:rPr>
        <w:t>See</w:t>
      </w:r>
      <w:r w:rsidRPr="00A01B92">
        <w:t xml:space="preserve"> 47 U.S.C. § 1452(a)(2) (providing for the voluntary relinquishment of “all usage rights with respect to a particular television channel without receiving in return any usage rights with respect to another television channel”).  A winning relinquishment bidder that is a party to a channel sharing agreement (pre-auction or post-auction) will then receive a new license for its new shared channel.  The sharer station will also receive a new license.  </w:t>
      </w:r>
      <w:r w:rsidRPr="00A01B92">
        <w:rPr>
          <w:i/>
        </w:rPr>
        <w:t>See</w:t>
      </w:r>
      <w:r w:rsidRPr="00A01B92">
        <w:t xml:space="preserve"> </w:t>
      </w:r>
      <w:r w:rsidRPr="00A01B92">
        <w:rPr>
          <w:i/>
        </w:rPr>
        <w:t>IA R&amp;O</w:t>
      </w:r>
      <w:r w:rsidRPr="00A01B92">
        <w:t xml:space="preserve">, </w:t>
      </w:r>
      <w:r w:rsidRPr="00894D4C">
        <w:t xml:space="preserve">29 FCC Rcd at </w:t>
      </w:r>
      <w:r>
        <w:t xml:space="preserve">6795-96, </w:t>
      </w:r>
      <w:r w:rsidRPr="00A01B92">
        <w:t>para. 558.</w:t>
      </w:r>
    </w:p>
  </w:footnote>
  <w:footnote w:id="49">
    <w:p w:rsidR="00107107" w:rsidRPr="00657DDD" w:rsidRDefault="00107107">
      <w:pPr>
        <w:pStyle w:val="FootnoteText"/>
      </w:pPr>
      <w:r w:rsidRPr="00CB1007">
        <w:rPr>
          <w:rStyle w:val="FootnoteReference"/>
        </w:rPr>
        <w:footnoteRef/>
      </w:r>
      <w:r w:rsidRPr="00CB1007">
        <w:t xml:space="preserve"> NCTA Opp. at 5.</w:t>
      </w:r>
      <w:r w:rsidRPr="00300119">
        <w:t xml:space="preserve">  </w:t>
      </w:r>
    </w:p>
  </w:footnote>
  <w:footnote w:id="50">
    <w:p w:rsidR="00107107" w:rsidRPr="00300119" w:rsidRDefault="00107107">
      <w:pPr>
        <w:pStyle w:val="FootnoteText"/>
      </w:pPr>
      <w:r w:rsidRPr="00CB1007">
        <w:rPr>
          <w:rStyle w:val="FootnoteReference"/>
        </w:rPr>
        <w:footnoteRef/>
      </w:r>
      <w:r w:rsidRPr="00CB1007">
        <w:t xml:space="preserve"> </w:t>
      </w:r>
      <w:r w:rsidRPr="000956A0">
        <w:rPr>
          <w:i/>
        </w:rPr>
        <w:t>Id</w:t>
      </w:r>
      <w:r w:rsidRPr="00CB1007">
        <w:t>. at 7.</w:t>
      </w:r>
    </w:p>
  </w:footnote>
  <w:footnote w:id="51">
    <w:p w:rsidR="00107107" w:rsidRPr="007B18EA" w:rsidRDefault="00107107">
      <w:pPr>
        <w:pStyle w:val="FootnoteText"/>
      </w:pPr>
      <w:r w:rsidRPr="00CB1007">
        <w:rPr>
          <w:rStyle w:val="FootnoteReference"/>
        </w:rPr>
        <w:footnoteRef/>
      </w:r>
      <w:r w:rsidRPr="00CB1007">
        <w:t xml:space="preserve"> </w:t>
      </w:r>
      <w:r w:rsidRPr="000956A0">
        <w:rPr>
          <w:i/>
        </w:rPr>
        <w:t>Id</w:t>
      </w:r>
      <w:r w:rsidRPr="00CB1007">
        <w:t xml:space="preserve">. at 7, citing </w:t>
      </w:r>
      <w:r w:rsidRPr="00300119">
        <w:rPr>
          <w:i/>
        </w:rPr>
        <w:t>IA R&amp;O</w:t>
      </w:r>
      <w:r w:rsidRPr="007B18EA">
        <w:t>, Appendix A, to be codified at 47 C.F.R. § 73.3700(b)(3).</w:t>
      </w:r>
    </w:p>
  </w:footnote>
  <w:footnote w:id="52">
    <w:p w:rsidR="00107107" w:rsidRDefault="00107107" w:rsidP="00933FB2">
      <w:pPr>
        <w:pStyle w:val="FootnoteText"/>
      </w:pPr>
      <w:r>
        <w:rPr>
          <w:rStyle w:val="FootnoteReference"/>
        </w:rPr>
        <w:footnoteRef/>
      </w:r>
      <w:r>
        <w:t xml:space="preserve"> </w:t>
      </w:r>
      <w:r w:rsidRPr="00300119">
        <w:rPr>
          <w:i/>
        </w:rPr>
        <w:t>IA</w:t>
      </w:r>
      <w:r w:rsidRPr="007B18EA">
        <w:rPr>
          <w:i/>
        </w:rPr>
        <w:t xml:space="preserve"> R&amp;O, </w:t>
      </w:r>
      <w:r w:rsidRPr="00894D4C">
        <w:t>29 FCC Rcd at 6803, para. 57</w:t>
      </w:r>
      <w:r>
        <w:t xml:space="preserve">7; </w:t>
      </w:r>
      <w:r w:rsidRPr="00B217A3">
        <w:rPr>
          <w:i/>
        </w:rPr>
        <w:t>see also</w:t>
      </w:r>
      <w:r>
        <w:t xml:space="preserve"> 47 C.F.R. </w:t>
      </w:r>
      <w:r w:rsidRPr="00CB1007">
        <w:t>§</w:t>
      </w:r>
      <w:r>
        <w:t>73.3700(b)(4)(ii)(requiring a channel sharing bidder to terminate operations on its pre-auction channel within three months of receiving its incentive auction payment).</w:t>
      </w:r>
    </w:p>
  </w:footnote>
  <w:footnote w:id="53">
    <w:p w:rsidR="00107107" w:rsidRPr="00CB1007" w:rsidRDefault="00107107" w:rsidP="00C410CB">
      <w:pPr>
        <w:pStyle w:val="FootnoteText"/>
      </w:pPr>
      <w:r w:rsidRPr="00CB1007">
        <w:rPr>
          <w:rStyle w:val="FootnoteReference"/>
        </w:rPr>
        <w:footnoteRef/>
      </w:r>
      <w:r w:rsidRPr="00CB1007">
        <w:t xml:space="preserve"> </w:t>
      </w:r>
      <w:r w:rsidRPr="00CB1007">
        <w:rPr>
          <w:i/>
        </w:rPr>
        <w:t xml:space="preserve">IA R&amp;O, </w:t>
      </w:r>
      <w:r w:rsidRPr="006335E3">
        <w:t xml:space="preserve">29 FCC Rcd at </w:t>
      </w:r>
      <w:r w:rsidRPr="00CB1007">
        <w:t xml:space="preserve"> 6808, para. 588; 6810-12, paras. 594-7. </w:t>
      </w:r>
    </w:p>
  </w:footnote>
  <w:footnote w:id="54">
    <w:p w:rsidR="00107107" w:rsidRPr="00894D4C" w:rsidRDefault="00107107" w:rsidP="00466701">
      <w:pPr>
        <w:pStyle w:val="FootnoteText"/>
      </w:pPr>
      <w:r w:rsidRPr="00CB1007">
        <w:rPr>
          <w:rStyle w:val="FootnoteReference"/>
        </w:rPr>
        <w:footnoteRef/>
      </w:r>
      <w:r>
        <w:t xml:space="preserve"> </w:t>
      </w:r>
      <w:r w:rsidRPr="00CB1007">
        <w:t xml:space="preserve">The Spectrum Act provides for reimbursement of the reasonable costs of MVPDs that “continue to carry the signal of a broadcast television licensee . . . that voluntarily relinquishes spectrum usage rights to share a </w:t>
      </w:r>
      <w:r w:rsidRPr="00300119">
        <w:t>television channel wth another licensee. . . . .”</w:t>
      </w:r>
      <w:r w:rsidRPr="007B18EA">
        <w:t xml:space="preserve">  </w:t>
      </w:r>
      <w:r w:rsidRPr="00894D4C">
        <w:rPr>
          <w:i/>
        </w:rPr>
        <w:t xml:space="preserve">See </w:t>
      </w:r>
      <w:r w:rsidRPr="00894D4C">
        <w:t>47 U.S.C. § 1452(b)(4)(A)(ii).</w:t>
      </w:r>
    </w:p>
  </w:footnote>
  <w:footnote w:id="55">
    <w:p w:rsidR="00107107" w:rsidRPr="00894D4C" w:rsidRDefault="00107107">
      <w:pPr>
        <w:pStyle w:val="FootnoteText"/>
      </w:pPr>
      <w:r w:rsidRPr="00CB1007">
        <w:rPr>
          <w:rStyle w:val="FootnoteReference"/>
        </w:rPr>
        <w:footnoteRef/>
      </w:r>
      <w:r w:rsidRPr="00CB1007">
        <w:t xml:space="preserve"> NCTA Opp. at 5.  </w:t>
      </w:r>
      <w:r w:rsidRPr="00C77AC2">
        <w:t xml:space="preserve">In the </w:t>
      </w:r>
      <w:r w:rsidRPr="00F46164">
        <w:rPr>
          <w:i/>
        </w:rPr>
        <w:t>I</w:t>
      </w:r>
      <w:r>
        <w:rPr>
          <w:i/>
        </w:rPr>
        <w:t>A</w:t>
      </w:r>
      <w:r w:rsidRPr="00F46164">
        <w:rPr>
          <w:i/>
        </w:rPr>
        <w:t xml:space="preserve"> R&amp;O</w:t>
      </w:r>
      <w:r w:rsidRPr="00C77AC2">
        <w:t>, we established a proced</w:t>
      </w:r>
      <w:r>
        <w:t xml:space="preserve">ure under which </w:t>
      </w:r>
      <w:r w:rsidRPr="00C77AC2">
        <w:t xml:space="preserve">MVPDs </w:t>
      </w:r>
      <w:r>
        <w:t xml:space="preserve">must submit estimates of their costs eligible for reimbursement within </w:t>
      </w:r>
      <w:r w:rsidRPr="00C77AC2">
        <w:t xml:space="preserve">three months </w:t>
      </w:r>
      <w:r>
        <w:t>of</w:t>
      </w:r>
      <w:r w:rsidRPr="00C77AC2">
        <w:t xml:space="preserve"> the close of the auction.</w:t>
      </w:r>
      <w:r>
        <w:t xml:space="preserve">  </w:t>
      </w:r>
      <w:r w:rsidRPr="00CB1007">
        <w:t>IA R&amp;O, 29 FCC Rcd at 6816-17, para. 609; 47 C.F.R. §73.3700(e)(2)(i), as proposed.</w:t>
      </w:r>
    </w:p>
  </w:footnote>
  <w:footnote w:id="56">
    <w:p w:rsidR="00107107" w:rsidRPr="00894D4C" w:rsidRDefault="00107107">
      <w:pPr>
        <w:pStyle w:val="FootnoteText"/>
      </w:pPr>
      <w:r w:rsidRPr="00CB1007">
        <w:rPr>
          <w:rStyle w:val="FootnoteReference"/>
        </w:rPr>
        <w:footnoteRef/>
      </w:r>
      <w:r w:rsidRPr="00CB1007">
        <w:t xml:space="preserve"> </w:t>
      </w:r>
      <w:r w:rsidRPr="00CB1007">
        <w:rPr>
          <w:i/>
        </w:rPr>
        <w:t>See IA R&amp;O</w:t>
      </w:r>
      <w:r w:rsidRPr="00CB1007">
        <w:t xml:space="preserve">, 29 FCC Rcd at 6782, para. 525 (Media and Wireless Bureaus will announce the results of the incentive auction and the repacking process in the </w:t>
      </w:r>
      <w:r w:rsidRPr="00300119">
        <w:rPr>
          <w:i/>
        </w:rPr>
        <w:t xml:space="preserve">Channel Reassignment PN </w:t>
      </w:r>
      <w:r w:rsidRPr="007B18EA">
        <w:t>).</w:t>
      </w:r>
    </w:p>
  </w:footnote>
  <w:footnote w:id="57">
    <w:p w:rsidR="00107107" w:rsidRPr="007B18EA" w:rsidRDefault="00107107" w:rsidP="00466701">
      <w:pPr>
        <w:pStyle w:val="FootnoteText"/>
      </w:pPr>
      <w:r w:rsidRPr="00CB1007">
        <w:rPr>
          <w:rStyle w:val="FootnoteReference"/>
        </w:rPr>
        <w:footnoteRef/>
      </w:r>
      <w:r w:rsidRPr="00CB1007">
        <w:t xml:space="preserve"> </w:t>
      </w:r>
      <w:r>
        <w:t xml:space="preserve">Under the rules we established in the </w:t>
      </w:r>
      <w:r>
        <w:rPr>
          <w:i/>
        </w:rPr>
        <w:t>IA R&amp;O</w:t>
      </w:r>
      <w:r>
        <w:t>, entities eligible for reimbursement may</w:t>
      </w:r>
      <w:r w:rsidRPr="00EA227C">
        <w:t xml:space="preserve"> update estimates </w:t>
      </w:r>
      <w:r>
        <w:t xml:space="preserve">after the initial deadline </w:t>
      </w:r>
      <w:r w:rsidRPr="00EA227C">
        <w:t>if they become aware of additional costs</w:t>
      </w:r>
      <w:r>
        <w:t xml:space="preserve">.  </w:t>
      </w:r>
      <w:r w:rsidRPr="00CB1007">
        <w:rPr>
          <w:i/>
        </w:rPr>
        <w:t>See</w:t>
      </w:r>
      <w:r w:rsidRPr="00CB1007">
        <w:t xml:space="preserve"> </w:t>
      </w:r>
      <w:r w:rsidRPr="000956A0">
        <w:rPr>
          <w:i/>
        </w:rPr>
        <w:t>id.</w:t>
      </w:r>
      <w:r w:rsidRPr="00CB1007">
        <w:t xml:space="preserve"> at 6817, n. 1722 </w:t>
      </w:r>
      <w:r w:rsidRPr="00300119">
        <w:t>&amp;</w:t>
      </w:r>
      <w:r w:rsidRPr="007B18EA">
        <w:t xml:space="preserve"> </w:t>
      </w:r>
      <w:r>
        <w:t xml:space="preserve">n. </w:t>
      </w:r>
      <w:r w:rsidRPr="007B18EA">
        <w:t>1723.</w:t>
      </w:r>
    </w:p>
  </w:footnote>
  <w:footnote w:id="58">
    <w:p w:rsidR="00107107" w:rsidRPr="00CB1007" w:rsidRDefault="00107107" w:rsidP="00CC0994">
      <w:pPr>
        <w:pStyle w:val="FootnoteText"/>
      </w:pPr>
      <w:r w:rsidRPr="00CB1007">
        <w:rPr>
          <w:rStyle w:val="FootnoteReference"/>
        </w:rPr>
        <w:footnoteRef/>
      </w:r>
      <w:r w:rsidRPr="00CB1007">
        <w:t xml:space="preserve"> </w:t>
      </w:r>
      <w:r w:rsidRPr="000B47E6">
        <w:rPr>
          <w:i/>
        </w:rPr>
        <w:t>I</w:t>
      </w:r>
      <w:r>
        <w:rPr>
          <w:i/>
        </w:rPr>
        <w:t>d.</w:t>
      </w:r>
      <w:r w:rsidRPr="00CB1007">
        <w:t xml:space="preserve"> at 6853-54, para. 701 &amp; n. 1948.</w:t>
      </w:r>
    </w:p>
  </w:footnote>
  <w:footnote w:id="59">
    <w:p w:rsidR="00107107" w:rsidRPr="00CB1007" w:rsidRDefault="00107107" w:rsidP="00CC0994">
      <w:pPr>
        <w:pStyle w:val="FootnoteText"/>
      </w:pPr>
      <w:r w:rsidRPr="00CB1007">
        <w:rPr>
          <w:rStyle w:val="FootnoteReference"/>
        </w:rPr>
        <w:footnoteRef/>
      </w:r>
      <w:r w:rsidRPr="00CB1007">
        <w:t xml:space="preserve"> EOBC Petition at 11.</w:t>
      </w:r>
    </w:p>
  </w:footnote>
  <w:footnote w:id="60">
    <w:p w:rsidR="00107107" w:rsidRPr="00F66555" w:rsidRDefault="00107107" w:rsidP="0053287F">
      <w:pPr>
        <w:pStyle w:val="FootnoteText"/>
      </w:pPr>
      <w:r w:rsidRPr="00CB1007">
        <w:rPr>
          <w:rStyle w:val="FootnoteReference"/>
        </w:rPr>
        <w:footnoteRef/>
      </w:r>
      <w:r w:rsidRPr="006335E3">
        <w:t xml:space="preserve"> </w:t>
      </w:r>
      <w:r w:rsidRPr="00CB1007">
        <w:rPr>
          <w:i/>
        </w:rPr>
        <w:t xml:space="preserve">Id. </w:t>
      </w:r>
      <w:r w:rsidRPr="00CB1007">
        <w:t xml:space="preserve">(internal quotes and citations omitted).  </w:t>
      </w:r>
    </w:p>
  </w:footnote>
  <w:footnote w:id="61">
    <w:p w:rsidR="00107107" w:rsidRDefault="00107107">
      <w:pPr>
        <w:pStyle w:val="FootnoteText"/>
      </w:pPr>
      <w:r>
        <w:rPr>
          <w:rStyle w:val="FootnoteReference"/>
        </w:rPr>
        <w:footnoteRef/>
      </w:r>
      <w:r>
        <w:t xml:space="preserve"> </w:t>
      </w:r>
      <w:r w:rsidRPr="00F66555">
        <w:rPr>
          <w:i/>
        </w:rPr>
        <w:t xml:space="preserve">Id. </w:t>
      </w:r>
      <w:r w:rsidRPr="00F66555">
        <w:t xml:space="preserve">at 11-12.  </w:t>
      </w:r>
    </w:p>
  </w:footnote>
  <w:footnote w:id="62">
    <w:p w:rsidR="00107107" w:rsidRDefault="00107107">
      <w:pPr>
        <w:pStyle w:val="FootnoteText"/>
      </w:pPr>
      <w:r>
        <w:rPr>
          <w:rStyle w:val="FootnoteReference"/>
        </w:rPr>
        <w:footnoteRef/>
      </w:r>
      <w:r>
        <w:t xml:space="preserve"> </w:t>
      </w:r>
      <w:r w:rsidRPr="00F66555">
        <w:t>CTIA Opp. at 7</w:t>
      </w:r>
      <w:r>
        <w:t>.</w:t>
      </w:r>
    </w:p>
  </w:footnote>
  <w:footnote w:id="63">
    <w:p w:rsidR="00107107" w:rsidRDefault="00107107">
      <w:pPr>
        <w:pStyle w:val="FootnoteText"/>
      </w:pPr>
      <w:r>
        <w:rPr>
          <w:rStyle w:val="FootnoteReference"/>
        </w:rPr>
        <w:footnoteRef/>
      </w:r>
      <w:r>
        <w:t xml:space="preserve"> Fox</w:t>
      </w:r>
      <w:r w:rsidRPr="00F66555">
        <w:t xml:space="preserve"> Reply at 6.</w:t>
      </w:r>
    </w:p>
  </w:footnote>
  <w:footnote w:id="64">
    <w:p w:rsidR="00107107" w:rsidRPr="00CB1007" w:rsidRDefault="00107107" w:rsidP="00CC0994">
      <w:pPr>
        <w:pStyle w:val="FootnoteText"/>
      </w:pPr>
      <w:r w:rsidRPr="00CB1007">
        <w:rPr>
          <w:rStyle w:val="FootnoteReference"/>
        </w:rPr>
        <w:footnoteRef/>
      </w:r>
      <w:r w:rsidRPr="00CB1007">
        <w:t xml:space="preserve"> EOBC Petition at 12.</w:t>
      </w:r>
    </w:p>
  </w:footnote>
  <w:footnote w:id="65">
    <w:p w:rsidR="00107107" w:rsidRPr="00CB1007" w:rsidRDefault="00107107" w:rsidP="00CC0994">
      <w:pPr>
        <w:pStyle w:val="FootnoteText"/>
      </w:pPr>
      <w:r w:rsidRPr="00CB1007">
        <w:rPr>
          <w:rStyle w:val="FootnoteReference"/>
        </w:rPr>
        <w:footnoteRef/>
      </w:r>
      <w:r w:rsidRPr="00CB1007">
        <w:t xml:space="preserve"> EOBC Pet</w:t>
      </w:r>
      <w:r>
        <w:t>ition</w:t>
      </w:r>
      <w:r w:rsidRPr="00CB1007">
        <w:t xml:space="preserve"> at 11; CTIA Opp. at 7.</w:t>
      </w:r>
    </w:p>
  </w:footnote>
  <w:footnote w:id="66">
    <w:p w:rsidR="00107107" w:rsidRPr="00894D4C" w:rsidRDefault="00107107" w:rsidP="00CC0994">
      <w:pPr>
        <w:pStyle w:val="FootnoteText"/>
      </w:pPr>
      <w:r w:rsidRPr="00CB1007">
        <w:rPr>
          <w:rStyle w:val="FootnoteReference"/>
        </w:rPr>
        <w:footnoteRef/>
      </w:r>
      <w:r w:rsidRPr="00CB1007">
        <w:t xml:space="preserve"> EOBC Petition at 11 (“Rules that make it difficult to enter into term agreements are inconsistent with the Commission’s</w:t>
      </w:r>
      <w:r w:rsidRPr="00300119">
        <w:t xml:space="preserve"> pledge to ‘</w:t>
      </w:r>
      <w:r w:rsidRPr="007B18EA">
        <w:t>allow a variety of different types of spectrum sharing to meet the individualiz</w:t>
      </w:r>
      <w:r w:rsidRPr="00894D4C">
        <w:t xml:space="preserve">ed programming and economic needs of the parties involved.’), quoting </w:t>
      </w:r>
      <w:r>
        <w:rPr>
          <w:i/>
        </w:rPr>
        <w:t>Channel Sharing R&amp;O</w:t>
      </w:r>
      <w:r w:rsidRPr="00894D4C">
        <w:t>, 27 FCC Rcd. at 4625, para. 18.</w:t>
      </w:r>
    </w:p>
  </w:footnote>
  <w:footnote w:id="67">
    <w:p w:rsidR="00107107" w:rsidRDefault="00107107">
      <w:pPr>
        <w:pStyle w:val="FootnoteText"/>
      </w:pPr>
      <w:r>
        <w:rPr>
          <w:rStyle w:val="FootnoteReference"/>
        </w:rPr>
        <w:footnoteRef/>
      </w:r>
      <w:r>
        <w:t xml:space="preserve"> </w:t>
      </w:r>
      <w:r w:rsidRPr="000956A0">
        <w:rPr>
          <w:i/>
        </w:rPr>
        <w:t>See</w:t>
      </w:r>
      <w:r>
        <w:t xml:space="preserve"> Section II.D (Termination of a Sharing Station’s Spectrum Usage Rights).</w:t>
      </w:r>
    </w:p>
  </w:footnote>
  <w:footnote w:id="68">
    <w:p w:rsidR="00107107" w:rsidRPr="00CB1007" w:rsidRDefault="00107107" w:rsidP="003835DD">
      <w:pPr>
        <w:pStyle w:val="FootnoteText"/>
      </w:pPr>
      <w:r w:rsidRPr="00CB1007">
        <w:rPr>
          <w:rStyle w:val="FootnoteReference"/>
        </w:rPr>
        <w:footnoteRef/>
      </w:r>
      <w:r w:rsidRPr="00CB1007">
        <w:t xml:space="preserve"> </w:t>
      </w:r>
      <w:r w:rsidRPr="00CB1007">
        <w:rPr>
          <w:i/>
        </w:rPr>
        <w:t>IA R&amp;O</w:t>
      </w:r>
      <w:r w:rsidRPr="00CB1007">
        <w:t>, 29 FCC Rcd at</w:t>
      </w:r>
      <w:r>
        <w:t xml:space="preserve"> 6853, para. 701</w:t>
      </w:r>
      <w:r w:rsidRPr="00CB1007">
        <w:rPr>
          <w:i/>
        </w:rPr>
        <w:t xml:space="preserve">.  </w:t>
      </w:r>
      <w:r w:rsidRPr="00CB1007">
        <w:t xml:space="preserve">The </w:t>
      </w:r>
      <w:r>
        <w:t xml:space="preserve">Commission decided that </w:t>
      </w:r>
      <w:r w:rsidRPr="00CB1007">
        <w:t xml:space="preserve">final award of the rights to the terminated portion of the shared channel </w:t>
      </w:r>
      <w:r>
        <w:t>would be</w:t>
      </w:r>
      <w:r w:rsidRPr="00CB1007">
        <w:t xml:space="preserve"> conditione</w:t>
      </w:r>
      <w:r w:rsidRPr="00300119">
        <w:t xml:space="preserve">d on the new channel sharing licensee agreeing to the terms of the existing CSA.  </w:t>
      </w:r>
      <w:r w:rsidRPr="007B18EA">
        <w:rPr>
          <w:i/>
        </w:rPr>
        <w:t xml:space="preserve">Id. </w:t>
      </w:r>
      <w:r>
        <w:t xml:space="preserve"> It</w:t>
      </w:r>
      <w:r w:rsidRPr="007B18EA">
        <w:t xml:space="preserve"> recognized that, “in practice, very few television licenses are terminated,” but stated that “it is important to clarify our rules </w:t>
      </w:r>
      <w:r w:rsidRPr="00894D4C">
        <w:t xml:space="preserve">so that stations considering a channel sharing bid in the reverse auction can factor them into their channel sharing negotiations.  </w:t>
      </w:r>
      <w:r w:rsidRPr="00CB1007">
        <w:rPr>
          <w:i/>
        </w:rPr>
        <w:t xml:space="preserve">Id. </w:t>
      </w:r>
      <w:r w:rsidRPr="00CB1007">
        <w:t>at 6853, n. 1950.</w:t>
      </w:r>
    </w:p>
  </w:footnote>
  <w:footnote w:id="69">
    <w:p w:rsidR="00107107" w:rsidRPr="00300119" w:rsidRDefault="00107107" w:rsidP="003835DD">
      <w:pPr>
        <w:pStyle w:val="FootnoteText"/>
      </w:pPr>
      <w:r w:rsidRPr="00CB1007">
        <w:rPr>
          <w:rStyle w:val="FootnoteReference"/>
        </w:rPr>
        <w:footnoteRef/>
      </w:r>
      <w:r w:rsidRPr="00CB1007">
        <w:t xml:space="preserve"> </w:t>
      </w:r>
      <w:r w:rsidRPr="00CB1007">
        <w:rPr>
          <w:i/>
        </w:rPr>
        <w:t xml:space="preserve">Id. </w:t>
      </w:r>
      <w:r w:rsidRPr="00CB1007">
        <w:t>n. 1948.</w:t>
      </w:r>
    </w:p>
  </w:footnote>
  <w:footnote w:id="70">
    <w:p w:rsidR="00107107" w:rsidRPr="00CB1007" w:rsidRDefault="00107107" w:rsidP="003835DD">
      <w:pPr>
        <w:pStyle w:val="FootnoteText"/>
      </w:pPr>
      <w:r w:rsidRPr="00CB1007">
        <w:rPr>
          <w:rStyle w:val="FootnoteReference"/>
        </w:rPr>
        <w:footnoteRef/>
      </w:r>
      <w:r w:rsidRPr="00CB1007">
        <w:t xml:space="preserve"> EOBC Petition at 13.</w:t>
      </w:r>
    </w:p>
  </w:footnote>
  <w:footnote w:id="71">
    <w:p w:rsidR="00107107" w:rsidRPr="007B18EA" w:rsidRDefault="00107107" w:rsidP="003835DD">
      <w:pPr>
        <w:pStyle w:val="FootnoteText"/>
      </w:pPr>
      <w:r w:rsidRPr="00CB1007">
        <w:rPr>
          <w:rStyle w:val="FootnoteReference"/>
        </w:rPr>
        <w:footnoteRef/>
      </w:r>
      <w:r w:rsidRPr="00CB1007">
        <w:t xml:space="preserve"> </w:t>
      </w:r>
      <w:r w:rsidRPr="00CB1007">
        <w:rPr>
          <w:i/>
        </w:rPr>
        <w:t>Id.</w:t>
      </w:r>
      <w:r w:rsidRPr="00CB1007">
        <w:t xml:space="preserve"> at 13-14.  </w:t>
      </w:r>
    </w:p>
  </w:footnote>
  <w:footnote w:id="72">
    <w:p w:rsidR="00107107" w:rsidRDefault="00107107">
      <w:pPr>
        <w:pStyle w:val="FootnoteText"/>
      </w:pPr>
      <w:r>
        <w:rPr>
          <w:rStyle w:val="FootnoteReference"/>
        </w:rPr>
        <w:footnoteRef/>
      </w:r>
      <w:r>
        <w:t xml:space="preserve"> </w:t>
      </w:r>
      <w:r w:rsidRPr="007B18EA">
        <w:t xml:space="preserve">CTIA Opp. at 8.  </w:t>
      </w:r>
    </w:p>
  </w:footnote>
  <w:footnote w:id="73">
    <w:p w:rsidR="00107107" w:rsidRDefault="00107107">
      <w:pPr>
        <w:pStyle w:val="FootnoteText"/>
      </w:pPr>
      <w:r>
        <w:rPr>
          <w:rStyle w:val="FootnoteReference"/>
        </w:rPr>
        <w:footnoteRef/>
      </w:r>
      <w:r>
        <w:t xml:space="preserve"> Fox Reply at 6.</w:t>
      </w:r>
    </w:p>
  </w:footnote>
  <w:footnote w:id="74">
    <w:p w:rsidR="00107107" w:rsidRPr="00894D4C" w:rsidRDefault="00107107">
      <w:pPr>
        <w:pStyle w:val="FootnoteText"/>
      </w:pPr>
      <w:r w:rsidRPr="00CB1007">
        <w:rPr>
          <w:rStyle w:val="FootnoteReference"/>
        </w:rPr>
        <w:footnoteRef/>
      </w:r>
      <w:r w:rsidRPr="00CB1007">
        <w:t xml:space="preserve"> In the </w:t>
      </w:r>
      <w:r w:rsidRPr="00CB1007">
        <w:rPr>
          <w:i/>
        </w:rPr>
        <w:t>IA R&amp;O</w:t>
      </w:r>
      <w:r w:rsidRPr="00300119">
        <w:t xml:space="preserve">, we decided to allow rights under a CSA to be assigned or transferred, subject to the requirements of Section 310 of the </w:t>
      </w:r>
      <w:r w:rsidRPr="007B18EA">
        <w:t xml:space="preserve">Communications Act, our rules, and the requirement that the assignee or transferee comply with the applicable CSA.  </w:t>
      </w:r>
      <w:r w:rsidRPr="00894D4C">
        <w:rPr>
          <w:i/>
        </w:rPr>
        <w:t>IA R&amp;O</w:t>
      </w:r>
      <w:r w:rsidRPr="00894D4C">
        <w:t>, 29 FCC Rcd at 6853-54, para. 701.</w:t>
      </w:r>
    </w:p>
  </w:footnote>
  <w:footnote w:id="75">
    <w:p w:rsidR="00107107" w:rsidRPr="00CB1007" w:rsidRDefault="00107107">
      <w:pPr>
        <w:pStyle w:val="FootnoteText"/>
      </w:pPr>
      <w:r w:rsidRPr="00CB1007">
        <w:rPr>
          <w:rStyle w:val="FootnoteReference"/>
        </w:rPr>
        <w:footnoteRef/>
      </w:r>
      <w:r w:rsidRPr="00CB1007">
        <w:t xml:space="preserve"> EOBC Petition at 13.</w:t>
      </w:r>
    </w:p>
  </w:footnote>
  <w:footnote w:id="76">
    <w:p w:rsidR="00107107" w:rsidRPr="00300119" w:rsidRDefault="00107107">
      <w:pPr>
        <w:pStyle w:val="FootnoteText"/>
      </w:pPr>
      <w:r w:rsidRPr="00CB1007">
        <w:rPr>
          <w:rStyle w:val="FootnoteReference"/>
        </w:rPr>
        <w:footnoteRef/>
      </w:r>
      <w:r w:rsidRPr="00CB1007">
        <w:t xml:space="preserve"> </w:t>
      </w:r>
      <w:r w:rsidRPr="00CB1007">
        <w:rPr>
          <w:i/>
        </w:rPr>
        <w:t>See supra</w:t>
      </w:r>
      <w:r w:rsidRPr="00CB1007">
        <w:t>, Section III.C (Term-Limited Channel Sharing Arragements).</w:t>
      </w:r>
    </w:p>
  </w:footnote>
  <w:footnote w:id="77">
    <w:p w:rsidR="00107107" w:rsidRPr="00CB1007" w:rsidRDefault="00107107" w:rsidP="0053287F">
      <w:pPr>
        <w:pStyle w:val="FootnoteText"/>
      </w:pPr>
      <w:r w:rsidRPr="00CB1007">
        <w:rPr>
          <w:rStyle w:val="FootnoteReference"/>
        </w:rPr>
        <w:footnoteRef/>
      </w:r>
      <w:r w:rsidRPr="00CB1007">
        <w:t xml:space="preserve"> We note that reversion of a channel to non-shared status</w:t>
      </w:r>
      <w:r w:rsidRPr="00300119">
        <w:t xml:space="preserve"> may reduce the number of stations in a market, which in turn may cause some existing station combinations to become non-compliant with the media ownership rules.</w:t>
      </w:r>
      <w:r w:rsidRPr="007B18EA">
        <w:rPr>
          <w:vertAlign w:val="superscript"/>
        </w:rPr>
        <w:t xml:space="preserve"> </w:t>
      </w:r>
      <w:r w:rsidRPr="007B18EA">
        <w:t xml:space="preserve"> Under such circumstances, the combin</w:t>
      </w:r>
      <w:r w:rsidRPr="00894D4C">
        <w:t xml:space="preserve">ation would be grandfathered, but in the event of a sale the new owner would have to comply with the rules in place at the time of the transaction or obtain a waiver.  </w:t>
      </w:r>
      <w:r w:rsidRPr="00894D4C">
        <w:rPr>
          <w:i/>
        </w:rPr>
        <w:t>See IA R&amp;O</w:t>
      </w:r>
      <w:r w:rsidRPr="00894D4C">
        <w:t xml:space="preserve">, </w:t>
      </w:r>
      <w:r w:rsidRPr="006335E3">
        <w:t xml:space="preserve">29 FCC Rcd at 6847-48, </w:t>
      </w:r>
      <w:r w:rsidRPr="00CB1007">
        <w:t xml:space="preserve">para 691.  </w:t>
      </w:r>
    </w:p>
  </w:footnote>
  <w:footnote w:id="78">
    <w:p w:rsidR="00107107" w:rsidRDefault="00107107">
      <w:pPr>
        <w:pStyle w:val="FootnoteText"/>
      </w:pPr>
      <w:r>
        <w:rPr>
          <w:rStyle w:val="FootnoteReference"/>
        </w:rPr>
        <w:footnoteRef/>
      </w:r>
      <w:r>
        <w:t xml:space="preserve"> We note the various rules adopted in the </w:t>
      </w:r>
      <w:r w:rsidRPr="00FD4AA0">
        <w:rPr>
          <w:i/>
        </w:rPr>
        <w:t>IA R&amp;O</w:t>
      </w:r>
      <w:r>
        <w:t xml:space="preserve"> reference FCC Forms 301 and 302.  Those forms have since been changed to FCC Form 2100.  As noted in Appendix A, we revise these rules to reflect the new form number.   </w:t>
      </w:r>
    </w:p>
  </w:footnote>
  <w:footnote w:id="79">
    <w:p w:rsidR="00107107" w:rsidRDefault="00107107">
      <w:pPr>
        <w:pStyle w:val="FootnoteText"/>
      </w:pPr>
      <w:r>
        <w:rPr>
          <w:rStyle w:val="FootnoteReference"/>
        </w:rPr>
        <w:footnoteRef/>
      </w:r>
      <w:r>
        <w:t xml:space="preserve"> </w:t>
      </w:r>
      <w:r>
        <w:rPr>
          <w:i/>
          <w:iCs/>
          <w:snapToGrid w:val="0"/>
        </w:rPr>
        <w:t>See IA R&amp;O,</w:t>
      </w:r>
      <w:r>
        <w:t xml:space="preserve"> </w:t>
      </w:r>
      <w:r>
        <w:rPr>
          <w:snapToGrid w:val="0"/>
        </w:rPr>
        <w:t>29 FCC Rcd at 6855-57, paras. 705-707. </w:t>
      </w:r>
    </w:p>
  </w:footnote>
  <w:footnote w:id="80">
    <w:p w:rsidR="00107107" w:rsidRPr="00033323" w:rsidRDefault="00107107">
      <w:pPr>
        <w:pStyle w:val="FootnoteText"/>
      </w:pPr>
      <w:r>
        <w:rPr>
          <w:rStyle w:val="FootnoteReference"/>
        </w:rPr>
        <w:footnoteRef/>
      </w:r>
      <w:r>
        <w:t xml:space="preserve"> </w:t>
      </w:r>
      <w:r>
        <w:rPr>
          <w:i/>
        </w:rPr>
        <w:t>Id.</w:t>
      </w:r>
      <w:r>
        <w:t>, 29 FCC Rcd at 6854-55, para. 703.</w:t>
      </w:r>
    </w:p>
  </w:footnote>
  <w:footnote w:id="81">
    <w:p w:rsidR="00107107" w:rsidRDefault="00107107">
      <w:pPr>
        <w:pStyle w:val="FootnoteText"/>
      </w:pPr>
      <w:r>
        <w:rPr>
          <w:rStyle w:val="FootnoteReference"/>
        </w:rPr>
        <w:footnoteRef/>
      </w:r>
      <w:r>
        <w:t xml:space="preserve"> </w:t>
      </w:r>
      <w:r>
        <w:rPr>
          <w:i/>
          <w:iCs/>
          <w:snapToGrid w:val="0"/>
        </w:rPr>
        <w:t>See, e.g.,</w:t>
      </w:r>
      <w:r>
        <w:t xml:space="preserve"> </w:t>
      </w:r>
      <w:r>
        <w:rPr>
          <w:i/>
          <w:iCs/>
          <w:snapToGrid w:val="0"/>
        </w:rPr>
        <w:t>Amendment of the Television Table of Allotments to Delete Noncommercial Reservation on Channel *16, 482-488 MHz, Pittsburgh, Pennsylvania,</w:t>
      </w:r>
      <w:r>
        <w:rPr>
          <w:snapToGrid w:val="0"/>
        </w:rPr>
        <w:t xml:space="preserve"> 17 FCC Rcd. 14038, 14048-49 paras 29-30 (2002) (“</w:t>
      </w:r>
      <w:r>
        <w:rPr>
          <w:snapToGrid w:val="0"/>
          <w:color w:val="000000"/>
          <w:shd w:val="clear" w:color="auto" w:fill="FFFFFF"/>
        </w:rPr>
        <w:t>only under compelling circumstances will we consider deviation from this policy” disfavoring dereservation</w:t>
      </w:r>
      <w:r>
        <w:rPr>
          <w:snapToGrid w:val="0"/>
        </w:rPr>
        <w:t xml:space="preserve">); </w:t>
      </w:r>
      <w:r>
        <w:rPr>
          <w:i/>
          <w:iCs/>
          <w:snapToGrid w:val="0"/>
        </w:rPr>
        <w:t>see also IA R&amp;O</w:t>
      </w:r>
      <w:r>
        <w:rPr>
          <w:snapToGrid w:val="0"/>
        </w:rPr>
        <w:t xml:space="preserve"> para. 704 (“we seek to ensure that we continue to reserve adequate NCE channel space in light of our previous decision to permit channel sharing between reserved-channel NCE stations and commercial stations”); </w:t>
      </w:r>
      <w:r>
        <w:rPr>
          <w:i/>
          <w:iCs/>
          <w:snapToGrid w:val="0"/>
        </w:rPr>
        <w:t>See also, e.g.,</w:t>
      </w:r>
      <w:r>
        <w:rPr>
          <w:snapToGrid w:val="0"/>
        </w:rPr>
        <w:t xml:space="preserve"> </w:t>
      </w:r>
      <w:r>
        <w:rPr>
          <w:i/>
          <w:iCs/>
          <w:snapToGrid w:val="0"/>
        </w:rPr>
        <w:t>In the Matter of: JBS, Inc. Licensee of Station WYSJ-CA, Yorktown, VA</w:t>
      </w:r>
      <w:r>
        <w:rPr>
          <w:snapToGrid w:val="0"/>
        </w:rPr>
        <w:t>, 29 FCC Rcd. 1121, 1122 para. 7 (2014) (allowing licensee facing possible license revocation to instead sell its station where doing so benefited the public interest and the wrongdoer would not benefit from the sale). </w:t>
      </w:r>
    </w:p>
  </w:footnote>
  <w:footnote w:id="82">
    <w:p w:rsidR="00107107" w:rsidRDefault="00107107">
      <w:pPr>
        <w:pStyle w:val="FootnoteText"/>
      </w:pPr>
      <w:r>
        <w:rPr>
          <w:rStyle w:val="FootnoteReference"/>
        </w:rPr>
        <w:footnoteRef/>
      </w:r>
      <w:r>
        <w:t xml:space="preserve"> </w:t>
      </w:r>
      <w:r>
        <w:rPr>
          <w:i/>
        </w:rPr>
        <w:t xml:space="preserve">See </w:t>
      </w:r>
      <w:r>
        <w:rPr>
          <w:i/>
          <w:iCs/>
          <w:snapToGrid w:val="0"/>
        </w:rPr>
        <w:t>IA R&amp;O,</w:t>
      </w:r>
      <w:r>
        <w:rPr>
          <w:snapToGrid w:val="0"/>
        </w:rPr>
        <w:t xml:space="preserve"> 29 FCC Rcd at 6723, para. 364 (noting “longstanding policy of preventing a station from avoiding the consequences of its misdeeds through a station sale”).</w:t>
      </w:r>
    </w:p>
  </w:footnote>
  <w:footnote w:id="83">
    <w:p w:rsidR="00107107" w:rsidRPr="00300119" w:rsidRDefault="00107107" w:rsidP="006335E3">
      <w:pPr>
        <w:pStyle w:val="FootnoteText"/>
      </w:pPr>
      <w:r w:rsidRPr="00CB1007">
        <w:rPr>
          <w:rStyle w:val="FootnoteReference"/>
        </w:rPr>
        <w:footnoteRef/>
      </w:r>
      <w:r w:rsidRPr="00CB1007">
        <w:t xml:space="preserve"> EOBC Petition at 10.  </w:t>
      </w:r>
    </w:p>
  </w:footnote>
  <w:footnote w:id="84">
    <w:p w:rsidR="00107107" w:rsidRPr="00291EF5" w:rsidRDefault="00107107" w:rsidP="00300119">
      <w:pPr>
        <w:pStyle w:val="FootnoteText"/>
      </w:pPr>
      <w:r w:rsidRPr="00CB1007">
        <w:rPr>
          <w:rStyle w:val="FootnoteReference"/>
        </w:rPr>
        <w:footnoteRef/>
      </w:r>
      <w:r w:rsidRPr="00CB1007">
        <w:t xml:space="preserve"> </w:t>
      </w:r>
      <w:r w:rsidRPr="00CB1007">
        <w:rPr>
          <w:color w:val="000000" w:themeColor="text1"/>
        </w:rPr>
        <w:t>Under this ex</w:t>
      </w:r>
      <w:r w:rsidRPr="00300119">
        <w:rPr>
          <w:color w:val="000000" w:themeColor="text1"/>
        </w:rPr>
        <w:t>ception, parties to an executed CSA may communicate during the auction about bids and bidding strategies</w:t>
      </w:r>
      <w:r w:rsidRPr="00291EF5">
        <w:rPr>
          <w:color w:val="000000" w:themeColor="text1"/>
        </w:rPr>
        <w:t xml:space="preserve">.  </w:t>
      </w:r>
      <w:r w:rsidRPr="00291EF5">
        <w:rPr>
          <w:i/>
        </w:rPr>
        <w:t>IA R&amp;O</w:t>
      </w:r>
      <w:r w:rsidRPr="00291EF5">
        <w:t>, 29 FCC Rcd at 6740, para. 406</w:t>
      </w:r>
      <w:r>
        <w:t>;</w:t>
      </w:r>
      <w:r w:rsidRPr="00291EF5">
        <w:t xml:space="preserve"> </w:t>
      </w:r>
      <w:r>
        <w:t>47 C.F.R. § 1.2205(b)(2)(iii)</w:t>
      </w:r>
      <w:r w:rsidRPr="00291EF5">
        <w:t xml:space="preserve">; </w:t>
      </w:r>
      <w:r w:rsidRPr="007C1D47">
        <w:rPr>
          <w:i/>
        </w:rPr>
        <w:t>see also</w:t>
      </w:r>
      <w:r w:rsidRPr="00291EF5">
        <w:t xml:space="preserve"> </w:t>
      </w:r>
      <w:r w:rsidRPr="000956A0">
        <w:rPr>
          <w:i/>
        </w:rPr>
        <w:t>IA R&amp;O</w:t>
      </w:r>
      <w:r>
        <w:t xml:space="preserve">, </w:t>
      </w:r>
      <w:r w:rsidRPr="00291EF5">
        <w:t>29 FCC Rcd at 6748-49,</w:t>
      </w:r>
      <w:r w:rsidRPr="00291EF5">
        <w:rPr>
          <w:i/>
        </w:rPr>
        <w:t xml:space="preserve"> </w:t>
      </w:r>
      <w:r w:rsidRPr="00291EF5">
        <w:t xml:space="preserve">para. 436 (requirement for CSA filing).  </w:t>
      </w:r>
    </w:p>
  </w:footnote>
  <w:footnote w:id="85">
    <w:p w:rsidR="00107107" w:rsidRDefault="00107107">
      <w:pPr>
        <w:pStyle w:val="FootnoteText"/>
      </w:pPr>
      <w:r>
        <w:rPr>
          <w:rStyle w:val="FootnoteReference"/>
        </w:rPr>
        <w:footnoteRef/>
      </w:r>
      <w:r w:rsidRPr="007C1D47">
        <w:rPr>
          <w:i/>
        </w:rPr>
        <w:t>Channel Sharing R&amp;O</w:t>
      </w:r>
      <w:r>
        <w:t xml:space="preserve">, </w:t>
      </w:r>
      <w:r w:rsidRPr="00CB1007">
        <w:t xml:space="preserve">27 FCC Rcd. </w:t>
      </w:r>
      <w:r>
        <w:t>at</w:t>
      </w:r>
      <w:r w:rsidRPr="00CB1007">
        <w:t xml:space="preserve"> </w:t>
      </w:r>
      <w:r>
        <w:t xml:space="preserve">4624, para. 15; </w:t>
      </w:r>
      <w:r w:rsidRPr="007C1D47">
        <w:rPr>
          <w:i/>
        </w:rPr>
        <w:t>IA R&amp;O</w:t>
      </w:r>
      <w:r>
        <w:t>, 29 FCC Rcd at 6852, para. 699.</w:t>
      </w:r>
    </w:p>
  </w:footnote>
  <w:footnote w:id="86">
    <w:p w:rsidR="00107107" w:rsidRPr="00300119" w:rsidRDefault="00107107" w:rsidP="00300119">
      <w:pPr>
        <w:pStyle w:val="FootnoteText"/>
      </w:pPr>
      <w:r w:rsidRPr="00CB1007">
        <w:rPr>
          <w:rStyle w:val="FootnoteReference"/>
        </w:rPr>
        <w:footnoteRef/>
      </w:r>
      <w:r w:rsidRPr="00CB1007">
        <w:t xml:space="preserve"> </w:t>
      </w:r>
      <w:r w:rsidRPr="007C3599">
        <w:rPr>
          <w:i/>
        </w:rPr>
        <w:t xml:space="preserve">See </w:t>
      </w:r>
      <w:r w:rsidRPr="00C02403">
        <w:rPr>
          <w:i/>
        </w:rPr>
        <w:t>IA R&amp;O</w:t>
      </w:r>
      <w:r w:rsidRPr="00C02403">
        <w:t>, 29 FCC Rcd</w:t>
      </w:r>
      <w:r w:rsidRPr="00C02403">
        <w:rPr>
          <w:i/>
        </w:rPr>
        <w:t xml:space="preserve"> </w:t>
      </w:r>
      <w:r w:rsidRPr="00C02403">
        <w:t>at 6852, para. 699</w:t>
      </w:r>
      <w:r w:rsidRPr="00300119">
        <w:t>.</w:t>
      </w:r>
    </w:p>
  </w:footnote>
  <w:footnote w:id="87">
    <w:p w:rsidR="00107107" w:rsidRPr="00300119" w:rsidRDefault="00107107" w:rsidP="00300119">
      <w:pPr>
        <w:pStyle w:val="FootnoteText"/>
      </w:pPr>
      <w:r w:rsidRPr="00CB1007">
        <w:rPr>
          <w:rStyle w:val="FootnoteReference"/>
        </w:rPr>
        <w:footnoteRef/>
      </w:r>
      <w:r w:rsidRPr="00CB1007">
        <w:t xml:space="preserve"> Id. at 6803, paras. 577-578; </w:t>
      </w:r>
      <w:r w:rsidRPr="00CB1007">
        <w:rPr>
          <w:i/>
        </w:rPr>
        <w:t>see supra</w:t>
      </w:r>
      <w:r w:rsidRPr="00300119">
        <w:t>, Section III.B (Flexibility to Enter Into CSAs After the Incentive Auction).</w:t>
      </w:r>
    </w:p>
  </w:footnote>
  <w:footnote w:id="88">
    <w:p w:rsidR="00107107" w:rsidRPr="00300119" w:rsidRDefault="00107107" w:rsidP="00300119">
      <w:pPr>
        <w:pStyle w:val="FootnoteText"/>
      </w:pPr>
      <w:r w:rsidRPr="00CB1007">
        <w:rPr>
          <w:rStyle w:val="FootnoteReference"/>
        </w:rPr>
        <w:footnoteRef/>
      </w:r>
      <w:r w:rsidRPr="00CB1007">
        <w:t xml:space="preserve"> </w:t>
      </w:r>
      <w:r>
        <w:t xml:space="preserve"> Consistent with the approach we adopted in the </w:t>
      </w:r>
      <w:r w:rsidRPr="00F155FA">
        <w:rPr>
          <w:i/>
        </w:rPr>
        <w:t>IA R&amp;O</w:t>
      </w:r>
      <w:r>
        <w:t xml:space="preserve">, this application will be treated as a minor change because it does not propose new facilities and because following the minor change procedures will enable us to expeditiously implement the results of the auction and help facilitate a smooth post-auction transition.  </w:t>
      </w:r>
      <w:r w:rsidRPr="007C1D47">
        <w:rPr>
          <w:i/>
        </w:rPr>
        <w:t>IA R&amp;O</w:t>
      </w:r>
      <w:r w:rsidRPr="007C1D47">
        <w:t xml:space="preserve">, 29 FCC Rcd at 6790-91, </w:t>
      </w:r>
      <w:r w:rsidRPr="0083320C">
        <w:t xml:space="preserve">para. </w:t>
      </w:r>
      <w:r w:rsidRPr="007C1D47">
        <w:t>546</w:t>
      </w:r>
      <w:r w:rsidRPr="0083320C">
        <w:t>.</w:t>
      </w:r>
      <w:r>
        <w:t xml:space="preserve">   </w:t>
      </w:r>
      <w:r w:rsidRPr="00CB1007">
        <w:t xml:space="preserve">The procedure for the sharer station remains the same as adopted in the </w:t>
      </w:r>
      <w:r w:rsidRPr="00CB1007">
        <w:rPr>
          <w:i/>
        </w:rPr>
        <w:t>IA R&amp;O.</w:t>
      </w:r>
      <w:r w:rsidRPr="00300119">
        <w:t xml:space="preserve"> </w:t>
      </w:r>
      <w:r>
        <w:t xml:space="preserve"> </w:t>
      </w:r>
      <w:r w:rsidRPr="00300119">
        <w:t xml:space="preserve">It must file a license application at the time it commences shared operations.  </w:t>
      </w:r>
      <w:r w:rsidRPr="00300119">
        <w:rPr>
          <w:i/>
        </w:rPr>
        <w:t>IA R&amp;O</w:t>
      </w:r>
      <w:r w:rsidRPr="00300119">
        <w:t>, 29 FCC Rcd at 6795-96, para. 558.</w:t>
      </w:r>
    </w:p>
  </w:footnote>
  <w:footnote w:id="89">
    <w:p w:rsidR="00107107" w:rsidRPr="00CB1007" w:rsidRDefault="00107107" w:rsidP="00300119">
      <w:pPr>
        <w:pStyle w:val="FootnoteText"/>
      </w:pPr>
      <w:r w:rsidRPr="00CB1007">
        <w:rPr>
          <w:rStyle w:val="FootnoteReference"/>
        </w:rPr>
        <w:footnoteRef/>
      </w:r>
      <w:r w:rsidRPr="00CB1007">
        <w:t xml:space="preserve"> We will allow the applicant to redact confidential or proprietary terms.  Pursuant to our public file rules, this </w:t>
      </w:r>
      <w:r>
        <w:t xml:space="preserve">construction permit </w:t>
      </w:r>
      <w:r w:rsidRPr="00CB1007">
        <w:t>application, including the CSA, must be placed in the station’s p</w:t>
      </w:r>
      <w:r w:rsidRPr="00300119">
        <w:t>ublic file until action on the application becomes final.  Section 73.3526(e)(2) requires a commercial station to place in the public file a “copy of any application tendered for filing with the FCC, together with all related material . . . .”</w:t>
      </w:r>
      <w:r w:rsidRPr="007B18EA">
        <w:t xml:space="preserve"> 47 C.F.R § 73.3526(e)(2); </w:t>
      </w:r>
      <w:r w:rsidRPr="007B18EA">
        <w:rPr>
          <w:i/>
        </w:rPr>
        <w:t>see also</w:t>
      </w:r>
      <w:r w:rsidRPr="007B18EA">
        <w:t xml:space="preserve"> 47 C.F.R § 73.3527(e)(2) (non-commercial).  We note that CSAs need not be filed with the Comm</w:t>
      </w:r>
      <w:r w:rsidRPr="00894D4C">
        <w:t>ission under Section 73.3613, which generally requires the filing of contracts containing provisions related to the present or future ownership or control of the licensee, absent inclusion in the CSA of provisions triggering the filing requirements of that</w:t>
      </w:r>
      <w:r w:rsidRPr="00CB1007">
        <w:t xml:space="preserve"> rule.  47 CFR § 73.3613. </w:t>
      </w:r>
    </w:p>
  </w:footnote>
  <w:footnote w:id="90">
    <w:p w:rsidR="00107107" w:rsidRDefault="00107107">
      <w:pPr>
        <w:pStyle w:val="FootnoteText"/>
      </w:pPr>
      <w:r>
        <w:rPr>
          <w:rStyle w:val="FootnoteReference"/>
        </w:rPr>
        <w:footnoteRef/>
      </w:r>
      <w:r>
        <w:t xml:space="preserve"> Winning bidders that intend to channel share may request a three-month extension of the license relinquishment deadline.  Whether the deadline has been extended or not, however, whenever the relinquishment period runs, a station that has not found a sharing partner will be held to its relinquishment committment.  It will have received its auction proceeds by then, and its license will terminate.</w:t>
      </w:r>
    </w:p>
  </w:footnote>
  <w:footnote w:id="91">
    <w:p w:rsidR="00107107" w:rsidRPr="00300119" w:rsidRDefault="00107107" w:rsidP="007B18EA">
      <w:pPr>
        <w:pStyle w:val="FootnoteText"/>
      </w:pPr>
      <w:r w:rsidRPr="00CB1007">
        <w:rPr>
          <w:rStyle w:val="FootnoteReference"/>
        </w:rPr>
        <w:footnoteRef/>
      </w:r>
      <w:r w:rsidRPr="00CB1007">
        <w:t xml:space="preserve"> </w:t>
      </w:r>
      <w:r w:rsidRPr="00CB1007">
        <w:rPr>
          <w:i/>
        </w:rPr>
        <w:t>IA R&amp;O</w:t>
      </w:r>
      <w:r w:rsidRPr="00300119">
        <w:t>, 29 FCC Rcd at 6852-53, para. 700.</w:t>
      </w:r>
    </w:p>
  </w:footnote>
  <w:footnote w:id="92">
    <w:p w:rsidR="00107107" w:rsidRPr="00300119" w:rsidRDefault="00107107" w:rsidP="0053287F">
      <w:pPr>
        <w:pStyle w:val="FootnoteText"/>
      </w:pPr>
      <w:r w:rsidRPr="00CB1007">
        <w:rPr>
          <w:rStyle w:val="FootnoteReference"/>
        </w:rPr>
        <w:footnoteRef/>
      </w:r>
      <w:r w:rsidRPr="00CB1007">
        <w:t xml:space="preserve"> 47 C.F.R. 73.3700(h)</w:t>
      </w:r>
      <w:r w:rsidRPr="00CB1007">
        <w:rPr>
          <w:color w:val="010101"/>
        </w:rPr>
        <w:t>(4</w:t>
      </w:r>
      <w:r w:rsidRPr="00300119">
        <w:rPr>
          <w:color w:val="010101"/>
        </w:rPr>
        <w:t>).</w:t>
      </w:r>
    </w:p>
  </w:footnote>
  <w:footnote w:id="93">
    <w:p w:rsidR="00107107" w:rsidRDefault="00107107">
      <w:pPr>
        <w:pStyle w:val="FootnoteText"/>
      </w:pPr>
      <w:r>
        <w:rPr>
          <w:rStyle w:val="FootnoteReference"/>
        </w:rPr>
        <w:footnoteRef/>
      </w:r>
      <w:r>
        <w:t xml:space="preserve"> </w:t>
      </w:r>
      <w:r w:rsidRPr="00FE487C">
        <w:rPr>
          <w:i/>
        </w:rPr>
        <w:t>IA R&amp;O</w:t>
      </w:r>
      <w:r>
        <w:t xml:space="preserve">, 29 FCC Rcd at 6790, n. 1546.  </w:t>
      </w:r>
      <w:r w:rsidRPr="002D3854">
        <w:rPr>
          <w:color w:val="000000"/>
          <w:shd w:val="clear" w:color="auto" w:fill="FFFFFF"/>
        </w:rPr>
        <w:t>Consideration of competing applications would not serve the public interest in the unique context of the incentive auction because it would create uncertainty for potential bidders, thereby chilling auction participation, and would del</w:t>
      </w:r>
      <w:r w:rsidRPr="00703DF0">
        <w:rPr>
          <w:color w:val="000000"/>
          <w:shd w:val="clear" w:color="auto" w:fill="FFFFFF"/>
        </w:rPr>
        <w:t>ay the post-auction transition and the introduction of new services on repurposed spectrum.</w:t>
      </w:r>
    </w:p>
  </w:footnote>
  <w:footnote w:id="94">
    <w:p w:rsidR="00107107" w:rsidRPr="00300119" w:rsidRDefault="00107107" w:rsidP="007B18EA">
      <w:pPr>
        <w:pStyle w:val="FootnoteText"/>
      </w:pPr>
      <w:r w:rsidRPr="00CB1007">
        <w:rPr>
          <w:rStyle w:val="FootnoteReference"/>
        </w:rPr>
        <w:footnoteRef/>
      </w:r>
      <w:r w:rsidRPr="00CB1007">
        <w:t xml:space="preserve"> </w:t>
      </w:r>
      <w:r w:rsidRPr="00CB1007">
        <w:rPr>
          <w:i/>
        </w:rPr>
        <w:t xml:space="preserve">IA R&amp;O, </w:t>
      </w:r>
      <w:r w:rsidRPr="00300119">
        <w:t xml:space="preserve">29 FCC Rcd at 6740, para. 406.  </w:t>
      </w:r>
    </w:p>
  </w:footnote>
  <w:footnote w:id="95">
    <w:p w:rsidR="00107107" w:rsidRPr="00300119" w:rsidRDefault="00107107" w:rsidP="00894D4C">
      <w:pPr>
        <w:pStyle w:val="FootnoteText"/>
      </w:pPr>
      <w:r w:rsidRPr="00CB1007">
        <w:rPr>
          <w:rStyle w:val="FootnoteReference"/>
        </w:rPr>
        <w:footnoteRef/>
      </w:r>
      <w:r w:rsidRPr="00CB1007">
        <w:t xml:space="preserve"> </w:t>
      </w:r>
      <w:r w:rsidRPr="00CB1007">
        <w:rPr>
          <w:i/>
        </w:rPr>
        <w:t>Id.</w:t>
      </w:r>
    </w:p>
  </w:footnote>
  <w:footnote w:id="96">
    <w:p w:rsidR="00107107" w:rsidRPr="00300119" w:rsidRDefault="00107107">
      <w:pPr>
        <w:pStyle w:val="FootnoteText"/>
        <w:rPr>
          <w:i/>
        </w:rPr>
      </w:pPr>
      <w:r w:rsidRPr="00CB1007">
        <w:rPr>
          <w:rStyle w:val="FootnoteReference"/>
        </w:rPr>
        <w:footnoteRef/>
      </w:r>
      <w:r w:rsidRPr="00CB1007">
        <w:t xml:space="preserve"> </w:t>
      </w:r>
      <w:r w:rsidRPr="00CB1007">
        <w:rPr>
          <w:i/>
        </w:rPr>
        <w:t>Id.</w:t>
      </w:r>
    </w:p>
  </w:footnote>
  <w:footnote w:id="97">
    <w:p w:rsidR="00107107" w:rsidRPr="00082B4F" w:rsidRDefault="00107107">
      <w:pPr>
        <w:pStyle w:val="FootnoteText"/>
      </w:pPr>
      <w:r>
        <w:rPr>
          <w:rStyle w:val="FootnoteReference"/>
        </w:rPr>
        <w:footnoteRef/>
      </w:r>
      <w:r>
        <w:t xml:space="preserve"> For instance, we note that Fox, Ion Media, Tribune, and Univision filed a reply comment in response to the </w:t>
      </w:r>
      <w:r>
        <w:rPr>
          <w:i/>
        </w:rPr>
        <w:t xml:space="preserve">Incentive Auction Comment PN </w:t>
      </w:r>
      <w:r>
        <w:t>suggesting that we should allow broadcasters “to enter into multiple contingent CSAs prior to the auction.”  Fox Reply at 5.</w:t>
      </w:r>
    </w:p>
  </w:footnote>
  <w:footnote w:id="98">
    <w:p w:rsidR="00107107" w:rsidRPr="00CB1007" w:rsidRDefault="00107107" w:rsidP="00523518">
      <w:pPr>
        <w:pStyle w:val="FootnoteText"/>
      </w:pPr>
      <w:r w:rsidRPr="00CB1007">
        <w:rPr>
          <w:rStyle w:val="FootnoteReference"/>
        </w:rPr>
        <w:footnoteRef/>
      </w:r>
      <w:r w:rsidRPr="00CB1007">
        <w:t xml:space="preserve"> EOBC Petition at 11</w:t>
      </w:r>
      <w:r>
        <w:t>,</w:t>
      </w:r>
      <w:r w:rsidRPr="00CB1007">
        <w:rPr>
          <w:i/>
        </w:rPr>
        <w:t xml:space="preserve"> </w:t>
      </w:r>
      <w:r w:rsidRPr="00CB1007">
        <w:t>quoting 47 U.S.C. § 1452(a)(4).</w:t>
      </w:r>
      <w:r w:rsidRPr="00B210D9">
        <w:rPr>
          <w:i/>
        </w:rPr>
        <w:t xml:space="preserve"> </w:t>
      </w:r>
      <w:r>
        <w:rPr>
          <w:i/>
        </w:rPr>
        <w:t xml:space="preserve"> </w:t>
      </w:r>
      <w:r w:rsidRPr="00CB1007">
        <w:rPr>
          <w:i/>
        </w:rPr>
        <w:t>See</w:t>
      </w:r>
      <w:r>
        <w:rPr>
          <w:i/>
        </w:rPr>
        <w:t xml:space="preserve"> also</w:t>
      </w:r>
      <w:r w:rsidRPr="00CB1007">
        <w:rPr>
          <w:i/>
        </w:rPr>
        <w:t xml:space="preserve"> </w:t>
      </w:r>
      <w:r w:rsidRPr="00CB1007">
        <w:t>NCTA Opp.</w:t>
      </w:r>
      <w:r w:rsidRPr="00CB1007">
        <w:rPr>
          <w:i/>
        </w:rPr>
        <w:t xml:space="preserve"> </w:t>
      </w:r>
      <w:r w:rsidRPr="00CB1007">
        <w:t>at 3-4 (arguing that CSAs must be “linked” to the incentive auction process in order to fall under the Spectrum Act’s carriage rights provision for channel sharing parties).</w:t>
      </w:r>
    </w:p>
  </w:footnote>
  <w:footnote w:id="99">
    <w:p w:rsidR="00107107" w:rsidRPr="00522CA0" w:rsidRDefault="00107107" w:rsidP="007C1D47">
      <w:pPr>
        <w:pStyle w:val="FootnoteText"/>
      </w:pPr>
      <w:r>
        <w:rPr>
          <w:rStyle w:val="FootnoteReference"/>
        </w:rPr>
        <w:footnoteRef/>
      </w:r>
      <w:r>
        <w:t xml:space="preserve"> </w:t>
      </w:r>
      <w:r w:rsidRPr="00AB5FC5">
        <w:rPr>
          <w:i/>
        </w:rPr>
        <w:t xml:space="preserve">See Channel Sharing </w:t>
      </w:r>
      <w:r>
        <w:rPr>
          <w:i/>
        </w:rPr>
        <w:t>R&amp;O</w:t>
      </w:r>
      <w:r>
        <w:t xml:space="preserve">, 27 FCC Rcd at </w:t>
      </w:r>
      <w:r w:rsidRPr="00AB5FC5">
        <w:t>4622</w:t>
      </w:r>
      <w:r>
        <w:t>, para.</w:t>
      </w:r>
      <w:r w:rsidRPr="00522CA0">
        <w:t xml:space="preserve"> </w:t>
      </w:r>
      <w:r>
        <w:t xml:space="preserve">11 and at 4626, para. 20.  The Commission stated that it would consider how channel sharing will be applied outside of the incentive auction context in a future proceeding.  </w:t>
      </w:r>
      <w:r w:rsidRPr="00AB5FC5">
        <w:rPr>
          <w:i/>
        </w:rPr>
        <w:t>Id.</w:t>
      </w:r>
    </w:p>
  </w:footnote>
  <w:footnote w:id="100">
    <w:p w:rsidR="00107107" w:rsidRDefault="00107107" w:rsidP="007C1D47">
      <w:pPr>
        <w:pStyle w:val="FootnoteText"/>
      </w:pPr>
      <w:r>
        <w:rPr>
          <w:rStyle w:val="FootnoteReference"/>
        </w:rPr>
        <w:footnoteRef/>
      </w:r>
      <w:r>
        <w:t xml:space="preserve"> </w:t>
      </w:r>
      <w:r w:rsidRPr="00AB5FC5">
        <w:rPr>
          <w:i/>
        </w:rPr>
        <w:t xml:space="preserve">See Channel Sharing </w:t>
      </w:r>
      <w:r>
        <w:rPr>
          <w:i/>
        </w:rPr>
        <w:t>Order</w:t>
      </w:r>
      <w:r>
        <w:t xml:space="preserve">, 27 FCC Rcd at 4622, para. 12.  </w:t>
      </w:r>
      <w:r w:rsidRPr="00AB5FC5">
        <w:rPr>
          <w:i/>
        </w:rPr>
        <w:t>See also</w:t>
      </w:r>
      <w:r>
        <w:t xml:space="preserve"> </w:t>
      </w:r>
      <w:r w:rsidRPr="00AB5FC5">
        <w:rPr>
          <w:i/>
        </w:rPr>
        <w:t>LPTV Channel Sharing NPRM</w:t>
      </w:r>
      <w:r>
        <w:t xml:space="preserve">, 29 FCC Rcd at 12541, para. 14 (noting that </w:t>
      </w:r>
      <w:r w:rsidRPr="000C3CC6">
        <w:t xml:space="preserve">channel sharing could </w:t>
      </w:r>
      <w:r>
        <w:t xml:space="preserve">permit </w:t>
      </w:r>
      <w:r w:rsidRPr="000C3CC6">
        <w:t>tower leases, infrastructure, an</w:t>
      </w:r>
      <w:r>
        <w:t>d</w:t>
      </w:r>
      <w:r w:rsidRPr="000C3CC6">
        <w:t xml:space="preserve"> other costs </w:t>
      </w:r>
      <w:r>
        <w:t>to</w:t>
      </w:r>
      <w:r w:rsidRPr="000C3CC6">
        <w:t xml:space="preserve"> be shared</w:t>
      </w:r>
      <w:r>
        <w:t xml:space="preserve">).   </w:t>
      </w:r>
    </w:p>
  </w:footnote>
  <w:footnote w:id="101">
    <w:p w:rsidR="00107107" w:rsidRDefault="00107107" w:rsidP="007C1D47">
      <w:pPr>
        <w:pStyle w:val="FootnoteText"/>
      </w:pPr>
      <w:r>
        <w:rPr>
          <w:rStyle w:val="FootnoteReference"/>
        </w:rPr>
        <w:footnoteRef/>
      </w:r>
      <w:r>
        <w:t xml:space="preserve"> </w:t>
      </w:r>
      <w:r w:rsidRPr="005F2B38">
        <w:rPr>
          <w:i/>
        </w:rPr>
        <w:t>See</w:t>
      </w:r>
      <w:r>
        <w:t xml:space="preserve"> 47 U.S.C. §§ 303(g), 303(r), 307(b), and 309(a).  </w:t>
      </w:r>
      <w:r>
        <w:rPr>
          <w:i/>
        </w:rPr>
        <w:t>C</w:t>
      </w:r>
      <w:r w:rsidRPr="005F2B38">
        <w:rPr>
          <w:i/>
        </w:rPr>
        <w:t>f</w:t>
      </w:r>
      <w:r>
        <w:t>. Spectrum Act at § 6403(a)(2)(C) (identifying channel sharing as an eligible relinquishment in the broadcast incentive auction).</w:t>
      </w:r>
    </w:p>
  </w:footnote>
  <w:footnote w:id="102">
    <w:p w:rsidR="00107107" w:rsidRDefault="00107107" w:rsidP="007C1D47">
      <w:pPr>
        <w:pStyle w:val="FootnoteText"/>
      </w:pPr>
      <w:r>
        <w:rPr>
          <w:rStyle w:val="FootnoteReference"/>
        </w:rPr>
        <w:footnoteRef/>
      </w:r>
      <w:r w:rsidRPr="00DD67B9">
        <w:rPr>
          <w:b/>
        </w:rPr>
        <w:t xml:space="preserve"> </w:t>
      </w:r>
      <w:r>
        <w:rPr>
          <w:b/>
        </w:rPr>
        <w:t xml:space="preserve"> </w:t>
      </w:r>
      <w:r>
        <w:t>We tentatively concluded that the same Title III authority authorizes us to permit channel sharing by and between LPTV stations and TV translators</w:t>
      </w:r>
      <w:r w:rsidRPr="00F1302A">
        <w:t xml:space="preserve"> </w:t>
      </w:r>
      <w:r>
        <w:t xml:space="preserve">in the </w:t>
      </w:r>
      <w:r w:rsidRPr="00AB5FC5">
        <w:rPr>
          <w:i/>
        </w:rPr>
        <w:t>LPTV Channel Sharing NPRM</w:t>
      </w:r>
      <w:r>
        <w:t>, 29 FCC Rcd at 12541, para. 13.</w:t>
      </w:r>
    </w:p>
  </w:footnote>
  <w:footnote w:id="103">
    <w:p w:rsidR="00107107" w:rsidRDefault="00107107" w:rsidP="00C723C1">
      <w:pPr>
        <w:pStyle w:val="FootnoteText"/>
      </w:pPr>
      <w:r>
        <w:rPr>
          <w:rStyle w:val="FootnoteReference"/>
        </w:rPr>
        <w:footnoteRef/>
      </w:r>
      <w:r>
        <w:t xml:space="preserve"> </w:t>
      </w:r>
      <w:r w:rsidRPr="004F4208">
        <w:rPr>
          <w:i/>
        </w:rPr>
        <w:t>See</w:t>
      </w:r>
      <w:r>
        <w:t xml:space="preserve"> discussion in paras. 34-45 below (</w:t>
      </w:r>
      <w:r w:rsidRPr="004F4208">
        <w:rPr>
          <w:i/>
        </w:rPr>
        <w:t>citing</w:t>
      </w:r>
      <w:r>
        <w:t xml:space="preserve"> 47 U.S.C. §§ 338, 614, 615).</w:t>
      </w:r>
    </w:p>
  </w:footnote>
  <w:footnote w:id="104">
    <w:p w:rsidR="00107107" w:rsidRDefault="00107107" w:rsidP="007C1D47">
      <w:pPr>
        <w:pStyle w:val="FootnoteText"/>
      </w:pPr>
      <w:r>
        <w:rPr>
          <w:rStyle w:val="FootnoteReference"/>
        </w:rPr>
        <w:footnoteRef/>
      </w:r>
      <w:r>
        <w:t xml:space="preserve"> </w:t>
      </w:r>
      <w:r w:rsidRPr="0069589E">
        <w:rPr>
          <w:i/>
        </w:rPr>
        <w:t>See</w:t>
      </w:r>
      <w:r>
        <w:t xml:space="preserve"> 47 U.S.C. § 14529a)(4).  </w:t>
      </w:r>
      <w:r w:rsidRPr="00104C18">
        <w:rPr>
          <w:i/>
        </w:rPr>
        <w:t>See also</w:t>
      </w:r>
      <w:r>
        <w:t xml:space="preserve"> Third Omnibus Broadband Initiative technical paper, </w:t>
      </w:r>
      <w:r w:rsidRPr="0099536A">
        <w:rPr>
          <w:i/>
        </w:rPr>
        <w:t>Spectrum Analysis: Options for Broadcast Spectrum</w:t>
      </w:r>
      <w:r>
        <w:t xml:space="preserve">, at 23 (recommending with respect to channel sharing that the FCC “modify its current licensing framework specifically to maintain must-carry rights”).  </w:t>
      </w:r>
      <w:r w:rsidRPr="0099536A">
        <w:rPr>
          <w:i/>
        </w:rPr>
        <w:t>See</w:t>
      </w:r>
      <w:r>
        <w:t xml:space="preserve"> http://download.broadband.gov/plan/fcc-omnibus-broadband-initiative-(obi)-technical–paper-spectrum-analysis-options-for-broadband-spectrum.pdf.</w:t>
      </w:r>
    </w:p>
  </w:footnote>
  <w:footnote w:id="105">
    <w:p w:rsidR="00107107" w:rsidRDefault="00107107" w:rsidP="007C1D47">
      <w:pPr>
        <w:pStyle w:val="FootnoteText"/>
      </w:pPr>
      <w:r>
        <w:rPr>
          <w:rStyle w:val="FootnoteReference"/>
        </w:rPr>
        <w:footnoteRef/>
      </w:r>
      <w:r>
        <w:t xml:space="preserve"> 47 U.S.C. § 534.</w:t>
      </w:r>
    </w:p>
  </w:footnote>
  <w:footnote w:id="106">
    <w:p w:rsidR="00107107" w:rsidRDefault="00107107" w:rsidP="007C1D47">
      <w:pPr>
        <w:pStyle w:val="FootnoteText"/>
      </w:pPr>
      <w:r>
        <w:rPr>
          <w:rStyle w:val="FootnoteReference"/>
        </w:rPr>
        <w:footnoteRef/>
      </w:r>
      <w:r>
        <w:t xml:space="preserve"> 47 U.S.C. § 534(a) (“[e]ach cable operator shall carry, on the cable system of that operator, the signals of local commercial television stations and qualified low power stations as provided in this section”).  Class A stations are “low power stations” for mandatory carriage purposes.  </w:t>
      </w:r>
      <w:r w:rsidRPr="00761435">
        <w:rPr>
          <w:i/>
        </w:rPr>
        <w:t>See Establishment of a Class A Television Service</w:t>
      </w:r>
      <w:r>
        <w:t xml:space="preserve">, MM Docket No. 00-10, Memorandum Opinion and Order on Reconsideration, 16 FCC Rcd 8244, 8259-60, paras. 40, 42.  Low power stations are entitled to mandatory cable carriage only under very limited circumstances and are not entitled to mandatory satellite carriage.  </w:t>
      </w:r>
      <w:r w:rsidRPr="00E705EE">
        <w:rPr>
          <w:i/>
        </w:rPr>
        <w:t>See</w:t>
      </w:r>
      <w:r>
        <w:t xml:space="preserve"> 47 U.S.C. §§ 534(c)(1), 534(h)(2)(A)-(F), 338(a)(3).</w:t>
      </w:r>
    </w:p>
  </w:footnote>
  <w:footnote w:id="107">
    <w:p w:rsidR="00107107" w:rsidRDefault="00107107" w:rsidP="007C1D47">
      <w:pPr>
        <w:pStyle w:val="FootnoteText"/>
      </w:pPr>
      <w:r>
        <w:rPr>
          <w:rStyle w:val="FootnoteReference"/>
        </w:rPr>
        <w:footnoteRef/>
      </w:r>
      <w:r>
        <w:t xml:space="preserve"> 47 U.S.C. § 534(h)(1)(A).  </w:t>
      </w:r>
    </w:p>
  </w:footnote>
  <w:footnote w:id="108">
    <w:p w:rsidR="00107107" w:rsidRDefault="00107107" w:rsidP="007C1D47">
      <w:pPr>
        <w:pStyle w:val="FootnoteText"/>
      </w:pPr>
      <w:r>
        <w:rPr>
          <w:rStyle w:val="FootnoteReference"/>
        </w:rPr>
        <w:footnoteRef/>
      </w:r>
      <w:r>
        <w:t xml:space="preserve"> </w:t>
      </w:r>
      <w:r w:rsidRPr="00CF0D1E">
        <w:rPr>
          <w:rFonts w:eastAsia="TimesNewRoman"/>
          <w:color w:val="010101"/>
        </w:rPr>
        <w:t>47 C.F.R. §§ 76.55(e)(2).</w:t>
      </w:r>
    </w:p>
  </w:footnote>
  <w:footnote w:id="109">
    <w:p w:rsidR="00107107" w:rsidRDefault="00107107" w:rsidP="007C1D47">
      <w:pPr>
        <w:pStyle w:val="FootnoteText"/>
      </w:pPr>
      <w:r>
        <w:rPr>
          <w:rStyle w:val="FootnoteReference"/>
        </w:rPr>
        <w:footnoteRef/>
      </w:r>
      <w:r>
        <w:t xml:space="preserve"> 47 U.S.C. § 535.</w:t>
      </w:r>
    </w:p>
  </w:footnote>
  <w:footnote w:id="110">
    <w:p w:rsidR="00107107" w:rsidRPr="001C183E" w:rsidRDefault="00107107" w:rsidP="00C9640A">
      <w:pPr>
        <w:pStyle w:val="FootnoteText"/>
      </w:pPr>
      <w:r w:rsidRPr="00D026AA">
        <w:rPr>
          <w:rStyle w:val="FootnoteReference"/>
        </w:rPr>
        <w:footnoteRef/>
      </w:r>
      <w:r w:rsidRPr="00CF7C47">
        <w:t xml:space="preserve"> 47 U.S.C. § 535(a).  The term “qualified noncommercial educational television station” means “</w:t>
      </w:r>
      <w:r w:rsidRPr="00CF7C47">
        <w:rPr>
          <w:color w:val="000000"/>
        </w:rPr>
        <w:t>any television broadcast station which—</w:t>
      </w:r>
      <w:r w:rsidRPr="00CF7C47">
        <w:rPr>
          <w:bCs/>
          <w:color w:val="000000"/>
        </w:rPr>
        <w:t>(A)(i)</w:t>
      </w:r>
      <w:r w:rsidRPr="00CF7C47">
        <w:rPr>
          <w:color w:val="000000"/>
        </w:rPr>
        <w:t xml:space="preserve"> under the rules and regulations of the Commission in effect on March 29, 1990, is licensed by the Commission as a noncommercial educational television broadcast station and which is owned and operated by a public agency, nonprofit foundation, corporation, or association; and </w:t>
      </w:r>
      <w:r w:rsidRPr="00CF7C47">
        <w:rPr>
          <w:bCs/>
          <w:color w:val="000000"/>
        </w:rPr>
        <w:t>(ii)</w:t>
      </w:r>
      <w:r w:rsidRPr="00CF7C47">
        <w:rPr>
          <w:color w:val="000000"/>
        </w:rPr>
        <w:t> has as its licensee an entity which is eligible to receive a community service grant, or any successor grant thereto, from the Corporation for Public Broadcasting, or any successor organization thereto, on the basis of the formula set forth in </w:t>
      </w:r>
      <w:r w:rsidRPr="00CF7C47">
        <w:rPr>
          <w:color w:val="000000" w:themeColor="text1"/>
        </w:rPr>
        <w:t>section 396(k)(6)(B)</w:t>
      </w:r>
      <w:r w:rsidRPr="00CF7C47">
        <w:rPr>
          <w:color w:val="000000"/>
        </w:rPr>
        <w:t xml:space="preserve"> of this title; or </w:t>
      </w:r>
      <w:r w:rsidRPr="00CF7C47">
        <w:rPr>
          <w:bCs/>
          <w:color w:val="000000"/>
        </w:rPr>
        <w:t>(B)</w:t>
      </w:r>
      <w:r w:rsidRPr="00CF7C47">
        <w:rPr>
          <w:color w:val="000000"/>
        </w:rPr>
        <w:t xml:space="preserve"> is owned and operated by a municipality and transmits predominantly noncommercial programs for educational purposes.”  </w:t>
      </w:r>
      <w:r w:rsidRPr="00CF7C47">
        <w:t>47 U.S.C. § 535(l)(1)(A).</w:t>
      </w:r>
    </w:p>
  </w:footnote>
  <w:footnote w:id="111">
    <w:p w:rsidR="00107107" w:rsidRDefault="00107107" w:rsidP="007C1D47">
      <w:pPr>
        <w:pStyle w:val="FootnoteText"/>
      </w:pPr>
      <w:r>
        <w:rPr>
          <w:rStyle w:val="FootnoteReference"/>
        </w:rPr>
        <w:footnoteRef/>
      </w:r>
      <w:r>
        <w:t xml:space="preserve"> 47 U.S.C. § 535(l)(2).</w:t>
      </w:r>
    </w:p>
  </w:footnote>
  <w:footnote w:id="112">
    <w:p w:rsidR="00107107" w:rsidRDefault="00107107" w:rsidP="007C1D47">
      <w:pPr>
        <w:pStyle w:val="FootnoteText"/>
      </w:pPr>
      <w:r>
        <w:rPr>
          <w:rStyle w:val="FootnoteReference"/>
        </w:rPr>
        <w:footnoteRef/>
      </w:r>
      <w:r>
        <w:t xml:space="preserve"> 47 U.S.C. 534(c).</w:t>
      </w:r>
    </w:p>
  </w:footnote>
  <w:footnote w:id="113">
    <w:p w:rsidR="00107107" w:rsidRDefault="00107107" w:rsidP="007C1D47">
      <w:pPr>
        <w:pStyle w:val="FootnoteText"/>
      </w:pPr>
      <w:r>
        <w:rPr>
          <w:rStyle w:val="FootnoteReference"/>
        </w:rPr>
        <w:footnoteRef/>
      </w:r>
      <w:r>
        <w:t xml:space="preserve"> </w:t>
      </w:r>
      <w:r>
        <w:rPr>
          <w:rStyle w:val="FootnoteTextChar1Char"/>
        </w:rPr>
        <w:t xml:space="preserve">47 U.S.C. </w:t>
      </w:r>
      <w:r>
        <w:t>§</w:t>
      </w:r>
      <w:r>
        <w:rPr>
          <w:rStyle w:val="FootnoteTextChar1Char"/>
        </w:rPr>
        <w:t xml:space="preserve"> 534(h)(2).  </w:t>
      </w:r>
      <w:r w:rsidRPr="00CF0D1E">
        <w:t>For example, if a full power station is located in the same county or other political subdivision (of a State)</w:t>
      </w:r>
      <w:r w:rsidRPr="00CF0D1E">
        <w:rPr>
          <w:rStyle w:val="ptext-18"/>
          <w:rFonts w:eastAsia="Calibri"/>
        </w:rPr>
        <w:t xml:space="preserve"> </w:t>
      </w:r>
      <w:r w:rsidRPr="00CF0D1E">
        <w:t xml:space="preserve">as an otherwise qualified low power station, then the low power station will not be eligible for cable must-carry status.  </w:t>
      </w:r>
      <w:r w:rsidRPr="00CF0D1E">
        <w:rPr>
          <w:i/>
        </w:rPr>
        <w:t xml:space="preserve">See </w:t>
      </w:r>
      <w:r w:rsidRPr="00CF0D1E">
        <w:t xml:space="preserve">47 U.S.C. § 534(h)(2)(F); </w:t>
      </w:r>
      <w:r w:rsidRPr="00CF0D1E">
        <w:rPr>
          <w:i/>
        </w:rPr>
        <w:t>see also Implementation of the Cable Television Consumer Protection and Competition Act of 1992, Broadcast Signal Carriage Issues</w:t>
      </w:r>
      <w:r w:rsidRPr="00906635">
        <w:t>,</w:t>
      </w:r>
      <w:r w:rsidRPr="00CF0D1E">
        <w:rPr>
          <w:i/>
        </w:rPr>
        <w:t xml:space="preserve"> </w:t>
      </w:r>
      <w:r w:rsidRPr="00CF0D1E">
        <w:t>MM Docket No. 92-259, Report and Order, 8 FCC Rcd 2965, 2983, para. 67 &amp; n.211 (1993) (</w:t>
      </w:r>
      <w:r w:rsidRPr="00CF0D1E">
        <w:rPr>
          <w:i/>
        </w:rPr>
        <w:t>Must Carry Order</w:t>
      </w:r>
      <w:r w:rsidRPr="00CF0D1E">
        <w:t xml:space="preserve">).  Moreover, an otherwise qualified low power station qualifies for cable carriage only if the community of license of that station and the franchise area of the cable system on which it seeks carriage are both located outside of the largest 160 Metropolitan Statistical Areas, ranked by population, as determined by the Office of Management and Budget on June 30, 1990, and the population of the community of license on that date did not exceed 35,000.  </w:t>
      </w:r>
      <w:r w:rsidRPr="00CF0D1E">
        <w:rPr>
          <w:i/>
        </w:rPr>
        <w:t xml:space="preserve">See </w:t>
      </w:r>
      <w:r w:rsidRPr="00CF0D1E">
        <w:t>47 U.S.C. § 534(h)(2)(E).</w:t>
      </w:r>
    </w:p>
  </w:footnote>
  <w:footnote w:id="114">
    <w:p w:rsidR="00107107" w:rsidRDefault="00107107" w:rsidP="007C1D47">
      <w:pPr>
        <w:pStyle w:val="FootnoteText"/>
      </w:pPr>
      <w:r>
        <w:rPr>
          <w:rStyle w:val="FootnoteReference"/>
        </w:rPr>
        <w:footnoteRef/>
      </w:r>
      <w:r>
        <w:t xml:space="preserve"> 47 C.F.R. § </w:t>
      </w:r>
      <w:r>
        <w:rPr>
          <w:rStyle w:val="FootnoteTextChar1Char"/>
        </w:rPr>
        <w:t>534(h)(2)(D)</w:t>
      </w:r>
      <w:r>
        <w:t>.</w:t>
      </w:r>
    </w:p>
  </w:footnote>
  <w:footnote w:id="115">
    <w:p w:rsidR="00107107" w:rsidRDefault="00107107" w:rsidP="007C1D47">
      <w:pPr>
        <w:pStyle w:val="FootnoteText"/>
      </w:pPr>
      <w:r>
        <w:rPr>
          <w:rStyle w:val="FootnoteReference"/>
        </w:rPr>
        <w:footnoteRef/>
      </w:r>
      <w:r>
        <w:t xml:space="preserve"> 47 U.S.C. § 338.</w:t>
      </w:r>
    </w:p>
  </w:footnote>
  <w:footnote w:id="116">
    <w:p w:rsidR="00107107" w:rsidRDefault="00107107" w:rsidP="007C1D47">
      <w:pPr>
        <w:pStyle w:val="FootnoteText"/>
      </w:pPr>
      <w:r>
        <w:rPr>
          <w:rStyle w:val="FootnoteReference"/>
        </w:rPr>
        <w:footnoteRef/>
      </w:r>
      <w:r>
        <w:t xml:space="preserve"> 17 U.S.C. § 122.</w:t>
      </w:r>
    </w:p>
  </w:footnote>
  <w:footnote w:id="117">
    <w:p w:rsidR="00107107" w:rsidRDefault="00107107" w:rsidP="007C1D47">
      <w:pPr>
        <w:pStyle w:val="FootnoteText"/>
      </w:pPr>
      <w:r>
        <w:rPr>
          <w:rStyle w:val="FootnoteReference"/>
        </w:rPr>
        <w:footnoteRef/>
      </w:r>
      <w:r>
        <w:t xml:space="preserve"> 47 U.S.C. § 338(a)(1) (“[e]ach satellite carrier providing … secondary transmissions to subscribers located within the local market of a television broadcast station of a primary transmission made by that station shall carry upon request the signals of all television broadcast stations located within that local market…”).</w:t>
      </w:r>
    </w:p>
  </w:footnote>
  <w:footnote w:id="118">
    <w:p w:rsidR="00107107" w:rsidRDefault="00107107" w:rsidP="007C1D47">
      <w:pPr>
        <w:pStyle w:val="FootnoteText"/>
      </w:pPr>
      <w:r>
        <w:rPr>
          <w:rStyle w:val="FootnoteReference"/>
        </w:rPr>
        <w:footnoteRef/>
      </w:r>
      <w:r>
        <w:t xml:space="preserve"> 17 U.S.C. § 122(j)(2).</w:t>
      </w:r>
    </w:p>
  </w:footnote>
  <w:footnote w:id="119">
    <w:p w:rsidR="00107107" w:rsidRDefault="00107107" w:rsidP="007C1D47">
      <w:pPr>
        <w:pStyle w:val="FootnoteText"/>
      </w:pPr>
      <w:r>
        <w:rPr>
          <w:rStyle w:val="FootnoteReference"/>
        </w:rPr>
        <w:footnoteRef/>
      </w:r>
      <w:r>
        <w:t xml:space="preserve"> 47 U.S.C. § 338(k)(10); 47 U.S.C. § 325(b)(7).</w:t>
      </w:r>
    </w:p>
  </w:footnote>
  <w:footnote w:id="120">
    <w:p w:rsidR="00107107" w:rsidRDefault="00107107" w:rsidP="007C1D47">
      <w:pPr>
        <w:pStyle w:val="FootnoteText"/>
      </w:pPr>
      <w:r>
        <w:rPr>
          <w:rStyle w:val="FootnoteReference"/>
        </w:rPr>
        <w:footnoteRef/>
      </w:r>
      <w:r>
        <w:t xml:space="preserve"> 47 U.S.C. § 338(a)(3).</w:t>
      </w:r>
    </w:p>
  </w:footnote>
  <w:footnote w:id="121">
    <w:p w:rsidR="00107107" w:rsidRDefault="00107107" w:rsidP="007C1D47">
      <w:pPr>
        <w:pStyle w:val="FootnoteText"/>
      </w:pPr>
      <w:r>
        <w:rPr>
          <w:rStyle w:val="FootnoteReference"/>
        </w:rPr>
        <w:footnoteRef/>
      </w:r>
      <w:r>
        <w:t xml:space="preserve"> 47 U.S.C. § 534(h)(1).    </w:t>
      </w:r>
    </w:p>
  </w:footnote>
  <w:footnote w:id="122">
    <w:p w:rsidR="00107107" w:rsidRDefault="00107107" w:rsidP="007C1D47">
      <w:pPr>
        <w:pStyle w:val="FootnoteText"/>
      </w:pPr>
      <w:r>
        <w:rPr>
          <w:rStyle w:val="FootnoteReference"/>
        </w:rPr>
        <w:footnoteRef/>
      </w:r>
      <w:r>
        <w:t xml:space="preserve"> </w:t>
      </w:r>
      <w:r w:rsidRPr="003867CD">
        <w:rPr>
          <w:i/>
        </w:rPr>
        <w:t>See</w:t>
      </w:r>
      <w:r>
        <w:t xml:space="preserve"> 47 U.S.C. §§ 535(a), (b) &amp; (l).</w:t>
      </w:r>
    </w:p>
  </w:footnote>
  <w:footnote w:id="123">
    <w:p w:rsidR="00107107" w:rsidRDefault="00107107" w:rsidP="007C1D47">
      <w:pPr>
        <w:pStyle w:val="FootnoteText"/>
      </w:pPr>
      <w:r>
        <w:rPr>
          <w:rStyle w:val="FootnoteReference"/>
        </w:rPr>
        <w:footnoteRef/>
      </w:r>
      <w:r>
        <w:t xml:space="preserve"> </w:t>
      </w:r>
      <w:r w:rsidRPr="003867CD">
        <w:rPr>
          <w:i/>
        </w:rPr>
        <w:t>See</w:t>
      </w:r>
      <w:r>
        <w:t xml:space="preserve"> 47 U.S.C. §§ 534(a), (c) &amp; (h)(2).  </w:t>
      </w:r>
    </w:p>
  </w:footnote>
  <w:footnote w:id="124">
    <w:p w:rsidR="00107107" w:rsidRDefault="00107107" w:rsidP="007C1D47">
      <w:pPr>
        <w:pStyle w:val="FootnoteText"/>
      </w:pPr>
      <w:r>
        <w:rPr>
          <w:rStyle w:val="FootnoteReference"/>
        </w:rPr>
        <w:footnoteRef/>
      </w:r>
      <w:r>
        <w:t xml:space="preserve"> </w:t>
      </w:r>
      <w:r w:rsidRPr="003867CD">
        <w:rPr>
          <w:i/>
        </w:rPr>
        <w:t>See</w:t>
      </w:r>
      <w:r>
        <w:t xml:space="preserve"> 47 U.S.C. § 338(a)(1).</w:t>
      </w:r>
    </w:p>
  </w:footnote>
  <w:footnote w:id="125">
    <w:p w:rsidR="00107107" w:rsidRDefault="00107107" w:rsidP="007C1D47">
      <w:pPr>
        <w:pStyle w:val="FootnoteText"/>
      </w:pPr>
      <w:r>
        <w:rPr>
          <w:rStyle w:val="FootnoteReference"/>
        </w:rPr>
        <w:footnoteRef/>
      </w:r>
      <w:r>
        <w:t xml:space="preserve"> </w:t>
      </w:r>
      <w:r w:rsidRPr="00455CDE">
        <w:t xml:space="preserve">Full power commercial stations are considered “local” to the entire market to which they are assigned and are entitled to assert mandatory carriage rights on cable systems located throughout that same market.  See 47 U.S.C. §§ 534(a), (b)(1)(A)-(B), (h)(1)(A) &amp; (C).  A commercial broadcast television station’s market is its DMA as determined by the Nielsen </w:t>
      </w:r>
      <w:r>
        <w:t>Media Research</w:t>
      </w:r>
      <w:r w:rsidRPr="00455CDE">
        <w:t xml:space="preserve">.  </w:t>
      </w:r>
      <w:r w:rsidRPr="00455CDE">
        <w:rPr>
          <w:i/>
        </w:rPr>
        <w:t>See</w:t>
      </w:r>
      <w:r w:rsidRPr="00455CDE">
        <w:t xml:space="preserve"> 47 C.F.R. § 76.55(e)(2).  </w:t>
      </w:r>
      <w:r>
        <w:t xml:space="preserve">Thus, a full power commercial station that changes location within the DMA will retain carriage rights on all cable systems within the DMA.  </w:t>
      </w:r>
      <w:r w:rsidRPr="00455CDE">
        <w:t xml:space="preserve">An NCE station is eligible for mandatory carriage only with respect to cable systems with headends located within 50 miles of its community of license or located within its noise limited service contour. </w:t>
      </w:r>
      <w:r w:rsidRPr="00455CDE">
        <w:rPr>
          <w:i/>
          <w:iCs/>
        </w:rPr>
        <w:t>See</w:t>
      </w:r>
      <w:r w:rsidRPr="00455CDE">
        <w:t xml:space="preserve"> </w:t>
      </w:r>
      <w:hyperlink r:id="rId1" w:tgtFrame="_top" w:history="1">
        <w:r w:rsidRPr="00477A1B">
          <w:rPr>
            <w:rStyle w:val="Hyperlink"/>
            <w:color w:val="auto"/>
            <w:u w:val="none"/>
          </w:rPr>
          <w:t>47 U.S.C. §§ 535(l)(2)(A)</w:t>
        </w:r>
        <w:r>
          <w:rPr>
            <w:rStyle w:val="Hyperlink"/>
            <w:color w:val="auto"/>
            <w:u w:val="none"/>
          </w:rPr>
          <w:t>-</w:t>
        </w:r>
        <w:r w:rsidRPr="001F6058">
          <w:rPr>
            <w:rStyle w:val="Hyperlink"/>
            <w:color w:val="auto"/>
            <w:u w:val="none"/>
          </w:rPr>
          <w:t>(B)</w:t>
        </w:r>
      </w:hyperlink>
      <w:r w:rsidRPr="00455CDE">
        <w:t xml:space="preserve">; </w:t>
      </w:r>
      <w:r w:rsidRPr="00455CDE">
        <w:rPr>
          <w:i/>
          <w:iCs/>
        </w:rPr>
        <w:t>see also</w:t>
      </w:r>
      <w:r w:rsidRPr="00455CDE">
        <w:t xml:space="preserve"> </w:t>
      </w:r>
      <w:hyperlink r:id="rId2" w:tgtFrame="_top" w:history="1">
        <w:r w:rsidRPr="00477A1B">
          <w:rPr>
            <w:rStyle w:val="Hyperlink"/>
            <w:color w:val="auto"/>
            <w:u w:val="none"/>
          </w:rPr>
          <w:t>47 C.F.R. §§ 76.55(b)(1)</w:t>
        </w:r>
        <w:r>
          <w:rPr>
            <w:rStyle w:val="Hyperlink"/>
            <w:color w:val="auto"/>
            <w:u w:val="none"/>
          </w:rPr>
          <w:t>-</w:t>
        </w:r>
        <w:r w:rsidRPr="001F6058">
          <w:rPr>
            <w:rStyle w:val="Hyperlink"/>
            <w:color w:val="auto"/>
            <w:u w:val="none"/>
          </w:rPr>
          <w:t>(2)</w:t>
        </w:r>
      </w:hyperlink>
      <w:r w:rsidRPr="00455CDE">
        <w:t>. Accordingly, if an NCE station changes its community of license or shifts its signal contour, it may gain carriage on some cable systems and lose carriage on others. Furthermore, if a Class A station moves for purposes of channel sharing, its subsequent cable carriage rights will depend upon its ability to meet the same requirements applicable to qualified low power stations at its new location, including that (i) it not be located in the same county or other political subdivision (of a State) as a full</w:t>
      </w:r>
      <w:r>
        <w:t xml:space="preserve"> </w:t>
      </w:r>
      <w:r w:rsidRPr="00455CDE">
        <w:t xml:space="preserve">power station; (ii) its transmitter be within 35 miles of the cable system's principal headend; and (iii) it deliver a good quality signal to that headend (although, unlike NCE and full power commercial stations, it will have no right to improve the quality of its signal to meet the signal quality threshold). </w:t>
      </w:r>
      <w:r w:rsidRPr="00455CDE">
        <w:rPr>
          <w:i/>
          <w:iCs/>
        </w:rPr>
        <w:t>See</w:t>
      </w:r>
      <w:r w:rsidRPr="00455CDE">
        <w:t xml:space="preserve"> </w:t>
      </w:r>
      <w:hyperlink r:id="rId3" w:tgtFrame="_top" w:history="1">
        <w:r w:rsidRPr="00477A1B">
          <w:rPr>
            <w:rStyle w:val="Hyperlink"/>
            <w:color w:val="auto"/>
            <w:u w:val="none"/>
          </w:rPr>
          <w:t>47 U.S.C. § 534(h)(2)(D) &amp; (F)</w:t>
        </w:r>
      </w:hyperlink>
      <w:r w:rsidRPr="001F6058">
        <w:t xml:space="preserve">; </w:t>
      </w:r>
      <w:hyperlink r:id="rId4" w:tgtFrame="_top" w:history="1">
        <w:r w:rsidRPr="00477A1B">
          <w:rPr>
            <w:rStyle w:val="Hyperlink"/>
            <w:color w:val="auto"/>
            <w:u w:val="none"/>
          </w:rPr>
          <w:t>47 C.F.R. § 76.55(d)(4) &amp; (6)</w:t>
        </w:r>
      </w:hyperlink>
      <w:r w:rsidRPr="00455CDE">
        <w:t>.</w:t>
      </w:r>
    </w:p>
  </w:footnote>
  <w:footnote w:id="126">
    <w:p w:rsidR="00107107" w:rsidRDefault="00107107" w:rsidP="007C1D47">
      <w:pPr>
        <w:pStyle w:val="FootnoteText"/>
      </w:pPr>
      <w:r>
        <w:rPr>
          <w:rStyle w:val="FootnoteReference"/>
        </w:rPr>
        <w:footnoteRef/>
      </w:r>
      <w:r>
        <w:t xml:space="preserve"> 47 U.S.C. § 534(b)(3).  Section 615(g)(1), pertaining to noncommercial educational stations, contains similar requirements.  </w:t>
      </w:r>
      <w:r w:rsidRPr="00AB5FC5">
        <w:rPr>
          <w:i/>
        </w:rPr>
        <w:t>See</w:t>
      </w:r>
      <w:r>
        <w:t xml:space="preserve"> 47 U.S.C. § 535(g)(1).  Comparable requirements also apply to satellite carriers.  </w:t>
      </w:r>
      <w:r w:rsidRPr="000766DE">
        <w:rPr>
          <w:i/>
        </w:rPr>
        <w:t>See</w:t>
      </w:r>
      <w:r>
        <w:t xml:space="preserve"> 47 U.S.C. § 338(j) and 47 C.F.R. § 76.66(j).  </w:t>
      </w:r>
    </w:p>
  </w:footnote>
  <w:footnote w:id="127">
    <w:p w:rsidR="00107107" w:rsidRPr="00307675" w:rsidRDefault="00107107" w:rsidP="007C1D47">
      <w:pPr>
        <w:pStyle w:val="FootnoteText"/>
        <w:rPr>
          <w:b/>
        </w:rPr>
      </w:pPr>
      <w:r>
        <w:rPr>
          <w:rStyle w:val="FootnoteReference"/>
        </w:rPr>
        <w:footnoteRef/>
      </w:r>
      <w:r>
        <w:t xml:space="preserve"> </w:t>
      </w:r>
      <w:r w:rsidRPr="00AB5FC5">
        <w:rPr>
          <w:i/>
          <w:snapToGrid w:val="0"/>
          <w:kern w:val="28"/>
        </w:rPr>
        <w:t>See Carriage of Digital Television Broadcast Signals: Amendment to Part 76 of the Commission’s Rules</w:t>
      </w:r>
      <w:r w:rsidRPr="00AB5FC5">
        <w:rPr>
          <w:snapToGrid w:val="0"/>
          <w:kern w:val="28"/>
        </w:rPr>
        <w:t xml:space="preserve">, Second Report and Order and First Order on Reconsideration, 20 FCC Rcd 4516, 4532, </w:t>
      </w:r>
      <w:r>
        <w:rPr>
          <w:snapToGrid w:val="0"/>
          <w:kern w:val="28"/>
        </w:rPr>
        <w:t>para.</w:t>
      </w:r>
      <w:r w:rsidRPr="00AB5FC5">
        <w:rPr>
          <w:snapToGrid w:val="0"/>
          <w:kern w:val="28"/>
        </w:rPr>
        <w:t xml:space="preserve"> 33 (2005).  </w:t>
      </w:r>
      <w:r w:rsidRPr="00343ED4">
        <w:rPr>
          <w:snapToGrid w:val="0"/>
          <w:kern w:val="28"/>
        </w:rPr>
        <w:t xml:space="preserve">Satellite carriers also are required to carry only a television station’s main programming stream, except in Alaska and Hawaii where they must also carry multicast streams.  </w:t>
      </w:r>
      <w:r w:rsidRPr="00F07459">
        <w:rPr>
          <w:i/>
          <w:snapToGrid w:val="0"/>
          <w:kern w:val="28"/>
        </w:rPr>
        <w:t>See</w:t>
      </w:r>
      <w:r w:rsidRPr="00343ED4">
        <w:rPr>
          <w:snapToGrid w:val="0"/>
          <w:kern w:val="28"/>
        </w:rPr>
        <w:t xml:space="preserve"> 47 U.S.C. §§ 338(a)(4), (j).  </w:t>
      </w:r>
      <w:r w:rsidRPr="00F07459">
        <w:rPr>
          <w:i/>
          <w:snapToGrid w:val="0"/>
          <w:kern w:val="28"/>
        </w:rPr>
        <w:t>See also</w:t>
      </w:r>
      <w:r w:rsidRPr="00343ED4">
        <w:rPr>
          <w:snapToGrid w:val="0"/>
          <w:kern w:val="28"/>
        </w:rPr>
        <w:t xml:space="preserve"> 47 C.F.R. §§ 76.66 (b), (j).</w:t>
      </w:r>
    </w:p>
  </w:footnote>
  <w:footnote w:id="128">
    <w:p w:rsidR="00107107" w:rsidRDefault="00107107" w:rsidP="007C1D47">
      <w:pPr>
        <w:pStyle w:val="FootnoteText"/>
      </w:pPr>
      <w:r>
        <w:rPr>
          <w:rStyle w:val="FootnoteReference"/>
        </w:rPr>
        <w:footnoteRef/>
      </w:r>
      <w:r>
        <w:t xml:space="preserve"> 47 U.S.C. § 1452(a)(4) </w:t>
      </w:r>
      <w:r>
        <w:rPr>
          <w:color w:val="000000"/>
          <w:shd w:val="clear" w:color="auto" w:fill="FFFFFF"/>
        </w:rPr>
        <w:t>(“A broadcast television station that voluntarily relinquishes spectrum usage rights under this subsection in order to share a television channel and that possessed carriage rights under</w:t>
      </w:r>
      <w:r>
        <w:rPr>
          <w:rStyle w:val="apple-converted-space"/>
          <w:color w:val="000000"/>
          <w:shd w:val="clear" w:color="auto" w:fill="FFFFFF"/>
        </w:rPr>
        <w:t> </w:t>
      </w:r>
      <w:r>
        <w:rPr>
          <w:shd w:val="clear" w:color="auto" w:fill="FFFFFF"/>
        </w:rPr>
        <w:t>section 338</w:t>
      </w:r>
      <w:r>
        <w:rPr>
          <w:color w:val="000000"/>
          <w:shd w:val="clear" w:color="auto" w:fill="FFFFFF"/>
        </w:rPr>
        <w:t>,</w:t>
      </w:r>
      <w:r>
        <w:rPr>
          <w:rStyle w:val="apple-converted-space"/>
          <w:color w:val="000000"/>
          <w:shd w:val="clear" w:color="auto" w:fill="FFFFFF"/>
        </w:rPr>
        <w:t> </w:t>
      </w:r>
      <w:r>
        <w:rPr>
          <w:shd w:val="clear" w:color="auto" w:fill="FFFFFF"/>
        </w:rPr>
        <w:t>534</w:t>
      </w:r>
      <w:r>
        <w:rPr>
          <w:color w:val="000000"/>
          <w:shd w:val="clear" w:color="auto" w:fill="FFFFFF"/>
        </w:rPr>
        <w:t>, or</w:t>
      </w:r>
      <w:r>
        <w:rPr>
          <w:rStyle w:val="apple-converted-space"/>
          <w:color w:val="000000"/>
          <w:shd w:val="clear" w:color="auto" w:fill="FFFFFF"/>
        </w:rPr>
        <w:t> </w:t>
      </w:r>
      <w:r>
        <w:rPr>
          <w:shd w:val="clear" w:color="auto" w:fill="FFFFFF"/>
        </w:rPr>
        <w:t>535</w:t>
      </w:r>
      <w:r>
        <w:rPr>
          <w:rStyle w:val="apple-converted-space"/>
          <w:color w:val="000000"/>
          <w:shd w:val="clear" w:color="auto" w:fill="FFFFFF"/>
        </w:rPr>
        <w:t> </w:t>
      </w:r>
      <w:r>
        <w:rPr>
          <w:color w:val="000000"/>
          <w:shd w:val="clear" w:color="auto" w:fill="FFFFFF"/>
        </w:rPr>
        <w:t xml:space="preserve">of this title </w:t>
      </w:r>
      <w:r w:rsidRPr="00D31A95">
        <w:rPr>
          <w:i/>
          <w:color w:val="000000"/>
          <w:shd w:val="clear" w:color="auto" w:fill="FFFFFF"/>
        </w:rPr>
        <w:t>on November 30, 2010</w:t>
      </w:r>
      <w:r>
        <w:rPr>
          <w:color w:val="000000"/>
          <w:shd w:val="clear" w:color="auto" w:fill="FFFFFF"/>
        </w:rPr>
        <w:t>, shall have, at its shared location, the carriage rights under such section that would apply to such station at such location if it were not sharing a channel.”) (emphasis added)</w:t>
      </w:r>
      <w:r>
        <w:t>.</w:t>
      </w:r>
    </w:p>
  </w:footnote>
  <w:footnote w:id="129">
    <w:p w:rsidR="00107107" w:rsidRDefault="00107107" w:rsidP="007C1D47">
      <w:pPr>
        <w:pStyle w:val="FootnoteText"/>
      </w:pPr>
      <w:r>
        <w:rPr>
          <w:rStyle w:val="FootnoteReference"/>
        </w:rPr>
        <w:footnoteRef/>
      </w:r>
      <w:r>
        <w:t xml:space="preserve"> </w:t>
      </w:r>
      <w:r>
        <w:rPr>
          <w:i/>
        </w:rPr>
        <w:t>Innovation in the Broadcast Television Bands:  Allocations, Channel Sharing and Improvements to VHF,</w:t>
      </w:r>
      <w:r>
        <w:t xml:space="preserve"> ET Docket No. 10-235, Notice of Proposed Rulemaking, </w:t>
      </w:r>
      <w:r>
        <w:rPr>
          <w:color w:val="000000"/>
        </w:rPr>
        <w:t>25 FCC Rcd 16498</w:t>
      </w:r>
      <w:r>
        <w:t xml:space="preserve"> (2010) (“</w:t>
      </w:r>
      <w:r>
        <w:rPr>
          <w:i/>
        </w:rPr>
        <w:t>2010 Channel Sharing NPRM</w:t>
      </w:r>
      <w:r>
        <w:t>”).</w:t>
      </w:r>
    </w:p>
  </w:footnote>
  <w:footnote w:id="130">
    <w:p w:rsidR="00107107" w:rsidRDefault="00107107" w:rsidP="007C1D47">
      <w:pPr>
        <w:pStyle w:val="FootnoteText"/>
      </w:pPr>
      <w:r>
        <w:rPr>
          <w:rStyle w:val="FootnoteReference"/>
        </w:rPr>
        <w:footnoteRef/>
      </w:r>
      <w:r>
        <w:t xml:space="preserve"> </w:t>
      </w:r>
      <w:r>
        <w:rPr>
          <w:i/>
        </w:rPr>
        <w:t>Id</w:t>
      </w:r>
      <w:r>
        <w:t>. at 16506, para. 22.</w:t>
      </w:r>
    </w:p>
  </w:footnote>
  <w:footnote w:id="131">
    <w:p w:rsidR="00107107" w:rsidRDefault="00107107" w:rsidP="00C410CB">
      <w:pPr>
        <w:pStyle w:val="FootnoteText"/>
      </w:pPr>
      <w:r>
        <w:rPr>
          <w:rStyle w:val="FootnoteReference"/>
        </w:rPr>
        <w:footnoteRef/>
      </w:r>
      <w:r>
        <w:t xml:space="preserve"> </w:t>
      </w:r>
      <w:r w:rsidRPr="00C410CB">
        <w:t>See Comments of DIRECTV Inc., ET Docket No. 10-235 (March 18, 2011), at 3 (“By permitting entities that have not yet met the Commission’s requirements for receiving a television broadcast license to engage in channel sharing, the Commission would not only fail to preserve the status quo but would also create a new, artificially easy path to creating new ‘stations.’  Rather than having to demonstrate a commitment by investing in facilities, broadcasters could simply rely on previously filed application paperwork, enter into a spectrum-sharing arrangement, and demand carriage from MVPDs. . . .  Today, broadcasters must make substantial investments before they can demand carriage from MVPDs.  Channel sharing should not change this.”); Comments of DISH Network L.L.C., ET Docket No. 10-235 (April 18, 2011), at 1 (“The Commission should clarify that channel sharing does not . . . lead to the artificial creation of new ‘stations’ that can demand carriage by [MVPDs].”); Reply Comments of The National Cable and Telecommunications Association, ET Docket No. 10-235 (April 25, 2011), at 3.  See also Comments of ION Media Networks Inc., ET Docket No. 10-235 (March 18, 2011), at 6-7 (“[A]ny channel sharing implementation must . . . [not] impos[e] potential new capacity or other burdens on cable systems, satellite operators and telco video providers.”).</w:t>
      </w:r>
      <w:r>
        <w:t xml:space="preserve"> </w:t>
      </w:r>
    </w:p>
  </w:footnote>
  <w:footnote w:id="132">
    <w:p w:rsidR="00107107" w:rsidRDefault="00107107" w:rsidP="007C1D47">
      <w:pPr>
        <w:pStyle w:val="FootnoteText"/>
      </w:pPr>
      <w:r>
        <w:rPr>
          <w:rStyle w:val="FootnoteReference"/>
        </w:rPr>
        <w:footnoteRef/>
      </w:r>
      <w:r>
        <w:t xml:space="preserve"> </w:t>
      </w:r>
      <w:r>
        <w:rPr>
          <w:i/>
        </w:rPr>
        <w:t>See</w:t>
      </w:r>
      <w:r>
        <w:t xml:space="preserve"> 47 U.S.C. § 1452(a)(4).</w:t>
      </w:r>
    </w:p>
  </w:footnote>
  <w:footnote w:id="133">
    <w:p w:rsidR="00107107" w:rsidRDefault="00107107" w:rsidP="007C1D47">
      <w:pPr>
        <w:pStyle w:val="FootnoteText"/>
        <w:rPr>
          <w:rFonts w:asciiTheme="minorHAnsi" w:hAnsiTheme="minorHAnsi" w:cstheme="minorBidi"/>
        </w:rPr>
      </w:pPr>
      <w:r>
        <w:rPr>
          <w:rStyle w:val="FootnoteReference"/>
        </w:rPr>
        <w:footnoteRef/>
      </w:r>
      <w:r>
        <w:t xml:space="preserve"> 47 U.S.C. § 1452(a)(4) </w:t>
      </w:r>
      <w:r>
        <w:rPr>
          <w:color w:val="000000"/>
          <w:shd w:val="clear" w:color="auto" w:fill="FFFFFF"/>
        </w:rPr>
        <w:t xml:space="preserve">(“A broadcast television station </w:t>
      </w:r>
      <w:r>
        <w:rPr>
          <w:i/>
          <w:color w:val="000000"/>
          <w:shd w:val="clear" w:color="auto" w:fill="FFFFFF"/>
        </w:rPr>
        <w:t>that voluntarily relinquishes spectrum usage rights under this subsection in order to share a television channel</w:t>
      </w:r>
      <w:r>
        <w:rPr>
          <w:color w:val="000000"/>
          <w:shd w:val="clear" w:color="auto" w:fill="FFFFFF"/>
        </w:rPr>
        <w:t xml:space="preserve"> and that possessed carriage rights under</w:t>
      </w:r>
      <w:r>
        <w:rPr>
          <w:rStyle w:val="apple-converted-space"/>
          <w:color w:val="000000"/>
          <w:shd w:val="clear" w:color="auto" w:fill="FFFFFF"/>
        </w:rPr>
        <w:t> </w:t>
      </w:r>
      <w:r>
        <w:rPr>
          <w:shd w:val="clear" w:color="auto" w:fill="FFFFFF"/>
        </w:rPr>
        <w:t>section 338</w:t>
      </w:r>
      <w:r>
        <w:rPr>
          <w:color w:val="000000"/>
          <w:shd w:val="clear" w:color="auto" w:fill="FFFFFF"/>
        </w:rPr>
        <w:t>,</w:t>
      </w:r>
      <w:r>
        <w:rPr>
          <w:rStyle w:val="apple-converted-space"/>
          <w:color w:val="000000"/>
          <w:shd w:val="clear" w:color="auto" w:fill="FFFFFF"/>
        </w:rPr>
        <w:t> </w:t>
      </w:r>
      <w:r>
        <w:rPr>
          <w:shd w:val="clear" w:color="auto" w:fill="FFFFFF"/>
        </w:rPr>
        <w:t>534</w:t>
      </w:r>
      <w:r>
        <w:rPr>
          <w:color w:val="000000"/>
          <w:shd w:val="clear" w:color="auto" w:fill="FFFFFF"/>
        </w:rPr>
        <w:t>, or</w:t>
      </w:r>
      <w:r>
        <w:rPr>
          <w:rStyle w:val="apple-converted-space"/>
          <w:color w:val="000000"/>
          <w:shd w:val="clear" w:color="auto" w:fill="FFFFFF"/>
        </w:rPr>
        <w:t> </w:t>
      </w:r>
      <w:r>
        <w:rPr>
          <w:shd w:val="clear" w:color="auto" w:fill="FFFFFF"/>
        </w:rPr>
        <w:t>535</w:t>
      </w:r>
      <w:r>
        <w:rPr>
          <w:rStyle w:val="apple-converted-space"/>
          <w:color w:val="000000"/>
          <w:shd w:val="clear" w:color="auto" w:fill="FFFFFF"/>
        </w:rPr>
        <w:t> </w:t>
      </w:r>
      <w:r>
        <w:rPr>
          <w:color w:val="000000"/>
          <w:shd w:val="clear" w:color="auto" w:fill="FFFFFF"/>
        </w:rPr>
        <w:t>of this title on November 30, 2010, shall have, at its shared location, the carriage rights under such section that would apply to such station at such location if it were not sharing a channel.”) (emphasis added).</w:t>
      </w:r>
    </w:p>
  </w:footnote>
  <w:footnote w:id="134">
    <w:p w:rsidR="00107107" w:rsidRPr="007A4965" w:rsidRDefault="00107107" w:rsidP="007C1D47">
      <w:pPr>
        <w:pStyle w:val="FootnoteText"/>
      </w:pPr>
      <w:r>
        <w:rPr>
          <w:rStyle w:val="FootnoteReference"/>
        </w:rPr>
        <w:footnoteRef/>
      </w:r>
      <w:r>
        <w:t xml:space="preserve"> </w:t>
      </w:r>
      <w:r w:rsidRPr="007A4965">
        <w:rPr>
          <w:i/>
          <w:iCs/>
        </w:rPr>
        <w:t>See</w:t>
      </w:r>
      <w:r w:rsidRPr="007A4965">
        <w:t xml:space="preserve"> </w:t>
      </w:r>
      <w:r w:rsidRPr="00F342E3">
        <w:t>47 C.F.R. § 74.790(g)(3)</w:t>
      </w:r>
      <w:r w:rsidRPr="007A4965">
        <w:t>.</w:t>
      </w:r>
    </w:p>
  </w:footnote>
  <w:footnote w:id="135">
    <w:p w:rsidR="00107107" w:rsidRDefault="00107107" w:rsidP="001E7AE0">
      <w:pPr>
        <w:pStyle w:val="FootnoteText"/>
      </w:pPr>
      <w:r>
        <w:rPr>
          <w:rStyle w:val="FootnoteReference"/>
        </w:rPr>
        <w:footnoteRef/>
      </w:r>
      <w:r>
        <w:t xml:space="preserve"> </w:t>
      </w:r>
      <w:r w:rsidRPr="0036074D">
        <w:rPr>
          <w:i/>
        </w:rPr>
        <w:t>See</w:t>
      </w:r>
      <w:r>
        <w:t xml:space="preserve">, </w:t>
      </w:r>
      <w:r w:rsidRPr="0036074D">
        <w:rPr>
          <w:i/>
        </w:rPr>
        <w:t>supra</w:t>
      </w:r>
      <w:r>
        <w:t>, Section III.C (Term-Limited Channel Sharing Agreements).</w:t>
      </w:r>
    </w:p>
  </w:footnote>
  <w:footnote w:id="136">
    <w:p w:rsidR="00107107" w:rsidRDefault="00107107" w:rsidP="001E7AE0">
      <w:pPr>
        <w:pStyle w:val="FootnoteText"/>
      </w:pPr>
      <w:r>
        <w:rPr>
          <w:rStyle w:val="FootnoteReference"/>
        </w:rPr>
        <w:footnoteRef/>
      </w:r>
      <w:r>
        <w:t xml:space="preserve"> </w:t>
      </w:r>
      <w:r w:rsidRPr="0036074D">
        <w:rPr>
          <w:i/>
        </w:rPr>
        <w:t>Id.</w:t>
      </w:r>
    </w:p>
  </w:footnote>
  <w:footnote w:id="137">
    <w:p w:rsidR="00107107" w:rsidRDefault="00107107" w:rsidP="007C1D47">
      <w:pPr>
        <w:pStyle w:val="FootnoteText"/>
      </w:pPr>
      <w:r>
        <w:rPr>
          <w:rStyle w:val="FootnoteReference"/>
        </w:rPr>
        <w:footnoteRef/>
      </w:r>
      <w:r>
        <w:t xml:space="preserve"> This approach is similar to the one we proposed to follow with respect to LPTV and TV translator channel sharing in the </w:t>
      </w:r>
      <w:r w:rsidRPr="007A4965">
        <w:rPr>
          <w:i/>
        </w:rPr>
        <w:t>LPTV Channel Sharing NPRM</w:t>
      </w:r>
      <w:r>
        <w:t xml:space="preserve">.  </w:t>
      </w:r>
      <w:r w:rsidRPr="00AB5FC5">
        <w:rPr>
          <w:i/>
        </w:rPr>
        <w:t>See</w:t>
      </w:r>
      <w:r>
        <w:t xml:space="preserve"> </w:t>
      </w:r>
      <w:r w:rsidRPr="00CB6BB0">
        <w:rPr>
          <w:i/>
        </w:rPr>
        <w:t xml:space="preserve">LPTV </w:t>
      </w:r>
      <w:r>
        <w:rPr>
          <w:i/>
        </w:rPr>
        <w:t>C</w:t>
      </w:r>
      <w:r w:rsidRPr="00CB6BB0">
        <w:rPr>
          <w:i/>
        </w:rPr>
        <w:t xml:space="preserve">hannel </w:t>
      </w:r>
      <w:r>
        <w:rPr>
          <w:i/>
        </w:rPr>
        <w:t>S</w:t>
      </w:r>
      <w:r w:rsidRPr="00CB6BB0">
        <w:rPr>
          <w:i/>
        </w:rPr>
        <w:t>haring NPRM</w:t>
      </w:r>
      <w:r>
        <w:t>, 29 FCC Rcd at 12544, para. 20.</w:t>
      </w:r>
    </w:p>
  </w:footnote>
  <w:footnote w:id="138">
    <w:p w:rsidR="00107107" w:rsidRDefault="00107107" w:rsidP="007C1D47">
      <w:pPr>
        <w:pStyle w:val="FootnoteText"/>
      </w:pPr>
      <w:r>
        <w:rPr>
          <w:rStyle w:val="FootnoteReference"/>
        </w:rPr>
        <w:footnoteRef/>
      </w:r>
      <w:r>
        <w:t xml:space="preserve"> </w:t>
      </w:r>
      <w:r w:rsidRPr="0091620C">
        <w:rPr>
          <w:i/>
        </w:rPr>
        <w:t>See IA R&amp;O</w:t>
      </w:r>
      <w:r>
        <w:t xml:space="preserve">, 29 FCC Rcd at 6795-96, para. 558, note 1584 and at 6789-90, para. 544.  Unlike major change applications, minor change applications are not subject to local public notice requirements or a 30-day petition to deny filing window.  </w:t>
      </w:r>
      <w:r w:rsidRPr="0091620C">
        <w:rPr>
          <w:i/>
        </w:rPr>
        <w:t>See</w:t>
      </w:r>
      <w:r>
        <w:t xml:space="preserve"> 47 C.F.R. §§ 73.3580, 73.3584.</w:t>
      </w:r>
    </w:p>
  </w:footnote>
  <w:footnote w:id="139">
    <w:p w:rsidR="00107107" w:rsidRDefault="00107107" w:rsidP="007C1D47">
      <w:pPr>
        <w:pStyle w:val="FootnoteText"/>
      </w:pPr>
      <w:r>
        <w:rPr>
          <w:rStyle w:val="FootnoteReference"/>
        </w:rPr>
        <w:footnoteRef/>
      </w:r>
      <w:r>
        <w:t xml:space="preserve"> </w:t>
      </w:r>
      <w:r w:rsidRPr="00AB5FC5">
        <w:rPr>
          <w:i/>
        </w:rPr>
        <w:t>See IA R&amp;O</w:t>
      </w:r>
      <w:r>
        <w:t>, 29 FCC Rcd at 6803, para. 577.</w:t>
      </w:r>
    </w:p>
  </w:footnote>
  <w:footnote w:id="140">
    <w:p w:rsidR="00107107" w:rsidRDefault="00107107" w:rsidP="007C1D47">
      <w:pPr>
        <w:pStyle w:val="FootnoteText"/>
      </w:pPr>
      <w:r>
        <w:rPr>
          <w:rStyle w:val="FootnoteReference"/>
        </w:rPr>
        <w:footnoteRef/>
      </w:r>
      <w:r>
        <w:t xml:space="preserve"> We also permitted these stations to request an extension of time to implement their CSA in certain circumstances.</w:t>
      </w:r>
    </w:p>
  </w:footnote>
  <w:footnote w:id="141">
    <w:p w:rsidR="00107107" w:rsidRDefault="00107107" w:rsidP="007C1D47">
      <w:pPr>
        <w:pStyle w:val="FootnoteText"/>
      </w:pPr>
      <w:r>
        <w:rPr>
          <w:rStyle w:val="FootnoteReference"/>
        </w:rPr>
        <w:footnoteRef/>
      </w:r>
      <w:r>
        <w:t xml:space="preserve"> </w:t>
      </w:r>
      <w:r>
        <w:rPr>
          <w:i/>
        </w:rPr>
        <w:t>Accord</w:t>
      </w:r>
      <w:r>
        <w:t xml:space="preserve"> </w:t>
      </w:r>
      <w:r w:rsidRPr="00CB6BB0">
        <w:rPr>
          <w:i/>
        </w:rPr>
        <w:t xml:space="preserve">LPTV </w:t>
      </w:r>
      <w:r>
        <w:rPr>
          <w:i/>
        </w:rPr>
        <w:t>C</w:t>
      </w:r>
      <w:r w:rsidRPr="00CB6BB0">
        <w:rPr>
          <w:i/>
        </w:rPr>
        <w:t xml:space="preserve">hannel </w:t>
      </w:r>
      <w:r>
        <w:rPr>
          <w:i/>
        </w:rPr>
        <w:t>S</w:t>
      </w:r>
      <w:r w:rsidRPr="00CB6BB0">
        <w:rPr>
          <w:i/>
        </w:rPr>
        <w:t>haring NPRM</w:t>
      </w:r>
      <w:r>
        <w:t>, 29 FCC Rcd at 12544, para. 20.</w:t>
      </w:r>
    </w:p>
  </w:footnote>
  <w:footnote w:id="142">
    <w:p w:rsidR="00107107" w:rsidRDefault="00107107" w:rsidP="007C1D47">
      <w:pPr>
        <w:pStyle w:val="FootnoteText"/>
      </w:pPr>
      <w:r>
        <w:rPr>
          <w:rStyle w:val="FootnoteReference"/>
        </w:rPr>
        <w:footnoteRef/>
      </w:r>
      <w:r>
        <w:t xml:space="preserve"> </w:t>
      </w:r>
      <w:r w:rsidRPr="00AB5FC5">
        <w:rPr>
          <w:i/>
        </w:rPr>
        <w:t>Id</w:t>
      </w:r>
      <w:r>
        <w:t xml:space="preserve">. </w:t>
      </w:r>
    </w:p>
  </w:footnote>
  <w:footnote w:id="143">
    <w:p w:rsidR="00107107" w:rsidRDefault="00107107" w:rsidP="007C1D47">
      <w:pPr>
        <w:pStyle w:val="FootnoteText"/>
      </w:pPr>
      <w:r>
        <w:rPr>
          <w:rStyle w:val="FootnoteReference"/>
        </w:rPr>
        <w:footnoteRef/>
      </w:r>
      <w:r>
        <w:t xml:space="preserve"> </w:t>
      </w:r>
      <w:r w:rsidRPr="00885D6B">
        <w:rPr>
          <w:i/>
        </w:rPr>
        <w:t>See IA</w:t>
      </w:r>
      <w:r>
        <w:rPr>
          <w:i/>
        </w:rPr>
        <w:t xml:space="preserve"> </w:t>
      </w:r>
      <w:r w:rsidRPr="00885D6B">
        <w:rPr>
          <w:i/>
        </w:rPr>
        <w:t>R&amp;O</w:t>
      </w:r>
      <w:r>
        <w:t xml:space="preserve">, 29 FCC Rcd at 6727, para. </w:t>
      </w:r>
      <w:r w:rsidRPr="00C31CBF">
        <w:t>374.</w:t>
      </w:r>
      <w:r>
        <w:rPr>
          <w:color w:val="020100"/>
        </w:rPr>
        <w:t xml:space="preserve">  We also stated that, i</w:t>
      </w:r>
      <w:r w:rsidRPr="00C31CBF">
        <w:t xml:space="preserve">n the unlikely event that the sharee cannot identify any community that meets the same or a higher allotment priority, it must choose a new community of license to which it will provide the next highest priority.  </w:t>
      </w:r>
      <w:r w:rsidRPr="0069589E">
        <w:rPr>
          <w:i/>
        </w:rPr>
        <w:t>Id.</w:t>
      </w:r>
      <w:r w:rsidRPr="00C31CBF">
        <w:t xml:space="preserve"> at n</w:t>
      </w:r>
      <w:r>
        <w:t>.</w:t>
      </w:r>
      <w:r w:rsidRPr="00C31CBF">
        <w:t xml:space="preserve"> 1117.</w:t>
      </w:r>
      <w:r>
        <w:t xml:space="preserve">  </w:t>
      </w:r>
    </w:p>
  </w:footnote>
  <w:footnote w:id="144">
    <w:p w:rsidR="00107107" w:rsidRDefault="00107107" w:rsidP="007C1D47">
      <w:pPr>
        <w:pStyle w:val="FootnoteText"/>
      </w:pPr>
      <w:r>
        <w:rPr>
          <w:rStyle w:val="FootnoteReference"/>
        </w:rPr>
        <w:footnoteRef/>
      </w:r>
      <w:r>
        <w:t xml:space="preserve"> </w:t>
      </w:r>
      <w:r w:rsidRPr="00CB6BB0">
        <w:rPr>
          <w:i/>
        </w:rPr>
        <w:t>Id.</w:t>
      </w:r>
    </w:p>
  </w:footnote>
  <w:footnote w:id="145">
    <w:p w:rsidR="00107107" w:rsidRDefault="00107107" w:rsidP="007C1D47">
      <w:pPr>
        <w:pStyle w:val="FootnoteText"/>
      </w:pPr>
      <w:r>
        <w:rPr>
          <w:rStyle w:val="FootnoteReference"/>
        </w:rPr>
        <w:footnoteRef/>
      </w:r>
      <w:r>
        <w:t xml:space="preserve"> 47 U.S.C. § </w:t>
      </w:r>
      <w:r w:rsidRPr="009C0191">
        <w:t>307(b)</w:t>
      </w:r>
      <w:r w:rsidRPr="009C0191">
        <w:rPr>
          <w:color w:val="000000"/>
        </w:rPr>
        <w:t xml:space="preserve"> (“In considering applications for licenses, and modifications and renewals thereof,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rsidRPr="009C0191">
        <w:t xml:space="preserve">.  </w:t>
      </w:r>
    </w:p>
  </w:footnote>
  <w:footnote w:id="146">
    <w:p w:rsidR="00107107" w:rsidRDefault="00107107" w:rsidP="007C1D47">
      <w:pPr>
        <w:pStyle w:val="FootnoteText"/>
      </w:pPr>
      <w:r>
        <w:rPr>
          <w:rStyle w:val="FootnoteReference"/>
        </w:rPr>
        <w:footnoteRef/>
      </w:r>
      <w:r>
        <w:t xml:space="preserve"> </w:t>
      </w:r>
      <w:r w:rsidRPr="00B14AA1">
        <w:rPr>
          <w:i/>
        </w:rPr>
        <w:t>See IA R&amp;O</w:t>
      </w:r>
      <w:r>
        <w:t>, 29 FCC Rcd at 6727-28, para. 376.</w:t>
      </w:r>
    </w:p>
  </w:footnote>
  <w:footnote w:id="147">
    <w:p w:rsidR="00107107" w:rsidRDefault="00107107" w:rsidP="007C1D47">
      <w:pPr>
        <w:pStyle w:val="FootnoteText"/>
      </w:pPr>
      <w:r>
        <w:rPr>
          <w:rStyle w:val="FootnoteReference"/>
        </w:rPr>
        <w:footnoteRef/>
      </w:r>
      <w:r>
        <w:t xml:space="preserve"> </w:t>
      </w:r>
      <w:r w:rsidRPr="00B0393D">
        <w:t xml:space="preserve">Under the Commission’s rules, a full power television station must locate its transmitter at a site from which it can place a principal community contour over its entire community of license.  </w:t>
      </w:r>
      <w:r w:rsidRPr="00B0393D">
        <w:rPr>
          <w:i/>
        </w:rPr>
        <w:t>See</w:t>
      </w:r>
      <w:r w:rsidRPr="00B0393D">
        <w:t xml:space="preserve"> 47 C.F.R. § 73.625.  Class A television stations do not have a contour coverage requirement.</w:t>
      </w:r>
    </w:p>
  </w:footnote>
  <w:footnote w:id="148">
    <w:p w:rsidR="00107107" w:rsidRDefault="00107107" w:rsidP="007C1D47">
      <w:pPr>
        <w:pStyle w:val="FootnoteText"/>
      </w:pPr>
      <w:r>
        <w:rPr>
          <w:rStyle w:val="FootnoteReference"/>
        </w:rPr>
        <w:footnoteRef/>
      </w:r>
      <w:r>
        <w:t xml:space="preserve"> Pursuant to Section 1.420(i) of the Commission’s rules, the Commission may modify a station’s license to specify a new community of license without affording other interested parties an opportunity to file competing expressions of interest where the amended allotment would be mutually exclusive with the licensee’s present allotment.  </w:t>
      </w:r>
      <w:r w:rsidRPr="003C60F6">
        <w:rPr>
          <w:i/>
        </w:rPr>
        <w:t>See</w:t>
      </w:r>
      <w:r>
        <w:t xml:space="preserve"> 47 C.F.R. § 1.420(i).  </w:t>
      </w:r>
      <w:r w:rsidRPr="003C60F6">
        <w:rPr>
          <w:i/>
        </w:rPr>
        <w:t>See also</w:t>
      </w:r>
      <w:r>
        <w:t xml:space="preserve"> </w:t>
      </w:r>
      <w:r w:rsidRPr="003C60F6">
        <w:rPr>
          <w:i/>
        </w:rPr>
        <w:t>Modification of FM and TV Authorizations to Specify a New Community of License</w:t>
      </w:r>
      <w:r>
        <w:t xml:space="preserve">, Report and Order, 4 FCC Rcd 4870 (1989), </w:t>
      </w:r>
      <w:r w:rsidRPr="003C60F6">
        <w:rPr>
          <w:i/>
        </w:rPr>
        <w:t>recon. granted in part</w:t>
      </w:r>
      <w:r>
        <w:t xml:space="preserve">, 5 FCC Rcd 7094 (1990).  In considering a reallotment proposal, the Commission compares the existing allotment versus the proposed allotment to determine whether the change in allotment will result in a preferential arrangement of allotments.  This determination is based upon the television allotment priorities set forth in </w:t>
      </w:r>
      <w:r w:rsidRPr="003C60F6">
        <w:rPr>
          <w:i/>
        </w:rPr>
        <w:t>Amendment of Section 3.606 of the Commission’s Rules and Regulations</w:t>
      </w:r>
      <w:r>
        <w:t xml:space="preserve">, Sixth Report and Order, 41 F.C.C. 148, 167-173 (1952).  </w:t>
      </w:r>
      <w:r w:rsidRPr="006A3B7D">
        <w:t>The</w:t>
      </w:r>
      <w:r>
        <w:t xml:space="preserve"> television allotment priorities are to: </w:t>
      </w:r>
      <w:r w:rsidRPr="006A3B7D">
        <w:t xml:space="preserve">(1) provide at least one television service to all parts of the </w:t>
      </w:r>
      <w:r>
        <w:t>United States</w:t>
      </w:r>
      <w:r w:rsidRPr="006A3B7D">
        <w:t xml:space="preserve">; (2) provide each community with at least one television broadcast station; (3) provide a choice of at least two television services to all parts of the </w:t>
      </w:r>
      <w:r>
        <w:t>United States</w:t>
      </w:r>
      <w:r w:rsidRPr="006A3B7D">
        <w:t xml:space="preserve">; (4) provide each community with at least two television broadcast stations; and (5) assign any remaining channels to communities based on population, geographic location, and the number of television services available to the community from stations located in other communities. </w:t>
      </w:r>
    </w:p>
  </w:footnote>
  <w:footnote w:id="149">
    <w:p w:rsidR="00107107" w:rsidRDefault="00107107" w:rsidP="007C1D47">
      <w:pPr>
        <w:pStyle w:val="FootnoteText"/>
      </w:pPr>
      <w:r>
        <w:rPr>
          <w:rStyle w:val="FootnoteReference"/>
        </w:rPr>
        <w:footnoteRef/>
      </w:r>
      <w:r>
        <w:t xml:space="preserve"> 47 U.S.C. § 310.</w:t>
      </w:r>
    </w:p>
  </w:footnote>
  <w:footnote w:id="150">
    <w:p w:rsidR="00107107" w:rsidRPr="00FF5E2F" w:rsidRDefault="00107107" w:rsidP="007C1D47">
      <w:pPr>
        <w:pStyle w:val="FootnoteText"/>
      </w:pPr>
      <w:r>
        <w:rPr>
          <w:rStyle w:val="FootnoteReference"/>
        </w:rPr>
        <w:footnoteRef/>
      </w:r>
      <w:r>
        <w:t xml:space="preserve"> </w:t>
      </w:r>
      <w:r w:rsidRPr="00866B8A">
        <w:rPr>
          <w:i/>
          <w:iCs/>
        </w:rPr>
        <w:t xml:space="preserve">See </w:t>
      </w:r>
      <w:r w:rsidRPr="00F342E3">
        <w:rPr>
          <w:i/>
          <w:iCs/>
        </w:rPr>
        <w:t>IA R&amp;O</w:t>
      </w:r>
      <w:r w:rsidRPr="00F342E3">
        <w:t>, 29 FCC Rcd at 6855-56, para. 705</w:t>
      </w:r>
      <w:r w:rsidRPr="00FF5E2F">
        <w:t>.</w:t>
      </w:r>
    </w:p>
  </w:footnote>
  <w:footnote w:id="151">
    <w:p w:rsidR="00107107" w:rsidRPr="00AB5FC5" w:rsidRDefault="00107107" w:rsidP="007C1D47">
      <w:pPr>
        <w:pStyle w:val="FootnoteText"/>
        <w:rPr>
          <w:i/>
        </w:rPr>
      </w:pPr>
      <w:r>
        <w:rPr>
          <w:rStyle w:val="FootnoteReference"/>
        </w:rPr>
        <w:footnoteRef/>
      </w:r>
      <w:r>
        <w:t xml:space="preserve"> </w:t>
      </w:r>
      <w:r w:rsidRPr="00AB5FC5">
        <w:rPr>
          <w:i/>
        </w:rPr>
        <w:t>Id.</w:t>
      </w:r>
    </w:p>
  </w:footnote>
  <w:footnote w:id="152">
    <w:p w:rsidR="00107107" w:rsidRDefault="00107107" w:rsidP="007C1D47">
      <w:pPr>
        <w:pStyle w:val="FootnoteText"/>
      </w:pPr>
      <w:r>
        <w:rPr>
          <w:rStyle w:val="FootnoteReference"/>
        </w:rPr>
        <w:footnoteRef/>
      </w:r>
      <w:r>
        <w:t xml:space="preserve"> </w:t>
      </w:r>
      <w:r w:rsidRPr="00463C40">
        <w:rPr>
          <w:i/>
        </w:rPr>
        <w:t>Id</w:t>
      </w:r>
      <w:r>
        <w:t>.</w:t>
      </w:r>
    </w:p>
  </w:footnote>
  <w:footnote w:id="153">
    <w:p w:rsidR="00107107" w:rsidRDefault="00107107" w:rsidP="007C1D47">
      <w:pPr>
        <w:pStyle w:val="FootnoteText"/>
      </w:pPr>
      <w:r>
        <w:rPr>
          <w:rStyle w:val="FootnoteReference"/>
        </w:rPr>
        <w:footnoteRef/>
      </w:r>
      <w:r>
        <w:t xml:space="preserve"> The Spectrum Act requires the Commission to reimburse broadcast television licensees for costs “reasonably incurred” by an MVPD in order to continue to carry the signal of a broadcast television licensee that “voluntarily relinquishes spectrum usage rights under subsection (a) to share a television channel with another licensee . . . .”  47 U.S.C. § 1452(b)(4)(A)(ii)(III).  Subsection (a) of Section 1452 authorizes the Commission to conduct an incentive auction and identifies the types of bids to be accepted in connection with the auction, including channel sharing bids</w:t>
      </w:r>
      <w:r w:rsidRPr="000B47E6">
        <w:rPr>
          <w:i/>
        </w:rPr>
        <w:t>.</w:t>
      </w:r>
      <w:r>
        <w:t xml:space="preserve">  </w:t>
      </w:r>
      <w:r>
        <w:rPr>
          <w:i/>
        </w:rPr>
        <w:t>Id.</w:t>
      </w:r>
      <w:r>
        <w:t xml:space="preserve"> § 1452(b)(4)(A)(ii)(III).  </w:t>
      </w:r>
    </w:p>
  </w:footnote>
  <w:footnote w:id="154">
    <w:p w:rsidR="00107107" w:rsidRDefault="00107107" w:rsidP="007C1D47">
      <w:pPr>
        <w:pStyle w:val="FootnoteText"/>
      </w:pPr>
      <w:r>
        <w:rPr>
          <w:rStyle w:val="FootnoteReference"/>
        </w:rPr>
        <w:footnoteRef/>
      </w:r>
      <w:r>
        <w:t xml:space="preserve"> </w:t>
      </w:r>
      <w:r w:rsidRPr="00463C40">
        <w:rPr>
          <w:i/>
        </w:rPr>
        <w:t>See id</w:t>
      </w:r>
      <w:r>
        <w:t>.</w:t>
      </w:r>
    </w:p>
  </w:footnote>
  <w:footnote w:id="155">
    <w:p w:rsidR="00107107" w:rsidRDefault="00107107" w:rsidP="007C1D47">
      <w:pPr>
        <w:pStyle w:val="FootnoteText"/>
      </w:pPr>
      <w:r>
        <w:rPr>
          <w:rStyle w:val="FootnoteReference"/>
        </w:rPr>
        <w:footnoteRef/>
      </w:r>
      <w:r>
        <w:t xml:space="preserve"> </w:t>
      </w:r>
      <w:r w:rsidRPr="00F74738">
        <w:rPr>
          <w:i/>
        </w:rPr>
        <w:t>See</w:t>
      </w:r>
      <w:r>
        <w:t xml:space="preserve"> 47 U.S.C. § 534(h)(1)(B)(iii) and 47 C.F.R. § 76.55(c)(3) (defining “local commercial television station” to exclude those stations failing to deliver a good quality signal to a cable system’s headend, unless the station bears the cost of delivering such signal).  </w:t>
      </w:r>
      <w:r w:rsidRPr="007E5291">
        <w:rPr>
          <w:i/>
        </w:rPr>
        <w:t>See also</w:t>
      </w:r>
      <w:r>
        <w:t xml:space="preserve"> 47 U.S.C. § 535(i)(l) (stating that an NCE station “may be required to bear the cost associated with delivering a good quality signal or a baseband video signal to the principal headend of the cable system”).</w:t>
      </w:r>
    </w:p>
  </w:footnote>
  <w:footnote w:id="156">
    <w:p w:rsidR="00107107" w:rsidRDefault="00107107" w:rsidP="007C1D47">
      <w:pPr>
        <w:pStyle w:val="FootnoteText"/>
      </w:pPr>
      <w:r>
        <w:rPr>
          <w:rStyle w:val="FootnoteReference"/>
        </w:rPr>
        <w:footnoteRef/>
      </w:r>
      <w:r>
        <w:t xml:space="preserve"> </w:t>
      </w:r>
      <w:r w:rsidRPr="00682382">
        <w:rPr>
          <w:i/>
        </w:rPr>
        <w:t>See</w:t>
      </w:r>
      <w:r>
        <w:t xml:space="preserve"> </w:t>
      </w:r>
      <w:r w:rsidRPr="00682382">
        <w:rPr>
          <w:i/>
        </w:rPr>
        <w:t>IA R&amp;O</w:t>
      </w:r>
      <w:r>
        <w:t>, 29 FCC Rcd at 6810-11, para. 594.</w:t>
      </w:r>
    </w:p>
  </w:footnote>
  <w:footnote w:id="157">
    <w:p w:rsidR="00107107" w:rsidRDefault="00107107" w:rsidP="007C1D47">
      <w:pPr>
        <w:pStyle w:val="FootnoteText"/>
      </w:pPr>
      <w:r>
        <w:rPr>
          <w:rStyle w:val="FootnoteReference"/>
        </w:rPr>
        <w:footnoteRef/>
      </w:r>
      <w:r>
        <w:t xml:space="preserve"> </w:t>
      </w:r>
      <w:r w:rsidRPr="00682382">
        <w:rPr>
          <w:i/>
        </w:rPr>
        <w:t>Id</w:t>
      </w:r>
      <w:r>
        <w:t>. at 6811, para. 595.</w:t>
      </w:r>
    </w:p>
  </w:footnote>
  <w:footnote w:id="158">
    <w:p w:rsidR="00107107" w:rsidRDefault="00107107" w:rsidP="00EF5E5A">
      <w:pPr>
        <w:pStyle w:val="FootnoteText"/>
      </w:pPr>
      <w:r>
        <w:rPr>
          <w:rStyle w:val="FootnoteReference"/>
        </w:rPr>
        <w:footnoteRef/>
      </w:r>
      <w:r>
        <w:t xml:space="preserve"> As we stated in the </w:t>
      </w:r>
      <w:r w:rsidRPr="00726143">
        <w:rPr>
          <w:i/>
        </w:rPr>
        <w:t>IA R&amp;O</w:t>
      </w:r>
      <w:r>
        <w:t xml:space="preserve">, the letter must be addressed to the system’s official address of record provided in the cable system’s most filing on the Cable Operations and Licensing Systems (COALS) Form 322.  For all MVPDs that do not file the Form 322, the letter must be addressed to the official corporate address registered with their State of incorporation.  </w:t>
      </w:r>
      <w:r w:rsidRPr="00726143">
        <w:rPr>
          <w:i/>
        </w:rPr>
        <w:t>Id.</w:t>
      </w:r>
    </w:p>
  </w:footnote>
  <w:footnote w:id="159">
    <w:p w:rsidR="00107107" w:rsidRDefault="00107107" w:rsidP="007C1D47">
      <w:pPr>
        <w:pStyle w:val="FootnoteText"/>
      </w:pPr>
      <w:r>
        <w:rPr>
          <w:rStyle w:val="FootnoteReference"/>
        </w:rPr>
        <w:footnoteRef/>
      </w:r>
      <w:r>
        <w:t xml:space="preserve"> </w:t>
      </w:r>
      <w:r w:rsidRPr="00682382">
        <w:rPr>
          <w:i/>
        </w:rPr>
        <w:t>Id</w:t>
      </w:r>
      <w:r>
        <w:t>. at para. 596.</w:t>
      </w:r>
    </w:p>
  </w:footnote>
  <w:footnote w:id="160">
    <w:p w:rsidR="00107107" w:rsidRPr="003749C6" w:rsidRDefault="00107107" w:rsidP="001D2C2A">
      <w:pPr>
        <w:pStyle w:val="FootnoteText"/>
      </w:pPr>
      <w:r w:rsidRPr="007B04CE">
        <w:rPr>
          <w:rStyle w:val="FootnoteReference"/>
        </w:rPr>
        <w:footnoteRef/>
      </w:r>
      <w:r>
        <w:t xml:space="preserve"> </w:t>
      </w:r>
      <w:r w:rsidRPr="00C00415">
        <w:t xml:space="preserve">The RFA, </w:t>
      </w:r>
      <w:r w:rsidRPr="00C00415">
        <w:rPr>
          <w:i/>
        </w:rPr>
        <w:t>see</w:t>
      </w:r>
      <w:r w:rsidRPr="003749C6">
        <w:t xml:space="preserve"> 5 U.S.C. </w:t>
      </w:r>
      <w:r>
        <w:t>§</w:t>
      </w:r>
      <w:r w:rsidRPr="003749C6">
        <w:t xml:space="preserve"> 601 </w:t>
      </w:r>
      <w:r w:rsidRPr="003749C6">
        <w:rPr>
          <w:i/>
        </w:rPr>
        <w:t>et. seq</w:t>
      </w:r>
      <w:r w:rsidRPr="003749C6">
        <w:t>., has been amended by the Contract With America Advancement Act of 1996, Pub. L. No. 104-121, 110 Stat. 847 (1996) (CWAAA). Title II of the CWAAA is the Small Business Regulatory Enforcement Fairness Act of 1996 (SBREFA).</w:t>
      </w:r>
    </w:p>
  </w:footnote>
  <w:footnote w:id="161">
    <w:p w:rsidR="00107107" w:rsidRDefault="00107107" w:rsidP="007C1D47">
      <w:pPr>
        <w:pStyle w:val="FootnoteText"/>
      </w:pPr>
      <w:r w:rsidRPr="008A5BB2">
        <w:rPr>
          <w:rStyle w:val="FootnoteReference"/>
        </w:rPr>
        <w:footnoteRef/>
      </w:r>
      <w:r w:rsidRPr="008A5BB2">
        <w:t xml:space="preserve"> 47 C.F.R. §§ 1.1200 </w:t>
      </w:r>
      <w:r w:rsidRPr="008A5BB2">
        <w:rPr>
          <w:i/>
        </w:rPr>
        <w:t>et seq.</w:t>
      </w:r>
    </w:p>
  </w:footnote>
  <w:footnote w:id="162">
    <w:p w:rsidR="00107107" w:rsidRDefault="00107107" w:rsidP="007C1D47">
      <w:pPr>
        <w:pStyle w:val="FootnoteText"/>
      </w:pPr>
      <w:r w:rsidRPr="008A5BB2">
        <w:rPr>
          <w:rStyle w:val="FootnoteReference"/>
        </w:rPr>
        <w:footnoteRef/>
      </w:r>
      <w:r w:rsidRPr="008A5BB2">
        <w:t xml:space="preserve"> </w:t>
      </w:r>
      <w:r w:rsidRPr="008A5BB2">
        <w:rPr>
          <w:i/>
        </w:rPr>
        <w:t xml:space="preserve">See </w:t>
      </w:r>
      <w:r w:rsidRPr="008A5BB2">
        <w:t>5 U.S.C. § 603.</w:t>
      </w:r>
    </w:p>
  </w:footnote>
  <w:footnote w:id="163">
    <w:p w:rsidR="00107107" w:rsidRDefault="00107107" w:rsidP="00F64497">
      <w:pPr>
        <w:pStyle w:val="FootnoteText"/>
      </w:pPr>
      <w:r>
        <w:rPr>
          <w:rStyle w:val="FootnoteReference"/>
        </w:rPr>
        <w:footnoteRef/>
      </w:r>
      <w:r>
        <w:t xml:space="preserve"> </w:t>
      </w:r>
      <w:r w:rsidRPr="007D3495">
        <w:rPr>
          <w:i/>
        </w:rPr>
        <w:t>See</w:t>
      </w:r>
      <w:r>
        <w:t xml:space="preserve"> 5 U.S.C. § 603.  The RFA, </w:t>
      </w:r>
      <w:r w:rsidRPr="007D3495">
        <w:rPr>
          <w:i/>
        </w:rPr>
        <w:t>see</w:t>
      </w:r>
      <w:r>
        <w:t xml:space="preserve"> 5 U.S.C. §§ 601-612, has been amended by the Small Business Regulatory Enforcement Fairness Act of 1996, Pub. L. No. 104-121, Title II, 110 Stat. 857 (1996).</w:t>
      </w:r>
    </w:p>
  </w:footnote>
  <w:footnote w:id="164">
    <w:p w:rsidR="00107107" w:rsidRDefault="00107107" w:rsidP="00F64497">
      <w:pPr>
        <w:pStyle w:val="FootnoteText"/>
      </w:pPr>
      <w:r>
        <w:rPr>
          <w:rStyle w:val="FootnoteReference"/>
        </w:rPr>
        <w:footnoteRef/>
      </w:r>
      <w:r>
        <w:t xml:space="preserve"> </w:t>
      </w:r>
      <w:r>
        <w:rPr>
          <w:i/>
        </w:rPr>
        <w:t>Expanding the Economic and Innovation Opportunities of Spectrum Through Incentive Auctions,</w:t>
      </w:r>
      <w:r>
        <w:t xml:space="preserve"> Notice of Proposed Rulemaking, 27 FCC Rcd 12357, 12523-544, Appendix B (2012) (“</w:t>
      </w:r>
      <w:r w:rsidRPr="00E86AF1">
        <w:rPr>
          <w:i/>
        </w:rPr>
        <w:t>IA Notice</w:t>
      </w:r>
      <w:r>
        <w:t>”).</w:t>
      </w:r>
    </w:p>
  </w:footnote>
  <w:footnote w:id="165">
    <w:p w:rsidR="00107107" w:rsidRDefault="00107107" w:rsidP="00F64497">
      <w:pPr>
        <w:pStyle w:val="FootnoteText"/>
      </w:pPr>
      <w:r>
        <w:rPr>
          <w:rStyle w:val="FootnoteReference"/>
        </w:rPr>
        <w:footnoteRef/>
      </w:r>
      <w:r>
        <w:t xml:space="preserve"> </w:t>
      </w:r>
      <w:r w:rsidRPr="006D32A0">
        <w:rPr>
          <w:i/>
        </w:rPr>
        <w:t>Id.</w:t>
      </w:r>
      <w:r>
        <w:t xml:space="preserve"> at 12495, para. 421.</w:t>
      </w:r>
    </w:p>
  </w:footnote>
  <w:footnote w:id="166">
    <w:p w:rsidR="00107107" w:rsidRDefault="00107107" w:rsidP="00F64497">
      <w:pPr>
        <w:pStyle w:val="FootnoteText"/>
      </w:pPr>
      <w:r>
        <w:rPr>
          <w:rStyle w:val="FootnoteReference"/>
        </w:rPr>
        <w:footnoteRef/>
      </w:r>
      <w:r>
        <w:t xml:space="preserve"> </w:t>
      </w:r>
      <w:r w:rsidRPr="004439C3">
        <w:rPr>
          <w:i/>
        </w:rPr>
        <w:t>See</w:t>
      </w:r>
      <w:r>
        <w:t xml:space="preserve"> </w:t>
      </w:r>
      <w:r w:rsidRPr="00B32A49">
        <w:rPr>
          <w:i/>
        </w:rPr>
        <w:t>IA R&amp;O,</w:t>
      </w:r>
      <w:r>
        <w:t xml:space="preserve"> 29 FCC Rcd 6567, 6947-66, Appendix B.</w:t>
      </w:r>
    </w:p>
  </w:footnote>
  <w:footnote w:id="167">
    <w:p w:rsidR="00107107" w:rsidRDefault="00107107" w:rsidP="00F64497">
      <w:pPr>
        <w:pStyle w:val="FootnoteText"/>
      </w:pPr>
      <w:r>
        <w:rPr>
          <w:rStyle w:val="FootnoteReference"/>
        </w:rPr>
        <w:footnoteRef/>
      </w:r>
      <w:r>
        <w:t xml:space="preserve"> </w:t>
      </w:r>
      <w:r w:rsidRPr="00300119">
        <w:t>EOBC Petition</w:t>
      </w:r>
      <w:r w:rsidRPr="007B18EA">
        <w:t xml:space="preserve"> </w:t>
      </w:r>
      <w:r>
        <w:t xml:space="preserve">for Reconsideration, GN Docket No. 12-268 </w:t>
      </w:r>
      <w:r w:rsidRPr="00CB1007">
        <w:t xml:space="preserve">(filed </w:t>
      </w:r>
      <w:r>
        <w:t>Sept</w:t>
      </w:r>
      <w:r w:rsidRPr="00CB1007">
        <w:t>. 12, 2014)</w:t>
      </w:r>
      <w:r>
        <w:t xml:space="preserve">.  In addition to this Order, a subsequent Order on Reconsideration will address Petitions for Reconsideration of the </w:t>
      </w:r>
      <w:r w:rsidRPr="00BF373D">
        <w:rPr>
          <w:i/>
        </w:rPr>
        <w:t>IA R&amp;O</w:t>
      </w:r>
      <w:r>
        <w:t xml:space="preserve"> related to issues other than the channel sharing bid option</w:t>
      </w:r>
      <w:r w:rsidRPr="00BF373D">
        <w:rPr>
          <w:i/>
        </w:rPr>
        <w:t>.</w:t>
      </w:r>
    </w:p>
  </w:footnote>
  <w:footnote w:id="168">
    <w:p w:rsidR="00107107" w:rsidRPr="00CB1007" w:rsidRDefault="00107107" w:rsidP="00F64497">
      <w:pPr>
        <w:pStyle w:val="FootnoteText"/>
      </w:pPr>
      <w:r w:rsidRPr="00CB1007">
        <w:rPr>
          <w:rStyle w:val="FootnoteReference"/>
        </w:rPr>
        <w:footnoteRef/>
      </w:r>
      <w:r>
        <w:t xml:space="preserve"> </w:t>
      </w:r>
      <w:r w:rsidRPr="00657DDD">
        <w:rPr>
          <w:i/>
        </w:rPr>
        <w:t>Channel Sharing R&amp;O</w:t>
      </w:r>
      <w:r w:rsidRPr="00CB1007">
        <w:rPr>
          <w:i/>
        </w:rPr>
        <w:t xml:space="preserve">, </w:t>
      </w:r>
      <w:r w:rsidRPr="00CB1007">
        <w:t xml:space="preserve">27 FCC Rcd. </w:t>
      </w:r>
      <w:r>
        <w:t>4616 (2012)</w:t>
      </w:r>
      <w:r w:rsidRPr="00CB1007">
        <w:t>.</w:t>
      </w:r>
    </w:p>
  </w:footnote>
  <w:footnote w:id="169">
    <w:p w:rsidR="00107107" w:rsidRDefault="00107107" w:rsidP="00F64497">
      <w:pPr>
        <w:pStyle w:val="FootnoteText"/>
      </w:pPr>
      <w:r>
        <w:rPr>
          <w:rStyle w:val="FootnoteReference"/>
        </w:rPr>
        <w:footnoteRef/>
      </w:r>
      <w:r>
        <w:t xml:space="preserve"> Though EOBC requested the right of a winning license relinquishment bidder to enter into a CSA post auction up to 12 months after the license relinquishment date, we are requiring that the bidder enter into the CSA no later than the license relinquishment date.</w:t>
      </w:r>
    </w:p>
  </w:footnote>
  <w:footnote w:id="170">
    <w:p w:rsidR="00107107" w:rsidRPr="00B02BFE" w:rsidRDefault="00107107" w:rsidP="00F64497">
      <w:pPr>
        <w:pStyle w:val="FootnoteText"/>
      </w:pPr>
      <w:r w:rsidRPr="00B02BFE">
        <w:rPr>
          <w:rStyle w:val="FootnoteReference"/>
        </w:rPr>
        <w:footnoteRef/>
      </w:r>
      <w:r w:rsidRPr="00B02BFE">
        <w:t xml:space="preserve"> </w:t>
      </w:r>
      <w:r>
        <w:rPr>
          <w:kern w:val="28"/>
        </w:rPr>
        <w:t>Two parties did file</w:t>
      </w:r>
      <w:r w:rsidRPr="00B02BFE">
        <w:rPr>
          <w:kern w:val="28"/>
        </w:rPr>
        <w:t xml:space="preserve"> Petition</w:t>
      </w:r>
      <w:r>
        <w:rPr>
          <w:kern w:val="28"/>
        </w:rPr>
        <w:t>s</w:t>
      </w:r>
      <w:r w:rsidRPr="00B02BFE">
        <w:rPr>
          <w:kern w:val="28"/>
        </w:rPr>
        <w:t xml:space="preserve"> for Reco</w:t>
      </w:r>
      <w:r>
        <w:rPr>
          <w:kern w:val="28"/>
        </w:rPr>
        <w:t xml:space="preserve">nsideration related to the FRFA.  We will address those pleadings </w:t>
      </w:r>
      <w:r w:rsidRPr="00B02BFE">
        <w:rPr>
          <w:kern w:val="28"/>
        </w:rPr>
        <w:t xml:space="preserve">in </w:t>
      </w:r>
      <w:r>
        <w:rPr>
          <w:kern w:val="28"/>
        </w:rPr>
        <w:t>a subsequent Order on Reconsideration of the</w:t>
      </w:r>
      <w:r w:rsidRPr="00B02BFE">
        <w:rPr>
          <w:kern w:val="28"/>
        </w:rPr>
        <w:t xml:space="preserve"> </w:t>
      </w:r>
      <w:r w:rsidRPr="00B02BFE">
        <w:rPr>
          <w:i/>
          <w:kern w:val="28"/>
        </w:rPr>
        <w:t>IA R&amp;O</w:t>
      </w:r>
      <w:r w:rsidRPr="00B02BFE">
        <w:rPr>
          <w:kern w:val="28"/>
        </w:rPr>
        <w:t>.</w:t>
      </w:r>
    </w:p>
  </w:footnote>
  <w:footnote w:id="171">
    <w:p w:rsidR="00107107" w:rsidRDefault="00107107" w:rsidP="00F64497">
      <w:pPr>
        <w:pStyle w:val="FootnoteText"/>
      </w:pPr>
      <w:r>
        <w:rPr>
          <w:rStyle w:val="FootnoteReference"/>
        </w:rPr>
        <w:footnoteRef/>
      </w:r>
      <w:r>
        <w:t xml:space="preserve"> 5 U.S.C. § 603(b)(3).</w:t>
      </w:r>
    </w:p>
  </w:footnote>
  <w:footnote w:id="172">
    <w:p w:rsidR="00107107" w:rsidRDefault="00107107" w:rsidP="00F64497">
      <w:pPr>
        <w:pStyle w:val="FootnoteText"/>
      </w:pPr>
      <w:r>
        <w:rPr>
          <w:rStyle w:val="FootnoteReference"/>
        </w:rPr>
        <w:footnoteRef/>
      </w:r>
      <w:r>
        <w:t xml:space="preserve"> </w:t>
      </w:r>
      <w:r w:rsidRPr="00855706">
        <w:rPr>
          <w:i/>
        </w:rPr>
        <w:t>Id</w:t>
      </w:r>
      <w:r>
        <w:t>. § 601(6).</w:t>
      </w:r>
    </w:p>
  </w:footnote>
  <w:footnote w:id="173">
    <w:p w:rsidR="00107107" w:rsidRDefault="00107107" w:rsidP="00F64497">
      <w:pPr>
        <w:pStyle w:val="FootnoteText"/>
      </w:pPr>
      <w:r>
        <w:rPr>
          <w:rStyle w:val="FootnoteReference"/>
        </w:rPr>
        <w:footnoteRef/>
      </w:r>
      <w:r>
        <w:rPr>
          <w:i/>
        </w:rPr>
        <w:t xml:space="preserve"> Id</w:t>
      </w:r>
      <w:r>
        <w: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4">
    <w:p w:rsidR="00107107" w:rsidRDefault="00107107" w:rsidP="00F64497">
      <w:pPr>
        <w:pStyle w:val="FootnoteText"/>
      </w:pPr>
      <w:r>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75">
    <w:p w:rsidR="00107107" w:rsidRDefault="00107107" w:rsidP="00F64497">
      <w:pPr>
        <w:pStyle w:val="FootnoteText"/>
      </w:pPr>
      <w:r>
        <w:rPr>
          <w:rStyle w:val="FootnoteReference"/>
        </w:rPr>
        <w:footnoteRef/>
      </w:r>
      <w:r>
        <w:t xml:space="preserve"> </w:t>
      </w:r>
      <w:r>
        <w:rPr>
          <w:i/>
        </w:rPr>
        <w:t xml:space="preserve">See </w:t>
      </w:r>
      <w:r w:rsidRPr="004439C3">
        <w:rPr>
          <w:i/>
        </w:rPr>
        <w:t>supra</w:t>
      </w:r>
      <w:r>
        <w:t xml:space="preserve">, para. 1 &amp; n. 155.  Additionally, an updated description of “television broadcasting” can be found in the Initial Regulatory Flexibility Analysis included as Appendix D. </w:t>
      </w:r>
    </w:p>
  </w:footnote>
  <w:footnote w:id="176">
    <w:p w:rsidR="00107107" w:rsidRDefault="00107107" w:rsidP="00AE0C5C">
      <w:pPr>
        <w:pStyle w:val="FootnoteText"/>
      </w:pPr>
      <w:r>
        <w:rPr>
          <w:rStyle w:val="FootnoteReference"/>
        </w:rPr>
        <w:footnoteRef/>
      </w:r>
      <w:r>
        <w:t xml:space="preserve"> </w:t>
      </w:r>
      <w:r w:rsidRPr="00135CEA">
        <w:rPr>
          <w:i/>
        </w:rPr>
        <w:t>See</w:t>
      </w:r>
      <w:r>
        <w:t xml:space="preserve"> </w:t>
      </w:r>
      <w:r w:rsidRPr="00A62BA5">
        <w:rPr>
          <w:i/>
        </w:rPr>
        <w:t>infra</w:t>
      </w:r>
      <w:r>
        <w:t xml:space="preserve"> Appendix D at Section C.</w:t>
      </w:r>
    </w:p>
  </w:footnote>
  <w:footnote w:id="177">
    <w:p w:rsidR="00107107" w:rsidRDefault="00107107" w:rsidP="00F64497">
      <w:pPr>
        <w:pStyle w:val="FootnoteText"/>
      </w:pPr>
      <w:r>
        <w:rPr>
          <w:rStyle w:val="FootnoteReference"/>
        </w:rPr>
        <w:footnoteRef/>
      </w:r>
      <w:r>
        <w:t xml:space="preserve"> </w:t>
      </w:r>
      <w:r w:rsidRPr="00AE0C5C">
        <w:rPr>
          <w:i/>
        </w:rPr>
        <w:t>IA R&amp;O</w:t>
      </w:r>
      <w:r>
        <w:t xml:space="preserve"> at 6959-64, Appendix D, paras. 37-54.</w:t>
      </w:r>
    </w:p>
  </w:footnote>
  <w:footnote w:id="178">
    <w:p w:rsidR="00107107" w:rsidRPr="00E34E19" w:rsidRDefault="00107107" w:rsidP="0004222F">
      <w:pPr>
        <w:pStyle w:val="FootnoteText"/>
      </w:pPr>
      <w:r>
        <w:rPr>
          <w:rStyle w:val="FootnoteReference"/>
        </w:rPr>
        <w:footnoteRef/>
      </w:r>
      <w:r>
        <w:t xml:space="preserve"> </w:t>
      </w:r>
      <w:r w:rsidRPr="00E34E19">
        <w:rPr>
          <w:i/>
        </w:rPr>
        <w:t xml:space="preserve">See </w:t>
      </w:r>
      <w:r w:rsidRPr="00E34E19">
        <w:t xml:space="preserve">5 U.S.C. § 603.  The RFA, </w:t>
      </w:r>
      <w:r w:rsidRPr="00E34E19">
        <w:rPr>
          <w:i/>
        </w:rPr>
        <w:t>see</w:t>
      </w:r>
      <w:r w:rsidRPr="00E34E19">
        <w:t xml:space="preserve"> 5 U.S.C. §§ 601-612, has been amended by the Small Business Regulatory Enforcement Fairness Act of 1996 (“SBREFA”), Pub. L. No. 104-121, Title II, 110 Stat. 857 (1996).</w:t>
      </w:r>
    </w:p>
  </w:footnote>
  <w:footnote w:id="179">
    <w:p w:rsidR="00107107" w:rsidRPr="00E34E19" w:rsidRDefault="00107107" w:rsidP="0004222F">
      <w:pPr>
        <w:pStyle w:val="FootnoteText"/>
      </w:pPr>
      <w:r w:rsidRPr="00E34E19">
        <w:rPr>
          <w:rStyle w:val="FootnoteReference"/>
        </w:rPr>
        <w:footnoteRef/>
      </w:r>
      <w:r w:rsidRPr="00E34E19">
        <w:t xml:space="preserve"> </w:t>
      </w:r>
      <w:r w:rsidRPr="00E34E19">
        <w:rPr>
          <w:i/>
        </w:rPr>
        <w:t xml:space="preserve">See </w:t>
      </w:r>
      <w:r w:rsidRPr="00E34E19">
        <w:t>5 U.S.C. § 603(a).</w:t>
      </w:r>
    </w:p>
  </w:footnote>
  <w:footnote w:id="180">
    <w:p w:rsidR="00107107" w:rsidRPr="00E34E19" w:rsidRDefault="00107107" w:rsidP="0004222F">
      <w:pPr>
        <w:pStyle w:val="FootnoteText"/>
      </w:pPr>
      <w:r w:rsidRPr="00E34E19">
        <w:rPr>
          <w:rStyle w:val="FootnoteReference"/>
        </w:rPr>
        <w:footnoteRef/>
      </w:r>
      <w:r w:rsidRPr="00E34E19">
        <w:t xml:space="preserve"> </w:t>
      </w:r>
      <w:r w:rsidRPr="00E34E19">
        <w:rPr>
          <w:i/>
        </w:rPr>
        <w:t>See id</w:t>
      </w:r>
      <w:r w:rsidRPr="00E34E19">
        <w:t>.</w:t>
      </w:r>
    </w:p>
  </w:footnote>
  <w:footnote w:id="181">
    <w:p w:rsidR="00107107" w:rsidRPr="00E34E19" w:rsidRDefault="00107107" w:rsidP="0004222F">
      <w:pPr>
        <w:pStyle w:val="FootnoteText"/>
      </w:pPr>
      <w:r w:rsidRPr="00E34E19">
        <w:rPr>
          <w:rStyle w:val="FootnoteReference"/>
        </w:rPr>
        <w:footnoteRef/>
      </w:r>
      <w:r w:rsidRPr="00E34E19">
        <w:t xml:space="preserve"> 5 U.S.C. § 603(b)(3).</w:t>
      </w:r>
    </w:p>
  </w:footnote>
  <w:footnote w:id="182">
    <w:p w:rsidR="00107107" w:rsidRPr="00E34E19" w:rsidRDefault="00107107" w:rsidP="0004222F">
      <w:pPr>
        <w:pStyle w:val="FootnoteText"/>
      </w:pPr>
      <w:r w:rsidRPr="00E34E19">
        <w:rPr>
          <w:rStyle w:val="FootnoteReference"/>
        </w:rPr>
        <w:footnoteRef/>
      </w:r>
      <w:r w:rsidRPr="00E34E19">
        <w:t xml:space="preserve"> 5 U.S.C. § 601(6).</w:t>
      </w:r>
    </w:p>
  </w:footnote>
  <w:footnote w:id="183">
    <w:p w:rsidR="00107107" w:rsidRPr="00E34E19" w:rsidRDefault="00107107" w:rsidP="0004222F">
      <w:pPr>
        <w:pStyle w:val="FootnoteText"/>
      </w:pPr>
      <w:r w:rsidRPr="00E34E19">
        <w:rPr>
          <w:rStyle w:val="FootnoteReference"/>
        </w:rPr>
        <w:footnoteRef/>
      </w:r>
      <w:r w:rsidRPr="00E34E19">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w:t>
      </w:r>
      <w:r>
        <w:t xml:space="preserve">  </w:t>
      </w:r>
      <w:r w:rsidRPr="00E34E19">
        <w:t>comment, establishes one or more definitions of such term which are appropriate to the activities of the agency and publishes such definition(s) in the Federal Register.” 5 U.S.C. § 601(3).</w:t>
      </w:r>
    </w:p>
  </w:footnote>
  <w:footnote w:id="184">
    <w:p w:rsidR="00107107" w:rsidRPr="00E34E19" w:rsidRDefault="00107107" w:rsidP="0004222F">
      <w:pPr>
        <w:pStyle w:val="FootnoteText"/>
      </w:pPr>
      <w:r w:rsidRPr="00E34E19">
        <w:rPr>
          <w:rStyle w:val="FootnoteReference"/>
        </w:rPr>
        <w:footnoteRef/>
      </w:r>
      <w:r w:rsidRPr="00E34E19">
        <w:t xml:space="preserve"> 15 U.S.C. § 632.</w:t>
      </w:r>
    </w:p>
  </w:footnote>
  <w:footnote w:id="185">
    <w:p w:rsidR="00107107" w:rsidRPr="00AA48C8" w:rsidRDefault="00107107" w:rsidP="0004107F">
      <w:pPr>
        <w:pStyle w:val="FootnoteText"/>
        <w:rPr>
          <w:bCs/>
        </w:rPr>
      </w:pPr>
      <w:r w:rsidRPr="00AA48C8">
        <w:rPr>
          <w:rStyle w:val="FootnoteReference"/>
        </w:rPr>
        <w:footnoteRef/>
      </w:r>
      <w:r w:rsidRPr="00AA48C8">
        <w:t xml:space="preserve"> U.S. Census Bureau, 2012 NAICS Definitions, “</w:t>
      </w:r>
      <w:r w:rsidRPr="00AA48C8">
        <w:rPr>
          <w:bCs/>
        </w:rPr>
        <w:t xml:space="preserve">517110 Wired Telecommunications Carriers” at </w:t>
      </w:r>
      <w:hyperlink r:id="rId5" w:history="1">
        <w:r w:rsidRPr="00AA48C8">
          <w:rPr>
            <w:rStyle w:val="Hyperlink"/>
          </w:rPr>
          <w:t>http://www.census.gov/cgi-bin/sssd/naics/naicsrch</w:t>
        </w:r>
      </w:hyperlink>
      <w:r w:rsidRPr="00AA48C8">
        <w:rPr>
          <w:bCs/>
        </w:rPr>
        <w:t>.  Examples of this category are: broadband Internet service providers (</w:t>
      </w:r>
      <w:r w:rsidRPr="00AA48C8">
        <w:rPr>
          <w:bCs/>
          <w:i/>
        </w:rPr>
        <w:t>e.g.</w:t>
      </w:r>
      <w:r w:rsidRPr="00AA48C8">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86">
    <w:p w:rsidR="00107107" w:rsidRPr="00696BA8" w:rsidRDefault="00107107" w:rsidP="0004107F">
      <w:pPr>
        <w:pStyle w:val="FootnoteText"/>
        <w:spacing w:line="0" w:lineRule="atLeast"/>
      </w:pPr>
      <w:r w:rsidRPr="00EF1749">
        <w:rPr>
          <w:rStyle w:val="FootnoteReference"/>
        </w:rPr>
        <w:footnoteRef/>
      </w:r>
      <w:r w:rsidRPr="00EF1749">
        <w:t xml:space="preserve"> </w:t>
      </w:r>
      <w:r w:rsidRPr="00AD538C">
        <w:rPr>
          <w:lang w:val="fr-FR"/>
        </w:rPr>
        <w:t>13 C.F.R. § 121.20</w:t>
      </w:r>
      <w:r>
        <w:rPr>
          <w:lang w:val="fr-FR"/>
        </w:rPr>
        <w:t>1;</w:t>
      </w:r>
      <w:r w:rsidRPr="00AD538C">
        <w:rPr>
          <w:lang w:val="fr-FR"/>
        </w:rPr>
        <w:t xml:space="preserve"> NAICS code 517110.</w:t>
      </w:r>
    </w:p>
  </w:footnote>
  <w:footnote w:id="187">
    <w:p w:rsidR="00107107" w:rsidRDefault="00107107" w:rsidP="0004107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6" w:history="1">
        <w:r w:rsidRPr="00EF1749">
          <w:rPr>
            <w:rStyle w:val="Hyperlink"/>
          </w:rPr>
          <w:t>http://factfinder2.census.gov/faces/nav/jsf/pages/index.xhtml</w:t>
        </w:r>
      </w:hyperlink>
      <w:r w:rsidRPr="00EF1749">
        <w:t>.</w:t>
      </w:r>
    </w:p>
  </w:footnote>
  <w:footnote w:id="188">
    <w:p w:rsidR="00107107" w:rsidRDefault="00107107" w:rsidP="0004107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89">
    <w:p w:rsidR="00107107" w:rsidRDefault="00107107" w:rsidP="0004107F">
      <w:pPr>
        <w:pStyle w:val="FootnoteText"/>
      </w:pPr>
      <w:r>
        <w:rPr>
          <w:rStyle w:val="FootnoteReference"/>
        </w:rPr>
        <w:footnoteRef/>
      </w:r>
      <w:r>
        <w:t xml:space="preserve"> </w:t>
      </w:r>
      <w:r w:rsidRPr="00B30D3F">
        <w:rPr>
          <w:i/>
          <w:szCs w:val="22"/>
        </w:rPr>
        <w:t>See also</w:t>
      </w:r>
      <w:r>
        <w:rPr>
          <w:szCs w:val="22"/>
        </w:rPr>
        <w:t xml:space="preserve"> </w:t>
      </w:r>
      <w:r>
        <w:t>U.S. Census Bureau, 2012 NAICS Definitions, “</w:t>
      </w:r>
      <w:r>
        <w:rPr>
          <w:bCs/>
        </w:rPr>
        <w:t xml:space="preserve">517110 Wired Telecommunications Carriers” at </w:t>
      </w:r>
      <w:hyperlink r:id="rId7" w:history="1">
        <w:r w:rsidRPr="00B96893">
          <w:rPr>
            <w:rStyle w:val="Hyperlink"/>
          </w:rPr>
          <w:t>http://www.census.gov/cgi-bin/sssd/naics/naicsrch</w:t>
        </w:r>
      </w:hyperlink>
      <w:r>
        <w:rPr>
          <w:bCs/>
        </w:rPr>
        <w:t>.</w:t>
      </w:r>
    </w:p>
  </w:footnote>
  <w:footnote w:id="190">
    <w:p w:rsidR="00107107" w:rsidRPr="00696BA8" w:rsidRDefault="00107107" w:rsidP="0004107F">
      <w:pPr>
        <w:pStyle w:val="FootnoteText"/>
        <w:spacing w:line="0" w:lineRule="atLeast"/>
      </w:pPr>
      <w:r w:rsidRPr="00EF1749">
        <w:rPr>
          <w:rStyle w:val="FootnoteReference"/>
        </w:rPr>
        <w:footnoteRef/>
      </w:r>
      <w:r w:rsidRPr="00EF1749">
        <w:t xml:space="preserve"> </w:t>
      </w:r>
      <w:r w:rsidRPr="00AD538C">
        <w:rPr>
          <w:lang w:val="fr-FR"/>
        </w:rPr>
        <w:t>13 C.F.R. § 121.20</w:t>
      </w:r>
      <w:r>
        <w:rPr>
          <w:lang w:val="fr-FR"/>
        </w:rPr>
        <w:t>1;</w:t>
      </w:r>
      <w:r w:rsidRPr="00AD538C">
        <w:rPr>
          <w:lang w:val="fr-FR"/>
        </w:rPr>
        <w:t xml:space="preserve"> NAICS code 517110.</w:t>
      </w:r>
    </w:p>
  </w:footnote>
  <w:footnote w:id="191">
    <w:p w:rsidR="00107107" w:rsidRDefault="00107107" w:rsidP="0004107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8" w:history="1">
        <w:r w:rsidRPr="00EF1749">
          <w:rPr>
            <w:rStyle w:val="Hyperlink"/>
          </w:rPr>
          <w:t>http://factfinder2.census.gov/faces/nav/jsf/pages/index.xhtml</w:t>
        </w:r>
      </w:hyperlink>
      <w:r w:rsidRPr="00EF1749">
        <w:t>.</w:t>
      </w:r>
    </w:p>
  </w:footnote>
  <w:footnote w:id="192">
    <w:p w:rsidR="00107107" w:rsidRDefault="00107107" w:rsidP="0004107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93">
    <w:p w:rsidR="00107107" w:rsidRPr="00E34E19" w:rsidRDefault="00107107" w:rsidP="0004222F">
      <w:pPr>
        <w:pStyle w:val="FootnoteText"/>
        <w:spacing w:line="240" w:lineRule="atLeast"/>
        <w:rPr>
          <w:i/>
        </w:rPr>
      </w:pPr>
      <w:r w:rsidRPr="00E34E19">
        <w:rPr>
          <w:rStyle w:val="FootnoteReference"/>
        </w:rPr>
        <w:footnoteRef/>
      </w:r>
      <w:r w:rsidRPr="00E34E19">
        <w:t xml:space="preserve"> 47 C.F.R. § 76.901(e).  The Commission determined that this size standard equates approximately to a size standard of $100 million or less in annual revenues.  </w:t>
      </w:r>
      <w:r w:rsidRPr="00E34E19">
        <w:rPr>
          <w:i/>
        </w:rPr>
        <w:t xml:space="preserve">Implementation of Sections of the Cable Television Consumer Protection And Competition Act of 1992: Rate Regulation, </w:t>
      </w:r>
      <w:r w:rsidRPr="00E34E19">
        <w:t>MM Docket No. 92-266, MM Docket No. 93-215</w:t>
      </w:r>
      <w:r w:rsidRPr="00E34E19">
        <w:rPr>
          <w:i/>
        </w:rPr>
        <w:t xml:space="preserve">, </w:t>
      </w:r>
      <w:r w:rsidRPr="00E34E19">
        <w:t>Sixth Report and Order and Eleventh Order on Reconsideration, 10 FCC Rcd 7393, 7408, ¶ 28 (1995).</w:t>
      </w:r>
    </w:p>
  </w:footnote>
  <w:footnote w:id="194">
    <w:p w:rsidR="00107107" w:rsidRPr="00E34E19" w:rsidRDefault="00107107" w:rsidP="0004222F">
      <w:pPr>
        <w:pStyle w:val="FootnoteText"/>
      </w:pPr>
      <w:r w:rsidRPr="00E34E19">
        <w:rPr>
          <w:rStyle w:val="FootnoteReference"/>
        </w:rPr>
        <w:footnoteRef/>
      </w:r>
      <w:r w:rsidRPr="00E34E19">
        <w:t xml:space="preserve"> NCTA, Industry Data, Number of Cable Operators and Systems, </w:t>
      </w:r>
      <w:hyperlink r:id="rId9" w:history="1">
        <w:r w:rsidRPr="00E34E19">
          <w:rPr>
            <w:rStyle w:val="Hyperlink"/>
          </w:rPr>
          <w:t>http://www.ncta.com/Statistics.aspx</w:t>
        </w:r>
      </w:hyperlink>
      <w:r w:rsidRPr="00E34E19">
        <w:t xml:space="preserve"> (visited October 13, 2014).  Depending upon the number of homes and the size of the geographic area served, cable operators use one or more cable systems to provide video service.  </w:t>
      </w:r>
      <w:r w:rsidRPr="00E34E19">
        <w:rPr>
          <w:i/>
        </w:rPr>
        <w:t xml:space="preserve">See Annual Assessment of the Status of Competition in the Market for Delivery of Video Programming, </w:t>
      </w:r>
      <w:r w:rsidRPr="00E34E19">
        <w:t>MB Docket No. 12-203, Fifteenth Report, 28 FCC Rcd 10496, 10505-6, ¶ 24 (2013) (“</w:t>
      </w:r>
      <w:r w:rsidRPr="00E34E19">
        <w:rPr>
          <w:i/>
        </w:rPr>
        <w:t>15</w:t>
      </w:r>
      <w:r w:rsidRPr="00E34E19">
        <w:rPr>
          <w:i/>
          <w:vertAlign w:val="superscript"/>
        </w:rPr>
        <w:t>th</w:t>
      </w:r>
      <w:r w:rsidRPr="00E34E19">
        <w:rPr>
          <w:i/>
        </w:rPr>
        <w:t xml:space="preserve"> Annual Competition Report</w:t>
      </w:r>
      <w:r w:rsidRPr="00E34E19">
        <w:t>”</w:t>
      </w:r>
      <w:r w:rsidRPr="00E34E19">
        <w:rPr>
          <w:i/>
        </w:rPr>
        <w:t>)</w:t>
      </w:r>
      <w:r w:rsidRPr="00E34E19">
        <w:t>.</w:t>
      </w:r>
    </w:p>
  </w:footnote>
  <w:footnote w:id="195">
    <w:p w:rsidR="00107107" w:rsidRPr="00E34E19" w:rsidRDefault="00107107" w:rsidP="0004222F">
      <w:pPr>
        <w:pStyle w:val="FootnoteText"/>
        <w:rPr>
          <w:b/>
        </w:rPr>
      </w:pPr>
      <w:r w:rsidRPr="00E34E19">
        <w:rPr>
          <w:rStyle w:val="FootnoteReference"/>
        </w:rPr>
        <w:footnoteRef/>
      </w:r>
      <w:r w:rsidRPr="00E34E19">
        <w:t xml:space="preserve"> </w:t>
      </w:r>
      <w:r w:rsidRPr="00E34E19">
        <w:rPr>
          <w:i/>
        </w:rPr>
        <w:t xml:space="preserve">See </w:t>
      </w:r>
      <w:r w:rsidRPr="00E34E19">
        <w:t xml:space="preserve">SNL Kagan, “Top Cable MSOs – 12/12 Q”; available at </w:t>
      </w:r>
      <w:hyperlink r:id="rId10" w:history="1">
        <w:r w:rsidRPr="00E34E19">
          <w:rPr>
            <w:rStyle w:val="Hyperlink"/>
          </w:rPr>
          <w:t>http://www.snl.com/InteractiveX/TopCableMSOs.aspx?period=2012Q4&amp;sortcol=subscribersbasic&amp;sortorder=desc</w:t>
        </w:r>
      </w:hyperlink>
      <w:r w:rsidRPr="00E34E19">
        <w:t>.</w:t>
      </w:r>
      <w:r w:rsidRPr="00E34E19">
        <w:rPr>
          <w:b/>
        </w:rPr>
        <w:t xml:space="preserve">  </w:t>
      </w:r>
    </w:p>
  </w:footnote>
  <w:footnote w:id="196">
    <w:p w:rsidR="00107107" w:rsidRPr="00E34E19" w:rsidRDefault="00107107" w:rsidP="0004222F">
      <w:pPr>
        <w:pStyle w:val="FootnoteText"/>
        <w:spacing w:line="240" w:lineRule="atLeast"/>
      </w:pPr>
      <w:r w:rsidRPr="00E34E19">
        <w:rPr>
          <w:rStyle w:val="FootnoteReference"/>
        </w:rPr>
        <w:footnoteRef/>
      </w:r>
      <w:r w:rsidRPr="00E34E19">
        <w:t xml:space="preserve"> 47 C.F.R. § 76.901(c).  </w:t>
      </w:r>
    </w:p>
  </w:footnote>
  <w:footnote w:id="197">
    <w:p w:rsidR="00107107" w:rsidRPr="00E34E19" w:rsidRDefault="00107107" w:rsidP="0004222F">
      <w:pPr>
        <w:pStyle w:val="FootnoteText"/>
      </w:pPr>
      <w:r w:rsidRPr="00E34E19">
        <w:rPr>
          <w:rStyle w:val="FootnoteReference"/>
        </w:rPr>
        <w:footnoteRef/>
      </w:r>
      <w:r w:rsidRPr="00E34E19">
        <w:t xml:space="preserve"> The number of active, registered cable systems comes from the Commission’s Cable Operations and Licensing System (COALS) database on October 10, 2014.  A cable system is a physical system integrated to a principal headend.</w:t>
      </w:r>
    </w:p>
  </w:footnote>
  <w:footnote w:id="198">
    <w:p w:rsidR="00107107" w:rsidRPr="00E34E19" w:rsidRDefault="00107107" w:rsidP="0004222F">
      <w:pPr>
        <w:pStyle w:val="FootnoteText"/>
        <w:spacing w:line="240" w:lineRule="atLeast"/>
      </w:pPr>
      <w:r w:rsidRPr="00E34E19">
        <w:rPr>
          <w:rStyle w:val="FootnoteReference"/>
        </w:rPr>
        <w:footnoteRef/>
      </w:r>
      <w:r w:rsidRPr="00E34E19">
        <w:t xml:space="preserve"> 47 U.S.C. § 543(m)(2); </w:t>
      </w:r>
      <w:r w:rsidRPr="00E34E19">
        <w:rPr>
          <w:i/>
        </w:rPr>
        <w:t>see</w:t>
      </w:r>
      <w:r w:rsidRPr="00E34E19">
        <w:t xml:space="preserve"> 47 C.F.R. § 76.901(f) &amp; nn. 1-3.</w:t>
      </w:r>
    </w:p>
  </w:footnote>
  <w:footnote w:id="199">
    <w:p w:rsidR="00107107" w:rsidRPr="00E34E19" w:rsidRDefault="00107107" w:rsidP="0004222F">
      <w:pPr>
        <w:pStyle w:val="FootnoteText"/>
      </w:pPr>
      <w:r w:rsidRPr="00E34E19">
        <w:rPr>
          <w:rStyle w:val="FootnoteReference"/>
        </w:rPr>
        <w:footnoteRef/>
      </w:r>
      <w:r w:rsidRPr="00E34E19">
        <w:t xml:space="preserve"> </w:t>
      </w:r>
      <w:r w:rsidRPr="00E34E19">
        <w:rPr>
          <w:i/>
        </w:rPr>
        <w:t>See</w:t>
      </w:r>
      <w:r w:rsidRPr="00E34E19">
        <w:t xml:space="preserve"> NCTA, Industry Data, Cable’s Customer Base, </w:t>
      </w:r>
      <w:hyperlink r:id="rId11" w:history="1">
        <w:r w:rsidRPr="00E34E19">
          <w:rPr>
            <w:rStyle w:val="Hyperlink"/>
          </w:rPr>
          <w:t>http://www.ncta.com/industry-data</w:t>
        </w:r>
      </w:hyperlink>
      <w:r w:rsidRPr="00E34E19">
        <w:t xml:space="preserve"> (visited October 13, 2014).</w:t>
      </w:r>
    </w:p>
  </w:footnote>
  <w:footnote w:id="200">
    <w:p w:rsidR="00107107" w:rsidRPr="00E34E19" w:rsidRDefault="00107107" w:rsidP="0004222F">
      <w:pPr>
        <w:pStyle w:val="FootnoteText"/>
        <w:spacing w:line="240" w:lineRule="atLeast"/>
      </w:pPr>
      <w:r w:rsidRPr="00E34E19">
        <w:rPr>
          <w:rStyle w:val="FootnoteReference"/>
        </w:rPr>
        <w:footnoteRef/>
      </w:r>
      <w:r w:rsidRPr="00E34E19">
        <w:t xml:space="preserve"> 47 C.F.R. § 76.901(f); </w:t>
      </w:r>
      <w:r w:rsidRPr="00E34E19">
        <w:rPr>
          <w:i/>
        </w:rPr>
        <w:t>see FCC Announces New Subscriber Count for the Definition of Small Cable Operator</w:t>
      </w:r>
      <w:r w:rsidRPr="00E34E19">
        <w:t>, Public Notice, 16 FCC Rcd 2225 (Cable Services Bureau 2001).</w:t>
      </w:r>
    </w:p>
  </w:footnote>
  <w:footnote w:id="201">
    <w:p w:rsidR="00107107" w:rsidRPr="00E34E19" w:rsidRDefault="00107107" w:rsidP="0004222F">
      <w:pPr>
        <w:pStyle w:val="FootnoteText"/>
        <w:tabs>
          <w:tab w:val="left" w:pos="0"/>
        </w:tabs>
        <w:suppressAutoHyphens/>
        <w:rPr>
          <w:b/>
        </w:rPr>
      </w:pPr>
      <w:r w:rsidRPr="00E34E19">
        <w:rPr>
          <w:rStyle w:val="FootnoteReference"/>
        </w:rPr>
        <w:footnoteRef/>
      </w:r>
      <w:r w:rsidRPr="00E34E19">
        <w:t xml:space="preserve"> </w:t>
      </w:r>
      <w:r w:rsidRPr="00E34E19">
        <w:rPr>
          <w:i/>
        </w:rPr>
        <w:t>See</w:t>
      </w:r>
      <w:r w:rsidRPr="00E34E19">
        <w:t xml:space="preserve"> NCTA, Industry Data, Top 25 Multichannel Video Service Customers (2012), </w:t>
      </w:r>
      <w:hyperlink r:id="rId12" w:history="1">
        <w:r w:rsidRPr="00E34E19">
          <w:rPr>
            <w:rStyle w:val="Hyperlink"/>
          </w:rPr>
          <w:t>http://www.ncta.com/industry-data</w:t>
        </w:r>
      </w:hyperlink>
      <w:r w:rsidRPr="00E34E19">
        <w:t xml:space="preserve"> (visited Aug. 30, 2013). </w:t>
      </w:r>
    </w:p>
  </w:footnote>
  <w:footnote w:id="202">
    <w:p w:rsidR="00107107" w:rsidRPr="00E34E19" w:rsidRDefault="00107107" w:rsidP="0004222F">
      <w:pPr>
        <w:pStyle w:val="FootnoteText"/>
        <w:spacing w:line="240" w:lineRule="atLeast"/>
      </w:pPr>
      <w:r w:rsidRPr="00E34E19">
        <w:rPr>
          <w:rStyle w:val="FootnoteReference"/>
        </w:rPr>
        <w:footnoteRef/>
      </w:r>
      <w:r w:rsidRPr="00E34E19">
        <w:t xml:space="preserve"> The Commission does receive such information on a case-by-case basis if a cable operator appeals a local franchise authority’s finding that the operator does not qualify as a small cable operator pursuant to § 76.901(f) of the Commission’s rules.  </w:t>
      </w:r>
      <w:r w:rsidRPr="00E34E19">
        <w:rPr>
          <w:i/>
        </w:rPr>
        <w:t>See</w:t>
      </w:r>
      <w:r w:rsidRPr="00E34E19">
        <w:t xml:space="preserve"> 47 C.F.R. § 76.901(f).</w:t>
      </w:r>
    </w:p>
  </w:footnote>
  <w:footnote w:id="203">
    <w:p w:rsidR="00107107" w:rsidRPr="00E34E19" w:rsidRDefault="00107107" w:rsidP="0004222F">
      <w:pPr>
        <w:pStyle w:val="FootnoteText"/>
      </w:pPr>
      <w:r w:rsidRPr="00E34E19">
        <w:rPr>
          <w:rStyle w:val="FootnoteReference"/>
        </w:rPr>
        <w:footnoteRef/>
      </w:r>
      <w:r w:rsidRPr="00E34E19">
        <w:t xml:space="preserve"> </w:t>
      </w:r>
      <w:r w:rsidRPr="00E34E19">
        <w:rPr>
          <w:i/>
        </w:rPr>
        <w:t>See</w:t>
      </w:r>
      <w:r w:rsidRPr="00E34E19">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E34E19">
        <w:rPr>
          <w:i/>
          <w:u w:val="single"/>
        </w:rPr>
        <w:t>By exception, establishments providing satellite television distribution services using facilities and infrastructure that they operate are included in this industry.</w:t>
      </w:r>
      <w:r w:rsidRPr="00E34E19">
        <w:t>” (</w:t>
      </w:r>
      <w:r w:rsidRPr="00E34E19">
        <w:rPr>
          <w:i/>
          <w:u w:val="single"/>
        </w:rPr>
        <w:t>Emphasis</w:t>
      </w:r>
      <w:r w:rsidRPr="00E34E19">
        <w:t xml:space="preserve"> added to text relevant to satellite services.)</w:t>
      </w:r>
      <w:r w:rsidRPr="00E34E19">
        <w:rPr>
          <w:rStyle w:val="FootnoteReference"/>
        </w:rPr>
        <w:t xml:space="preserve"> </w:t>
      </w:r>
      <w:r w:rsidRPr="00E34E19">
        <w:t xml:space="preserve"> U.S. Census Bureau, 2012 NAICS Definitions, “</w:t>
      </w:r>
      <w:r w:rsidRPr="00E34E19">
        <w:rPr>
          <w:bCs/>
        </w:rPr>
        <w:t xml:space="preserve">517110 Wired Telecommunications Carriers,” at </w:t>
      </w:r>
      <w:hyperlink r:id="rId13" w:history="1">
        <w:r w:rsidRPr="00E34E19">
          <w:rPr>
            <w:rStyle w:val="Hyperlink"/>
          </w:rPr>
          <w:t>http://www.census.gov/cgi-bin/sssd/naics/naicsrch</w:t>
        </w:r>
      </w:hyperlink>
      <w:r w:rsidRPr="00E34E19">
        <w:rPr>
          <w:rStyle w:val="Hyperlink"/>
        </w:rPr>
        <w:t>.</w:t>
      </w:r>
    </w:p>
  </w:footnote>
  <w:footnote w:id="204">
    <w:p w:rsidR="00107107" w:rsidRPr="00E34E19" w:rsidRDefault="00107107" w:rsidP="0004222F">
      <w:pPr>
        <w:pStyle w:val="FootnoteText"/>
      </w:pPr>
      <w:r w:rsidRPr="00E34E19">
        <w:rPr>
          <w:rStyle w:val="FootnoteReference"/>
        </w:rPr>
        <w:footnoteRef/>
      </w:r>
      <w:r w:rsidRPr="00E34E19">
        <w:t xml:space="preserve"> 13 C.F.R. § 121.201; 2012 NAICS code 517110.</w:t>
      </w:r>
    </w:p>
  </w:footnote>
  <w:footnote w:id="205">
    <w:p w:rsidR="00107107" w:rsidRPr="00E34E19" w:rsidRDefault="00107107" w:rsidP="0004222F">
      <w:pPr>
        <w:pStyle w:val="FootnoteText"/>
      </w:pPr>
      <w:r w:rsidRPr="00E34E19">
        <w:rPr>
          <w:rStyle w:val="FootnoteReference"/>
        </w:rPr>
        <w:footnoteRef/>
      </w:r>
      <w:r w:rsidRPr="00E34E19">
        <w:t xml:space="preserve"> U.S. Census Bureau, 2007 Economic Census.  </w:t>
      </w:r>
      <w:r w:rsidRPr="00E34E19">
        <w:rPr>
          <w:i/>
        </w:rPr>
        <w:t>See</w:t>
      </w:r>
      <w:r w:rsidRPr="00E34E19">
        <w:t xml:space="preserve"> U.S. Census Bureau, American FactFinder, “Information: Subject Series – Estab and Firm Size: Employment Size of Establishments for the United States: 2007 – 2007 Economic Census,” NAICS code 517110, Table EC0751SSSZ5; available at http://factfinder2.census.gov/faces/tableservices/jsf/pages/productview.xhtml?pid=ECN_2007_US_51SSSZ5&amp;prodType=table.</w:t>
      </w:r>
    </w:p>
  </w:footnote>
  <w:footnote w:id="206">
    <w:p w:rsidR="00107107" w:rsidRPr="00E34E19" w:rsidRDefault="00107107" w:rsidP="0004222F">
      <w:pPr>
        <w:pStyle w:val="FootnoteText"/>
      </w:pPr>
      <w:r w:rsidRPr="00E34E19">
        <w:rPr>
          <w:rStyle w:val="FootnoteReference"/>
        </w:rPr>
        <w:footnoteRef/>
      </w:r>
      <w:r w:rsidRPr="00E34E19">
        <w:t xml:space="preserve"> </w:t>
      </w:r>
      <w:r w:rsidRPr="00E34E19">
        <w:rPr>
          <w:i/>
        </w:rPr>
        <w:t>Id</w:t>
      </w:r>
      <w:r w:rsidRPr="00E34E19">
        <w:t>.</w:t>
      </w:r>
    </w:p>
  </w:footnote>
  <w:footnote w:id="207">
    <w:p w:rsidR="00107107" w:rsidRPr="00E34E19" w:rsidRDefault="00107107" w:rsidP="0004222F">
      <w:pPr>
        <w:pStyle w:val="FootnoteText"/>
      </w:pPr>
      <w:r w:rsidRPr="00E34E19">
        <w:rPr>
          <w:rStyle w:val="FootnoteReference"/>
        </w:rPr>
        <w:footnoteRef/>
      </w:r>
      <w:r w:rsidRPr="00E34E19">
        <w:t xml:space="preserve"> </w:t>
      </w:r>
      <w:r w:rsidRPr="00E34E19">
        <w:rPr>
          <w:i/>
        </w:rPr>
        <w:t>See</w:t>
      </w:r>
      <w:r w:rsidRPr="00E34E19">
        <w:rPr>
          <w:lang w:val="fr-FR"/>
        </w:rPr>
        <w:t xml:space="preserve"> 13 C.F.R. § 121.201, NAICS code 517510 (2002)</w:t>
      </w:r>
      <w:r w:rsidRPr="00E34E19">
        <w:rPr>
          <w:color w:val="000000"/>
        </w:rPr>
        <w:t>.</w:t>
      </w:r>
    </w:p>
  </w:footnote>
  <w:footnote w:id="208">
    <w:p w:rsidR="00107107" w:rsidRDefault="00107107" w:rsidP="0004222F">
      <w:pPr>
        <w:pStyle w:val="FootnoteText"/>
      </w:pPr>
      <w:r w:rsidRPr="00E34E19">
        <w:rPr>
          <w:rStyle w:val="FootnoteReference"/>
        </w:rPr>
        <w:footnoteRef/>
      </w:r>
      <w:r w:rsidRPr="00E34E19">
        <w:t xml:space="preserve"> S</w:t>
      </w:r>
      <w:r w:rsidRPr="00E34E19">
        <w:rPr>
          <w:i/>
        </w:rPr>
        <w:t>ee</w:t>
      </w:r>
      <w:r w:rsidRPr="00E34E19">
        <w:t xml:space="preserve"> </w:t>
      </w:r>
      <w:r w:rsidRPr="00E34E19">
        <w:rPr>
          <w:i/>
        </w:rPr>
        <w:t>15</w:t>
      </w:r>
      <w:r w:rsidRPr="00E34E19">
        <w:rPr>
          <w:i/>
          <w:vertAlign w:val="superscript"/>
        </w:rPr>
        <w:t>th</w:t>
      </w:r>
      <w:r w:rsidRPr="00E34E19">
        <w:rPr>
          <w:i/>
        </w:rPr>
        <w:t xml:space="preserve"> Annual Competition Report</w:t>
      </w:r>
      <w:r w:rsidRPr="00E34E19">
        <w:t xml:space="preserve">, 28 FCC Rcd at 10507,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E34E19">
        <w:rPr>
          <w:i/>
        </w:rPr>
        <w:t>Id</w:t>
      </w:r>
      <w:r w:rsidRPr="00E34E19">
        <w:t>. at 10507, 10546, ¶¶ 27, 110-11.</w:t>
      </w:r>
      <w:r>
        <w:t xml:space="preserve">  </w:t>
      </w:r>
    </w:p>
  </w:footnote>
  <w:footnote w:id="209">
    <w:p w:rsidR="00107107" w:rsidRDefault="00107107" w:rsidP="0004107F">
      <w:pPr>
        <w:pStyle w:val="FootnoteText"/>
      </w:pPr>
      <w:r>
        <w:rPr>
          <w:rStyle w:val="FootnoteReference"/>
        </w:rPr>
        <w:footnoteRef/>
      </w:r>
      <w:r>
        <w:t xml:space="preserve"> U.S. Census Bureau, 2012 NAICS Definitions, “</w:t>
      </w:r>
      <w:r>
        <w:rPr>
          <w:bCs/>
        </w:rPr>
        <w:t>515120 Television Broadcasting,”</w:t>
      </w:r>
      <w:r>
        <w:t xml:space="preserve"> at </w:t>
      </w:r>
      <w:hyperlink r:id="rId14" w:history="1">
        <w:r>
          <w:rPr>
            <w:rStyle w:val="Hyperlink"/>
          </w:rPr>
          <w:t>http://www.census.gov/cgi-bin/sssd/naics/naicsrch</w:t>
        </w:r>
      </w:hyperlink>
      <w:hyperlink w:history="1"/>
      <w:r>
        <w:rPr>
          <w:rStyle w:val="Hyperlink"/>
          <w:bCs/>
        </w:rPr>
        <w:t>.</w:t>
      </w:r>
      <w:r>
        <w:rPr>
          <w:bCs/>
        </w:rPr>
        <w:t xml:space="preserve">   </w:t>
      </w:r>
      <w:r>
        <w:t>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w:t>
      </w:r>
    </w:p>
  </w:footnote>
  <w:footnote w:id="210">
    <w:p w:rsidR="00107107" w:rsidRPr="00C813F4" w:rsidRDefault="00107107" w:rsidP="0004107F">
      <w:pPr>
        <w:pStyle w:val="FootnoteText"/>
      </w:pPr>
      <w:r w:rsidRPr="00C813F4">
        <w:rPr>
          <w:rStyle w:val="FootnoteReference"/>
        </w:rPr>
        <w:footnoteRef/>
      </w:r>
      <w:r w:rsidRPr="00C813F4">
        <w:t xml:space="preserve"> 13 C.F.R. § 121.201; 2012 NAICS code 515120.</w:t>
      </w:r>
    </w:p>
  </w:footnote>
  <w:footnote w:id="211">
    <w:p w:rsidR="00107107" w:rsidRPr="006B1E34" w:rsidRDefault="00107107" w:rsidP="0004107F">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15" w:history="1">
        <w:r w:rsidRPr="00B248D7">
          <w:rPr>
            <w:rStyle w:val="Hyperlink"/>
          </w:rPr>
          <w:t>http://factfinder2.census.gov/faces/tableservices/jsf/pages/productview.xhtml?pid=ECN_2007_US_51SSSZ4&amp;prodType=table</w:t>
        </w:r>
      </w:hyperlink>
      <w:r>
        <w:t xml:space="preserve">. </w:t>
      </w:r>
    </w:p>
  </w:footnote>
  <w:footnote w:id="212">
    <w:p w:rsidR="00107107" w:rsidRDefault="00107107" w:rsidP="0004107F">
      <w:pPr>
        <w:pStyle w:val="FootnoteText"/>
      </w:pPr>
      <w:r>
        <w:rPr>
          <w:rStyle w:val="FootnoteReference"/>
        </w:rPr>
        <w:footnoteRef/>
      </w:r>
      <w:r>
        <w:t xml:space="preserve"> </w:t>
      </w:r>
      <w:r>
        <w:rPr>
          <w:i/>
        </w:rPr>
        <w:t xml:space="preserve">See Broadcast Station Totals as of March 31, 2015, </w:t>
      </w:r>
      <w:r>
        <w:t>Press Release (MB rel. April 9, 2015) (</w:t>
      </w:r>
      <w:r>
        <w:rPr>
          <w:i/>
        </w:rPr>
        <w:t xml:space="preserve">Broadcast Station Totals) </w:t>
      </w:r>
      <w:r>
        <w:t xml:space="preserve">at </w:t>
      </w:r>
      <w:hyperlink r:id="rId16" w:history="1">
        <w:r w:rsidRPr="001C75BD">
          <w:rPr>
            <w:rStyle w:val="Hyperlink"/>
          </w:rPr>
          <w:t>http://www.fcc.gov/document/broadcast-station-totals-march-31-2015</w:t>
        </w:r>
      </w:hyperlink>
      <w:r>
        <w:t>.</w:t>
      </w:r>
    </w:p>
  </w:footnote>
  <w:footnote w:id="213">
    <w:p w:rsidR="00107107" w:rsidRDefault="00107107" w:rsidP="0004107F">
      <w:pPr>
        <w:pStyle w:val="FootnoteText"/>
      </w:pPr>
      <w:r>
        <w:rPr>
          <w:rStyle w:val="FootnoteReference"/>
        </w:rPr>
        <w:footnoteRef/>
      </w:r>
      <w:r>
        <w:t xml:space="preserve"> </w:t>
      </w:r>
      <w:r>
        <w:rPr>
          <w:i/>
        </w:rPr>
        <w:t>See</w:t>
      </w:r>
      <w:r>
        <w:t xml:space="preserve"> </w:t>
      </w:r>
      <w:r w:rsidRPr="00AF4ED6">
        <w:rPr>
          <w:i/>
        </w:rPr>
        <w:t>Broadcast Station Totals</w:t>
      </w:r>
      <w:r>
        <w:t xml:space="preserve">, </w:t>
      </w:r>
      <w:r>
        <w:rPr>
          <w:i/>
        </w:rPr>
        <w:t>supra</w:t>
      </w:r>
      <w:r>
        <w:t>.</w:t>
      </w:r>
    </w:p>
  </w:footnote>
  <w:footnote w:id="214">
    <w:p w:rsidR="00107107" w:rsidRDefault="00107107" w:rsidP="0004107F">
      <w:pPr>
        <w:pStyle w:val="FootnoteText"/>
      </w:pPr>
      <w:r>
        <w:rPr>
          <w:rStyle w:val="FootnoteReference"/>
        </w:rPr>
        <w:footnoteRef/>
      </w:r>
      <w:r>
        <w:t xml:space="preserve">  </w:t>
      </w:r>
      <w:r>
        <w:rPr>
          <w:i/>
        </w:rPr>
        <w:t>See generally</w:t>
      </w:r>
      <w:r>
        <w:t xml:space="preserve"> 5 U.S.C. §§ 601(4), (6).</w:t>
      </w:r>
    </w:p>
  </w:footnote>
  <w:footnote w:id="215">
    <w:p w:rsidR="00107107" w:rsidRDefault="00107107" w:rsidP="0004107F">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216">
    <w:p w:rsidR="00107107" w:rsidRPr="00AD538C" w:rsidRDefault="00107107" w:rsidP="0004107F">
      <w:pPr>
        <w:pStyle w:val="FootnoteText"/>
      </w:pPr>
      <w:r w:rsidRPr="00AD538C">
        <w:rPr>
          <w:rStyle w:val="FootnoteReference"/>
        </w:rPr>
        <w:footnoteRef/>
      </w:r>
      <w:r w:rsidRPr="00AD538C">
        <w:t xml:space="preserve"> 13 C.F.R. § 121.201; NAICS code 515120.</w:t>
      </w:r>
    </w:p>
  </w:footnote>
  <w:footnote w:id="217">
    <w:p w:rsidR="00107107" w:rsidRDefault="00107107" w:rsidP="0004107F">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218">
    <w:p w:rsidR="00107107" w:rsidRPr="00E34E19" w:rsidRDefault="00107107" w:rsidP="0004222F">
      <w:pPr>
        <w:pStyle w:val="FootnoteText"/>
      </w:pPr>
      <w:r w:rsidRPr="00E34E19">
        <w:rPr>
          <w:rStyle w:val="FootnoteReference"/>
        </w:rPr>
        <w:footnoteRef/>
      </w:r>
      <w:r w:rsidRPr="00E34E19">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B3" w:rsidRDefault="00291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07" w:rsidRDefault="00107107" w:rsidP="006409E8">
    <w:pPr>
      <w:pStyle w:val="Header"/>
      <w:rPr>
        <w:b w:val="0"/>
      </w:rPr>
    </w:pPr>
    <w:r w:rsidRPr="008839B1">
      <w:rPr>
        <w:noProof/>
        <w:snapToGrid/>
      </w:rPr>
      <mc:AlternateContent>
        <mc:Choice Requires="wps">
          <w:drawing>
            <wp:anchor distT="0" distB="0" distL="114300" distR="114300" simplePos="0" relativeHeight="251673600" behindDoc="1" locked="0" layoutInCell="0" allowOverlap="1" wp14:anchorId="59BDA0C2" wp14:editId="5ACD1F7F">
              <wp:simplePos x="0" y="0"/>
              <wp:positionH relativeFrom="margin">
                <wp:posOffset>7620</wp:posOffset>
              </wp:positionH>
              <wp:positionV relativeFrom="paragraph">
                <wp:posOffset>160655</wp:posOffset>
              </wp:positionV>
              <wp:extent cx="5943600" cy="12065"/>
              <wp:effectExtent l="0" t="0" r="0" b="6985"/>
              <wp:wrapNone/>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493949" id="Rectangle 56" o:spid="_x0000_s1026" style="position:absolute;margin-left:.6pt;margin-top:12.65pt;width:468pt;height:.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" o:allowincell="f" fillcolor="black" stroked="f" strokeweight=".05pt">
              <o:lock v:ext="edit" aspectratio="t"/>
              <w10:wrap anchorx="margin"/>
            </v:rect>
          </w:pict>
        </mc:Fallback>
      </mc:AlternateContent>
    </w:r>
    <w:r>
      <w:tab/>
      <w:t>Federal Communications Commission</w:t>
    </w:r>
    <w:r>
      <w:tab/>
    </w:r>
    <w:r>
      <w:rPr>
        <w:spacing w:val="-2"/>
      </w:rPr>
      <w:t>FCC 15-67</w:t>
    </w:r>
  </w:p>
  <w:p w:rsidR="00107107" w:rsidRPr="00E66408" w:rsidRDefault="00107107" w:rsidP="00DB0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07" w:rsidRDefault="00107107" w:rsidP="002A3456">
    <w:pPr>
      <w:pStyle w:val="Header"/>
      <w:rPr>
        <w:b w:val="0"/>
      </w:rPr>
    </w:pPr>
    <w:r w:rsidRPr="008839B1">
      <w:rPr>
        <w:noProof/>
        <w:snapToGrid/>
      </w:rPr>
      <mc:AlternateContent>
        <mc:Choice Requires="wps">
          <w:drawing>
            <wp:anchor distT="0" distB="0" distL="114300" distR="114300" simplePos="0" relativeHeight="251667456" behindDoc="1" locked="0" layoutInCell="0" allowOverlap="1" wp14:anchorId="0A3E2FFE" wp14:editId="0EC3E97C">
              <wp:simplePos x="0" y="0"/>
              <wp:positionH relativeFrom="margin">
                <wp:posOffset>7620</wp:posOffset>
              </wp:positionH>
              <wp:positionV relativeFrom="paragraph">
                <wp:posOffset>160655</wp:posOffset>
              </wp:positionV>
              <wp:extent cx="5943600" cy="12065"/>
              <wp:effectExtent l="0" t="0" r="0" b="6985"/>
              <wp:wrapNone/>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951029" id="Rectangle 50"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" o:allowincell="f" fillcolor="black" stroked="f" strokeweight=".05pt">
              <o:lock v:ext="edit" aspectratio="t"/>
              <w10:wrap anchorx="margin"/>
            </v:rect>
          </w:pict>
        </mc:Fallback>
      </mc:AlternateContent>
    </w:r>
    <w:r>
      <w:tab/>
      <w:t>Federal Communications Commission</w:t>
    </w:r>
    <w:r>
      <w:tab/>
    </w:r>
    <w:r>
      <w:rPr>
        <w:spacing w:val="-2"/>
      </w:rPr>
      <w:t>FCC 15-67</w:t>
    </w:r>
  </w:p>
  <w:p w:rsidR="00107107" w:rsidRDefault="00107107" w:rsidP="000E5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536"/>
    <w:multiLevelType w:val="hybridMultilevel"/>
    <w:tmpl w:val="3EB65912"/>
    <w:lvl w:ilvl="0" w:tplc="AC3603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490A8D9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i w:val="0"/>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33A45C9"/>
    <w:multiLevelType w:val="hybridMultilevel"/>
    <w:tmpl w:val="37D438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5DF2ECA"/>
    <w:multiLevelType w:val="hybridMultilevel"/>
    <w:tmpl w:val="4156D976"/>
    <w:lvl w:ilvl="0" w:tplc="0B2A8806">
      <w:start w:val="1"/>
      <w:numFmt w:val="lowerRoman"/>
      <w:pStyle w:val="Heading7db"/>
      <w:lvlText w:val="(%1)"/>
      <w:lvlJc w:val="left"/>
      <w:pPr>
        <w:ind w:left="3240" w:hanging="360"/>
      </w:pPr>
      <w:rPr>
        <w:rFonts w:hint="default"/>
      </w:rPr>
    </w:lvl>
    <w:lvl w:ilvl="1" w:tplc="CD0CE6D2" w:tentative="1">
      <w:start w:val="1"/>
      <w:numFmt w:val="lowerLetter"/>
      <w:lvlText w:val="%2."/>
      <w:lvlJc w:val="left"/>
      <w:pPr>
        <w:ind w:left="3960" w:hanging="360"/>
      </w:pPr>
    </w:lvl>
    <w:lvl w:ilvl="2" w:tplc="8B34AD0A" w:tentative="1">
      <w:start w:val="1"/>
      <w:numFmt w:val="lowerRoman"/>
      <w:lvlText w:val="%3."/>
      <w:lvlJc w:val="right"/>
      <w:pPr>
        <w:ind w:left="4680" w:hanging="180"/>
      </w:pPr>
    </w:lvl>
    <w:lvl w:ilvl="3" w:tplc="EF506DD2" w:tentative="1">
      <w:start w:val="1"/>
      <w:numFmt w:val="decimal"/>
      <w:lvlText w:val="%4."/>
      <w:lvlJc w:val="left"/>
      <w:pPr>
        <w:ind w:left="5400" w:hanging="360"/>
      </w:pPr>
    </w:lvl>
    <w:lvl w:ilvl="4" w:tplc="9FC24E46" w:tentative="1">
      <w:start w:val="1"/>
      <w:numFmt w:val="lowerLetter"/>
      <w:lvlText w:val="%5."/>
      <w:lvlJc w:val="left"/>
      <w:pPr>
        <w:ind w:left="6120" w:hanging="360"/>
      </w:pPr>
    </w:lvl>
    <w:lvl w:ilvl="5" w:tplc="39D28FD8" w:tentative="1">
      <w:start w:val="1"/>
      <w:numFmt w:val="lowerRoman"/>
      <w:lvlText w:val="%6."/>
      <w:lvlJc w:val="right"/>
      <w:pPr>
        <w:ind w:left="6840" w:hanging="180"/>
      </w:pPr>
    </w:lvl>
    <w:lvl w:ilvl="6" w:tplc="E65E35B0" w:tentative="1">
      <w:start w:val="1"/>
      <w:numFmt w:val="decimal"/>
      <w:lvlText w:val="%7."/>
      <w:lvlJc w:val="left"/>
      <w:pPr>
        <w:ind w:left="7560" w:hanging="360"/>
      </w:pPr>
    </w:lvl>
    <w:lvl w:ilvl="7" w:tplc="29CAB31C" w:tentative="1">
      <w:start w:val="1"/>
      <w:numFmt w:val="lowerLetter"/>
      <w:lvlText w:val="%8."/>
      <w:lvlJc w:val="left"/>
      <w:pPr>
        <w:ind w:left="8280" w:hanging="360"/>
      </w:pPr>
    </w:lvl>
    <w:lvl w:ilvl="8" w:tplc="E33E448A" w:tentative="1">
      <w:start w:val="1"/>
      <w:numFmt w:val="lowerRoman"/>
      <w:lvlText w:val="%9."/>
      <w:lvlJc w:val="right"/>
      <w:pPr>
        <w:ind w:left="9000" w:hanging="180"/>
      </w:pPr>
    </w:lvl>
  </w:abstractNum>
  <w:abstractNum w:abstractNumId="14">
    <w:nsid w:val="7E8A59B4"/>
    <w:multiLevelType w:val="multilevel"/>
    <w:tmpl w:val="41F25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5"/>
  </w:num>
  <w:num w:numId="3">
    <w:abstractNumId w:val="9"/>
  </w:num>
  <w:num w:numId="4">
    <w:abstractNumId w:val="13"/>
  </w:num>
  <w:num w:numId="5">
    <w:abstractNumId w:val="6"/>
  </w:num>
  <w:num w:numId="6">
    <w:abstractNumId w:val="11"/>
  </w:num>
  <w:num w:numId="7">
    <w:abstractNumId w:val="11"/>
    <w:lvlOverride w:ilvl="0">
      <w:startOverride w:val="1"/>
    </w:lvlOverride>
  </w:num>
  <w:num w:numId="8">
    <w:abstractNumId w:val="11"/>
    <w:lvlOverride w:ilvl="0">
      <w:startOverride w:val="1"/>
    </w:lvlOverride>
  </w:num>
  <w:num w:numId="9">
    <w:abstractNumId w:val="6"/>
    <w:lvlOverride w:ilvl="0">
      <w:startOverride w:val="1"/>
    </w:lvlOverride>
    <w:lvlOverride w:ilvl="1">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11"/>
  </w:num>
  <w:num w:numId="30">
    <w:abstractNumId w:val="11"/>
  </w:num>
  <w:num w:numId="31">
    <w:abstractNumId w:val="11"/>
  </w:num>
  <w:num w:numId="32">
    <w:abstractNumId w:val="11"/>
  </w:num>
  <w:num w:numId="33">
    <w:abstractNumId w:val="12"/>
  </w:num>
  <w:num w:numId="34">
    <w:abstractNumId w:val="10"/>
  </w:num>
  <w:num w:numId="35">
    <w:abstractNumId w:val="0"/>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lvlOverride w:ilvl="0">
      <w:startOverride w:val="1"/>
    </w:lvlOverride>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
  </w:num>
  <w:num w:numId="56">
    <w:abstractNumId w:val="15"/>
  </w:num>
  <w:num w:numId="57">
    <w:abstractNumId w:val="7"/>
  </w:num>
  <w:num w:numId="5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11"/>
  </w:num>
  <w:num w:numId="61">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42"/>
    <w:rsid w:val="0000002A"/>
    <w:rsid w:val="0000108E"/>
    <w:rsid w:val="00001231"/>
    <w:rsid w:val="00001983"/>
    <w:rsid w:val="00003673"/>
    <w:rsid w:val="00004F22"/>
    <w:rsid w:val="00005238"/>
    <w:rsid w:val="000058CB"/>
    <w:rsid w:val="00005E12"/>
    <w:rsid w:val="000073E3"/>
    <w:rsid w:val="000101F4"/>
    <w:rsid w:val="00010BA4"/>
    <w:rsid w:val="000111AF"/>
    <w:rsid w:val="0001135B"/>
    <w:rsid w:val="00011544"/>
    <w:rsid w:val="00011D61"/>
    <w:rsid w:val="00012A0C"/>
    <w:rsid w:val="000134BC"/>
    <w:rsid w:val="00013C8C"/>
    <w:rsid w:val="00013DCE"/>
    <w:rsid w:val="00016665"/>
    <w:rsid w:val="00020447"/>
    <w:rsid w:val="000209B5"/>
    <w:rsid w:val="00020A2B"/>
    <w:rsid w:val="00020D56"/>
    <w:rsid w:val="00021702"/>
    <w:rsid w:val="00021E24"/>
    <w:rsid w:val="0002339E"/>
    <w:rsid w:val="000237A8"/>
    <w:rsid w:val="0002462F"/>
    <w:rsid w:val="0002478F"/>
    <w:rsid w:val="000248A1"/>
    <w:rsid w:val="00025019"/>
    <w:rsid w:val="0002557F"/>
    <w:rsid w:val="000256FA"/>
    <w:rsid w:val="000258B0"/>
    <w:rsid w:val="000264DB"/>
    <w:rsid w:val="00026A05"/>
    <w:rsid w:val="00027BBA"/>
    <w:rsid w:val="00031191"/>
    <w:rsid w:val="000311D7"/>
    <w:rsid w:val="00033323"/>
    <w:rsid w:val="000344BC"/>
    <w:rsid w:val="000345F5"/>
    <w:rsid w:val="00035300"/>
    <w:rsid w:val="000373B2"/>
    <w:rsid w:val="00037A5A"/>
    <w:rsid w:val="00040193"/>
    <w:rsid w:val="0004056E"/>
    <w:rsid w:val="00040EE6"/>
    <w:rsid w:val="00040FFF"/>
    <w:rsid w:val="0004107F"/>
    <w:rsid w:val="00041A8A"/>
    <w:rsid w:val="0004222F"/>
    <w:rsid w:val="00043136"/>
    <w:rsid w:val="00043419"/>
    <w:rsid w:val="00044D95"/>
    <w:rsid w:val="00044ED4"/>
    <w:rsid w:val="000450DE"/>
    <w:rsid w:val="00045E20"/>
    <w:rsid w:val="000470E8"/>
    <w:rsid w:val="00050CAD"/>
    <w:rsid w:val="000518D1"/>
    <w:rsid w:val="00052ECB"/>
    <w:rsid w:val="00053AFC"/>
    <w:rsid w:val="000555F4"/>
    <w:rsid w:val="00056777"/>
    <w:rsid w:val="000605B3"/>
    <w:rsid w:val="000606FD"/>
    <w:rsid w:val="00061699"/>
    <w:rsid w:val="0006399E"/>
    <w:rsid w:val="00063CF0"/>
    <w:rsid w:val="00063EEF"/>
    <w:rsid w:val="000640DC"/>
    <w:rsid w:val="0006548B"/>
    <w:rsid w:val="00065CD1"/>
    <w:rsid w:val="000663A1"/>
    <w:rsid w:val="000669C1"/>
    <w:rsid w:val="0006711B"/>
    <w:rsid w:val="000709A3"/>
    <w:rsid w:val="000711B9"/>
    <w:rsid w:val="000718A2"/>
    <w:rsid w:val="00072B3A"/>
    <w:rsid w:val="00072C8D"/>
    <w:rsid w:val="000731FD"/>
    <w:rsid w:val="00073FF9"/>
    <w:rsid w:val="0007408E"/>
    <w:rsid w:val="00075A54"/>
    <w:rsid w:val="00076A16"/>
    <w:rsid w:val="00076A1A"/>
    <w:rsid w:val="000770D5"/>
    <w:rsid w:val="00080CE3"/>
    <w:rsid w:val="00080E48"/>
    <w:rsid w:val="0008116C"/>
    <w:rsid w:val="00081B51"/>
    <w:rsid w:val="00082B4F"/>
    <w:rsid w:val="00085375"/>
    <w:rsid w:val="00085855"/>
    <w:rsid w:val="00085B21"/>
    <w:rsid w:val="0008713C"/>
    <w:rsid w:val="00087AA2"/>
    <w:rsid w:val="00087B00"/>
    <w:rsid w:val="00090467"/>
    <w:rsid w:val="0009056B"/>
    <w:rsid w:val="00091499"/>
    <w:rsid w:val="00094263"/>
    <w:rsid w:val="000956A0"/>
    <w:rsid w:val="00096A4D"/>
    <w:rsid w:val="00097437"/>
    <w:rsid w:val="00097470"/>
    <w:rsid w:val="00097E09"/>
    <w:rsid w:val="000A0D6E"/>
    <w:rsid w:val="000A0F70"/>
    <w:rsid w:val="000A13FA"/>
    <w:rsid w:val="000A1C41"/>
    <w:rsid w:val="000A1DCA"/>
    <w:rsid w:val="000A3BCB"/>
    <w:rsid w:val="000A523F"/>
    <w:rsid w:val="000A5DF6"/>
    <w:rsid w:val="000B00F9"/>
    <w:rsid w:val="000B01D5"/>
    <w:rsid w:val="000B0E1C"/>
    <w:rsid w:val="000B1996"/>
    <w:rsid w:val="000B2B9C"/>
    <w:rsid w:val="000B2FDC"/>
    <w:rsid w:val="000B47E6"/>
    <w:rsid w:val="000B510C"/>
    <w:rsid w:val="000B59CB"/>
    <w:rsid w:val="000B5D61"/>
    <w:rsid w:val="000B6193"/>
    <w:rsid w:val="000B659A"/>
    <w:rsid w:val="000C0A97"/>
    <w:rsid w:val="000C1C30"/>
    <w:rsid w:val="000C2F88"/>
    <w:rsid w:val="000C3099"/>
    <w:rsid w:val="000C494B"/>
    <w:rsid w:val="000C596B"/>
    <w:rsid w:val="000C5DD7"/>
    <w:rsid w:val="000C65C8"/>
    <w:rsid w:val="000C6CDE"/>
    <w:rsid w:val="000C6E1F"/>
    <w:rsid w:val="000D05CD"/>
    <w:rsid w:val="000D06FE"/>
    <w:rsid w:val="000D1107"/>
    <w:rsid w:val="000D1B76"/>
    <w:rsid w:val="000D2190"/>
    <w:rsid w:val="000D39EE"/>
    <w:rsid w:val="000D3DD8"/>
    <w:rsid w:val="000D50E7"/>
    <w:rsid w:val="000D53F2"/>
    <w:rsid w:val="000D54D5"/>
    <w:rsid w:val="000D5F25"/>
    <w:rsid w:val="000D7606"/>
    <w:rsid w:val="000E0470"/>
    <w:rsid w:val="000E0CEB"/>
    <w:rsid w:val="000E0E0F"/>
    <w:rsid w:val="000E3DB7"/>
    <w:rsid w:val="000E44F3"/>
    <w:rsid w:val="000E4B87"/>
    <w:rsid w:val="000E4FB5"/>
    <w:rsid w:val="000E52C3"/>
    <w:rsid w:val="000E5819"/>
    <w:rsid w:val="000E746D"/>
    <w:rsid w:val="000F0747"/>
    <w:rsid w:val="000F10FC"/>
    <w:rsid w:val="000F1C76"/>
    <w:rsid w:val="000F2637"/>
    <w:rsid w:val="000F2885"/>
    <w:rsid w:val="000F3A37"/>
    <w:rsid w:val="000F443A"/>
    <w:rsid w:val="000F4803"/>
    <w:rsid w:val="000F4D5C"/>
    <w:rsid w:val="000F64E9"/>
    <w:rsid w:val="00100B20"/>
    <w:rsid w:val="00100D13"/>
    <w:rsid w:val="00101C8C"/>
    <w:rsid w:val="00101D6F"/>
    <w:rsid w:val="001025E5"/>
    <w:rsid w:val="00102A24"/>
    <w:rsid w:val="00104AE6"/>
    <w:rsid w:val="0010590B"/>
    <w:rsid w:val="001061F1"/>
    <w:rsid w:val="00106735"/>
    <w:rsid w:val="00106F61"/>
    <w:rsid w:val="00107107"/>
    <w:rsid w:val="00111880"/>
    <w:rsid w:val="00111E37"/>
    <w:rsid w:val="0011381E"/>
    <w:rsid w:val="00113D1E"/>
    <w:rsid w:val="00114590"/>
    <w:rsid w:val="00114EFA"/>
    <w:rsid w:val="001152A1"/>
    <w:rsid w:val="0011571B"/>
    <w:rsid w:val="00115B3D"/>
    <w:rsid w:val="00116E08"/>
    <w:rsid w:val="00117A56"/>
    <w:rsid w:val="00117D28"/>
    <w:rsid w:val="001200F8"/>
    <w:rsid w:val="00120439"/>
    <w:rsid w:val="0012103C"/>
    <w:rsid w:val="0012177A"/>
    <w:rsid w:val="00123456"/>
    <w:rsid w:val="00123D28"/>
    <w:rsid w:val="00125480"/>
    <w:rsid w:val="001255AA"/>
    <w:rsid w:val="0012605B"/>
    <w:rsid w:val="00130682"/>
    <w:rsid w:val="00130D9E"/>
    <w:rsid w:val="00131F05"/>
    <w:rsid w:val="001320F2"/>
    <w:rsid w:val="0013215F"/>
    <w:rsid w:val="00132552"/>
    <w:rsid w:val="00132D50"/>
    <w:rsid w:val="0013337C"/>
    <w:rsid w:val="00133C81"/>
    <w:rsid w:val="00133FE4"/>
    <w:rsid w:val="001355EF"/>
    <w:rsid w:val="001403B9"/>
    <w:rsid w:val="00141A26"/>
    <w:rsid w:val="00141C41"/>
    <w:rsid w:val="00142863"/>
    <w:rsid w:val="0014356D"/>
    <w:rsid w:val="00143961"/>
    <w:rsid w:val="00145491"/>
    <w:rsid w:val="001459C4"/>
    <w:rsid w:val="00145AE3"/>
    <w:rsid w:val="00145EC3"/>
    <w:rsid w:val="00146CF0"/>
    <w:rsid w:val="001477CF"/>
    <w:rsid w:val="0015195C"/>
    <w:rsid w:val="001524BD"/>
    <w:rsid w:val="00152A8E"/>
    <w:rsid w:val="00152EB0"/>
    <w:rsid w:val="001532C5"/>
    <w:rsid w:val="001540C5"/>
    <w:rsid w:val="00154D47"/>
    <w:rsid w:val="00154E17"/>
    <w:rsid w:val="00156B52"/>
    <w:rsid w:val="001602D1"/>
    <w:rsid w:val="00160FE8"/>
    <w:rsid w:val="00161B85"/>
    <w:rsid w:val="0016204B"/>
    <w:rsid w:val="001636F1"/>
    <w:rsid w:val="00163AC5"/>
    <w:rsid w:val="00164425"/>
    <w:rsid w:val="00164508"/>
    <w:rsid w:val="00165160"/>
    <w:rsid w:val="00165C70"/>
    <w:rsid w:val="00166512"/>
    <w:rsid w:val="00166FED"/>
    <w:rsid w:val="001720BA"/>
    <w:rsid w:val="00172F08"/>
    <w:rsid w:val="00173909"/>
    <w:rsid w:val="0017391B"/>
    <w:rsid w:val="0017411F"/>
    <w:rsid w:val="001742B5"/>
    <w:rsid w:val="00174B17"/>
    <w:rsid w:val="00177042"/>
    <w:rsid w:val="00180620"/>
    <w:rsid w:val="001811A4"/>
    <w:rsid w:val="00181F05"/>
    <w:rsid w:val="00182B68"/>
    <w:rsid w:val="001832A3"/>
    <w:rsid w:val="0018353C"/>
    <w:rsid w:val="00186111"/>
    <w:rsid w:val="00186AFC"/>
    <w:rsid w:val="001877BD"/>
    <w:rsid w:val="00191147"/>
    <w:rsid w:val="0019155C"/>
    <w:rsid w:val="0019176F"/>
    <w:rsid w:val="00191EBB"/>
    <w:rsid w:val="001928C0"/>
    <w:rsid w:val="00192DC7"/>
    <w:rsid w:val="00195385"/>
    <w:rsid w:val="001955CD"/>
    <w:rsid w:val="00195936"/>
    <w:rsid w:val="00195D6B"/>
    <w:rsid w:val="00195EAC"/>
    <w:rsid w:val="00196954"/>
    <w:rsid w:val="00196A6E"/>
    <w:rsid w:val="001970FC"/>
    <w:rsid w:val="00197EFB"/>
    <w:rsid w:val="00197F86"/>
    <w:rsid w:val="001A0984"/>
    <w:rsid w:val="001A139A"/>
    <w:rsid w:val="001A2E8A"/>
    <w:rsid w:val="001A403B"/>
    <w:rsid w:val="001A5FE8"/>
    <w:rsid w:val="001A68A0"/>
    <w:rsid w:val="001A6B2B"/>
    <w:rsid w:val="001B0725"/>
    <w:rsid w:val="001B1017"/>
    <w:rsid w:val="001B1CD0"/>
    <w:rsid w:val="001B2055"/>
    <w:rsid w:val="001B290B"/>
    <w:rsid w:val="001B3D7C"/>
    <w:rsid w:val="001B4FC3"/>
    <w:rsid w:val="001B574C"/>
    <w:rsid w:val="001B5B97"/>
    <w:rsid w:val="001B5BF8"/>
    <w:rsid w:val="001B7A37"/>
    <w:rsid w:val="001B7EE5"/>
    <w:rsid w:val="001C086A"/>
    <w:rsid w:val="001C3245"/>
    <w:rsid w:val="001C32D5"/>
    <w:rsid w:val="001C3746"/>
    <w:rsid w:val="001C43D4"/>
    <w:rsid w:val="001C45F9"/>
    <w:rsid w:val="001C4894"/>
    <w:rsid w:val="001C5F36"/>
    <w:rsid w:val="001C60EF"/>
    <w:rsid w:val="001C7F1C"/>
    <w:rsid w:val="001D19A8"/>
    <w:rsid w:val="001D2C2A"/>
    <w:rsid w:val="001D2D2A"/>
    <w:rsid w:val="001D455D"/>
    <w:rsid w:val="001D4DBD"/>
    <w:rsid w:val="001D4DF2"/>
    <w:rsid w:val="001D4EB8"/>
    <w:rsid w:val="001D56F9"/>
    <w:rsid w:val="001D5D22"/>
    <w:rsid w:val="001D5E13"/>
    <w:rsid w:val="001D6524"/>
    <w:rsid w:val="001D6817"/>
    <w:rsid w:val="001D7039"/>
    <w:rsid w:val="001D760C"/>
    <w:rsid w:val="001D79D8"/>
    <w:rsid w:val="001E099D"/>
    <w:rsid w:val="001E1388"/>
    <w:rsid w:val="001E1E27"/>
    <w:rsid w:val="001E2369"/>
    <w:rsid w:val="001E2409"/>
    <w:rsid w:val="001E285B"/>
    <w:rsid w:val="001E3CEE"/>
    <w:rsid w:val="001E57B7"/>
    <w:rsid w:val="001E7AE0"/>
    <w:rsid w:val="001F13A0"/>
    <w:rsid w:val="001F16F8"/>
    <w:rsid w:val="001F1C48"/>
    <w:rsid w:val="001F1F4D"/>
    <w:rsid w:val="001F2C58"/>
    <w:rsid w:val="001F4235"/>
    <w:rsid w:val="001F5590"/>
    <w:rsid w:val="001F6846"/>
    <w:rsid w:val="001F6D3F"/>
    <w:rsid w:val="00200895"/>
    <w:rsid w:val="002008CB"/>
    <w:rsid w:val="002019B8"/>
    <w:rsid w:val="00202495"/>
    <w:rsid w:val="00203F91"/>
    <w:rsid w:val="002042AC"/>
    <w:rsid w:val="00204971"/>
    <w:rsid w:val="00205248"/>
    <w:rsid w:val="00205277"/>
    <w:rsid w:val="00205D78"/>
    <w:rsid w:val="002067D3"/>
    <w:rsid w:val="00207853"/>
    <w:rsid w:val="002078C4"/>
    <w:rsid w:val="0021005F"/>
    <w:rsid w:val="00210853"/>
    <w:rsid w:val="00211114"/>
    <w:rsid w:val="00211FAA"/>
    <w:rsid w:val="002122B8"/>
    <w:rsid w:val="00212F9F"/>
    <w:rsid w:val="00213928"/>
    <w:rsid w:val="0021598A"/>
    <w:rsid w:val="00215D88"/>
    <w:rsid w:val="00217B06"/>
    <w:rsid w:val="00217CD7"/>
    <w:rsid w:val="00220A36"/>
    <w:rsid w:val="00220A9E"/>
    <w:rsid w:val="00221678"/>
    <w:rsid w:val="00222C81"/>
    <w:rsid w:val="00222E69"/>
    <w:rsid w:val="00222EDD"/>
    <w:rsid w:val="00223798"/>
    <w:rsid w:val="002238C2"/>
    <w:rsid w:val="002243D3"/>
    <w:rsid w:val="00224DA3"/>
    <w:rsid w:val="0022544D"/>
    <w:rsid w:val="00227B81"/>
    <w:rsid w:val="002302F9"/>
    <w:rsid w:val="002346ED"/>
    <w:rsid w:val="00236921"/>
    <w:rsid w:val="00236A1F"/>
    <w:rsid w:val="00237142"/>
    <w:rsid w:val="0023725C"/>
    <w:rsid w:val="0023737F"/>
    <w:rsid w:val="002376A0"/>
    <w:rsid w:val="00241677"/>
    <w:rsid w:val="00241BA3"/>
    <w:rsid w:val="00241DE8"/>
    <w:rsid w:val="002433AA"/>
    <w:rsid w:val="002436A6"/>
    <w:rsid w:val="00244530"/>
    <w:rsid w:val="00244E70"/>
    <w:rsid w:val="00245294"/>
    <w:rsid w:val="00245762"/>
    <w:rsid w:val="00245DDC"/>
    <w:rsid w:val="002502FF"/>
    <w:rsid w:val="00250823"/>
    <w:rsid w:val="00250AF6"/>
    <w:rsid w:val="00251187"/>
    <w:rsid w:val="00251403"/>
    <w:rsid w:val="00251701"/>
    <w:rsid w:val="002518E3"/>
    <w:rsid w:val="00251A3B"/>
    <w:rsid w:val="00251ACF"/>
    <w:rsid w:val="00251C0D"/>
    <w:rsid w:val="002525BC"/>
    <w:rsid w:val="00252D41"/>
    <w:rsid w:val="00254443"/>
    <w:rsid w:val="002544B0"/>
    <w:rsid w:val="00254ECA"/>
    <w:rsid w:val="00256155"/>
    <w:rsid w:val="00256268"/>
    <w:rsid w:val="0025676F"/>
    <w:rsid w:val="002567AC"/>
    <w:rsid w:val="00256EAE"/>
    <w:rsid w:val="00257439"/>
    <w:rsid w:val="00257479"/>
    <w:rsid w:val="00257715"/>
    <w:rsid w:val="00257BAD"/>
    <w:rsid w:val="00257D34"/>
    <w:rsid w:val="00257ECC"/>
    <w:rsid w:val="00260A84"/>
    <w:rsid w:val="00260C4F"/>
    <w:rsid w:val="00260EC9"/>
    <w:rsid w:val="0026180E"/>
    <w:rsid w:val="00261F3E"/>
    <w:rsid w:val="00262312"/>
    <w:rsid w:val="0026284A"/>
    <w:rsid w:val="00263AAA"/>
    <w:rsid w:val="00264B9E"/>
    <w:rsid w:val="00264EE4"/>
    <w:rsid w:val="00265541"/>
    <w:rsid w:val="00265D40"/>
    <w:rsid w:val="00266272"/>
    <w:rsid w:val="00266C65"/>
    <w:rsid w:val="0026755F"/>
    <w:rsid w:val="00267BA8"/>
    <w:rsid w:val="002701D8"/>
    <w:rsid w:val="00270E46"/>
    <w:rsid w:val="00271235"/>
    <w:rsid w:val="002721CC"/>
    <w:rsid w:val="002739F6"/>
    <w:rsid w:val="002748F0"/>
    <w:rsid w:val="00274C70"/>
    <w:rsid w:val="00275299"/>
    <w:rsid w:val="00275AAA"/>
    <w:rsid w:val="002762D3"/>
    <w:rsid w:val="00276915"/>
    <w:rsid w:val="0027727B"/>
    <w:rsid w:val="0027757D"/>
    <w:rsid w:val="00277BFB"/>
    <w:rsid w:val="00277DF3"/>
    <w:rsid w:val="00277F16"/>
    <w:rsid w:val="00281874"/>
    <w:rsid w:val="00282802"/>
    <w:rsid w:val="002839A6"/>
    <w:rsid w:val="00285BFF"/>
    <w:rsid w:val="0028649C"/>
    <w:rsid w:val="00286925"/>
    <w:rsid w:val="00286AA6"/>
    <w:rsid w:val="002871E6"/>
    <w:rsid w:val="00287413"/>
    <w:rsid w:val="00287483"/>
    <w:rsid w:val="00287F32"/>
    <w:rsid w:val="00290AEF"/>
    <w:rsid w:val="00291368"/>
    <w:rsid w:val="0029164A"/>
    <w:rsid w:val="00291AB3"/>
    <w:rsid w:val="00292E23"/>
    <w:rsid w:val="00294FDC"/>
    <w:rsid w:val="00295589"/>
    <w:rsid w:val="00295AE1"/>
    <w:rsid w:val="00295E47"/>
    <w:rsid w:val="002964EC"/>
    <w:rsid w:val="0029732E"/>
    <w:rsid w:val="002974B0"/>
    <w:rsid w:val="00297A3E"/>
    <w:rsid w:val="002A1FCE"/>
    <w:rsid w:val="002A246A"/>
    <w:rsid w:val="002A3456"/>
    <w:rsid w:val="002A3746"/>
    <w:rsid w:val="002A4E33"/>
    <w:rsid w:val="002A5099"/>
    <w:rsid w:val="002A60F8"/>
    <w:rsid w:val="002A62E4"/>
    <w:rsid w:val="002A77DC"/>
    <w:rsid w:val="002B01A2"/>
    <w:rsid w:val="002B0289"/>
    <w:rsid w:val="002B0676"/>
    <w:rsid w:val="002B06F1"/>
    <w:rsid w:val="002B0C29"/>
    <w:rsid w:val="002B0E8A"/>
    <w:rsid w:val="002B1033"/>
    <w:rsid w:val="002B2420"/>
    <w:rsid w:val="002B3D9B"/>
    <w:rsid w:val="002B3F0D"/>
    <w:rsid w:val="002B4462"/>
    <w:rsid w:val="002B4827"/>
    <w:rsid w:val="002B5375"/>
    <w:rsid w:val="002B68BC"/>
    <w:rsid w:val="002C0D6E"/>
    <w:rsid w:val="002C0DFF"/>
    <w:rsid w:val="002C1BE0"/>
    <w:rsid w:val="002C1FBE"/>
    <w:rsid w:val="002C1FE7"/>
    <w:rsid w:val="002C255E"/>
    <w:rsid w:val="002C305D"/>
    <w:rsid w:val="002C390B"/>
    <w:rsid w:val="002C54A8"/>
    <w:rsid w:val="002C7F2B"/>
    <w:rsid w:val="002D0429"/>
    <w:rsid w:val="002D102A"/>
    <w:rsid w:val="002D2DD5"/>
    <w:rsid w:val="002D3854"/>
    <w:rsid w:val="002D3F17"/>
    <w:rsid w:val="002D5A90"/>
    <w:rsid w:val="002D7FE7"/>
    <w:rsid w:val="002E021C"/>
    <w:rsid w:val="002E0652"/>
    <w:rsid w:val="002E3BDF"/>
    <w:rsid w:val="002E3DF9"/>
    <w:rsid w:val="002E404E"/>
    <w:rsid w:val="002E4920"/>
    <w:rsid w:val="002E61EF"/>
    <w:rsid w:val="002E73FB"/>
    <w:rsid w:val="002F0468"/>
    <w:rsid w:val="002F063C"/>
    <w:rsid w:val="002F16DD"/>
    <w:rsid w:val="002F2C66"/>
    <w:rsid w:val="002F32F3"/>
    <w:rsid w:val="002F34AE"/>
    <w:rsid w:val="002F515D"/>
    <w:rsid w:val="002F5CB2"/>
    <w:rsid w:val="002F5E09"/>
    <w:rsid w:val="00300119"/>
    <w:rsid w:val="0030176C"/>
    <w:rsid w:val="0030360C"/>
    <w:rsid w:val="00304DE7"/>
    <w:rsid w:val="003067F0"/>
    <w:rsid w:val="00306901"/>
    <w:rsid w:val="00306910"/>
    <w:rsid w:val="00306F33"/>
    <w:rsid w:val="00307C92"/>
    <w:rsid w:val="003113FB"/>
    <w:rsid w:val="00311AFF"/>
    <w:rsid w:val="00311DF2"/>
    <w:rsid w:val="0031220A"/>
    <w:rsid w:val="00312E00"/>
    <w:rsid w:val="00313244"/>
    <w:rsid w:val="0031340F"/>
    <w:rsid w:val="00314779"/>
    <w:rsid w:val="00314873"/>
    <w:rsid w:val="00314BA2"/>
    <w:rsid w:val="00315081"/>
    <w:rsid w:val="00315676"/>
    <w:rsid w:val="0031576C"/>
    <w:rsid w:val="003163DE"/>
    <w:rsid w:val="003167E5"/>
    <w:rsid w:val="00316F98"/>
    <w:rsid w:val="00317453"/>
    <w:rsid w:val="00317A22"/>
    <w:rsid w:val="003205B5"/>
    <w:rsid w:val="003214CB"/>
    <w:rsid w:val="00322042"/>
    <w:rsid w:val="003229CF"/>
    <w:rsid w:val="003245C7"/>
    <w:rsid w:val="00325378"/>
    <w:rsid w:val="00325CB4"/>
    <w:rsid w:val="00325F70"/>
    <w:rsid w:val="00327289"/>
    <w:rsid w:val="0032778C"/>
    <w:rsid w:val="00330CE2"/>
    <w:rsid w:val="003321D8"/>
    <w:rsid w:val="00334036"/>
    <w:rsid w:val="0033688B"/>
    <w:rsid w:val="0033759A"/>
    <w:rsid w:val="0034126E"/>
    <w:rsid w:val="00342C87"/>
    <w:rsid w:val="003439AF"/>
    <w:rsid w:val="0034412A"/>
    <w:rsid w:val="003442F5"/>
    <w:rsid w:val="003448C1"/>
    <w:rsid w:val="00344D34"/>
    <w:rsid w:val="003453EB"/>
    <w:rsid w:val="00345EFA"/>
    <w:rsid w:val="00346557"/>
    <w:rsid w:val="00346B4C"/>
    <w:rsid w:val="0034709B"/>
    <w:rsid w:val="00347F84"/>
    <w:rsid w:val="003502C4"/>
    <w:rsid w:val="003512AB"/>
    <w:rsid w:val="003523A2"/>
    <w:rsid w:val="00352575"/>
    <w:rsid w:val="00352FEF"/>
    <w:rsid w:val="0035360E"/>
    <w:rsid w:val="00353938"/>
    <w:rsid w:val="0035487B"/>
    <w:rsid w:val="003565C4"/>
    <w:rsid w:val="0035662D"/>
    <w:rsid w:val="00357911"/>
    <w:rsid w:val="00360120"/>
    <w:rsid w:val="00360A17"/>
    <w:rsid w:val="0036349B"/>
    <w:rsid w:val="00363AA4"/>
    <w:rsid w:val="00363F42"/>
    <w:rsid w:val="003644B3"/>
    <w:rsid w:val="00364680"/>
    <w:rsid w:val="00364A85"/>
    <w:rsid w:val="0036547F"/>
    <w:rsid w:val="003703E1"/>
    <w:rsid w:val="00372F1F"/>
    <w:rsid w:val="00372FC5"/>
    <w:rsid w:val="003735A4"/>
    <w:rsid w:val="00373C0C"/>
    <w:rsid w:val="00374011"/>
    <w:rsid w:val="003757FD"/>
    <w:rsid w:val="00375A7B"/>
    <w:rsid w:val="00375C52"/>
    <w:rsid w:val="00375E05"/>
    <w:rsid w:val="00377286"/>
    <w:rsid w:val="00380627"/>
    <w:rsid w:val="003813B9"/>
    <w:rsid w:val="003829F4"/>
    <w:rsid w:val="003833C7"/>
    <w:rsid w:val="003835DD"/>
    <w:rsid w:val="00383725"/>
    <w:rsid w:val="00383A9B"/>
    <w:rsid w:val="00383CD7"/>
    <w:rsid w:val="003861D1"/>
    <w:rsid w:val="00386243"/>
    <w:rsid w:val="00386A3E"/>
    <w:rsid w:val="00386FA3"/>
    <w:rsid w:val="003877CB"/>
    <w:rsid w:val="0039197F"/>
    <w:rsid w:val="00391B66"/>
    <w:rsid w:val="00391C6D"/>
    <w:rsid w:val="003921C1"/>
    <w:rsid w:val="00392EBE"/>
    <w:rsid w:val="003940F7"/>
    <w:rsid w:val="003947E6"/>
    <w:rsid w:val="00395735"/>
    <w:rsid w:val="00395D38"/>
    <w:rsid w:val="00396339"/>
    <w:rsid w:val="00396B5C"/>
    <w:rsid w:val="0039771D"/>
    <w:rsid w:val="003A0D4C"/>
    <w:rsid w:val="003A0FD8"/>
    <w:rsid w:val="003A12FB"/>
    <w:rsid w:val="003A1BAD"/>
    <w:rsid w:val="003A209F"/>
    <w:rsid w:val="003A2AF7"/>
    <w:rsid w:val="003A2DDA"/>
    <w:rsid w:val="003A3108"/>
    <w:rsid w:val="003A49A3"/>
    <w:rsid w:val="003A4F13"/>
    <w:rsid w:val="003A679C"/>
    <w:rsid w:val="003A6D87"/>
    <w:rsid w:val="003A6DD7"/>
    <w:rsid w:val="003A78E0"/>
    <w:rsid w:val="003A792C"/>
    <w:rsid w:val="003B0474"/>
    <w:rsid w:val="003B0984"/>
    <w:rsid w:val="003B48A0"/>
    <w:rsid w:val="003B4DF4"/>
    <w:rsid w:val="003B5EFB"/>
    <w:rsid w:val="003B6F9D"/>
    <w:rsid w:val="003C0441"/>
    <w:rsid w:val="003C5A70"/>
    <w:rsid w:val="003C5B21"/>
    <w:rsid w:val="003C6B6E"/>
    <w:rsid w:val="003C7224"/>
    <w:rsid w:val="003C772F"/>
    <w:rsid w:val="003D03D3"/>
    <w:rsid w:val="003D2A12"/>
    <w:rsid w:val="003D2EDD"/>
    <w:rsid w:val="003D3348"/>
    <w:rsid w:val="003D3487"/>
    <w:rsid w:val="003D3A91"/>
    <w:rsid w:val="003D4930"/>
    <w:rsid w:val="003D4FF7"/>
    <w:rsid w:val="003D6AF5"/>
    <w:rsid w:val="003E109C"/>
    <w:rsid w:val="003E11EE"/>
    <w:rsid w:val="003E1EB1"/>
    <w:rsid w:val="003E2B80"/>
    <w:rsid w:val="003E3308"/>
    <w:rsid w:val="003E4D53"/>
    <w:rsid w:val="003E5809"/>
    <w:rsid w:val="003E58C8"/>
    <w:rsid w:val="003F025E"/>
    <w:rsid w:val="003F0279"/>
    <w:rsid w:val="003F14C5"/>
    <w:rsid w:val="003F2AFB"/>
    <w:rsid w:val="003F3696"/>
    <w:rsid w:val="003F40AE"/>
    <w:rsid w:val="003F4B69"/>
    <w:rsid w:val="003F4CD0"/>
    <w:rsid w:val="003F52F1"/>
    <w:rsid w:val="003F6619"/>
    <w:rsid w:val="0040045C"/>
    <w:rsid w:val="00400917"/>
    <w:rsid w:val="00400E48"/>
    <w:rsid w:val="00401417"/>
    <w:rsid w:val="00402BEC"/>
    <w:rsid w:val="00403229"/>
    <w:rsid w:val="00403246"/>
    <w:rsid w:val="00403E47"/>
    <w:rsid w:val="0040402F"/>
    <w:rsid w:val="00404FC9"/>
    <w:rsid w:val="00406BAD"/>
    <w:rsid w:val="0041092B"/>
    <w:rsid w:val="00411A57"/>
    <w:rsid w:val="00412983"/>
    <w:rsid w:val="00412FD8"/>
    <w:rsid w:val="004133CA"/>
    <w:rsid w:val="004133E2"/>
    <w:rsid w:val="00413B4E"/>
    <w:rsid w:val="00415CD6"/>
    <w:rsid w:val="0041766D"/>
    <w:rsid w:val="0042080D"/>
    <w:rsid w:val="00420FE4"/>
    <w:rsid w:val="00421128"/>
    <w:rsid w:val="004220C1"/>
    <w:rsid w:val="004221BE"/>
    <w:rsid w:val="004227BF"/>
    <w:rsid w:val="0042286C"/>
    <w:rsid w:val="00423BE2"/>
    <w:rsid w:val="004245C7"/>
    <w:rsid w:val="00427349"/>
    <w:rsid w:val="004279D5"/>
    <w:rsid w:val="0043065D"/>
    <w:rsid w:val="00431A42"/>
    <w:rsid w:val="00431B19"/>
    <w:rsid w:val="0043232C"/>
    <w:rsid w:val="00432C15"/>
    <w:rsid w:val="00432CAB"/>
    <w:rsid w:val="0043431A"/>
    <w:rsid w:val="00434422"/>
    <w:rsid w:val="00434F80"/>
    <w:rsid w:val="004365B5"/>
    <w:rsid w:val="00436E6D"/>
    <w:rsid w:val="00440A7B"/>
    <w:rsid w:val="00440CD4"/>
    <w:rsid w:val="00441A64"/>
    <w:rsid w:val="0044212D"/>
    <w:rsid w:val="004427DD"/>
    <w:rsid w:val="00442A4E"/>
    <w:rsid w:val="00442B2D"/>
    <w:rsid w:val="00442BE1"/>
    <w:rsid w:val="004439C3"/>
    <w:rsid w:val="0044472C"/>
    <w:rsid w:val="00444842"/>
    <w:rsid w:val="0044573A"/>
    <w:rsid w:val="00446691"/>
    <w:rsid w:val="004528EB"/>
    <w:rsid w:val="0045299C"/>
    <w:rsid w:val="0045557F"/>
    <w:rsid w:val="00455761"/>
    <w:rsid w:val="00455909"/>
    <w:rsid w:val="00455925"/>
    <w:rsid w:val="00455E4C"/>
    <w:rsid w:val="00457211"/>
    <w:rsid w:val="004575D3"/>
    <w:rsid w:val="00457C45"/>
    <w:rsid w:val="0046063E"/>
    <w:rsid w:val="00460B66"/>
    <w:rsid w:val="00460DD3"/>
    <w:rsid w:val="004613FC"/>
    <w:rsid w:val="004626E1"/>
    <w:rsid w:val="00463224"/>
    <w:rsid w:val="004637EE"/>
    <w:rsid w:val="00463FDB"/>
    <w:rsid w:val="00464937"/>
    <w:rsid w:val="00464EF6"/>
    <w:rsid w:val="004650AC"/>
    <w:rsid w:val="004650C7"/>
    <w:rsid w:val="00465C1E"/>
    <w:rsid w:val="004661C3"/>
    <w:rsid w:val="0046629D"/>
    <w:rsid w:val="004662AF"/>
    <w:rsid w:val="00466701"/>
    <w:rsid w:val="00466D3F"/>
    <w:rsid w:val="0046721B"/>
    <w:rsid w:val="0046723D"/>
    <w:rsid w:val="00467528"/>
    <w:rsid w:val="00470AE3"/>
    <w:rsid w:val="00471D79"/>
    <w:rsid w:val="0047253B"/>
    <w:rsid w:val="00472C5D"/>
    <w:rsid w:val="004730D3"/>
    <w:rsid w:val="0047358B"/>
    <w:rsid w:val="004736C7"/>
    <w:rsid w:val="00473E4E"/>
    <w:rsid w:val="00474779"/>
    <w:rsid w:val="00474CD7"/>
    <w:rsid w:val="0047565D"/>
    <w:rsid w:val="00476110"/>
    <w:rsid w:val="0047682D"/>
    <w:rsid w:val="00476A19"/>
    <w:rsid w:val="004773B7"/>
    <w:rsid w:val="0047743A"/>
    <w:rsid w:val="004778D8"/>
    <w:rsid w:val="00481416"/>
    <w:rsid w:val="00483C54"/>
    <w:rsid w:val="00484A80"/>
    <w:rsid w:val="00485367"/>
    <w:rsid w:val="00485FAF"/>
    <w:rsid w:val="004867D9"/>
    <w:rsid w:val="004868D8"/>
    <w:rsid w:val="00486F27"/>
    <w:rsid w:val="00486F6A"/>
    <w:rsid w:val="004875DB"/>
    <w:rsid w:val="00487ABB"/>
    <w:rsid w:val="004905D3"/>
    <w:rsid w:val="00491731"/>
    <w:rsid w:val="004922FD"/>
    <w:rsid w:val="0049267A"/>
    <w:rsid w:val="0049412A"/>
    <w:rsid w:val="004942D0"/>
    <w:rsid w:val="00495C64"/>
    <w:rsid w:val="00496C27"/>
    <w:rsid w:val="00497073"/>
    <w:rsid w:val="0049758B"/>
    <w:rsid w:val="00497C0B"/>
    <w:rsid w:val="004A0B4C"/>
    <w:rsid w:val="004A13BE"/>
    <w:rsid w:val="004A1425"/>
    <w:rsid w:val="004A1E7F"/>
    <w:rsid w:val="004A22FB"/>
    <w:rsid w:val="004A2715"/>
    <w:rsid w:val="004A2B2D"/>
    <w:rsid w:val="004A2F4A"/>
    <w:rsid w:val="004A33FB"/>
    <w:rsid w:val="004A3996"/>
    <w:rsid w:val="004A3FD7"/>
    <w:rsid w:val="004A77C0"/>
    <w:rsid w:val="004B144B"/>
    <w:rsid w:val="004B2064"/>
    <w:rsid w:val="004B2471"/>
    <w:rsid w:val="004B2E1C"/>
    <w:rsid w:val="004B2F95"/>
    <w:rsid w:val="004B3105"/>
    <w:rsid w:val="004B3CF8"/>
    <w:rsid w:val="004B7ED5"/>
    <w:rsid w:val="004C0188"/>
    <w:rsid w:val="004C034E"/>
    <w:rsid w:val="004C1BD5"/>
    <w:rsid w:val="004C23A8"/>
    <w:rsid w:val="004C268C"/>
    <w:rsid w:val="004C2A50"/>
    <w:rsid w:val="004C4CE8"/>
    <w:rsid w:val="004C4EFC"/>
    <w:rsid w:val="004C6124"/>
    <w:rsid w:val="004C64AB"/>
    <w:rsid w:val="004C68D3"/>
    <w:rsid w:val="004D04AF"/>
    <w:rsid w:val="004D0E9D"/>
    <w:rsid w:val="004D11F3"/>
    <w:rsid w:val="004D12BD"/>
    <w:rsid w:val="004D1AEC"/>
    <w:rsid w:val="004D287E"/>
    <w:rsid w:val="004D29F2"/>
    <w:rsid w:val="004D2F87"/>
    <w:rsid w:val="004D31C5"/>
    <w:rsid w:val="004D4564"/>
    <w:rsid w:val="004D6228"/>
    <w:rsid w:val="004D676F"/>
    <w:rsid w:val="004D6D3E"/>
    <w:rsid w:val="004D7229"/>
    <w:rsid w:val="004D75F4"/>
    <w:rsid w:val="004D7B3C"/>
    <w:rsid w:val="004D7C20"/>
    <w:rsid w:val="004D7DC3"/>
    <w:rsid w:val="004E08BD"/>
    <w:rsid w:val="004E2061"/>
    <w:rsid w:val="004E2484"/>
    <w:rsid w:val="004E39A6"/>
    <w:rsid w:val="004E3B9C"/>
    <w:rsid w:val="004E4195"/>
    <w:rsid w:val="004E4623"/>
    <w:rsid w:val="004F1A34"/>
    <w:rsid w:val="004F258B"/>
    <w:rsid w:val="004F2DC8"/>
    <w:rsid w:val="004F2E45"/>
    <w:rsid w:val="004F34AB"/>
    <w:rsid w:val="004F3BF6"/>
    <w:rsid w:val="004F4085"/>
    <w:rsid w:val="004F41F3"/>
    <w:rsid w:val="004F4FE2"/>
    <w:rsid w:val="004F62FA"/>
    <w:rsid w:val="004F65D9"/>
    <w:rsid w:val="0050136F"/>
    <w:rsid w:val="005015D2"/>
    <w:rsid w:val="00502635"/>
    <w:rsid w:val="00503DA1"/>
    <w:rsid w:val="00504805"/>
    <w:rsid w:val="0050493F"/>
    <w:rsid w:val="00504B41"/>
    <w:rsid w:val="00505952"/>
    <w:rsid w:val="00506F33"/>
    <w:rsid w:val="0050763A"/>
    <w:rsid w:val="005077F3"/>
    <w:rsid w:val="00507F7A"/>
    <w:rsid w:val="005108BC"/>
    <w:rsid w:val="005111FE"/>
    <w:rsid w:val="005113A4"/>
    <w:rsid w:val="005118BA"/>
    <w:rsid w:val="00512D0A"/>
    <w:rsid w:val="00514A53"/>
    <w:rsid w:val="0051547A"/>
    <w:rsid w:val="0051662E"/>
    <w:rsid w:val="005207DA"/>
    <w:rsid w:val="00521A84"/>
    <w:rsid w:val="00522B83"/>
    <w:rsid w:val="00523518"/>
    <w:rsid w:val="00524743"/>
    <w:rsid w:val="005253C4"/>
    <w:rsid w:val="00525544"/>
    <w:rsid w:val="00525650"/>
    <w:rsid w:val="00526242"/>
    <w:rsid w:val="00527900"/>
    <w:rsid w:val="005305BB"/>
    <w:rsid w:val="00530B8D"/>
    <w:rsid w:val="00531CEB"/>
    <w:rsid w:val="00531D6E"/>
    <w:rsid w:val="0053203F"/>
    <w:rsid w:val="005323EA"/>
    <w:rsid w:val="0053287F"/>
    <w:rsid w:val="00532E78"/>
    <w:rsid w:val="00534764"/>
    <w:rsid w:val="0053545C"/>
    <w:rsid w:val="00535ADC"/>
    <w:rsid w:val="005363F9"/>
    <w:rsid w:val="00537FCC"/>
    <w:rsid w:val="00540273"/>
    <w:rsid w:val="00540322"/>
    <w:rsid w:val="00540AD8"/>
    <w:rsid w:val="00540DE0"/>
    <w:rsid w:val="00540F89"/>
    <w:rsid w:val="00541647"/>
    <w:rsid w:val="00541DB6"/>
    <w:rsid w:val="00544981"/>
    <w:rsid w:val="00544C87"/>
    <w:rsid w:val="00544D9B"/>
    <w:rsid w:val="00546217"/>
    <w:rsid w:val="00550715"/>
    <w:rsid w:val="00550A17"/>
    <w:rsid w:val="00550D26"/>
    <w:rsid w:val="0055175F"/>
    <w:rsid w:val="0055486E"/>
    <w:rsid w:val="00554AD2"/>
    <w:rsid w:val="00555820"/>
    <w:rsid w:val="00555866"/>
    <w:rsid w:val="00555AA1"/>
    <w:rsid w:val="00556C94"/>
    <w:rsid w:val="00556CCC"/>
    <w:rsid w:val="00556F5D"/>
    <w:rsid w:val="0055771A"/>
    <w:rsid w:val="005605A8"/>
    <w:rsid w:val="0056076A"/>
    <w:rsid w:val="00560897"/>
    <w:rsid w:val="00560ECB"/>
    <w:rsid w:val="0056215F"/>
    <w:rsid w:val="005622EF"/>
    <w:rsid w:val="0056244A"/>
    <w:rsid w:val="005625B0"/>
    <w:rsid w:val="005628A3"/>
    <w:rsid w:val="0056377C"/>
    <w:rsid w:val="00563C8B"/>
    <w:rsid w:val="005653F4"/>
    <w:rsid w:val="00565C14"/>
    <w:rsid w:val="0056632A"/>
    <w:rsid w:val="00567F1B"/>
    <w:rsid w:val="005704DA"/>
    <w:rsid w:val="005714E1"/>
    <w:rsid w:val="00572C79"/>
    <w:rsid w:val="005749FF"/>
    <w:rsid w:val="0057532A"/>
    <w:rsid w:val="00575F88"/>
    <w:rsid w:val="00577F06"/>
    <w:rsid w:val="0058192A"/>
    <w:rsid w:val="005824A2"/>
    <w:rsid w:val="00582718"/>
    <w:rsid w:val="005842F0"/>
    <w:rsid w:val="005853DB"/>
    <w:rsid w:val="005862E5"/>
    <w:rsid w:val="0058688B"/>
    <w:rsid w:val="00587C9E"/>
    <w:rsid w:val="005911B9"/>
    <w:rsid w:val="00594871"/>
    <w:rsid w:val="005950E2"/>
    <w:rsid w:val="00596530"/>
    <w:rsid w:val="005965B4"/>
    <w:rsid w:val="005969E4"/>
    <w:rsid w:val="0059737A"/>
    <w:rsid w:val="005A11B8"/>
    <w:rsid w:val="005A14F6"/>
    <w:rsid w:val="005A19F9"/>
    <w:rsid w:val="005A201F"/>
    <w:rsid w:val="005A29B2"/>
    <w:rsid w:val="005A33A4"/>
    <w:rsid w:val="005A33E5"/>
    <w:rsid w:val="005A4EEF"/>
    <w:rsid w:val="005A50BD"/>
    <w:rsid w:val="005A6D3D"/>
    <w:rsid w:val="005A6FF7"/>
    <w:rsid w:val="005B047E"/>
    <w:rsid w:val="005B22E5"/>
    <w:rsid w:val="005B34CD"/>
    <w:rsid w:val="005B35B3"/>
    <w:rsid w:val="005B475B"/>
    <w:rsid w:val="005B6D1E"/>
    <w:rsid w:val="005C03C7"/>
    <w:rsid w:val="005C0548"/>
    <w:rsid w:val="005C16A9"/>
    <w:rsid w:val="005C1A7E"/>
    <w:rsid w:val="005C1FA5"/>
    <w:rsid w:val="005C2BA4"/>
    <w:rsid w:val="005C610F"/>
    <w:rsid w:val="005C6115"/>
    <w:rsid w:val="005C7115"/>
    <w:rsid w:val="005D0231"/>
    <w:rsid w:val="005D04E5"/>
    <w:rsid w:val="005D1759"/>
    <w:rsid w:val="005D1D74"/>
    <w:rsid w:val="005D2AF5"/>
    <w:rsid w:val="005D2B4A"/>
    <w:rsid w:val="005D3191"/>
    <w:rsid w:val="005D37CB"/>
    <w:rsid w:val="005D392C"/>
    <w:rsid w:val="005D3BE9"/>
    <w:rsid w:val="005D3FC8"/>
    <w:rsid w:val="005D3FDB"/>
    <w:rsid w:val="005D61D4"/>
    <w:rsid w:val="005D6362"/>
    <w:rsid w:val="005E01CC"/>
    <w:rsid w:val="005E0800"/>
    <w:rsid w:val="005E24B2"/>
    <w:rsid w:val="005E3961"/>
    <w:rsid w:val="005E3FA7"/>
    <w:rsid w:val="005E6237"/>
    <w:rsid w:val="005E6CC5"/>
    <w:rsid w:val="005E70CD"/>
    <w:rsid w:val="005F013D"/>
    <w:rsid w:val="005F07D0"/>
    <w:rsid w:val="005F2431"/>
    <w:rsid w:val="005F2D31"/>
    <w:rsid w:val="005F3D0B"/>
    <w:rsid w:val="005F5027"/>
    <w:rsid w:val="005F5EFC"/>
    <w:rsid w:val="005F74EC"/>
    <w:rsid w:val="005F7B2E"/>
    <w:rsid w:val="00600747"/>
    <w:rsid w:val="006008B6"/>
    <w:rsid w:val="00601EC2"/>
    <w:rsid w:val="00602A8B"/>
    <w:rsid w:val="0060454E"/>
    <w:rsid w:val="00604670"/>
    <w:rsid w:val="006062EC"/>
    <w:rsid w:val="006064B0"/>
    <w:rsid w:val="00606D1C"/>
    <w:rsid w:val="006114C9"/>
    <w:rsid w:val="0061350A"/>
    <w:rsid w:val="00613529"/>
    <w:rsid w:val="00613DE6"/>
    <w:rsid w:val="006146C5"/>
    <w:rsid w:val="00614B40"/>
    <w:rsid w:val="006161A4"/>
    <w:rsid w:val="006161C0"/>
    <w:rsid w:val="00620345"/>
    <w:rsid w:val="006211C5"/>
    <w:rsid w:val="006226EB"/>
    <w:rsid w:val="0062288A"/>
    <w:rsid w:val="00622A77"/>
    <w:rsid w:val="006230DE"/>
    <w:rsid w:val="00623826"/>
    <w:rsid w:val="00624FC8"/>
    <w:rsid w:val="00625375"/>
    <w:rsid w:val="00625B03"/>
    <w:rsid w:val="00626A97"/>
    <w:rsid w:val="006276B0"/>
    <w:rsid w:val="00627BDC"/>
    <w:rsid w:val="00627FEF"/>
    <w:rsid w:val="006318DD"/>
    <w:rsid w:val="006322F4"/>
    <w:rsid w:val="00632F17"/>
    <w:rsid w:val="006335E3"/>
    <w:rsid w:val="00633BEA"/>
    <w:rsid w:val="00634877"/>
    <w:rsid w:val="00634CFA"/>
    <w:rsid w:val="00634E47"/>
    <w:rsid w:val="006350C1"/>
    <w:rsid w:val="006358FE"/>
    <w:rsid w:val="00636A90"/>
    <w:rsid w:val="006370B7"/>
    <w:rsid w:val="00640757"/>
    <w:rsid w:val="006409E8"/>
    <w:rsid w:val="00641398"/>
    <w:rsid w:val="00641515"/>
    <w:rsid w:val="00641B90"/>
    <w:rsid w:val="00642BDE"/>
    <w:rsid w:val="00644946"/>
    <w:rsid w:val="006460BB"/>
    <w:rsid w:val="00646665"/>
    <w:rsid w:val="006474F8"/>
    <w:rsid w:val="006477E7"/>
    <w:rsid w:val="00651016"/>
    <w:rsid w:val="00651B71"/>
    <w:rsid w:val="00651E87"/>
    <w:rsid w:val="00652D26"/>
    <w:rsid w:val="00654F8B"/>
    <w:rsid w:val="00655FEA"/>
    <w:rsid w:val="00656450"/>
    <w:rsid w:val="00656DC8"/>
    <w:rsid w:val="00657DDD"/>
    <w:rsid w:val="00661040"/>
    <w:rsid w:val="006613B6"/>
    <w:rsid w:val="0066175F"/>
    <w:rsid w:val="00661D3C"/>
    <w:rsid w:val="00663AD1"/>
    <w:rsid w:val="00666295"/>
    <w:rsid w:val="006671F3"/>
    <w:rsid w:val="00667406"/>
    <w:rsid w:val="0066769D"/>
    <w:rsid w:val="00670851"/>
    <w:rsid w:val="00670CB0"/>
    <w:rsid w:val="006710F0"/>
    <w:rsid w:val="00671C70"/>
    <w:rsid w:val="00673599"/>
    <w:rsid w:val="00673DA1"/>
    <w:rsid w:val="00675B1B"/>
    <w:rsid w:val="00675C0B"/>
    <w:rsid w:val="00677F60"/>
    <w:rsid w:val="0068075A"/>
    <w:rsid w:val="0068203F"/>
    <w:rsid w:val="00682DD8"/>
    <w:rsid w:val="006831FF"/>
    <w:rsid w:val="00683B70"/>
    <w:rsid w:val="006845AE"/>
    <w:rsid w:val="006845FA"/>
    <w:rsid w:val="00684E69"/>
    <w:rsid w:val="00684EB4"/>
    <w:rsid w:val="00685E0D"/>
    <w:rsid w:val="00687035"/>
    <w:rsid w:val="0068746D"/>
    <w:rsid w:val="00690276"/>
    <w:rsid w:val="00691219"/>
    <w:rsid w:val="0069167F"/>
    <w:rsid w:val="006928B8"/>
    <w:rsid w:val="00694FE5"/>
    <w:rsid w:val="00696EA9"/>
    <w:rsid w:val="00697638"/>
    <w:rsid w:val="006A0611"/>
    <w:rsid w:val="006A0613"/>
    <w:rsid w:val="006A0ADB"/>
    <w:rsid w:val="006A0D12"/>
    <w:rsid w:val="006A14F6"/>
    <w:rsid w:val="006A21D7"/>
    <w:rsid w:val="006A2659"/>
    <w:rsid w:val="006A271B"/>
    <w:rsid w:val="006A2FBB"/>
    <w:rsid w:val="006A3B2F"/>
    <w:rsid w:val="006A4D1B"/>
    <w:rsid w:val="006A4D3F"/>
    <w:rsid w:val="006A6870"/>
    <w:rsid w:val="006A7685"/>
    <w:rsid w:val="006A7F48"/>
    <w:rsid w:val="006B04DC"/>
    <w:rsid w:val="006B11FE"/>
    <w:rsid w:val="006B18A8"/>
    <w:rsid w:val="006B309C"/>
    <w:rsid w:val="006B333B"/>
    <w:rsid w:val="006B4232"/>
    <w:rsid w:val="006B46DB"/>
    <w:rsid w:val="006B49D9"/>
    <w:rsid w:val="006B52AA"/>
    <w:rsid w:val="006B736B"/>
    <w:rsid w:val="006B7413"/>
    <w:rsid w:val="006B7437"/>
    <w:rsid w:val="006B784D"/>
    <w:rsid w:val="006C02DF"/>
    <w:rsid w:val="006C0FC0"/>
    <w:rsid w:val="006C21AD"/>
    <w:rsid w:val="006C325C"/>
    <w:rsid w:val="006C3D6F"/>
    <w:rsid w:val="006C3E34"/>
    <w:rsid w:val="006C4023"/>
    <w:rsid w:val="006C4783"/>
    <w:rsid w:val="006C4858"/>
    <w:rsid w:val="006C6651"/>
    <w:rsid w:val="006D0EB0"/>
    <w:rsid w:val="006D0F3A"/>
    <w:rsid w:val="006D1194"/>
    <w:rsid w:val="006D1B3C"/>
    <w:rsid w:val="006D1CB2"/>
    <w:rsid w:val="006D28EC"/>
    <w:rsid w:val="006D30A6"/>
    <w:rsid w:val="006D5C46"/>
    <w:rsid w:val="006D62F6"/>
    <w:rsid w:val="006D6531"/>
    <w:rsid w:val="006D69B5"/>
    <w:rsid w:val="006D6EBE"/>
    <w:rsid w:val="006D6EC2"/>
    <w:rsid w:val="006E0B8A"/>
    <w:rsid w:val="006E262E"/>
    <w:rsid w:val="006E28E4"/>
    <w:rsid w:val="006E295F"/>
    <w:rsid w:val="006E30C5"/>
    <w:rsid w:val="006E3309"/>
    <w:rsid w:val="006E35CC"/>
    <w:rsid w:val="006E44D4"/>
    <w:rsid w:val="006E4A79"/>
    <w:rsid w:val="006E68F5"/>
    <w:rsid w:val="006E6C70"/>
    <w:rsid w:val="006E6FAE"/>
    <w:rsid w:val="006E7C93"/>
    <w:rsid w:val="006F0092"/>
    <w:rsid w:val="006F107C"/>
    <w:rsid w:val="006F1AA6"/>
    <w:rsid w:val="006F23AB"/>
    <w:rsid w:val="006F35DF"/>
    <w:rsid w:val="006F575C"/>
    <w:rsid w:val="006F57B7"/>
    <w:rsid w:val="006F59EC"/>
    <w:rsid w:val="006F6FBC"/>
    <w:rsid w:val="006F7BED"/>
    <w:rsid w:val="007003DB"/>
    <w:rsid w:val="007013E7"/>
    <w:rsid w:val="007013EA"/>
    <w:rsid w:val="00701845"/>
    <w:rsid w:val="00701A79"/>
    <w:rsid w:val="007020FF"/>
    <w:rsid w:val="00703DF0"/>
    <w:rsid w:val="00704096"/>
    <w:rsid w:val="007044AA"/>
    <w:rsid w:val="00704BFF"/>
    <w:rsid w:val="00705941"/>
    <w:rsid w:val="0070718C"/>
    <w:rsid w:val="00707EE6"/>
    <w:rsid w:val="0071063C"/>
    <w:rsid w:val="00710954"/>
    <w:rsid w:val="0071158A"/>
    <w:rsid w:val="007115AB"/>
    <w:rsid w:val="00712BE9"/>
    <w:rsid w:val="00714B91"/>
    <w:rsid w:val="0071578D"/>
    <w:rsid w:val="0071693E"/>
    <w:rsid w:val="00717725"/>
    <w:rsid w:val="00721300"/>
    <w:rsid w:val="00721F1D"/>
    <w:rsid w:val="00722850"/>
    <w:rsid w:val="00723E00"/>
    <w:rsid w:val="0072452A"/>
    <w:rsid w:val="00725F84"/>
    <w:rsid w:val="00727503"/>
    <w:rsid w:val="00727A68"/>
    <w:rsid w:val="00727EAD"/>
    <w:rsid w:val="00730CE6"/>
    <w:rsid w:val="007311FB"/>
    <w:rsid w:val="0073288B"/>
    <w:rsid w:val="00735A5A"/>
    <w:rsid w:val="00735C4F"/>
    <w:rsid w:val="00735D2A"/>
    <w:rsid w:val="007361A3"/>
    <w:rsid w:val="00736496"/>
    <w:rsid w:val="0073664C"/>
    <w:rsid w:val="00737DA1"/>
    <w:rsid w:val="00737F32"/>
    <w:rsid w:val="00741099"/>
    <w:rsid w:val="00741E30"/>
    <w:rsid w:val="00744291"/>
    <w:rsid w:val="00744395"/>
    <w:rsid w:val="00744761"/>
    <w:rsid w:val="00744E87"/>
    <w:rsid w:val="007462DC"/>
    <w:rsid w:val="00747248"/>
    <w:rsid w:val="007473A7"/>
    <w:rsid w:val="00750FB6"/>
    <w:rsid w:val="00751373"/>
    <w:rsid w:val="00751650"/>
    <w:rsid w:val="0075207D"/>
    <w:rsid w:val="00752CF8"/>
    <w:rsid w:val="00756B46"/>
    <w:rsid w:val="00757E72"/>
    <w:rsid w:val="00760FB0"/>
    <w:rsid w:val="0076129C"/>
    <w:rsid w:val="007629A1"/>
    <w:rsid w:val="007665D9"/>
    <w:rsid w:val="0077005E"/>
    <w:rsid w:val="007717BF"/>
    <w:rsid w:val="00774D9E"/>
    <w:rsid w:val="00775409"/>
    <w:rsid w:val="007759C6"/>
    <w:rsid w:val="00776A4B"/>
    <w:rsid w:val="0077718D"/>
    <w:rsid w:val="00777355"/>
    <w:rsid w:val="00777614"/>
    <w:rsid w:val="007809D8"/>
    <w:rsid w:val="00780FA5"/>
    <w:rsid w:val="007813EB"/>
    <w:rsid w:val="007817A2"/>
    <w:rsid w:val="00781948"/>
    <w:rsid w:val="00781E97"/>
    <w:rsid w:val="007838F5"/>
    <w:rsid w:val="00784277"/>
    <w:rsid w:val="00786CEC"/>
    <w:rsid w:val="007872B2"/>
    <w:rsid w:val="007874FC"/>
    <w:rsid w:val="00790FAF"/>
    <w:rsid w:val="00791FDB"/>
    <w:rsid w:val="0079360E"/>
    <w:rsid w:val="007944B7"/>
    <w:rsid w:val="00794717"/>
    <w:rsid w:val="00795366"/>
    <w:rsid w:val="00795798"/>
    <w:rsid w:val="00797099"/>
    <w:rsid w:val="00797F25"/>
    <w:rsid w:val="007A00E8"/>
    <w:rsid w:val="007A01CF"/>
    <w:rsid w:val="007A0B29"/>
    <w:rsid w:val="007A1CAF"/>
    <w:rsid w:val="007A22A2"/>
    <w:rsid w:val="007A2A4A"/>
    <w:rsid w:val="007A3B47"/>
    <w:rsid w:val="007A4D2D"/>
    <w:rsid w:val="007A4F4F"/>
    <w:rsid w:val="007A5257"/>
    <w:rsid w:val="007A6F7B"/>
    <w:rsid w:val="007A770C"/>
    <w:rsid w:val="007B18EA"/>
    <w:rsid w:val="007B196C"/>
    <w:rsid w:val="007B19B0"/>
    <w:rsid w:val="007B3624"/>
    <w:rsid w:val="007B4334"/>
    <w:rsid w:val="007B5810"/>
    <w:rsid w:val="007B63DF"/>
    <w:rsid w:val="007C1D47"/>
    <w:rsid w:val="007C2007"/>
    <w:rsid w:val="007C279E"/>
    <w:rsid w:val="007C3442"/>
    <w:rsid w:val="007C3479"/>
    <w:rsid w:val="007C3599"/>
    <w:rsid w:val="007C3CA8"/>
    <w:rsid w:val="007C404A"/>
    <w:rsid w:val="007C41DD"/>
    <w:rsid w:val="007C4A39"/>
    <w:rsid w:val="007C4E1B"/>
    <w:rsid w:val="007C5D97"/>
    <w:rsid w:val="007C5DC2"/>
    <w:rsid w:val="007C730A"/>
    <w:rsid w:val="007D02DA"/>
    <w:rsid w:val="007D1D2A"/>
    <w:rsid w:val="007D2290"/>
    <w:rsid w:val="007D2D8C"/>
    <w:rsid w:val="007D38BC"/>
    <w:rsid w:val="007D4063"/>
    <w:rsid w:val="007D4487"/>
    <w:rsid w:val="007D598C"/>
    <w:rsid w:val="007D608F"/>
    <w:rsid w:val="007D6BC8"/>
    <w:rsid w:val="007D6D83"/>
    <w:rsid w:val="007D7120"/>
    <w:rsid w:val="007E0601"/>
    <w:rsid w:val="007E0D89"/>
    <w:rsid w:val="007E206B"/>
    <w:rsid w:val="007E35CB"/>
    <w:rsid w:val="007E401D"/>
    <w:rsid w:val="007E4889"/>
    <w:rsid w:val="007E5272"/>
    <w:rsid w:val="007E54DF"/>
    <w:rsid w:val="007E5F8E"/>
    <w:rsid w:val="007E683C"/>
    <w:rsid w:val="007E742A"/>
    <w:rsid w:val="007F06D4"/>
    <w:rsid w:val="007F0722"/>
    <w:rsid w:val="007F1CEF"/>
    <w:rsid w:val="007F2F9F"/>
    <w:rsid w:val="007F38A9"/>
    <w:rsid w:val="007F3A5A"/>
    <w:rsid w:val="007F3D3B"/>
    <w:rsid w:val="007F6323"/>
    <w:rsid w:val="007F69FD"/>
    <w:rsid w:val="00800DB8"/>
    <w:rsid w:val="00801CA3"/>
    <w:rsid w:val="008052BD"/>
    <w:rsid w:val="0080690C"/>
    <w:rsid w:val="00807DB1"/>
    <w:rsid w:val="008101EF"/>
    <w:rsid w:val="00810FD4"/>
    <w:rsid w:val="00811948"/>
    <w:rsid w:val="00812363"/>
    <w:rsid w:val="008126E4"/>
    <w:rsid w:val="00812BF5"/>
    <w:rsid w:val="008134FD"/>
    <w:rsid w:val="008143CC"/>
    <w:rsid w:val="008147D0"/>
    <w:rsid w:val="00815F82"/>
    <w:rsid w:val="008173BF"/>
    <w:rsid w:val="00820B74"/>
    <w:rsid w:val="008210A8"/>
    <w:rsid w:val="00821A22"/>
    <w:rsid w:val="00822E27"/>
    <w:rsid w:val="00823009"/>
    <w:rsid w:val="008230CD"/>
    <w:rsid w:val="0082467C"/>
    <w:rsid w:val="00826EF1"/>
    <w:rsid w:val="008271D2"/>
    <w:rsid w:val="00830348"/>
    <w:rsid w:val="00831309"/>
    <w:rsid w:val="00831F04"/>
    <w:rsid w:val="00831F44"/>
    <w:rsid w:val="0083320C"/>
    <w:rsid w:val="00833464"/>
    <w:rsid w:val="0083435A"/>
    <w:rsid w:val="00834E08"/>
    <w:rsid w:val="00834E67"/>
    <w:rsid w:val="00835616"/>
    <w:rsid w:val="00835840"/>
    <w:rsid w:val="00835A15"/>
    <w:rsid w:val="0083607E"/>
    <w:rsid w:val="00836B75"/>
    <w:rsid w:val="00837302"/>
    <w:rsid w:val="00837338"/>
    <w:rsid w:val="00837757"/>
    <w:rsid w:val="00840BCE"/>
    <w:rsid w:val="00841090"/>
    <w:rsid w:val="008427B7"/>
    <w:rsid w:val="008439F5"/>
    <w:rsid w:val="00843D72"/>
    <w:rsid w:val="00844CD3"/>
    <w:rsid w:val="00844F1B"/>
    <w:rsid w:val="0084598D"/>
    <w:rsid w:val="0084609E"/>
    <w:rsid w:val="00846598"/>
    <w:rsid w:val="00846B8E"/>
    <w:rsid w:val="0085134D"/>
    <w:rsid w:val="008513CD"/>
    <w:rsid w:val="00851D72"/>
    <w:rsid w:val="0085240C"/>
    <w:rsid w:val="00852526"/>
    <w:rsid w:val="00852978"/>
    <w:rsid w:val="00853E98"/>
    <w:rsid w:val="00855D5E"/>
    <w:rsid w:val="00855F25"/>
    <w:rsid w:val="00856A56"/>
    <w:rsid w:val="00856EE7"/>
    <w:rsid w:val="00860F4A"/>
    <w:rsid w:val="0086134E"/>
    <w:rsid w:val="00861615"/>
    <w:rsid w:val="0086167B"/>
    <w:rsid w:val="00862327"/>
    <w:rsid w:val="00862713"/>
    <w:rsid w:val="008627D6"/>
    <w:rsid w:val="00862E5E"/>
    <w:rsid w:val="00863536"/>
    <w:rsid w:val="00865129"/>
    <w:rsid w:val="00865189"/>
    <w:rsid w:val="00865485"/>
    <w:rsid w:val="008661AE"/>
    <w:rsid w:val="0086768A"/>
    <w:rsid w:val="00867760"/>
    <w:rsid w:val="00871881"/>
    <w:rsid w:val="0087197C"/>
    <w:rsid w:val="00872817"/>
    <w:rsid w:val="00873026"/>
    <w:rsid w:val="00873C3C"/>
    <w:rsid w:val="00874982"/>
    <w:rsid w:val="00875DD0"/>
    <w:rsid w:val="00877578"/>
    <w:rsid w:val="00877584"/>
    <w:rsid w:val="00877B86"/>
    <w:rsid w:val="00880D8B"/>
    <w:rsid w:val="00880EDB"/>
    <w:rsid w:val="0088100D"/>
    <w:rsid w:val="0088124C"/>
    <w:rsid w:val="00883535"/>
    <w:rsid w:val="008839B1"/>
    <w:rsid w:val="00883DA7"/>
    <w:rsid w:val="00883F9B"/>
    <w:rsid w:val="008856AE"/>
    <w:rsid w:val="00885F0A"/>
    <w:rsid w:val="008865C7"/>
    <w:rsid w:val="00886F93"/>
    <w:rsid w:val="00887342"/>
    <w:rsid w:val="008874C0"/>
    <w:rsid w:val="00890675"/>
    <w:rsid w:val="00892A7F"/>
    <w:rsid w:val="00892C11"/>
    <w:rsid w:val="00893470"/>
    <w:rsid w:val="008936B9"/>
    <w:rsid w:val="0089422E"/>
    <w:rsid w:val="0089436A"/>
    <w:rsid w:val="008948D3"/>
    <w:rsid w:val="00894ABA"/>
    <w:rsid w:val="00894D4C"/>
    <w:rsid w:val="0089531C"/>
    <w:rsid w:val="008956FE"/>
    <w:rsid w:val="008967FD"/>
    <w:rsid w:val="008A0C07"/>
    <w:rsid w:val="008A2ADB"/>
    <w:rsid w:val="008A2B86"/>
    <w:rsid w:val="008A2D09"/>
    <w:rsid w:val="008A35F8"/>
    <w:rsid w:val="008A43BF"/>
    <w:rsid w:val="008A4420"/>
    <w:rsid w:val="008A465F"/>
    <w:rsid w:val="008A4A14"/>
    <w:rsid w:val="008A598D"/>
    <w:rsid w:val="008A6F06"/>
    <w:rsid w:val="008B0748"/>
    <w:rsid w:val="008B0E2B"/>
    <w:rsid w:val="008B0F23"/>
    <w:rsid w:val="008B219F"/>
    <w:rsid w:val="008B22EF"/>
    <w:rsid w:val="008B2DCB"/>
    <w:rsid w:val="008B35AB"/>
    <w:rsid w:val="008B3932"/>
    <w:rsid w:val="008B3C9C"/>
    <w:rsid w:val="008B4100"/>
    <w:rsid w:val="008C14EB"/>
    <w:rsid w:val="008C1914"/>
    <w:rsid w:val="008C2A63"/>
    <w:rsid w:val="008C2F54"/>
    <w:rsid w:val="008C4243"/>
    <w:rsid w:val="008C463E"/>
    <w:rsid w:val="008C4D2C"/>
    <w:rsid w:val="008C5231"/>
    <w:rsid w:val="008C5648"/>
    <w:rsid w:val="008C6638"/>
    <w:rsid w:val="008D17FB"/>
    <w:rsid w:val="008D2B21"/>
    <w:rsid w:val="008D421F"/>
    <w:rsid w:val="008D4553"/>
    <w:rsid w:val="008D472B"/>
    <w:rsid w:val="008D4E9A"/>
    <w:rsid w:val="008D5088"/>
    <w:rsid w:val="008D6254"/>
    <w:rsid w:val="008D7487"/>
    <w:rsid w:val="008E074F"/>
    <w:rsid w:val="008E0F43"/>
    <w:rsid w:val="008E4229"/>
    <w:rsid w:val="008E5A96"/>
    <w:rsid w:val="008E6752"/>
    <w:rsid w:val="008E7380"/>
    <w:rsid w:val="008E73B7"/>
    <w:rsid w:val="008E795C"/>
    <w:rsid w:val="008F0AFE"/>
    <w:rsid w:val="008F1592"/>
    <w:rsid w:val="008F4DE9"/>
    <w:rsid w:val="008F67CC"/>
    <w:rsid w:val="008F6ECA"/>
    <w:rsid w:val="008F6F33"/>
    <w:rsid w:val="008F740F"/>
    <w:rsid w:val="008F75C6"/>
    <w:rsid w:val="00900647"/>
    <w:rsid w:val="00900C09"/>
    <w:rsid w:val="009015C4"/>
    <w:rsid w:val="009022FB"/>
    <w:rsid w:val="00904236"/>
    <w:rsid w:val="0090444F"/>
    <w:rsid w:val="00905BEF"/>
    <w:rsid w:val="00906635"/>
    <w:rsid w:val="00906A6D"/>
    <w:rsid w:val="00906D79"/>
    <w:rsid w:val="00906EC0"/>
    <w:rsid w:val="00910442"/>
    <w:rsid w:val="00910472"/>
    <w:rsid w:val="00910580"/>
    <w:rsid w:val="00910F64"/>
    <w:rsid w:val="0091176C"/>
    <w:rsid w:val="00912410"/>
    <w:rsid w:val="0091318A"/>
    <w:rsid w:val="0091451F"/>
    <w:rsid w:val="00914BC1"/>
    <w:rsid w:val="0091533E"/>
    <w:rsid w:val="009159C0"/>
    <w:rsid w:val="00916163"/>
    <w:rsid w:val="00916340"/>
    <w:rsid w:val="00920560"/>
    <w:rsid w:val="00920B5D"/>
    <w:rsid w:val="00920F01"/>
    <w:rsid w:val="00920FB2"/>
    <w:rsid w:val="00921857"/>
    <w:rsid w:val="009219D0"/>
    <w:rsid w:val="009227AF"/>
    <w:rsid w:val="00922BAB"/>
    <w:rsid w:val="00923CCE"/>
    <w:rsid w:val="00923EE0"/>
    <w:rsid w:val="00925992"/>
    <w:rsid w:val="009267F2"/>
    <w:rsid w:val="00926E7D"/>
    <w:rsid w:val="0092713E"/>
    <w:rsid w:val="00930179"/>
    <w:rsid w:val="009318CD"/>
    <w:rsid w:val="00931D3B"/>
    <w:rsid w:val="00933FB2"/>
    <w:rsid w:val="00935126"/>
    <w:rsid w:val="00935751"/>
    <w:rsid w:val="00935B3B"/>
    <w:rsid w:val="009368E5"/>
    <w:rsid w:val="009371C0"/>
    <w:rsid w:val="00937611"/>
    <w:rsid w:val="00937B75"/>
    <w:rsid w:val="00941CEC"/>
    <w:rsid w:val="00942BA0"/>
    <w:rsid w:val="00943444"/>
    <w:rsid w:val="00943E42"/>
    <w:rsid w:val="009440B7"/>
    <w:rsid w:val="009455FD"/>
    <w:rsid w:val="00945963"/>
    <w:rsid w:val="00945C10"/>
    <w:rsid w:val="00946EFF"/>
    <w:rsid w:val="00946F54"/>
    <w:rsid w:val="00952996"/>
    <w:rsid w:val="00952A94"/>
    <w:rsid w:val="009538BD"/>
    <w:rsid w:val="00955220"/>
    <w:rsid w:val="0095673C"/>
    <w:rsid w:val="0096198E"/>
    <w:rsid w:val="009638C3"/>
    <w:rsid w:val="009642F2"/>
    <w:rsid w:val="009658C8"/>
    <w:rsid w:val="00966961"/>
    <w:rsid w:val="009672D9"/>
    <w:rsid w:val="00967CDC"/>
    <w:rsid w:val="0097045C"/>
    <w:rsid w:val="009710E8"/>
    <w:rsid w:val="00971C07"/>
    <w:rsid w:val="00971EA5"/>
    <w:rsid w:val="00972864"/>
    <w:rsid w:val="00974770"/>
    <w:rsid w:val="00975607"/>
    <w:rsid w:val="00975769"/>
    <w:rsid w:val="00975BC5"/>
    <w:rsid w:val="009760CC"/>
    <w:rsid w:val="0097678E"/>
    <w:rsid w:val="00976875"/>
    <w:rsid w:val="0097717A"/>
    <w:rsid w:val="00980AAF"/>
    <w:rsid w:val="00980AF3"/>
    <w:rsid w:val="00982BBA"/>
    <w:rsid w:val="0098372C"/>
    <w:rsid w:val="00983821"/>
    <w:rsid w:val="0098430B"/>
    <w:rsid w:val="00984674"/>
    <w:rsid w:val="00985720"/>
    <w:rsid w:val="009858B5"/>
    <w:rsid w:val="00985B1B"/>
    <w:rsid w:val="00985ECF"/>
    <w:rsid w:val="009860C3"/>
    <w:rsid w:val="00986185"/>
    <w:rsid w:val="009875F6"/>
    <w:rsid w:val="0099022B"/>
    <w:rsid w:val="00990321"/>
    <w:rsid w:val="00990E69"/>
    <w:rsid w:val="00991B58"/>
    <w:rsid w:val="00992073"/>
    <w:rsid w:val="00992D1B"/>
    <w:rsid w:val="00994CE2"/>
    <w:rsid w:val="009953B7"/>
    <w:rsid w:val="009954CA"/>
    <w:rsid w:val="00995CBC"/>
    <w:rsid w:val="0099714E"/>
    <w:rsid w:val="009978FD"/>
    <w:rsid w:val="009A0F87"/>
    <w:rsid w:val="009A1048"/>
    <w:rsid w:val="009A1317"/>
    <w:rsid w:val="009A1877"/>
    <w:rsid w:val="009A2806"/>
    <w:rsid w:val="009A384A"/>
    <w:rsid w:val="009A3A93"/>
    <w:rsid w:val="009A3D44"/>
    <w:rsid w:val="009A421E"/>
    <w:rsid w:val="009A42B5"/>
    <w:rsid w:val="009A5E4C"/>
    <w:rsid w:val="009A5FC1"/>
    <w:rsid w:val="009A6450"/>
    <w:rsid w:val="009B0972"/>
    <w:rsid w:val="009B31E4"/>
    <w:rsid w:val="009B391F"/>
    <w:rsid w:val="009B3F39"/>
    <w:rsid w:val="009B5128"/>
    <w:rsid w:val="009B6E42"/>
    <w:rsid w:val="009B732D"/>
    <w:rsid w:val="009B78A9"/>
    <w:rsid w:val="009B7DFC"/>
    <w:rsid w:val="009C1566"/>
    <w:rsid w:val="009C2D58"/>
    <w:rsid w:val="009C3F7E"/>
    <w:rsid w:val="009C4308"/>
    <w:rsid w:val="009C4E29"/>
    <w:rsid w:val="009C63BD"/>
    <w:rsid w:val="009C67FA"/>
    <w:rsid w:val="009C7D1F"/>
    <w:rsid w:val="009D14E5"/>
    <w:rsid w:val="009D188C"/>
    <w:rsid w:val="009D3152"/>
    <w:rsid w:val="009D3205"/>
    <w:rsid w:val="009D4758"/>
    <w:rsid w:val="009D48F0"/>
    <w:rsid w:val="009D4CE5"/>
    <w:rsid w:val="009D555E"/>
    <w:rsid w:val="009D5D0D"/>
    <w:rsid w:val="009E0B6C"/>
    <w:rsid w:val="009E28AB"/>
    <w:rsid w:val="009E3033"/>
    <w:rsid w:val="009E411B"/>
    <w:rsid w:val="009E44D5"/>
    <w:rsid w:val="009E570D"/>
    <w:rsid w:val="009E6DD4"/>
    <w:rsid w:val="009E6E42"/>
    <w:rsid w:val="009E7CD0"/>
    <w:rsid w:val="009E7E12"/>
    <w:rsid w:val="009E7E2C"/>
    <w:rsid w:val="009F0923"/>
    <w:rsid w:val="009F0B06"/>
    <w:rsid w:val="009F1963"/>
    <w:rsid w:val="009F1F1B"/>
    <w:rsid w:val="009F290D"/>
    <w:rsid w:val="009F3D27"/>
    <w:rsid w:val="009F3ECB"/>
    <w:rsid w:val="009F4687"/>
    <w:rsid w:val="009F4E64"/>
    <w:rsid w:val="009F4FB4"/>
    <w:rsid w:val="009F5214"/>
    <w:rsid w:val="009F55DB"/>
    <w:rsid w:val="009F7522"/>
    <w:rsid w:val="00A011BD"/>
    <w:rsid w:val="00A01368"/>
    <w:rsid w:val="00A01B92"/>
    <w:rsid w:val="00A01D73"/>
    <w:rsid w:val="00A020D3"/>
    <w:rsid w:val="00A0232C"/>
    <w:rsid w:val="00A02DCA"/>
    <w:rsid w:val="00A02FC9"/>
    <w:rsid w:val="00A03053"/>
    <w:rsid w:val="00A03BC9"/>
    <w:rsid w:val="00A04559"/>
    <w:rsid w:val="00A075BD"/>
    <w:rsid w:val="00A07B6C"/>
    <w:rsid w:val="00A07E8F"/>
    <w:rsid w:val="00A10A2A"/>
    <w:rsid w:val="00A10E18"/>
    <w:rsid w:val="00A148DF"/>
    <w:rsid w:val="00A14B87"/>
    <w:rsid w:val="00A1719D"/>
    <w:rsid w:val="00A1755B"/>
    <w:rsid w:val="00A17DB2"/>
    <w:rsid w:val="00A20779"/>
    <w:rsid w:val="00A20D1C"/>
    <w:rsid w:val="00A21D71"/>
    <w:rsid w:val="00A2209E"/>
    <w:rsid w:val="00A22F74"/>
    <w:rsid w:val="00A22F76"/>
    <w:rsid w:val="00A22F82"/>
    <w:rsid w:val="00A2389D"/>
    <w:rsid w:val="00A24831"/>
    <w:rsid w:val="00A25074"/>
    <w:rsid w:val="00A2598A"/>
    <w:rsid w:val="00A25B53"/>
    <w:rsid w:val="00A26D5D"/>
    <w:rsid w:val="00A30A7E"/>
    <w:rsid w:val="00A30E7F"/>
    <w:rsid w:val="00A31B7A"/>
    <w:rsid w:val="00A327C1"/>
    <w:rsid w:val="00A334B8"/>
    <w:rsid w:val="00A34796"/>
    <w:rsid w:val="00A348D5"/>
    <w:rsid w:val="00A3495F"/>
    <w:rsid w:val="00A34EF8"/>
    <w:rsid w:val="00A35133"/>
    <w:rsid w:val="00A36250"/>
    <w:rsid w:val="00A36B73"/>
    <w:rsid w:val="00A3780C"/>
    <w:rsid w:val="00A37CFF"/>
    <w:rsid w:val="00A40C71"/>
    <w:rsid w:val="00A40D53"/>
    <w:rsid w:val="00A41670"/>
    <w:rsid w:val="00A4176E"/>
    <w:rsid w:val="00A4272B"/>
    <w:rsid w:val="00A42A04"/>
    <w:rsid w:val="00A4512D"/>
    <w:rsid w:val="00A45752"/>
    <w:rsid w:val="00A52237"/>
    <w:rsid w:val="00A53404"/>
    <w:rsid w:val="00A53966"/>
    <w:rsid w:val="00A53B63"/>
    <w:rsid w:val="00A53E43"/>
    <w:rsid w:val="00A54295"/>
    <w:rsid w:val="00A56158"/>
    <w:rsid w:val="00A57795"/>
    <w:rsid w:val="00A60D9C"/>
    <w:rsid w:val="00A619C2"/>
    <w:rsid w:val="00A61DD9"/>
    <w:rsid w:val="00A6219A"/>
    <w:rsid w:val="00A62915"/>
    <w:rsid w:val="00A62BA5"/>
    <w:rsid w:val="00A64223"/>
    <w:rsid w:val="00A6542C"/>
    <w:rsid w:val="00A66393"/>
    <w:rsid w:val="00A667B0"/>
    <w:rsid w:val="00A67299"/>
    <w:rsid w:val="00A674CF"/>
    <w:rsid w:val="00A70347"/>
    <w:rsid w:val="00A72D25"/>
    <w:rsid w:val="00A735BE"/>
    <w:rsid w:val="00A73BFB"/>
    <w:rsid w:val="00A73C53"/>
    <w:rsid w:val="00A747DC"/>
    <w:rsid w:val="00A74DC2"/>
    <w:rsid w:val="00A75319"/>
    <w:rsid w:val="00A75658"/>
    <w:rsid w:val="00A76579"/>
    <w:rsid w:val="00A7732B"/>
    <w:rsid w:val="00A77B46"/>
    <w:rsid w:val="00A806B7"/>
    <w:rsid w:val="00A807C3"/>
    <w:rsid w:val="00A80D92"/>
    <w:rsid w:val="00A81563"/>
    <w:rsid w:val="00A8178E"/>
    <w:rsid w:val="00A83387"/>
    <w:rsid w:val="00A83881"/>
    <w:rsid w:val="00A83D6C"/>
    <w:rsid w:val="00A8541E"/>
    <w:rsid w:val="00A8613E"/>
    <w:rsid w:val="00A8626E"/>
    <w:rsid w:val="00A8658C"/>
    <w:rsid w:val="00A87A48"/>
    <w:rsid w:val="00A905B6"/>
    <w:rsid w:val="00A908ED"/>
    <w:rsid w:val="00A92BEA"/>
    <w:rsid w:val="00A96DAB"/>
    <w:rsid w:val="00AA0617"/>
    <w:rsid w:val="00AA0A5B"/>
    <w:rsid w:val="00AA0DC7"/>
    <w:rsid w:val="00AA0E60"/>
    <w:rsid w:val="00AA2362"/>
    <w:rsid w:val="00AA2738"/>
    <w:rsid w:val="00AA4320"/>
    <w:rsid w:val="00AA44A0"/>
    <w:rsid w:val="00AA4734"/>
    <w:rsid w:val="00AA5C0F"/>
    <w:rsid w:val="00AA60C6"/>
    <w:rsid w:val="00AA66AD"/>
    <w:rsid w:val="00AB2786"/>
    <w:rsid w:val="00AB3BA9"/>
    <w:rsid w:val="00AB4929"/>
    <w:rsid w:val="00AB5319"/>
    <w:rsid w:val="00AB64F0"/>
    <w:rsid w:val="00AC04EF"/>
    <w:rsid w:val="00AC320A"/>
    <w:rsid w:val="00AC3A8D"/>
    <w:rsid w:val="00AC4FFD"/>
    <w:rsid w:val="00AC67E1"/>
    <w:rsid w:val="00AD2648"/>
    <w:rsid w:val="00AD3972"/>
    <w:rsid w:val="00AD4B88"/>
    <w:rsid w:val="00AE05DA"/>
    <w:rsid w:val="00AE0C5C"/>
    <w:rsid w:val="00AE1CD9"/>
    <w:rsid w:val="00AE46FF"/>
    <w:rsid w:val="00AE56E4"/>
    <w:rsid w:val="00AE5709"/>
    <w:rsid w:val="00AE5DE1"/>
    <w:rsid w:val="00AE6AE5"/>
    <w:rsid w:val="00AE6EC1"/>
    <w:rsid w:val="00AE6FCE"/>
    <w:rsid w:val="00AE74B2"/>
    <w:rsid w:val="00AE7E0E"/>
    <w:rsid w:val="00AF0E0B"/>
    <w:rsid w:val="00AF3D68"/>
    <w:rsid w:val="00AF4931"/>
    <w:rsid w:val="00AF57E3"/>
    <w:rsid w:val="00AF6912"/>
    <w:rsid w:val="00AF72B9"/>
    <w:rsid w:val="00AF7829"/>
    <w:rsid w:val="00B01EBD"/>
    <w:rsid w:val="00B0247D"/>
    <w:rsid w:val="00B02D85"/>
    <w:rsid w:val="00B10B29"/>
    <w:rsid w:val="00B10E4E"/>
    <w:rsid w:val="00B12628"/>
    <w:rsid w:val="00B12823"/>
    <w:rsid w:val="00B1303A"/>
    <w:rsid w:val="00B13956"/>
    <w:rsid w:val="00B15503"/>
    <w:rsid w:val="00B15D26"/>
    <w:rsid w:val="00B16441"/>
    <w:rsid w:val="00B16DB7"/>
    <w:rsid w:val="00B17339"/>
    <w:rsid w:val="00B210D9"/>
    <w:rsid w:val="00B225EB"/>
    <w:rsid w:val="00B23316"/>
    <w:rsid w:val="00B239E1"/>
    <w:rsid w:val="00B2405E"/>
    <w:rsid w:val="00B2474A"/>
    <w:rsid w:val="00B250AC"/>
    <w:rsid w:val="00B257A9"/>
    <w:rsid w:val="00B25D93"/>
    <w:rsid w:val="00B25F8C"/>
    <w:rsid w:val="00B2785F"/>
    <w:rsid w:val="00B27FB6"/>
    <w:rsid w:val="00B30F68"/>
    <w:rsid w:val="00B31DEC"/>
    <w:rsid w:val="00B321BA"/>
    <w:rsid w:val="00B329DE"/>
    <w:rsid w:val="00B32F7B"/>
    <w:rsid w:val="00B33A44"/>
    <w:rsid w:val="00B342BF"/>
    <w:rsid w:val="00B3464D"/>
    <w:rsid w:val="00B34A50"/>
    <w:rsid w:val="00B36221"/>
    <w:rsid w:val="00B36A72"/>
    <w:rsid w:val="00B36FB9"/>
    <w:rsid w:val="00B37DA9"/>
    <w:rsid w:val="00B40246"/>
    <w:rsid w:val="00B40ABA"/>
    <w:rsid w:val="00B42442"/>
    <w:rsid w:val="00B4633E"/>
    <w:rsid w:val="00B46F35"/>
    <w:rsid w:val="00B50ADB"/>
    <w:rsid w:val="00B50D22"/>
    <w:rsid w:val="00B5171B"/>
    <w:rsid w:val="00B51ABF"/>
    <w:rsid w:val="00B528C7"/>
    <w:rsid w:val="00B55069"/>
    <w:rsid w:val="00B55ACF"/>
    <w:rsid w:val="00B55C91"/>
    <w:rsid w:val="00B56D9C"/>
    <w:rsid w:val="00B5795D"/>
    <w:rsid w:val="00B60DA1"/>
    <w:rsid w:val="00B61BAA"/>
    <w:rsid w:val="00B61F17"/>
    <w:rsid w:val="00B62526"/>
    <w:rsid w:val="00B63295"/>
    <w:rsid w:val="00B638C5"/>
    <w:rsid w:val="00B640C6"/>
    <w:rsid w:val="00B6440C"/>
    <w:rsid w:val="00B6456F"/>
    <w:rsid w:val="00B64DD0"/>
    <w:rsid w:val="00B6521D"/>
    <w:rsid w:val="00B65737"/>
    <w:rsid w:val="00B65FC8"/>
    <w:rsid w:val="00B66D9A"/>
    <w:rsid w:val="00B67350"/>
    <w:rsid w:val="00B67921"/>
    <w:rsid w:val="00B67EE4"/>
    <w:rsid w:val="00B7030C"/>
    <w:rsid w:val="00B70359"/>
    <w:rsid w:val="00B723A0"/>
    <w:rsid w:val="00B72AEF"/>
    <w:rsid w:val="00B73308"/>
    <w:rsid w:val="00B742AA"/>
    <w:rsid w:val="00B74C28"/>
    <w:rsid w:val="00B752D1"/>
    <w:rsid w:val="00B75534"/>
    <w:rsid w:val="00B75F26"/>
    <w:rsid w:val="00B75FB4"/>
    <w:rsid w:val="00B76D7A"/>
    <w:rsid w:val="00B772D3"/>
    <w:rsid w:val="00B800CA"/>
    <w:rsid w:val="00B81E18"/>
    <w:rsid w:val="00B84621"/>
    <w:rsid w:val="00B848FD"/>
    <w:rsid w:val="00B85040"/>
    <w:rsid w:val="00B85AB0"/>
    <w:rsid w:val="00B86A7A"/>
    <w:rsid w:val="00B86F4B"/>
    <w:rsid w:val="00B877B0"/>
    <w:rsid w:val="00B90D28"/>
    <w:rsid w:val="00B91359"/>
    <w:rsid w:val="00B91888"/>
    <w:rsid w:val="00B918B5"/>
    <w:rsid w:val="00B9331A"/>
    <w:rsid w:val="00B9444D"/>
    <w:rsid w:val="00B9527F"/>
    <w:rsid w:val="00B95DEF"/>
    <w:rsid w:val="00B97B9B"/>
    <w:rsid w:val="00BA0D71"/>
    <w:rsid w:val="00BA0D83"/>
    <w:rsid w:val="00BA26F0"/>
    <w:rsid w:val="00BA2704"/>
    <w:rsid w:val="00BA2768"/>
    <w:rsid w:val="00BA29C5"/>
    <w:rsid w:val="00BA4D61"/>
    <w:rsid w:val="00BA5306"/>
    <w:rsid w:val="00BA577B"/>
    <w:rsid w:val="00BA5EC1"/>
    <w:rsid w:val="00BA5EE3"/>
    <w:rsid w:val="00BA629A"/>
    <w:rsid w:val="00BA6763"/>
    <w:rsid w:val="00BA68B6"/>
    <w:rsid w:val="00BA6976"/>
    <w:rsid w:val="00BA7B1C"/>
    <w:rsid w:val="00BB041A"/>
    <w:rsid w:val="00BB112B"/>
    <w:rsid w:val="00BB263F"/>
    <w:rsid w:val="00BB277B"/>
    <w:rsid w:val="00BB2892"/>
    <w:rsid w:val="00BB303D"/>
    <w:rsid w:val="00BB3857"/>
    <w:rsid w:val="00BB3DFC"/>
    <w:rsid w:val="00BB492C"/>
    <w:rsid w:val="00BB51E8"/>
    <w:rsid w:val="00BB53DC"/>
    <w:rsid w:val="00BB5BFA"/>
    <w:rsid w:val="00BB611E"/>
    <w:rsid w:val="00BB7392"/>
    <w:rsid w:val="00BB7F71"/>
    <w:rsid w:val="00BC2EA7"/>
    <w:rsid w:val="00BC2FEA"/>
    <w:rsid w:val="00BC3AF4"/>
    <w:rsid w:val="00BC4A9E"/>
    <w:rsid w:val="00BC4E32"/>
    <w:rsid w:val="00BC52C0"/>
    <w:rsid w:val="00BC6660"/>
    <w:rsid w:val="00BC6C41"/>
    <w:rsid w:val="00BC749C"/>
    <w:rsid w:val="00BD12B3"/>
    <w:rsid w:val="00BD13EE"/>
    <w:rsid w:val="00BD2097"/>
    <w:rsid w:val="00BD2C63"/>
    <w:rsid w:val="00BD2DC5"/>
    <w:rsid w:val="00BD3AB3"/>
    <w:rsid w:val="00BD3D21"/>
    <w:rsid w:val="00BD47ED"/>
    <w:rsid w:val="00BD4C3F"/>
    <w:rsid w:val="00BD4F36"/>
    <w:rsid w:val="00BD5331"/>
    <w:rsid w:val="00BD557C"/>
    <w:rsid w:val="00BD5673"/>
    <w:rsid w:val="00BD5BEB"/>
    <w:rsid w:val="00BD6CC7"/>
    <w:rsid w:val="00BD7088"/>
    <w:rsid w:val="00BE0471"/>
    <w:rsid w:val="00BE083C"/>
    <w:rsid w:val="00BE3BEC"/>
    <w:rsid w:val="00BE4E23"/>
    <w:rsid w:val="00BE4E87"/>
    <w:rsid w:val="00BE73ED"/>
    <w:rsid w:val="00BF08B9"/>
    <w:rsid w:val="00BF13C9"/>
    <w:rsid w:val="00BF14AC"/>
    <w:rsid w:val="00BF16E4"/>
    <w:rsid w:val="00BF2B73"/>
    <w:rsid w:val="00BF310A"/>
    <w:rsid w:val="00BF4B56"/>
    <w:rsid w:val="00BF541D"/>
    <w:rsid w:val="00BF5BE1"/>
    <w:rsid w:val="00BF6263"/>
    <w:rsid w:val="00BF664F"/>
    <w:rsid w:val="00C00F03"/>
    <w:rsid w:val="00C02403"/>
    <w:rsid w:val="00C02ED3"/>
    <w:rsid w:val="00C04AAA"/>
    <w:rsid w:val="00C05D6F"/>
    <w:rsid w:val="00C078EF"/>
    <w:rsid w:val="00C0798C"/>
    <w:rsid w:val="00C100FD"/>
    <w:rsid w:val="00C102A7"/>
    <w:rsid w:val="00C10904"/>
    <w:rsid w:val="00C118EA"/>
    <w:rsid w:val="00C12168"/>
    <w:rsid w:val="00C12634"/>
    <w:rsid w:val="00C12638"/>
    <w:rsid w:val="00C128ED"/>
    <w:rsid w:val="00C12F92"/>
    <w:rsid w:val="00C1345B"/>
    <w:rsid w:val="00C13874"/>
    <w:rsid w:val="00C14B55"/>
    <w:rsid w:val="00C15472"/>
    <w:rsid w:val="00C1571C"/>
    <w:rsid w:val="00C15C70"/>
    <w:rsid w:val="00C1699F"/>
    <w:rsid w:val="00C1731A"/>
    <w:rsid w:val="00C20328"/>
    <w:rsid w:val="00C203E1"/>
    <w:rsid w:val="00C20623"/>
    <w:rsid w:val="00C207F4"/>
    <w:rsid w:val="00C21387"/>
    <w:rsid w:val="00C2247C"/>
    <w:rsid w:val="00C22F9C"/>
    <w:rsid w:val="00C2352B"/>
    <w:rsid w:val="00C23532"/>
    <w:rsid w:val="00C23868"/>
    <w:rsid w:val="00C23F98"/>
    <w:rsid w:val="00C24707"/>
    <w:rsid w:val="00C25063"/>
    <w:rsid w:val="00C25CF3"/>
    <w:rsid w:val="00C26B18"/>
    <w:rsid w:val="00C2708F"/>
    <w:rsid w:val="00C27BE6"/>
    <w:rsid w:val="00C33EF0"/>
    <w:rsid w:val="00C347D8"/>
    <w:rsid w:val="00C3565F"/>
    <w:rsid w:val="00C35B8F"/>
    <w:rsid w:val="00C360CA"/>
    <w:rsid w:val="00C3781C"/>
    <w:rsid w:val="00C37B26"/>
    <w:rsid w:val="00C40330"/>
    <w:rsid w:val="00C40385"/>
    <w:rsid w:val="00C40416"/>
    <w:rsid w:val="00C40D56"/>
    <w:rsid w:val="00C40DD8"/>
    <w:rsid w:val="00C410CB"/>
    <w:rsid w:val="00C41497"/>
    <w:rsid w:val="00C4288B"/>
    <w:rsid w:val="00C42B64"/>
    <w:rsid w:val="00C42FCD"/>
    <w:rsid w:val="00C43B00"/>
    <w:rsid w:val="00C43BD6"/>
    <w:rsid w:val="00C43CD1"/>
    <w:rsid w:val="00C4455A"/>
    <w:rsid w:val="00C4497E"/>
    <w:rsid w:val="00C46618"/>
    <w:rsid w:val="00C46D6E"/>
    <w:rsid w:val="00C472A3"/>
    <w:rsid w:val="00C47B88"/>
    <w:rsid w:val="00C47E74"/>
    <w:rsid w:val="00C50C37"/>
    <w:rsid w:val="00C51CB3"/>
    <w:rsid w:val="00C51F70"/>
    <w:rsid w:val="00C5314C"/>
    <w:rsid w:val="00C5350E"/>
    <w:rsid w:val="00C548FA"/>
    <w:rsid w:val="00C55513"/>
    <w:rsid w:val="00C5770F"/>
    <w:rsid w:val="00C57FD9"/>
    <w:rsid w:val="00C57FE6"/>
    <w:rsid w:val="00C60740"/>
    <w:rsid w:val="00C608A7"/>
    <w:rsid w:val="00C60ACE"/>
    <w:rsid w:val="00C61BFE"/>
    <w:rsid w:val="00C623C7"/>
    <w:rsid w:val="00C626D8"/>
    <w:rsid w:val="00C63BCF"/>
    <w:rsid w:val="00C64F43"/>
    <w:rsid w:val="00C667F1"/>
    <w:rsid w:val="00C66A47"/>
    <w:rsid w:val="00C706C2"/>
    <w:rsid w:val="00C70D06"/>
    <w:rsid w:val="00C723C1"/>
    <w:rsid w:val="00C729EA"/>
    <w:rsid w:val="00C72B0B"/>
    <w:rsid w:val="00C72BE0"/>
    <w:rsid w:val="00C7376C"/>
    <w:rsid w:val="00C73AD8"/>
    <w:rsid w:val="00C747A9"/>
    <w:rsid w:val="00C74A08"/>
    <w:rsid w:val="00C7509B"/>
    <w:rsid w:val="00C75837"/>
    <w:rsid w:val="00C76018"/>
    <w:rsid w:val="00C76D5C"/>
    <w:rsid w:val="00C76E18"/>
    <w:rsid w:val="00C77C5D"/>
    <w:rsid w:val="00C77D57"/>
    <w:rsid w:val="00C8338F"/>
    <w:rsid w:val="00C83F55"/>
    <w:rsid w:val="00C85529"/>
    <w:rsid w:val="00C85AB1"/>
    <w:rsid w:val="00C86114"/>
    <w:rsid w:val="00C86988"/>
    <w:rsid w:val="00C870C8"/>
    <w:rsid w:val="00C87FF2"/>
    <w:rsid w:val="00C902AD"/>
    <w:rsid w:val="00C90E80"/>
    <w:rsid w:val="00C9153D"/>
    <w:rsid w:val="00C927C0"/>
    <w:rsid w:val="00C9293A"/>
    <w:rsid w:val="00C92A7F"/>
    <w:rsid w:val="00C934DA"/>
    <w:rsid w:val="00C93538"/>
    <w:rsid w:val="00C943E7"/>
    <w:rsid w:val="00C9491F"/>
    <w:rsid w:val="00C94C13"/>
    <w:rsid w:val="00C94D53"/>
    <w:rsid w:val="00C95338"/>
    <w:rsid w:val="00C95DF7"/>
    <w:rsid w:val="00C96347"/>
    <w:rsid w:val="00C9640A"/>
    <w:rsid w:val="00C97A51"/>
    <w:rsid w:val="00CA0635"/>
    <w:rsid w:val="00CA35BD"/>
    <w:rsid w:val="00CA36B1"/>
    <w:rsid w:val="00CA3847"/>
    <w:rsid w:val="00CA4B8C"/>
    <w:rsid w:val="00CA59FA"/>
    <w:rsid w:val="00CA6A14"/>
    <w:rsid w:val="00CA72DE"/>
    <w:rsid w:val="00CA7351"/>
    <w:rsid w:val="00CB00A4"/>
    <w:rsid w:val="00CB1007"/>
    <w:rsid w:val="00CB187B"/>
    <w:rsid w:val="00CB19DD"/>
    <w:rsid w:val="00CB2F9D"/>
    <w:rsid w:val="00CB31A9"/>
    <w:rsid w:val="00CB3B9E"/>
    <w:rsid w:val="00CB5346"/>
    <w:rsid w:val="00CB57FE"/>
    <w:rsid w:val="00CB68E3"/>
    <w:rsid w:val="00CB707C"/>
    <w:rsid w:val="00CB70FD"/>
    <w:rsid w:val="00CB7B73"/>
    <w:rsid w:val="00CB7C20"/>
    <w:rsid w:val="00CC0994"/>
    <w:rsid w:val="00CC11F6"/>
    <w:rsid w:val="00CC3D6E"/>
    <w:rsid w:val="00CC41B9"/>
    <w:rsid w:val="00CC4352"/>
    <w:rsid w:val="00CC4408"/>
    <w:rsid w:val="00CC4F9D"/>
    <w:rsid w:val="00CC5476"/>
    <w:rsid w:val="00CC7577"/>
    <w:rsid w:val="00CD08D0"/>
    <w:rsid w:val="00CD08F0"/>
    <w:rsid w:val="00CD0BDB"/>
    <w:rsid w:val="00CD12CB"/>
    <w:rsid w:val="00CD14AA"/>
    <w:rsid w:val="00CD1780"/>
    <w:rsid w:val="00CD2504"/>
    <w:rsid w:val="00CD2A5A"/>
    <w:rsid w:val="00CD2E1E"/>
    <w:rsid w:val="00CD424E"/>
    <w:rsid w:val="00CD63D9"/>
    <w:rsid w:val="00CE1147"/>
    <w:rsid w:val="00CE31E0"/>
    <w:rsid w:val="00CE47F4"/>
    <w:rsid w:val="00CE4FEF"/>
    <w:rsid w:val="00CE63F0"/>
    <w:rsid w:val="00CE6CBF"/>
    <w:rsid w:val="00CE6D7C"/>
    <w:rsid w:val="00CF0D1E"/>
    <w:rsid w:val="00CF2AB3"/>
    <w:rsid w:val="00CF2F64"/>
    <w:rsid w:val="00CF3C85"/>
    <w:rsid w:val="00CF4109"/>
    <w:rsid w:val="00CF4C81"/>
    <w:rsid w:val="00CF5E7A"/>
    <w:rsid w:val="00CF6C7E"/>
    <w:rsid w:val="00CF72E7"/>
    <w:rsid w:val="00CF75C6"/>
    <w:rsid w:val="00D00651"/>
    <w:rsid w:val="00D036BB"/>
    <w:rsid w:val="00D03730"/>
    <w:rsid w:val="00D0406B"/>
    <w:rsid w:val="00D07502"/>
    <w:rsid w:val="00D10D6D"/>
    <w:rsid w:val="00D11A55"/>
    <w:rsid w:val="00D12573"/>
    <w:rsid w:val="00D1434C"/>
    <w:rsid w:val="00D14ADF"/>
    <w:rsid w:val="00D14D54"/>
    <w:rsid w:val="00D15020"/>
    <w:rsid w:val="00D15620"/>
    <w:rsid w:val="00D16631"/>
    <w:rsid w:val="00D16EDE"/>
    <w:rsid w:val="00D17447"/>
    <w:rsid w:val="00D20755"/>
    <w:rsid w:val="00D20C5E"/>
    <w:rsid w:val="00D20D71"/>
    <w:rsid w:val="00D215C2"/>
    <w:rsid w:val="00D22672"/>
    <w:rsid w:val="00D233A4"/>
    <w:rsid w:val="00D239CA"/>
    <w:rsid w:val="00D249FE"/>
    <w:rsid w:val="00D24FEE"/>
    <w:rsid w:val="00D25FE6"/>
    <w:rsid w:val="00D26F30"/>
    <w:rsid w:val="00D2709D"/>
    <w:rsid w:val="00D27188"/>
    <w:rsid w:val="00D279B8"/>
    <w:rsid w:val="00D27BC2"/>
    <w:rsid w:val="00D306C6"/>
    <w:rsid w:val="00D30CC9"/>
    <w:rsid w:val="00D32C6C"/>
    <w:rsid w:val="00D3318A"/>
    <w:rsid w:val="00D33191"/>
    <w:rsid w:val="00D35342"/>
    <w:rsid w:val="00D35869"/>
    <w:rsid w:val="00D413FF"/>
    <w:rsid w:val="00D422F6"/>
    <w:rsid w:val="00D424E4"/>
    <w:rsid w:val="00D429D8"/>
    <w:rsid w:val="00D42DA3"/>
    <w:rsid w:val="00D4580A"/>
    <w:rsid w:val="00D46B4F"/>
    <w:rsid w:val="00D51CB1"/>
    <w:rsid w:val="00D523B6"/>
    <w:rsid w:val="00D52A07"/>
    <w:rsid w:val="00D52F17"/>
    <w:rsid w:val="00D53256"/>
    <w:rsid w:val="00D53F54"/>
    <w:rsid w:val="00D548A3"/>
    <w:rsid w:val="00D55760"/>
    <w:rsid w:val="00D55B87"/>
    <w:rsid w:val="00D55EBC"/>
    <w:rsid w:val="00D569D7"/>
    <w:rsid w:val="00D6322D"/>
    <w:rsid w:val="00D64524"/>
    <w:rsid w:val="00D64E45"/>
    <w:rsid w:val="00D671DB"/>
    <w:rsid w:val="00D67581"/>
    <w:rsid w:val="00D67ABF"/>
    <w:rsid w:val="00D67B57"/>
    <w:rsid w:val="00D702A0"/>
    <w:rsid w:val="00D71D19"/>
    <w:rsid w:val="00D73922"/>
    <w:rsid w:val="00D744C3"/>
    <w:rsid w:val="00D7583C"/>
    <w:rsid w:val="00D75CB4"/>
    <w:rsid w:val="00D76D14"/>
    <w:rsid w:val="00D778AB"/>
    <w:rsid w:val="00D80603"/>
    <w:rsid w:val="00D83940"/>
    <w:rsid w:val="00D8447B"/>
    <w:rsid w:val="00D85216"/>
    <w:rsid w:val="00D86AF3"/>
    <w:rsid w:val="00D87279"/>
    <w:rsid w:val="00D923FB"/>
    <w:rsid w:val="00D9263A"/>
    <w:rsid w:val="00D92BB3"/>
    <w:rsid w:val="00D932DB"/>
    <w:rsid w:val="00D977CF"/>
    <w:rsid w:val="00DA0189"/>
    <w:rsid w:val="00DA0966"/>
    <w:rsid w:val="00DA0AE6"/>
    <w:rsid w:val="00DA1D3A"/>
    <w:rsid w:val="00DA217E"/>
    <w:rsid w:val="00DA25BB"/>
    <w:rsid w:val="00DA3A09"/>
    <w:rsid w:val="00DA437C"/>
    <w:rsid w:val="00DA65EF"/>
    <w:rsid w:val="00DA71AA"/>
    <w:rsid w:val="00DB012A"/>
    <w:rsid w:val="00DB083F"/>
    <w:rsid w:val="00DB1192"/>
    <w:rsid w:val="00DB128C"/>
    <w:rsid w:val="00DB3094"/>
    <w:rsid w:val="00DB4825"/>
    <w:rsid w:val="00DB5107"/>
    <w:rsid w:val="00DB6D0E"/>
    <w:rsid w:val="00DB7167"/>
    <w:rsid w:val="00DB7C94"/>
    <w:rsid w:val="00DC005F"/>
    <w:rsid w:val="00DC076D"/>
    <w:rsid w:val="00DC0AF0"/>
    <w:rsid w:val="00DC12EA"/>
    <w:rsid w:val="00DC47C0"/>
    <w:rsid w:val="00DC4833"/>
    <w:rsid w:val="00DC6817"/>
    <w:rsid w:val="00DC7C85"/>
    <w:rsid w:val="00DD03D5"/>
    <w:rsid w:val="00DD1B34"/>
    <w:rsid w:val="00DD21EF"/>
    <w:rsid w:val="00DD3681"/>
    <w:rsid w:val="00DD44BD"/>
    <w:rsid w:val="00DD48C3"/>
    <w:rsid w:val="00DD4D90"/>
    <w:rsid w:val="00DD5F90"/>
    <w:rsid w:val="00DD6179"/>
    <w:rsid w:val="00DD63A9"/>
    <w:rsid w:val="00DD6481"/>
    <w:rsid w:val="00DD65B8"/>
    <w:rsid w:val="00DD6DC5"/>
    <w:rsid w:val="00DD78BE"/>
    <w:rsid w:val="00DD7C9D"/>
    <w:rsid w:val="00DD7D25"/>
    <w:rsid w:val="00DE03D7"/>
    <w:rsid w:val="00DE173A"/>
    <w:rsid w:val="00DE193D"/>
    <w:rsid w:val="00DE198B"/>
    <w:rsid w:val="00DE1F15"/>
    <w:rsid w:val="00DE2028"/>
    <w:rsid w:val="00DE34EE"/>
    <w:rsid w:val="00DE4313"/>
    <w:rsid w:val="00DE5BA5"/>
    <w:rsid w:val="00DE633D"/>
    <w:rsid w:val="00DE6EB8"/>
    <w:rsid w:val="00DE7BC0"/>
    <w:rsid w:val="00DF0557"/>
    <w:rsid w:val="00DF101C"/>
    <w:rsid w:val="00DF106C"/>
    <w:rsid w:val="00DF143C"/>
    <w:rsid w:val="00DF25D1"/>
    <w:rsid w:val="00DF30A1"/>
    <w:rsid w:val="00DF35CE"/>
    <w:rsid w:val="00DF4A11"/>
    <w:rsid w:val="00DF5B1C"/>
    <w:rsid w:val="00DF6024"/>
    <w:rsid w:val="00DF67E6"/>
    <w:rsid w:val="00DF7310"/>
    <w:rsid w:val="00DF738A"/>
    <w:rsid w:val="00DF7F36"/>
    <w:rsid w:val="00E015BB"/>
    <w:rsid w:val="00E01810"/>
    <w:rsid w:val="00E0204A"/>
    <w:rsid w:val="00E0287A"/>
    <w:rsid w:val="00E03D68"/>
    <w:rsid w:val="00E04606"/>
    <w:rsid w:val="00E04645"/>
    <w:rsid w:val="00E0511F"/>
    <w:rsid w:val="00E05D87"/>
    <w:rsid w:val="00E0694E"/>
    <w:rsid w:val="00E077C1"/>
    <w:rsid w:val="00E07DAA"/>
    <w:rsid w:val="00E10E3B"/>
    <w:rsid w:val="00E10F81"/>
    <w:rsid w:val="00E11894"/>
    <w:rsid w:val="00E12646"/>
    <w:rsid w:val="00E12879"/>
    <w:rsid w:val="00E12B06"/>
    <w:rsid w:val="00E13812"/>
    <w:rsid w:val="00E13C20"/>
    <w:rsid w:val="00E13D67"/>
    <w:rsid w:val="00E13D91"/>
    <w:rsid w:val="00E14316"/>
    <w:rsid w:val="00E14621"/>
    <w:rsid w:val="00E148F4"/>
    <w:rsid w:val="00E16DAB"/>
    <w:rsid w:val="00E17390"/>
    <w:rsid w:val="00E17ADA"/>
    <w:rsid w:val="00E201C8"/>
    <w:rsid w:val="00E2229A"/>
    <w:rsid w:val="00E22E46"/>
    <w:rsid w:val="00E23264"/>
    <w:rsid w:val="00E23A9C"/>
    <w:rsid w:val="00E243E6"/>
    <w:rsid w:val="00E24BC0"/>
    <w:rsid w:val="00E24EEE"/>
    <w:rsid w:val="00E254A4"/>
    <w:rsid w:val="00E25B87"/>
    <w:rsid w:val="00E25B92"/>
    <w:rsid w:val="00E26B3C"/>
    <w:rsid w:val="00E26BB8"/>
    <w:rsid w:val="00E2722E"/>
    <w:rsid w:val="00E275B5"/>
    <w:rsid w:val="00E278BA"/>
    <w:rsid w:val="00E279EE"/>
    <w:rsid w:val="00E3152E"/>
    <w:rsid w:val="00E3214B"/>
    <w:rsid w:val="00E323EC"/>
    <w:rsid w:val="00E33714"/>
    <w:rsid w:val="00E34896"/>
    <w:rsid w:val="00E34F14"/>
    <w:rsid w:val="00E34F85"/>
    <w:rsid w:val="00E37262"/>
    <w:rsid w:val="00E37D82"/>
    <w:rsid w:val="00E417D6"/>
    <w:rsid w:val="00E425A6"/>
    <w:rsid w:val="00E459CE"/>
    <w:rsid w:val="00E45A44"/>
    <w:rsid w:val="00E45BCA"/>
    <w:rsid w:val="00E4634E"/>
    <w:rsid w:val="00E468D1"/>
    <w:rsid w:val="00E475E9"/>
    <w:rsid w:val="00E47875"/>
    <w:rsid w:val="00E479EB"/>
    <w:rsid w:val="00E47FD3"/>
    <w:rsid w:val="00E52851"/>
    <w:rsid w:val="00E53312"/>
    <w:rsid w:val="00E533C5"/>
    <w:rsid w:val="00E540C6"/>
    <w:rsid w:val="00E55006"/>
    <w:rsid w:val="00E55D65"/>
    <w:rsid w:val="00E56A04"/>
    <w:rsid w:val="00E6000E"/>
    <w:rsid w:val="00E603AA"/>
    <w:rsid w:val="00E60BFB"/>
    <w:rsid w:val="00E61C6D"/>
    <w:rsid w:val="00E620A6"/>
    <w:rsid w:val="00E6227D"/>
    <w:rsid w:val="00E63D18"/>
    <w:rsid w:val="00E64223"/>
    <w:rsid w:val="00E64EFE"/>
    <w:rsid w:val="00E65C1B"/>
    <w:rsid w:val="00E66232"/>
    <w:rsid w:val="00E66DF1"/>
    <w:rsid w:val="00E7017D"/>
    <w:rsid w:val="00E7083B"/>
    <w:rsid w:val="00E708DA"/>
    <w:rsid w:val="00E70969"/>
    <w:rsid w:val="00E709FD"/>
    <w:rsid w:val="00E71C18"/>
    <w:rsid w:val="00E7218F"/>
    <w:rsid w:val="00E72B02"/>
    <w:rsid w:val="00E73292"/>
    <w:rsid w:val="00E7516B"/>
    <w:rsid w:val="00E75C17"/>
    <w:rsid w:val="00E811AD"/>
    <w:rsid w:val="00E81789"/>
    <w:rsid w:val="00E81AF6"/>
    <w:rsid w:val="00E81E4A"/>
    <w:rsid w:val="00E8207C"/>
    <w:rsid w:val="00E827F2"/>
    <w:rsid w:val="00E83178"/>
    <w:rsid w:val="00E84106"/>
    <w:rsid w:val="00E84E25"/>
    <w:rsid w:val="00E85A36"/>
    <w:rsid w:val="00E85D28"/>
    <w:rsid w:val="00E86C12"/>
    <w:rsid w:val="00E8759C"/>
    <w:rsid w:val="00E8767C"/>
    <w:rsid w:val="00E87C69"/>
    <w:rsid w:val="00E87D6A"/>
    <w:rsid w:val="00E90E23"/>
    <w:rsid w:val="00E91658"/>
    <w:rsid w:val="00E9248E"/>
    <w:rsid w:val="00E941E1"/>
    <w:rsid w:val="00E94779"/>
    <w:rsid w:val="00E94993"/>
    <w:rsid w:val="00E95FBA"/>
    <w:rsid w:val="00E95FF7"/>
    <w:rsid w:val="00E9664D"/>
    <w:rsid w:val="00E97382"/>
    <w:rsid w:val="00E97616"/>
    <w:rsid w:val="00EA0DC1"/>
    <w:rsid w:val="00EA19DF"/>
    <w:rsid w:val="00EA250C"/>
    <w:rsid w:val="00EA624D"/>
    <w:rsid w:val="00EB01F8"/>
    <w:rsid w:val="00EB0FB2"/>
    <w:rsid w:val="00EB1732"/>
    <w:rsid w:val="00EB2126"/>
    <w:rsid w:val="00EB2F4A"/>
    <w:rsid w:val="00EB338E"/>
    <w:rsid w:val="00EB4C19"/>
    <w:rsid w:val="00EB725E"/>
    <w:rsid w:val="00EC0AB1"/>
    <w:rsid w:val="00EC303D"/>
    <w:rsid w:val="00EC3955"/>
    <w:rsid w:val="00EC4D01"/>
    <w:rsid w:val="00EC5A5F"/>
    <w:rsid w:val="00EC69F5"/>
    <w:rsid w:val="00EC7077"/>
    <w:rsid w:val="00EC746A"/>
    <w:rsid w:val="00ED26D3"/>
    <w:rsid w:val="00ED32B2"/>
    <w:rsid w:val="00ED4061"/>
    <w:rsid w:val="00ED49EA"/>
    <w:rsid w:val="00ED5360"/>
    <w:rsid w:val="00ED549A"/>
    <w:rsid w:val="00ED5F2E"/>
    <w:rsid w:val="00ED5F8E"/>
    <w:rsid w:val="00ED64F9"/>
    <w:rsid w:val="00EE07DB"/>
    <w:rsid w:val="00EE0810"/>
    <w:rsid w:val="00EE0E1C"/>
    <w:rsid w:val="00EE15BD"/>
    <w:rsid w:val="00EE211D"/>
    <w:rsid w:val="00EE25DE"/>
    <w:rsid w:val="00EE2CE5"/>
    <w:rsid w:val="00EE2DFC"/>
    <w:rsid w:val="00EE4815"/>
    <w:rsid w:val="00EE4B18"/>
    <w:rsid w:val="00EE5319"/>
    <w:rsid w:val="00EE56CF"/>
    <w:rsid w:val="00EE56F4"/>
    <w:rsid w:val="00EE680E"/>
    <w:rsid w:val="00EE7288"/>
    <w:rsid w:val="00EE775B"/>
    <w:rsid w:val="00EF06EC"/>
    <w:rsid w:val="00EF0B43"/>
    <w:rsid w:val="00EF273B"/>
    <w:rsid w:val="00EF44E3"/>
    <w:rsid w:val="00EF4678"/>
    <w:rsid w:val="00EF546F"/>
    <w:rsid w:val="00EF5E5A"/>
    <w:rsid w:val="00EF6158"/>
    <w:rsid w:val="00F00A2F"/>
    <w:rsid w:val="00F00ECB"/>
    <w:rsid w:val="00F02461"/>
    <w:rsid w:val="00F02749"/>
    <w:rsid w:val="00F030E3"/>
    <w:rsid w:val="00F0340C"/>
    <w:rsid w:val="00F03692"/>
    <w:rsid w:val="00F039BE"/>
    <w:rsid w:val="00F040AE"/>
    <w:rsid w:val="00F06387"/>
    <w:rsid w:val="00F06E10"/>
    <w:rsid w:val="00F072FB"/>
    <w:rsid w:val="00F07A8F"/>
    <w:rsid w:val="00F11D9C"/>
    <w:rsid w:val="00F12115"/>
    <w:rsid w:val="00F122F8"/>
    <w:rsid w:val="00F1262F"/>
    <w:rsid w:val="00F12CAC"/>
    <w:rsid w:val="00F12E72"/>
    <w:rsid w:val="00F1470A"/>
    <w:rsid w:val="00F14A7F"/>
    <w:rsid w:val="00F155FA"/>
    <w:rsid w:val="00F157EF"/>
    <w:rsid w:val="00F16075"/>
    <w:rsid w:val="00F160DB"/>
    <w:rsid w:val="00F16AD5"/>
    <w:rsid w:val="00F16AEF"/>
    <w:rsid w:val="00F16C91"/>
    <w:rsid w:val="00F17AF4"/>
    <w:rsid w:val="00F17DDA"/>
    <w:rsid w:val="00F20E3F"/>
    <w:rsid w:val="00F21347"/>
    <w:rsid w:val="00F2277F"/>
    <w:rsid w:val="00F23B29"/>
    <w:rsid w:val="00F24694"/>
    <w:rsid w:val="00F25837"/>
    <w:rsid w:val="00F25CF1"/>
    <w:rsid w:val="00F268C5"/>
    <w:rsid w:val="00F26EC2"/>
    <w:rsid w:val="00F3102A"/>
    <w:rsid w:val="00F31426"/>
    <w:rsid w:val="00F31BB3"/>
    <w:rsid w:val="00F31D9A"/>
    <w:rsid w:val="00F3210B"/>
    <w:rsid w:val="00F3237C"/>
    <w:rsid w:val="00F32998"/>
    <w:rsid w:val="00F32F1D"/>
    <w:rsid w:val="00F32FE9"/>
    <w:rsid w:val="00F342E3"/>
    <w:rsid w:val="00F34621"/>
    <w:rsid w:val="00F349BE"/>
    <w:rsid w:val="00F35ACB"/>
    <w:rsid w:val="00F35FD6"/>
    <w:rsid w:val="00F3615F"/>
    <w:rsid w:val="00F364F6"/>
    <w:rsid w:val="00F36CED"/>
    <w:rsid w:val="00F40172"/>
    <w:rsid w:val="00F41691"/>
    <w:rsid w:val="00F41BFD"/>
    <w:rsid w:val="00F41D1A"/>
    <w:rsid w:val="00F42D42"/>
    <w:rsid w:val="00F44568"/>
    <w:rsid w:val="00F45232"/>
    <w:rsid w:val="00F4540D"/>
    <w:rsid w:val="00F45E9A"/>
    <w:rsid w:val="00F46164"/>
    <w:rsid w:val="00F46302"/>
    <w:rsid w:val="00F46F9D"/>
    <w:rsid w:val="00F4730C"/>
    <w:rsid w:val="00F51020"/>
    <w:rsid w:val="00F51B1A"/>
    <w:rsid w:val="00F534E9"/>
    <w:rsid w:val="00F53FE1"/>
    <w:rsid w:val="00F55ECD"/>
    <w:rsid w:val="00F571DC"/>
    <w:rsid w:val="00F57F74"/>
    <w:rsid w:val="00F60928"/>
    <w:rsid w:val="00F62D41"/>
    <w:rsid w:val="00F63897"/>
    <w:rsid w:val="00F638B5"/>
    <w:rsid w:val="00F6423E"/>
    <w:rsid w:val="00F6425D"/>
    <w:rsid w:val="00F64497"/>
    <w:rsid w:val="00F66555"/>
    <w:rsid w:val="00F6677A"/>
    <w:rsid w:val="00F66CD7"/>
    <w:rsid w:val="00F67685"/>
    <w:rsid w:val="00F70FE8"/>
    <w:rsid w:val="00F71686"/>
    <w:rsid w:val="00F7171A"/>
    <w:rsid w:val="00F71863"/>
    <w:rsid w:val="00F729B4"/>
    <w:rsid w:val="00F755B1"/>
    <w:rsid w:val="00F75637"/>
    <w:rsid w:val="00F760A8"/>
    <w:rsid w:val="00F8016E"/>
    <w:rsid w:val="00F808DE"/>
    <w:rsid w:val="00F80CFD"/>
    <w:rsid w:val="00F811E2"/>
    <w:rsid w:val="00F8306F"/>
    <w:rsid w:val="00F835A5"/>
    <w:rsid w:val="00F83CAB"/>
    <w:rsid w:val="00F84775"/>
    <w:rsid w:val="00F84E0D"/>
    <w:rsid w:val="00F85C2D"/>
    <w:rsid w:val="00F85F61"/>
    <w:rsid w:val="00F85FAC"/>
    <w:rsid w:val="00F863B4"/>
    <w:rsid w:val="00F8682F"/>
    <w:rsid w:val="00F87152"/>
    <w:rsid w:val="00F8792B"/>
    <w:rsid w:val="00F905BE"/>
    <w:rsid w:val="00F9107E"/>
    <w:rsid w:val="00F9234B"/>
    <w:rsid w:val="00F927CE"/>
    <w:rsid w:val="00F93E8A"/>
    <w:rsid w:val="00F945C4"/>
    <w:rsid w:val="00F95287"/>
    <w:rsid w:val="00F9545F"/>
    <w:rsid w:val="00F95967"/>
    <w:rsid w:val="00F9617D"/>
    <w:rsid w:val="00F9639C"/>
    <w:rsid w:val="00F97085"/>
    <w:rsid w:val="00F97862"/>
    <w:rsid w:val="00FA0DDF"/>
    <w:rsid w:val="00FA0EF7"/>
    <w:rsid w:val="00FA1448"/>
    <w:rsid w:val="00FA2CA5"/>
    <w:rsid w:val="00FA3907"/>
    <w:rsid w:val="00FA3DF5"/>
    <w:rsid w:val="00FA4760"/>
    <w:rsid w:val="00FA4D0E"/>
    <w:rsid w:val="00FA4D0F"/>
    <w:rsid w:val="00FA4FA7"/>
    <w:rsid w:val="00FA69D8"/>
    <w:rsid w:val="00FA6B46"/>
    <w:rsid w:val="00FB0018"/>
    <w:rsid w:val="00FB0D9E"/>
    <w:rsid w:val="00FB17F3"/>
    <w:rsid w:val="00FB2D59"/>
    <w:rsid w:val="00FB4B3C"/>
    <w:rsid w:val="00FB67EF"/>
    <w:rsid w:val="00FB6B7D"/>
    <w:rsid w:val="00FB6EAE"/>
    <w:rsid w:val="00FC054F"/>
    <w:rsid w:val="00FC17FD"/>
    <w:rsid w:val="00FC1895"/>
    <w:rsid w:val="00FC2A33"/>
    <w:rsid w:val="00FC2BF3"/>
    <w:rsid w:val="00FC2C25"/>
    <w:rsid w:val="00FC2CA7"/>
    <w:rsid w:val="00FC4512"/>
    <w:rsid w:val="00FC4F66"/>
    <w:rsid w:val="00FC5914"/>
    <w:rsid w:val="00FC5AF5"/>
    <w:rsid w:val="00FC65E8"/>
    <w:rsid w:val="00FC6961"/>
    <w:rsid w:val="00FC70FF"/>
    <w:rsid w:val="00FC7570"/>
    <w:rsid w:val="00FD2A0B"/>
    <w:rsid w:val="00FD4960"/>
    <w:rsid w:val="00FD4AA0"/>
    <w:rsid w:val="00FD6700"/>
    <w:rsid w:val="00FD6F79"/>
    <w:rsid w:val="00FD746C"/>
    <w:rsid w:val="00FE2225"/>
    <w:rsid w:val="00FE278E"/>
    <w:rsid w:val="00FE2C77"/>
    <w:rsid w:val="00FE2E9C"/>
    <w:rsid w:val="00FE363F"/>
    <w:rsid w:val="00FE447B"/>
    <w:rsid w:val="00FE487C"/>
    <w:rsid w:val="00FE5A39"/>
    <w:rsid w:val="00FE5AD8"/>
    <w:rsid w:val="00FE604B"/>
    <w:rsid w:val="00FE669E"/>
    <w:rsid w:val="00FE6794"/>
    <w:rsid w:val="00FE702A"/>
    <w:rsid w:val="00FF0156"/>
    <w:rsid w:val="00FF124A"/>
    <w:rsid w:val="00FF2303"/>
    <w:rsid w:val="00FF23AE"/>
    <w:rsid w:val="00FF280B"/>
    <w:rsid w:val="00FF373E"/>
    <w:rsid w:val="00FF3AE9"/>
    <w:rsid w:val="00FF41C6"/>
    <w:rsid w:val="00FF472B"/>
    <w:rsid w:val="00FF54D9"/>
    <w:rsid w:val="00FF745D"/>
    <w:rsid w:val="00FF798F"/>
    <w:rsid w:val="00FF7BF8"/>
    <w:rsid w:val="00FF7ECA"/>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5CD6"/>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415CD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415CD6"/>
    <w:pPr>
      <w:keepNext/>
      <w:numPr>
        <w:ilvl w:val="1"/>
        <w:numId w:val="5"/>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415CD6"/>
    <w:pPr>
      <w:keepNext/>
      <w:numPr>
        <w:ilvl w:val="2"/>
        <w:numId w:val="5"/>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415CD6"/>
    <w:pPr>
      <w:keepNext/>
      <w:numPr>
        <w:ilvl w:val="3"/>
        <w:numId w:val="5"/>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415CD6"/>
    <w:pPr>
      <w:keepNext/>
      <w:numPr>
        <w:ilvl w:val="4"/>
        <w:numId w:val="5"/>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link w:val="Heading6Char3"/>
    <w:qFormat/>
    <w:rsid w:val="00415CD6"/>
    <w:pPr>
      <w:numPr>
        <w:ilvl w:val="5"/>
        <w:numId w:val="5"/>
      </w:numPr>
      <w:tabs>
        <w:tab w:val="left" w:pos="4320"/>
      </w:tabs>
      <w:spacing w:after="120"/>
      <w:outlineLvl w:val="5"/>
    </w:pPr>
    <w:rPr>
      <w:b/>
    </w:rPr>
  </w:style>
  <w:style w:type="paragraph" w:styleId="Heading7">
    <w:name w:val="heading 7"/>
    <w:aliases w:val="Heading 7 Char"/>
    <w:basedOn w:val="Normal"/>
    <w:next w:val="ParaNum"/>
    <w:link w:val="Heading7Char1"/>
    <w:qFormat/>
    <w:rsid w:val="00415CD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415CD6"/>
    <w:pPr>
      <w:numPr>
        <w:ilvl w:val="7"/>
        <w:numId w:val="5"/>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link w:val="Heading9Char1"/>
    <w:qFormat/>
    <w:rsid w:val="00415CD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5C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CD6"/>
  </w:style>
  <w:style w:type="paragraph" w:customStyle="1" w:styleId="ParaNum">
    <w:name w:val="ParaNum"/>
    <w:basedOn w:val="Normal"/>
    <w:link w:val="ParaNumChar"/>
    <w:rsid w:val="00415CD6"/>
    <w:pPr>
      <w:numPr>
        <w:numId w:val="6"/>
      </w:numPr>
      <w:tabs>
        <w:tab w:val="clear" w:pos="1080"/>
        <w:tab w:val="num" w:pos="1440"/>
      </w:tabs>
      <w:spacing w:after="120"/>
    </w:pPr>
  </w:style>
  <w:style w:type="character" w:customStyle="1" w:styleId="ParaNumChar">
    <w:name w:val="ParaNum Char"/>
    <w:link w:val="ParaNum"/>
    <w:locked/>
    <w:rsid w:val="001E2369"/>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locked/>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locked/>
    <w:rsid w:val="00165C70"/>
    <w:rPr>
      <w:b/>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locked/>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locked/>
    <w:rsid w:val="001B1017"/>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Pr>
      <w:b/>
      <w:snapToGrid w:val="0"/>
      <w:kern w:val="28"/>
      <w:sz w:val="22"/>
    </w:rPr>
  </w:style>
  <w:style w:type="character" w:customStyle="1" w:styleId="Heading6Char3">
    <w:name w:val="Heading 6 Char3"/>
    <w:aliases w:val="Heading 6 Char2 Char,Heading 6 Char1 Char Char,Heading 6 Char Char Char Char,Heading 6 Char Char1 Char,Heading 6 Char1 Char1,Heading 6 Char Char Char1,Heading 6 Char Char2,h6 Char"/>
    <w:link w:val="Heading6"/>
    <w:locked/>
    <w:rPr>
      <w:b/>
      <w:snapToGrid w:val="0"/>
      <w:kern w:val="28"/>
      <w:sz w:val="22"/>
    </w:rPr>
  </w:style>
  <w:style w:type="character" w:customStyle="1" w:styleId="Heading7Char1">
    <w:name w:val="Heading 7 Char1"/>
    <w:aliases w:val="Heading 7 Char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1">
    <w:name w:val="Heading 9 Char1"/>
    <w:aliases w:val="Topic Char,table Char,t Char,9 Char,Heading 9.table Char,Titre 9 Char,Heading 9 Char Char"/>
    <w:link w:val="Heading9"/>
    <w:locked/>
    <w:rPr>
      <w:b/>
      <w:snapToGrid w:val="0"/>
      <w:kern w:val="28"/>
      <w:sz w:val="22"/>
    </w:rPr>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1">
    <w:name w:val="Balloon Text Char1"/>
    <w:link w:val="BalloonText"/>
    <w:uiPriority w:val="99"/>
    <w:semiHidden/>
    <w:locked/>
    <w:rPr>
      <w:rFonts w:ascii="Tahoma" w:hAnsi="Tahoma" w:cs="Times New Roman"/>
      <w:snapToGrid w:val="0"/>
      <w:kern w:val="28"/>
      <w:sz w:val="16"/>
      <w:lang w:val="en-US" w:eastAsia="en-US"/>
    </w:rPr>
  </w:style>
  <w:style w:type="paragraph" w:styleId="EndnoteText">
    <w:name w:val="endnote text"/>
    <w:basedOn w:val="Normal"/>
    <w:link w:val="EndnoteTextChar"/>
    <w:rsid w:val="00415CD6"/>
    <w:rPr>
      <w:sz w:val="20"/>
    </w:rPr>
  </w:style>
  <w:style w:type="character" w:customStyle="1" w:styleId="EndnoteTextChar">
    <w:name w:val="Endnote Text Char"/>
    <w:link w:val="EndnoteText"/>
    <w:locked/>
    <w:rPr>
      <w:snapToGrid w:val="0"/>
      <w:kern w:val="28"/>
    </w:rPr>
  </w:style>
  <w:style w:type="character" w:styleId="EndnoteReference">
    <w:name w:val="endnote reference"/>
    <w:rsid w:val="00415CD6"/>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2"/>
    <w:rsid w:val="00415CD6"/>
    <w:pPr>
      <w:spacing w:after="120"/>
    </w:p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ink w:val="FootnoteText"/>
    <w:locked/>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ocked/>
    <w:rPr>
      <w:rFonts w:cs="Times New Roman"/>
      <w:kern w:val="28"/>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415CD6"/>
    <w:rPr>
      <w:rFonts w:ascii="Times New Roman" w:hAnsi="Times New Roman"/>
      <w:dstrike w:val="0"/>
      <w:color w:val="auto"/>
      <w:sz w:val="20"/>
      <w:vertAlign w:val="superscript"/>
    </w:rPr>
  </w:style>
  <w:style w:type="paragraph" w:styleId="TOC1">
    <w:name w:val="toc 1"/>
    <w:basedOn w:val="Normal"/>
    <w:next w:val="Normal"/>
    <w:rsid w:val="00415CD6"/>
    <w:pPr>
      <w:tabs>
        <w:tab w:val="left" w:pos="360"/>
        <w:tab w:val="right" w:leader="dot" w:pos="9360"/>
      </w:tabs>
      <w:suppressAutoHyphens/>
      <w:ind w:left="360" w:right="720" w:hanging="360"/>
    </w:pPr>
    <w:rPr>
      <w:caps/>
      <w:noProof/>
    </w:rPr>
  </w:style>
  <w:style w:type="paragraph" w:styleId="TOC2">
    <w:name w:val="toc 2"/>
    <w:basedOn w:val="Normal"/>
    <w:next w:val="Normal"/>
    <w:rsid w:val="00415CD6"/>
    <w:pPr>
      <w:tabs>
        <w:tab w:val="left" w:pos="720"/>
        <w:tab w:val="right" w:leader="dot" w:pos="9360"/>
      </w:tabs>
      <w:suppressAutoHyphens/>
      <w:ind w:left="720" w:right="720" w:hanging="360"/>
    </w:pPr>
    <w:rPr>
      <w:noProof/>
    </w:rPr>
  </w:style>
  <w:style w:type="paragraph" w:styleId="TOC3">
    <w:name w:val="toc 3"/>
    <w:basedOn w:val="Normal"/>
    <w:next w:val="Normal"/>
    <w:rsid w:val="00415CD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15CD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15CD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15CD6"/>
    <w:pPr>
      <w:tabs>
        <w:tab w:val="left" w:pos="2160"/>
        <w:tab w:val="right" w:leader="dot" w:pos="9360"/>
      </w:tabs>
      <w:suppressAutoHyphens/>
      <w:ind w:left="2160" w:hanging="360"/>
    </w:pPr>
    <w:rPr>
      <w:noProof/>
    </w:rPr>
  </w:style>
  <w:style w:type="paragraph" w:styleId="TOC7">
    <w:name w:val="toc 7"/>
    <w:basedOn w:val="Normal"/>
    <w:next w:val="Normal"/>
    <w:autoRedefine/>
    <w:rsid w:val="00415CD6"/>
    <w:pPr>
      <w:tabs>
        <w:tab w:val="left" w:pos="2520"/>
        <w:tab w:val="right" w:leader="dot" w:pos="9360"/>
      </w:tabs>
      <w:suppressAutoHyphens/>
      <w:ind w:left="2520" w:hanging="360"/>
    </w:pPr>
    <w:rPr>
      <w:noProof/>
    </w:rPr>
  </w:style>
  <w:style w:type="paragraph" w:styleId="TOC8">
    <w:name w:val="toc 8"/>
    <w:basedOn w:val="Normal"/>
    <w:next w:val="Normal"/>
    <w:autoRedefine/>
    <w:rsid w:val="00415CD6"/>
    <w:pPr>
      <w:tabs>
        <w:tab w:val="left" w:pos="2880"/>
        <w:tab w:val="right" w:leader="dot" w:pos="9360"/>
      </w:tabs>
      <w:suppressAutoHyphens/>
      <w:ind w:left="2880" w:hanging="360"/>
    </w:pPr>
    <w:rPr>
      <w:noProof/>
    </w:rPr>
  </w:style>
  <w:style w:type="paragraph" w:styleId="TOC9">
    <w:name w:val="toc 9"/>
    <w:basedOn w:val="Normal"/>
    <w:next w:val="Normal"/>
    <w:autoRedefine/>
    <w:rsid w:val="00415C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5CD6"/>
    <w:pPr>
      <w:tabs>
        <w:tab w:val="right" w:pos="9360"/>
      </w:tabs>
      <w:suppressAutoHyphens/>
    </w:pPr>
  </w:style>
  <w:style w:type="character" w:customStyle="1" w:styleId="EquationCaption">
    <w:name w:val="_Equation Caption"/>
    <w:rsid w:val="00415CD6"/>
  </w:style>
  <w:style w:type="paragraph" w:styleId="Header">
    <w:name w:val="header"/>
    <w:aliases w:val="encabezado,header odd,header odd1,header odd2,header,he,h,Header/Footer,Page No"/>
    <w:basedOn w:val="Normal"/>
    <w:link w:val="HeaderChar"/>
    <w:autoRedefine/>
    <w:rsid w:val="00415CD6"/>
    <w:pPr>
      <w:tabs>
        <w:tab w:val="center" w:pos="4680"/>
        <w:tab w:val="right" w:pos="9360"/>
      </w:tabs>
    </w:pPr>
    <w:rPr>
      <w:b/>
    </w:rPr>
  </w:style>
  <w:style w:type="character" w:customStyle="1" w:styleId="HeaderChar">
    <w:name w:val="Header Char"/>
    <w:aliases w:val="encabezado Char,header odd Char,header odd1 Char,header odd2 Char,header Char,he Char,h Char,Header/Footer Char,Page No Char"/>
    <w:link w:val="Header"/>
    <w:locked/>
    <w:rPr>
      <w:b/>
      <w:snapToGrid w:val="0"/>
      <w:kern w:val="28"/>
      <w:sz w:val="22"/>
    </w:rPr>
  </w:style>
  <w:style w:type="paragraph" w:styleId="Footer">
    <w:name w:val="footer"/>
    <w:basedOn w:val="Normal"/>
    <w:link w:val="FooterChar"/>
    <w:rsid w:val="00415CD6"/>
    <w:pPr>
      <w:tabs>
        <w:tab w:val="center" w:pos="4320"/>
        <w:tab w:val="right" w:pos="8640"/>
      </w:tabs>
    </w:pPr>
  </w:style>
  <w:style w:type="character" w:customStyle="1" w:styleId="FooterChar">
    <w:name w:val="Footer Char"/>
    <w:link w:val="Footer"/>
    <w:locked/>
    <w:rPr>
      <w:snapToGrid w:val="0"/>
      <w:kern w:val="28"/>
      <w:sz w:val="22"/>
    </w:rPr>
  </w:style>
  <w:style w:type="character" w:styleId="PageNumber">
    <w:name w:val="page number"/>
    <w:basedOn w:val="DefaultParagraphFont"/>
    <w:rsid w:val="00415CD6"/>
  </w:style>
  <w:style w:type="paragraph" w:styleId="BlockText">
    <w:name w:val="Block Text"/>
    <w:basedOn w:val="Normal"/>
    <w:rsid w:val="00415CD6"/>
    <w:pPr>
      <w:spacing w:after="240"/>
      <w:ind w:left="1440" w:right="1440"/>
    </w:pPr>
  </w:style>
  <w:style w:type="paragraph" w:customStyle="1" w:styleId="Paratitle">
    <w:name w:val="Para title"/>
    <w:basedOn w:val="Normal"/>
    <w:rsid w:val="00415CD6"/>
    <w:pPr>
      <w:tabs>
        <w:tab w:val="center" w:pos="9270"/>
      </w:tabs>
      <w:spacing w:after="240"/>
    </w:pPr>
    <w:rPr>
      <w:spacing w:val="-2"/>
    </w:rPr>
  </w:style>
  <w:style w:type="paragraph" w:customStyle="1" w:styleId="Bullet">
    <w:name w:val="Bullet"/>
    <w:basedOn w:val="Normal"/>
    <w:rsid w:val="00415CD6"/>
    <w:pPr>
      <w:tabs>
        <w:tab w:val="left" w:pos="2160"/>
      </w:tabs>
      <w:spacing w:after="220"/>
      <w:ind w:left="2160" w:hanging="720"/>
    </w:pPr>
  </w:style>
  <w:style w:type="paragraph" w:customStyle="1" w:styleId="TableFormat">
    <w:name w:val="TableFormat"/>
    <w:basedOn w:val="Bullet"/>
    <w:rsid w:val="00415CD6"/>
    <w:pPr>
      <w:tabs>
        <w:tab w:val="clear" w:pos="2160"/>
        <w:tab w:val="left" w:pos="5040"/>
      </w:tabs>
      <w:ind w:left="5040" w:hanging="3600"/>
    </w:pPr>
  </w:style>
  <w:style w:type="paragraph" w:customStyle="1" w:styleId="TOCTitle">
    <w:name w:val="TOC Title"/>
    <w:basedOn w:val="Normal"/>
    <w:rsid w:val="00415C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5CD6"/>
    <w:pPr>
      <w:jc w:val="center"/>
    </w:pPr>
    <w:rPr>
      <w:rFonts w:ascii="Times New Roman Bold" w:hAnsi="Times New Roman Bold"/>
      <w:b/>
      <w:bCs/>
      <w:caps/>
      <w:szCs w:val="22"/>
    </w:rPr>
  </w:style>
  <w:style w:type="character" w:styleId="Hyperlink">
    <w:name w:val="Hyperlink"/>
    <w:rsid w:val="00415CD6"/>
    <w:rPr>
      <w:color w:val="0000FF"/>
      <w:u w:val="single"/>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Pr>
      <w:lang w:val="en-US" w:eastAsia="en-US"/>
    </w:rPr>
  </w:style>
  <w:style w:type="character" w:customStyle="1" w:styleId="documentbody1">
    <w:name w:val="documentbody1"/>
    <w:uiPriority w:val="99"/>
    <w:rPr>
      <w:rFonts w:ascii="Verdana" w:hAnsi="Verdana"/>
      <w:sz w:val="19"/>
    </w:rPr>
  </w:style>
  <w:style w:type="character" w:styleId="Emphasis">
    <w:name w:val="Emphasis"/>
    <w:uiPriority w:val="99"/>
    <w:qFormat/>
    <w:rPr>
      <w:rFonts w:cs="Times New Roman"/>
      <w:i/>
    </w:rPr>
  </w:style>
  <w:style w:type="character" w:customStyle="1" w:styleId="Footnote">
    <w:name w:val="Footnote"/>
    <w:uiPriority w:val="99"/>
    <w:rPr>
      <w:rFonts w:cs="Times New Roman"/>
    </w:rPr>
  </w:style>
  <w:style w:type="character" w:styleId="CommentReference">
    <w:name w:val="annotation reference"/>
    <w:uiPriority w:val="99"/>
    <w:rPr>
      <w:rFonts w:cs="Times New Roman"/>
      <w:sz w:val="16"/>
    </w:rPr>
  </w:style>
  <w:style w:type="paragraph" w:styleId="CommentText">
    <w:name w:val="annotation text"/>
    <w:basedOn w:val="Normal"/>
    <w:link w:val="CommentTextChar1"/>
    <w:uiPriority w:val="99"/>
    <w:rPr>
      <w:sz w:val="20"/>
    </w:rPr>
  </w:style>
  <w:style w:type="character" w:customStyle="1" w:styleId="CommentTextChar1">
    <w:name w:val="Comment Text Char1"/>
    <w:link w:val="CommentText"/>
    <w:uiPriority w:val="99"/>
    <w:locked/>
    <w:rPr>
      <w:rFonts w:cs="Times New Roman"/>
      <w:kern w:val="28"/>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kern w:val="28"/>
      <w:sz w:val="20"/>
      <w:szCs w:val="20"/>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locked/>
    <w:rPr>
      <w:rFonts w:cs="Times New Roman"/>
      <w:kern w:val="28"/>
      <w:sz w:val="2"/>
    </w:rPr>
  </w:style>
  <w:style w:type="character" w:customStyle="1" w:styleId="term1">
    <w:name w:val="term1"/>
    <w:uiPriority w:val="99"/>
    <w:rPr>
      <w:b/>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uiPriority w:val="99"/>
    <w:rPr>
      <w:lang w:val="en-US" w:eastAsia="en-US"/>
    </w:rPr>
  </w:style>
  <w:style w:type="paragraph" w:customStyle="1" w:styleId="StyleHeading3Heading3CharLeft">
    <w:name w:val="Style Heading 3Heading 3 Char + Left"/>
    <w:basedOn w:val="Heading3"/>
    <w:uiPriority w:val="99"/>
    <w:pPr>
      <w:numPr>
        <w:ilvl w:val="0"/>
        <w:numId w:val="0"/>
      </w:numPr>
      <w:tabs>
        <w:tab w:val="num" w:pos="360"/>
      </w:tabs>
      <w:ind w:left="360" w:hanging="360"/>
    </w:pPr>
    <w:rPr>
      <w:bCs/>
    </w:rPr>
  </w:style>
  <w:style w:type="paragraph" w:customStyle="1" w:styleId="App1">
    <w:name w:val="App1"/>
    <w:basedOn w:val="Normal"/>
    <w:uiPriority w:val="99"/>
    <w:pPr>
      <w:widowControl/>
      <w:tabs>
        <w:tab w:val="num" w:pos="1440"/>
      </w:tabs>
      <w:ind w:firstLine="72"/>
    </w:pPr>
    <w:rPr>
      <w:kern w:val="0"/>
      <w:szCs w:val="22"/>
    </w:rPr>
  </w:style>
  <w:style w:type="character" w:customStyle="1" w:styleId="href">
    <w:name w:val="href"/>
    <w:uiPriority w:val="99"/>
    <w:rPr>
      <w:rFonts w:cs="Times New Roman"/>
    </w:rPr>
  </w:style>
  <w:style w:type="paragraph" w:customStyle="1" w:styleId="RecNo">
    <w:name w:val="Rec_No"/>
    <w:basedOn w:val="Normal"/>
    <w:next w:val="Normal"/>
    <w:uiPriority w:val="99"/>
    <w:pPr>
      <w:keepNext/>
      <w:keepLines/>
      <w:widowControl/>
      <w:overflowPunct w:val="0"/>
      <w:autoSpaceDE w:val="0"/>
      <w:autoSpaceDN w:val="0"/>
      <w:adjustRightInd w:val="0"/>
      <w:spacing w:before="480"/>
      <w:jc w:val="center"/>
      <w:textAlignment w:val="baseline"/>
    </w:pPr>
    <w:rPr>
      <w:kern w:val="0"/>
      <w:sz w:val="28"/>
      <w:lang w:val="fr-FR"/>
    </w:rPr>
  </w:style>
  <w:style w:type="paragraph" w:customStyle="1" w:styleId="StyleParaNumLeft">
    <w:name w:val="Style ParaNum + Left"/>
    <w:basedOn w:val="ParaNum"/>
    <w:uiPriority w:val="99"/>
    <w:pPr>
      <w:spacing w:after="220"/>
    </w:p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link w:val="HTMLPreformatted"/>
    <w:uiPriority w:val="99"/>
    <w:locked/>
    <w:rPr>
      <w:rFonts w:ascii="Courier New" w:hAnsi="Courier New" w:cs="Courier New"/>
      <w:kern w:val="28"/>
      <w:sz w:val="20"/>
      <w:szCs w:val="20"/>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rPr>
      <w:lang w:val="en-US" w:eastAsia="en-US"/>
    </w:r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Pr>
      <w:rFonts w:cs="Times New Roman"/>
      <w:color w:val="800080"/>
      <w:u w:val="single"/>
    </w:rPr>
  </w:style>
  <w:style w:type="character" w:customStyle="1" w:styleId="StyleFootnoteReference11ptKernat14pt">
    <w:name w:val="Style Footnote Reference + 11 pt Kern at 14 pt"/>
    <w:uiPriority w:val="99"/>
    <w:rPr>
      <w:rFonts w:ascii="Times New Roman" w:hAnsi="Times New Roman"/>
      <w:color w:val="auto"/>
      <w:kern w:val="28"/>
      <w:sz w:val="20"/>
      <w:vertAlign w:val="superscript"/>
      <w:lang w:val="en-US" w:eastAsia="x-none"/>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pPr>
      <w:tabs>
        <w:tab w:val="left" w:pos="1440"/>
      </w:tabs>
      <w:spacing w:after="220"/>
    </w:pPr>
    <w:rPr>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Pr>
      <w:snapToGrid w:val="0"/>
      <w:kern w:val="28"/>
      <w:sz w:val="22"/>
      <w:lang w:val="en-US" w:eastAsia="en-US"/>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pPr>
      <w:widowControl/>
      <w:tabs>
        <w:tab w:val="num" w:pos="720"/>
        <w:tab w:val="left" w:pos="1080"/>
      </w:tabs>
      <w:spacing w:after="240"/>
      <w:ind w:firstLine="360"/>
    </w:pPr>
    <w:rPr>
      <w:snapToGrid/>
      <w:kern w:val="0"/>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Pr>
      <w:snapToGrid w:val="0"/>
      <w:sz w:val="22"/>
      <w:lang w:val="en-US" w:eastAsia="en-US"/>
    </w:rPr>
  </w:style>
  <w:style w:type="character" w:customStyle="1" w:styleId="documentbody5">
    <w:name w:val="documentbody5"/>
    <w:uiPriority w:val="99"/>
    <w:rPr>
      <w:rFonts w:ascii="Verdana" w:hAnsi="Verdana"/>
      <w:sz w:val="19"/>
    </w:rPr>
  </w:style>
  <w:style w:type="character" w:customStyle="1" w:styleId="groupheading5">
    <w:name w:val="groupheading5"/>
    <w:uiPriority w:val="99"/>
    <w:rPr>
      <w:rFonts w:ascii="Verdana" w:hAnsi="Verdana"/>
      <w:b/>
      <w:sz w:val="19"/>
    </w:rPr>
  </w:style>
  <w:style w:type="character" w:customStyle="1" w:styleId="starpage1">
    <w:name w:val="starpage1"/>
    <w:uiPriority w:val="99"/>
    <w:rPr>
      <w:b/>
      <w:i/>
      <w:color w:val="800080"/>
    </w:rPr>
  </w:style>
  <w:style w:type="character" w:customStyle="1" w:styleId="EmailStyle79">
    <w:name w:val="EmailStyle79"/>
    <w:uiPriority w:val="99"/>
    <w:semiHidden/>
    <w:rPr>
      <w:rFonts w:ascii="Arial" w:hAnsi="Arial"/>
      <w:color w:val="auto"/>
      <w:sz w:val="20"/>
    </w:rPr>
  </w:style>
  <w:style w:type="character" w:styleId="Strong">
    <w:name w:val="Strong"/>
    <w:uiPriority w:val="99"/>
    <w:qFormat/>
    <w:rPr>
      <w:rFonts w:cs="Times New Roman"/>
      <w:b/>
    </w:rPr>
  </w:style>
  <w:style w:type="paragraph" w:styleId="Revision">
    <w:name w:val="Revision"/>
    <w:hidden/>
    <w:uiPriority w:val="99"/>
    <w:rPr>
      <w:kern w:val="28"/>
      <w:sz w:val="22"/>
    </w:rPr>
  </w:style>
  <w:style w:type="character" w:customStyle="1" w:styleId="st">
    <w:name w:val="st"/>
    <w:uiPriority w:val="99"/>
    <w:rPr>
      <w:rFonts w:cs="Times New Roman"/>
    </w:rPr>
  </w:style>
  <w:style w:type="paragraph" w:styleId="NormalWeb">
    <w:name w:val="Normal (Web)"/>
    <w:basedOn w:val="Normal"/>
    <w:uiPriority w:val="99"/>
    <w:pPr>
      <w:widowControl/>
      <w:spacing w:before="100" w:beforeAutospacing="1" w:after="100" w:afterAutospacing="1"/>
    </w:pPr>
    <w:rPr>
      <w:kern w:val="0"/>
      <w:sz w:val="24"/>
      <w:szCs w:val="24"/>
    </w:rPr>
  </w:style>
  <w:style w:type="character" w:customStyle="1" w:styleId="msoins0">
    <w:name w:val="msoins"/>
    <w:uiPriority w:val="99"/>
    <w:rPr>
      <w:rFonts w:cs="Times New Roman"/>
    </w:rPr>
  </w:style>
  <w:style w:type="character" w:customStyle="1" w:styleId="StyleFootnoteReferenceStyle13Style12NECGFootnoteReferenc">
    <w:name w:val="Style Footnote ReferenceStyle 13Style 12(NECG) Footnote Referenc..."/>
    <w:uiPriority w:val="99"/>
    <w:rPr>
      <w:rFonts w:ascii="Times New Roman" w:hAnsi="Times New Roman"/>
      <w:color w:val="auto"/>
      <w:sz w:val="20"/>
      <w:u w:val="none"/>
      <w:effect w:val="none"/>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rFonts w:cs="Times New Roman"/>
      <w:kern w:val="28"/>
      <w:sz w:val="20"/>
      <w:szCs w:val="20"/>
    </w:rPr>
  </w:style>
  <w:style w:type="paragraph" w:styleId="BodyTextFirstIndent">
    <w:name w:val="Body Text First Indent"/>
    <w:basedOn w:val="BodyText"/>
    <w:link w:val="BodyTextFirstIndentChar"/>
    <w:uiPriority w:val="99"/>
    <w:pPr>
      <w:widowControl/>
      <w:ind w:firstLine="360"/>
    </w:pPr>
    <w:rPr>
      <w:rFonts w:ascii="Cambria" w:eastAsia="MS Minngs" w:hAnsi="Cambria"/>
      <w:kern w:val="0"/>
      <w:sz w:val="24"/>
      <w:szCs w:val="24"/>
    </w:rPr>
  </w:style>
  <w:style w:type="character" w:customStyle="1" w:styleId="BodyTextFirstIndentChar">
    <w:name w:val="Body Text First Indent Char"/>
    <w:link w:val="BodyTextFirstIndent"/>
    <w:uiPriority w:val="99"/>
    <w:locked/>
    <w:rPr>
      <w:rFonts w:ascii="Cambria" w:eastAsia="MS Minngs" w:hAnsi="Cambria" w:cs="Times New Roman"/>
      <w:kern w:val="28"/>
      <w:sz w:val="20"/>
      <w:szCs w:val="20"/>
      <w:lang w:val="en-US" w:eastAsia="en-US"/>
    </w:rPr>
  </w:style>
  <w:style w:type="paragraph" w:styleId="Caption">
    <w:name w:val="caption"/>
    <w:basedOn w:val="Normal"/>
    <w:next w:val="Normal"/>
    <w:qFormat/>
    <w:locked/>
    <w:rPr>
      <w:b/>
      <w:bCs/>
      <w:sz w:val="20"/>
    </w:rPr>
  </w:style>
  <w:style w:type="character" w:customStyle="1" w:styleId="ptext-25">
    <w:name w:val="ptext-25"/>
    <w:rPr>
      <w:rFonts w:cs="Times New Roman"/>
    </w:rPr>
  </w:style>
  <w:style w:type="character" w:customStyle="1" w:styleId="documentbody">
    <w:name w:val="documentbody"/>
    <w:basedOn w:val="DefaultParagraphFont"/>
  </w:style>
  <w:style w:type="character" w:customStyle="1" w:styleId="apple-converted-space">
    <w:name w:val="apple-converted-space"/>
    <w:basedOn w:val="DefaultParagraphFont"/>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Pr>
      <w:sz w:val="24"/>
      <w:szCs w:val="24"/>
    </w:rPr>
  </w:style>
  <w:style w:type="paragraph" w:customStyle="1" w:styleId="Style1">
    <w:name w:val="Style1"/>
    <w:basedOn w:val="ParaNum"/>
    <w:link w:val="Style1Char"/>
    <w:qFormat/>
    <w:pPr>
      <w:numPr>
        <w:numId w:val="0"/>
      </w:numPr>
      <w:tabs>
        <w:tab w:val="num" w:pos="360"/>
      </w:tabs>
      <w:ind w:hanging="360"/>
    </w:pPr>
  </w:style>
  <w:style w:type="character" w:customStyle="1" w:styleId="Style1Char">
    <w:name w:val="Style1 Char"/>
    <w:basedOn w:val="ParaNumChar"/>
    <w:link w:val="Style1"/>
    <w:rPr>
      <w:snapToGrid w:val="0"/>
      <w:kern w:val="28"/>
      <w:sz w:val="22"/>
    </w:rPr>
  </w:style>
  <w:style w:type="character" w:customStyle="1" w:styleId="BalloonTextChar">
    <w:name w:val="Balloon Text Char"/>
    <w:semiHidden/>
    <w:locked/>
    <w:rPr>
      <w:rFonts w:ascii="Tahoma" w:hAnsi="Tahoma"/>
      <w:snapToGrid w:val="0"/>
      <w:kern w:val="28"/>
      <w:sz w:val="16"/>
      <w:lang w:val="en-US" w:eastAsia="en-US"/>
    </w:rPr>
  </w:style>
  <w:style w:type="character" w:customStyle="1" w:styleId="CommentTextChar">
    <w:name w:val="Comment Text Char"/>
    <w:locked/>
    <w:rPr>
      <w:kern w:val="28"/>
      <w:sz w:val="20"/>
    </w:rPr>
  </w:style>
  <w:style w:type="paragraph" w:customStyle="1" w:styleId="Appendixformat">
    <w:name w:val="Appendix format"/>
    <w:basedOn w:val="Normal"/>
    <w:pPr>
      <w:tabs>
        <w:tab w:val="left" w:pos="1440"/>
      </w:tabs>
      <w:spacing w:after="120"/>
      <w:ind w:left="1440" w:hanging="720"/>
    </w:pPr>
    <w:rPr>
      <w:b/>
      <w:snapToGrid/>
    </w:rPr>
  </w:style>
  <w:style w:type="paragraph" w:customStyle="1" w:styleId="Appendixnumber">
    <w:name w:val="Appendix number"/>
    <w:basedOn w:val="Normal"/>
    <w:pPr>
      <w:numPr>
        <w:numId w:val="2"/>
      </w:numPr>
      <w:spacing w:after="120"/>
    </w:pPr>
    <w:rPr>
      <w:snapToGrid/>
    </w:rPr>
  </w:style>
  <w:style w:type="character" w:customStyle="1" w:styleId="EmailStyle113">
    <w:name w:val="EmailStyle113"/>
    <w:semiHidden/>
    <w:rPr>
      <w:rFonts w:ascii="Arial" w:hAnsi="Arial" w:cs="Arial"/>
      <w:color w:val="000080"/>
      <w:sz w:val="20"/>
      <w:szCs w:val="20"/>
    </w:rPr>
  </w:style>
  <w:style w:type="paragraph" w:customStyle="1" w:styleId="paranum0">
    <w:name w:val="paranum"/>
    <w:basedOn w:val="Normal"/>
    <w:pPr>
      <w:widowControl/>
      <w:tabs>
        <w:tab w:val="num" w:pos="1080"/>
      </w:tabs>
      <w:snapToGrid w:val="0"/>
      <w:spacing w:after="120"/>
      <w:ind w:firstLine="720"/>
    </w:pPr>
    <w:rPr>
      <w:kern w:val="0"/>
      <w:szCs w:val="22"/>
    </w:rPr>
  </w:style>
  <w:style w:type="character" w:customStyle="1" w:styleId="EmailStyle1151">
    <w:name w:val="EmailStyle1151"/>
    <w:semiHidden/>
    <w:rPr>
      <w:rFonts w:ascii="Arial" w:hAnsi="Arial" w:cs="Arial"/>
      <w:color w:val="000080"/>
      <w:sz w:val="20"/>
      <w:szCs w:val="20"/>
    </w:rPr>
  </w:style>
  <w:style w:type="character" w:customStyle="1" w:styleId="StyleFootnoteReferenceStyle13Style12NECGFootnoteReferenc1">
    <w:name w:val="Style Footnote ReferenceStyle 13Style 12(NECG) Footnote Referenc...1"/>
    <w:rPr>
      <w:rFonts w:ascii="Times New Roman" w:hAnsi="Times New Roman" w:cs="Times New Roman" w:hint="default"/>
      <w:strike w:val="0"/>
      <w:dstrike w:val="0"/>
      <w:color w:val="auto"/>
      <w:sz w:val="20"/>
      <w:u w:val="none"/>
      <w:effect w:val="none"/>
      <w:vertAlign w:val="superscript"/>
    </w:rPr>
  </w:style>
  <w:style w:type="paragraph" w:customStyle="1" w:styleId="ColorfulList-Accent11">
    <w:name w:val="Colorful List - Accent 11"/>
    <w:basedOn w:val="Normal"/>
    <w:qFormat/>
    <w:pPr>
      <w:widowControl/>
      <w:ind w:left="720"/>
      <w:contextualSpacing/>
    </w:pPr>
    <w:rPr>
      <w:kern w:val="0"/>
      <w:sz w:val="24"/>
      <w:szCs w:val="24"/>
    </w:rPr>
  </w:style>
  <w:style w:type="paragraph" w:styleId="ListParagraph">
    <w:name w:val="List Paragraph"/>
    <w:basedOn w:val="Normal"/>
    <w:qFormat/>
    <w:pPr>
      <w:widowControl/>
      <w:spacing w:after="200" w:line="276" w:lineRule="auto"/>
      <w:ind w:left="720"/>
      <w:contextualSpacing/>
    </w:pPr>
    <w:rPr>
      <w:rFonts w:ascii="Calibri" w:hAnsi="Calibri"/>
      <w:kern w:val="0"/>
      <w:szCs w:val="22"/>
    </w:rPr>
  </w:style>
  <w:style w:type="paragraph" w:customStyle="1" w:styleId="NumberedList">
    <w:name w:val="Numbered List"/>
    <w:basedOn w:val="Normal"/>
    <w:uiPriority w:val="99"/>
    <w:rsid w:val="00256EAE"/>
    <w:pPr>
      <w:widowControl/>
      <w:numPr>
        <w:numId w:val="3"/>
      </w:numPr>
      <w:tabs>
        <w:tab w:val="clear" w:pos="1080"/>
      </w:tabs>
      <w:spacing w:after="220"/>
      <w:ind w:firstLine="0"/>
    </w:pPr>
    <w:rPr>
      <w:snapToGrid/>
      <w:kern w:val="0"/>
    </w:rPr>
  </w:style>
  <w:style w:type="paragraph" w:styleId="Title">
    <w:name w:val="Title"/>
    <w:basedOn w:val="Normal"/>
    <w:link w:val="TitleChar"/>
    <w:uiPriority w:val="99"/>
    <w:qFormat/>
    <w:locked/>
    <w:rsid w:val="00256EAE"/>
    <w:pPr>
      <w:widowControl/>
      <w:jc w:val="center"/>
    </w:pPr>
    <w:rPr>
      <w:b/>
      <w:snapToGrid/>
      <w:kern w:val="0"/>
    </w:rPr>
  </w:style>
  <w:style w:type="character" w:customStyle="1" w:styleId="TitleChar">
    <w:name w:val="Title Char"/>
    <w:basedOn w:val="DefaultParagraphFont"/>
    <w:link w:val="Title"/>
    <w:uiPriority w:val="99"/>
    <w:rsid w:val="00256EAE"/>
    <w:rPr>
      <w:b/>
      <w:snapToGrid w:val="0"/>
      <w:sz w:val="22"/>
    </w:rPr>
  </w:style>
  <w:style w:type="character" w:customStyle="1" w:styleId="listitemlarge">
    <w:name w:val="listitemlarge"/>
    <w:uiPriority w:val="99"/>
    <w:rsid w:val="00256EAE"/>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256EAE"/>
  </w:style>
  <w:style w:type="paragraph" w:customStyle="1" w:styleId="ColorfulShading-Accent11">
    <w:name w:val="Colorful Shading - Accent 11"/>
    <w:hidden/>
    <w:uiPriority w:val="99"/>
    <w:semiHidden/>
    <w:rsid w:val="00256EAE"/>
    <w:rPr>
      <w:kern w:val="28"/>
      <w:sz w:val="22"/>
    </w:rPr>
  </w:style>
  <w:style w:type="paragraph" w:customStyle="1" w:styleId="ColorfulList-Accent12">
    <w:name w:val="Colorful List - Accent 12"/>
    <w:basedOn w:val="Normal"/>
    <w:uiPriority w:val="99"/>
    <w:qFormat/>
    <w:rsid w:val="00256EAE"/>
    <w:pPr>
      <w:widowControl/>
      <w:spacing w:after="200" w:line="276" w:lineRule="auto"/>
      <w:ind w:left="720"/>
      <w:contextualSpacing/>
    </w:pPr>
    <w:rPr>
      <w:rFonts w:ascii="Calibri" w:hAnsi="Calibri"/>
      <w:snapToGrid/>
      <w:kern w:val="0"/>
      <w:szCs w:val="22"/>
    </w:rPr>
  </w:style>
  <w:style w:type="character" w:customStyle="1" w:styleId="ssens">
    <w:name w:val="ssens"/>
    <w:uiPriority w:val="99"/>
    <w:rsid w:val="00256EAE"/>
  </w:style>
  <w:style w:type="paragraph" w:customStyle="1" w:styleId="ParagraphNumbers">
    <w:name w:val="Paragraph Numbers"/>
    <w:basedOn w:val="ParaNum"/>
    <w:link w:val="ParagraphNumbersChar"/>
    <w:uiPriority w:val="99"/>
    <w:qFormat/>
    <w:rsid w:val="00256EAE"/>
    <w:pPr>
      <w:tabs>
        <w:tab w:val="num" w:pos="720"/>
      </w:tabs>
      <w:spacing w:after="0"/>
      <w:ind w:left="360" w:hanging="360"/>
    </w:pPr>
  </w:style>
  <w:style w:type="character" w:customStyle="1" w:styleId="ParagraphNumbersChar">
    <w:name w:val="Paragraph Numbers Char"/>
    <w:link w:val="ParagraphNumbers"/>
    <w:uiPriority w:val="99"/>
    <w:rsid w:val="00256EAE"/>
    <w:rPr>
      <w:snapToGrid w:val="0"/>
      <w:kern w:val="28"/>
      <w:sz w:val="22"/>
    </w:rPr>
  </w:style>
  <w:style w:type="character" w:customStyle="1" w:styleId="NoStyleChar">
    <w:name w:val="No Style Char"/>
    <w:aliases w:val="h2 Char Char1,UNDERRUBRIK 1-2 Char Char1,Heading 2 Char Char1 Char1,Heading 2 Char1 Char Char Char2,Heading 2 Char Char1 Char Char Char1,Heading 2 Char Char2 Char1,Heading 2 Char1 Char Char2,Heading 2 Char Char3 Char Char1"/>
    <w:uiPriority w:val="99"/>
    <w:rsid w:val="00256EAE"/>
    <w:rPr>
      <w:rFonts w:eastAsia="Calibri"/>
      <w:bCs/>
      <w:iCs/>
    </w:rPr>
  </w:style>
  <w:style w:type="paragraph" w:customStyle="1" w:styleId="Heading5db">
    <w:name w:val="Heading 5 db"/>
    <w:basedOn w:val="Heading7"/>
    <w:link w:val="Heading5dbChar"/>
    <w:uiPriority w:val="99"/>
    <w:rsid w:val="00256EAE"/>
    <w:pPr>
      <w:tabs>
        <w:tab w:val="clear" w:pos="5040"/>
        <w:tab w:val="num" w:pos="2160"/>
      </w:tabs>
      <w:ind w:left="2160" w:hanging="360"/>
    </w:pPr>
    <w:rPr>
      <w:snapToGrid/>
    </w:rPr>
  </w:style>
  <w:style w:type="paragraph" w:customStyle="1" w:styleId="Heading2db">
    <w:name w:val="Heading 2db"/>
    <w:basedOn w:val="Heading2"/>
    <w:link w:val="Heading2dbChar"/>
    <w:uiPriority w:val="99"/>
    <w:qFormat/>
    <w:rsid w:val="00256EAE"/>
    <w:pPr>
      <w:numPr>
        <w:ilvl w:val="0"/>
        <w:numId w:val="0"/>
      </w:numPr>
      <w:pBdr>
        <w:bottom w:val="single" w:sz="6" w:space="31" w:color="auto"/>
      </w:pBdr>
      <w:spacing w:after="0"/>
    </w:pPr>
    <w:rPr>
      <w:rFonts w:eastAsia="Calibri"/>
      <w:b w:val="0"/>
      <w:bCs/>
      <w:iCs/>
      <w:snapToGrid/>
      <w:kern w:val="0"/>
    </w:rPr>
  </w:style>
  <w:style w:type="character" w:customStyle="1" w:styleId="Heading5dbChar">
    <w:name w:val="Heading 5 db Char"/>
    <w:link w:val="Heading5db"/>
    <w:uiPriority w:val="99"/>
    <w:rsid w:val="00256EAE"/>
    <w:rPr>
      <w:b/>
      <w:kern w:val="28"/>
      <w:sz w:val="22"/>
    </w:rPr>
  </w:style>
  <w:style w:type="paragraph" w:customStyle="1" w:styleId="Heading7db">
    <w:name w:val="Heading 7db"/>
    <w:basedOn w:val="Heading5db"/>
    <w:link w:val="Heading7dbChar"/>
    <w:uiPriority w:val="99"/>
    <w:qFormat/>
    <w:rsid w:val="00256EAE"/>
    <w:pPr>
      <w:numPr>
        <w:ilvl w:val="0"/>
        <w:numId w:val="4"/>
      </w:numPr>
      <w:tabs>
        <w:tab w:val="left" w:pos="2160"/>
      </w:tabs>
    </w:pPr>
  </w:style>
  <w:style w:type="character" w:customStyle="1" w:styleId="Heading2dbChar">
    <w:name w:val="Heading 2db Char"/>
    <w:link w:val="Heading2db"/>
    <w:uiPriority w:val="99"/>
    <w:rsid w:val="00256EAE"/>
    <w:rPr>
      <w:rFonts w:eastAsia="Calibri"/>
      <w:bCs/>
      <w:iCs/>
      <w:snapToGrid w:val="0"/>
      <w:sz w:val="22"/>
      <w:szCs w:val="22"/>
    </w:rPr>
  </w:style>
  <w:style w:type="character" w:customStyle="1" w:styleId="Heading7dbChar">
    <w:name w:val="Heading 7db Char"/>
    <w:link w:val="Heading7db"/>
    <w:uiPriority w:val="99"/>
    <w:rsid w:val="00256EAE"/>
    <w:rPr>
      <w:b/>
      <w:kern w:val="28"/>
      <w:sz w:val="22"/>
    </w:rPr>
  </w:style>
  <w:style w:type="paragraph" w:customStyle="1" w:styleId="Default">
    <w:name w:val="Default"/>
    <w:uiPriority w:val="99"/>
    <w:rsid w:val="00256EAE"/>
    <w:pPr>
      <w:autoSpaceDE w:val="0"/>
      <w:autoSpaceDN w:val="0"/>
      <w:adjustRightInd w:val="0"/>
    </w:pPr>
    <w:rPr>
      <w:color w:val="000000"/>
      <w:sz w:val="24"/>
      <w:szCs w:val="24"/>
    </w:rPr>
  </w:style>
  <w:style w:type="paragraph" w:styleId="PlainText">
    <w:name w:val="Plain Text"/>
    <w:basedOn w:val="Normal"/>
    <w:link w:val="PlainTextChar"/>
    <w:uiPriority w:val="99"/>
    <w:unhideWhenUsed/>
    <w:locked/>
    <w:rsid w:val="00256EAE"/>
    <w:pPr>
      <w:widowControl/>
    </w:pPr>
    <w:rPr>
      <w:rFonts w:ascii="Calibri" w:eastAsia="Cambria" w:hAnsi="Calibri"/>
      <w:snapToGrid/>
      <w:kern w:val="0"/>
      <w:szCs w:val="21"/>
    </w:rPr>
  </w:style>
  <w:style w:type="character" w:customStyle="1" w:styleId="PlainTextChar">
    <w:name w:val="Plain Text Char"/>
    <w:basedOn w:val="DefaultParagraphFont"/>
    <w:link w:val="PlainText"/>
    <w:uiPriority w:val="99"/>
    <w:rsid w:val="00256EAE"/>
    <w:rPr>
      <w:rFonts w:ascii="Calibri" w:eastAsia="Cambria" w:hAnsi="Calibri"/>
      <w:snapToGrid w:val="0"/>
      <w:sz w:val="22"/>
      <w:szCs w:val="21"/>
    </w:rPr>
  </w:style>
  <w:style w:type="character" w:customStyle="1" w:styleId="ParaNumChar1">
    <w:name w:val="ParaNum Char1"/>
    <w:rsid w:val="00256EAE"/>
    <w:rPr>
      <w:rFonts w:cs="Times New Roman"/>
      <w:snapToGrid w:val="0"/>
      <w:kern w:val="28"/>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uiPriority w:val="99"/>
    <w:semiHidden/>
    <w:rsid w:val="00256EAE"/>
    <w:rPr>
      <w:rFonts w:cs="Times New Roman"/>
      <w:sz w:val="20"/>
      <w:szCs w:val="20"/>
    </w:rPr>
  </w:style>
  <w:style w:type="character" w:customStyle="1" w:styleId="ptext-18">
    <w:name w:val="ptext-18"/>
    <w:uiPriority w:val="99"/>
    <w:rsid w:val="00256EAE"/>
  </w:style>
  <w:style w:type="character" w:customStyle="1" w:styleId="ParaNumChar2">
    <w:name w:val="ParaNum Char2"/>
    <w:rsid w:val="00256EAE"/>
    <w:rPr>
      <w:snapToGrid w:val="0"/>
      <w:kern w:val="28"/>
      <w:sz w:val="22"/>
      <w:lang w:val="en-US" w:eastAsia="en-US" w:bidi="ar-SA"/>
    </w:rPr>
  </w:style>
  <w:style w:type="character" w:customStyle="1" w:styleId="WW8Num5z0">
    <w:name w:val="WW8Num5z0"/>
    <w:rsid w:val="00256EAE"/>
    <w:rPr>
      <w:rFonts w:ascii="Symbol" w:hAnsi="Symbol"/>
    </w:rPr>
  </w:style>
  <w:style w:type="character" w:customStyle="1" w:styleId="Heading1Char2Char1">
    <w:name w:val="Heading 1 Char2 Char1"/>
    <w:aliases w:val="Heading 1 Char1 Char Char1,Heading 1 Char Char Char Char1,Heading 1 Char Char1 Char2,Heading 1 Char Char1 Char Char1,Heading 1 Char2 Char Char1 Char Char1,Heading 1 Char1 Char Char Char2 Char Char1"/>
    <w:rsid w:val="00256EAE"/>
    <w:rPr>
      <w:rFonts w:ascii="Times New Roman Bold" w:eastAsia="Times New Roman" w:hAnsi="Times New Roman Bold" w:cs="Times New Roman"/>
      <w:b/>
      <w:caps/>
      <w:snapToGrid w:val="0"/>
      <w:kern w:val="28"/>
      <w:szCs w:val="20"/>
    </w:rPr>
  </w:style>
  <w:style w:type="character" w:customStyle="1" w:styleId="3CharChar1">
    <w:name w:val="3 Char Char1"/>
    <w:aliases w:val="Titre 3 Char Char1,1 Char Char1,31 Char Char1,Titre 31 Char Char1,?? 3 Char Char1,3 Char2,Titre 3 Char2,1 Char2,31 Char2,Titre 31 Char2,?? 3 Char2,Heading 3 Char1 Char Char Char1,Heading 3 Char Char Char Char Char2"/>
    <w:rsid w:val="00256EAE"/>
    <w:rPr>
      <w:rFonts w:ascii="Times New Roman" w:eastAsia="Times New Roman" w:hAnsi="Times New Roman" w:cs="Times New Roman"/>
      <w:b/>
      <w:snapToGrid w:val="0"/>
      <w:kern w:val="28"/>
      <w:szCs w:val="20"/>
    </w:rPr>
  </w:style>
  <w:style w:type="character" w:customStyle="1" w:styleId="Heading4Char1CharChar1">
    <w:name w:val="Heading 4 Char1 Char Char1"/>
    <w:aliases w:val="Heading 4 Char2 Char Char1 Char1,Heading 4 Char Char1 Char Char1 Char1,Heading 4 Char1 Char Char Char Char1 Char1,Heading 4 Char Char Char Char Char Char1 Char1,Heading 4 Char1 Char1 Char Char1 Char1"/>
    <w:rsid w:val="00256EAE"/>
    <w:rPr>
      <w:rFonts w:ascii="Times New Roman" w:eastAsia="Times New Roman" w:hAnsi="Times New Roman" w:cs="Times New Roman"/>
      <w:b/>
      <w:snapToGrid w:val="0"/>
      <w:kern w:val="28"/>
      <w:szCs w:val="20"/>
    </w:rPr>
  </w:style>
  <w:style w:type="character" w:customStyle="1" w:styleId="Heading6Char2Char1">
    <w:name w:val="Heading 6 Char2 Char1"/>
    <w:aliases w:val="Heading 6 Char1 Char Char1,Heading 6 Char Char Char Char1,Heading 6 Char Char1 Char1,Heading 6 Char1 Char2,Heading 6 Char Char Char2,h6 Char1"/>
    <w:rsid w:val="00256EAE"/>
    <w:rPr>
      <w:rFonts w:ascii="Times New Roman" w:eastAsia="Times New Roman" w:hAnsi="Times New Roman" w:cs="Times New Roman"/>
      <w:b/>
      <w:snapToGrid w:val="0"/>
      <w:kern w:val="28"/>
      <w:szCs w:val="20"/>
    </w:rPr>
  </w:style>
  <w:style w:type="paragraph" w:customStyle="1" w:styleId="ROParagraphStyle">
    <w:name w:val="R&amp;O Paragraph Style"/>
    <w:basedOn w:val="ParagraphNumbers"/>
    <w:link w:val="ROParagraphStyleChar"/>
    <w:qFormat/>
    <w:rsid w:val="00256EAE"/>
    <w:pPr>
      <w:tabs>
        <w:tab w:val="clear" w:pos="720"/>
      </w:tabs>
      <w:ind w:left="0" w:firstLine="720"/>
    </w:pPr>
    <w:rPr>
      <w:szCs w:val="22"/>
    </w:rPr>
  </w:style>
  <w:style w:type="character" w:customStyle="1" w:styleId="ROParagraphStyleChar">
    <w:name w:val="R&amp;O Paragraph Style Char"/>
    <w:link w:val="ROParagraphStyle"/>
    <w:rsid w:val="00256EAE"/>
    <w:rPr>
      <w:snapToGrid w:val="0"/>
      <w:kern w:val="28"/>
      <w:sz w:val="22"/>
      <w:szCs w:val="22"/>
    </w:rPr>
  </w:style>
  <w:style w:type="character" w:customStyle="1" w:styleId="searchterm">
    <w:name w:val="searchterm"/>
    <w:rsid w:val="00256EAE"/>
  </w:style>
  <w:style w:type="character" w:customStyle="1" w:styleId="FootnoteTextChar11">
    <w:name w:val="Footnote Text Char11"/>
    <w:aliases w:val="Footnote Text Char Char4,Footnote Text Char2 Char3 Char2,Footnote Text Char Char6 Char Char2,Footnote Text Char6 Char Char Char Char2,Footnote Text Char Char6 Char Char1 Char1 Char2"/>
    <w:uiPriority w:val="99"/>
    <w:locked/>
    <w:rsid w:val="00256EAE"/>
    <w:rPr>
      <w:kern w:val="28"/>
      <w:sz w:val="20"/>
    </w:rPr>
  </w:style>
  <w:style w:type="paragraph" w:styleId="TOCHeading">
    <w:name w:val="TOC Heading"/>
    <w:basedOn w:val="Heading1"/>
    <w:next w:val="Normal"/>
    <w:uiPriority w:val="39"/>
    <w:unhideWhenUsed/>
    <w:qFormat/>
    <w:rsid w:val="00256EAE"/>
    <w:pPr>
      <w:keepLines/>
      <w:widowControl/>
      <w:numPr>
        <w:numId w:val="0"/>
      </w:numPr>
      <w:tabs>
        <w:tab w:val="left" w:pos="720"/>
      </w:tabs>
      <w:suppressAutoHyphens w:val="0"/>
      <w:spacing w:before="480" w:after="0" w:line="276" w:lineRule="auto"/>
      <w:outlineLvl w:val="9"/>
    </w:pPr>
    <w:rPr>
      <w:rFonts w:ascii="Calibri" w:eastAsia="MS Gothic" w:hAnsi="Calibri"/>
      <w:bCs/>
      <w:caps w:val="0"/>
      <w:color w:val="365F91"/>
      <w:kern w:val="0"/>
      <w:sz w:val="28"/>
      <w:szCs w:val="28"/>
    </w:rPr>
  </w:style>
  <w:style w:type="character" w:customStyle="1" w:styleId="fnChar">
    <w:name w:val="fn Char"/>
    <w:aliases w:val="ALTS FOOTNOT Char"/>
    <w:uiPriority w:val="99"/>
    <w:semiHidden/>
    <w:rsid w:val="007717BF"/>
    <w:rPr>
      <w:rFonts w:ascii="Times New Roman" w:eastAsia="Times New Roman" w:hAnsi="Times New Roman" w:cs="Times New Roman"/>
      <w:snapToGrid w:val="0"/>
      <w:kern w:val="28"/>
      <w:sz w:val="20"/>
      <w:szCs w:val="20"/>
    </w:rPr>
  </w:style>
  <w:style w:type="character" w:customStyle="1" w:styleId="citation">
    <w:name w:val="citation"/>
    <w:basedOn w:val="DefaultParagraphFont"/>
    <w:rsid w:val="00A35133"/>
  </w:style>
  <w:style w:type="paragraph" w:customStyle="1" w:styleId="LightGrid-Accent31">
    <w:name w:val="Light Grid - Accent 31"/>
    <w:basedOn w:val="Normal"/>
    <w:uiPriority w:val="34"/>
    <w:qFormat/>
    <w:rsid w:val="00B67350"/>
    <w:pPr>
      <w:widowControl/>
      <w:spacing w:after="200" w:line="276" w:lineRule="auto"/>
      <w:ind w:left="720"/>
      <w:contextualSpacing/>
    </w:pPr>
    <w:rPr>
      <w:rFonts w:ascii="Calibri" w:hAnsi="Calibri"/>
      <w:snapToGrid/>
      <w:kern w:val="0"/>
      <w:szCs w:val="22"/>
    </w:rPr>
  </w:style>
  <w:style w:type="paragraph" w:customStyle="1" w:styleId="Style2">
    <w:name w:val="Style2"/>
    <w:basedOn w:val="ParaNum"/>
    <w:link w:val="Style2Char"/>
    <w:qFormat/>
    <w:rsid w:val="009A42B5"/>
    <w:rPr>
      <w:szCs w:val="22"/>
    </w:rPr>
  </w:style>
  <w:style w:type="character" w:customStyle="1" w:styleId="Style2Char">
    <w:name w:val="Style2 Char"/>
    <w:link w:val="Style2"/>
    <w:rsid w:val="009A42B5"/>
    <w:rPr>
      <w:snapToGrid w:val="0"/>
      <w:kern w:val="28"/>
      <w:sz w:val="22"/>
      <w:szCs w:val="22"/>
    </w:rPr>
  </w:style>
  <w:style w:type="character" w:customStyle="1" w:styleId="enumbell">
    <w:name w:val="enumbell"/>
    <w:basedOn w:val="DefaultParagraphFont"/>
    <w:rsid w:val="00B70359"/>
  </w:style>
  <w:style w:type="character" w:customStyle="1" w:styleId="Artref">
    <w:name w:val="Art_ref"/>
    <w:basedOn w:val="DefaultParagraphFont"/>
    <w:rsid w:val="00651016"/>
  </w:style>
  <w:style w:type="character" w:styleId="PlaceholderText">
    <w:name w:val="Placeholder Text"/>
    <w:basedOn w:val="DefaultParagraphFont"/>
    <w:uiPriority w:val="99"/>
    <w:semiHidden/>
    <w:rsid w:val="00D0406B"/>
    <w:rPr>
      <w:color w:val="808080"/>
    </w:rPr>
  </w:style>
  <w:style w:type="character" w:customStyle="1" w:styleId="groupheading">
    <w:name w:val="groupheading"/>
    <w:basedOn w:val="DefaultParagraphFont"/>
    <w:rsid w:val="00C12F92"/>
  </w:style>
  <w:style w:type="character" w:customStyle="1" w:styleId="informationalsmall">
    <w:name w:val="informationalsmall"/>
    <w:basedOn w:val="DefaultParagraphFont"/>
    <w:rsid w:val="00C12F92"/>
  </w:style>
  <w:style w:type="character" w:customStyle="1" w:styleId="starpage">
    <w:name w:val="starpage"/>
    <w:basedOn w:val="DefaultParagraphFont"/>
    <w:rsid w:val="00980AAF"/>
  </w:style>
  <w:style w:type="character" w:customStyle="1" w:styleId="enumxml">
    <w:name w:val="enumxml"/>
    <w:basedOn w:val="DefaultParagraphFont"/>
    <w:rsid w:val="00D30CC9"/>
  </w:style>
  <w:style w:type="character" w:customStyle="1" w:styleId="ptext-1">
    <w:name w:val="ptext-1"/>
    <w:basedOn w:val="DefaultParagraphFont"/>
    <w:rsid w:val="00D30CC9"/>
  </w:style>
  <w:style w:type="character" w:customStyle="1" w:styleId="bestsection">
    <w:name w:val="bestsection"/>
    <w:basedOn w:val="DefaultParagraphFont"/>
    <w:rsid w:val="003D4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5CD6"/>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415CD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415CD6"/>
    <w:pPr>
      <w:keepNext/>
      <w:numPr>
        <w:ilvl w:val="1"/>
        <w:numId w:val="5"/>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415CD6"/>
    <w:pPr>
      <w:keepNext/>
      <w:numPr>
        <w:ilvl w:val="2"/>
        <w:numId w:val="5"/>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415CD6"/>
    <w:pPr>
      <w:keepNext/>
      <w:numPr>
        <w:ilvl w:val="3"/>
        <w:numId w:val="5"/>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415CD6"/>
    <w:pPr>
      <w:keepNext/>
      <w:numPr>
        <w:ilvl w:val="4"/>
        <w:numId w:val="5"/>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link w:val="Heading6Char3"/>
    <w:qFormat/>
    <w:rsid w:val="00415CD6"/>
    <w:pPr>
      <w:numPr>
        <w:ilvl w:val="5"/>
        <w:numId w:val="5"/>
      </w:numPr>
      <w:tabs>
        <w:tab w:val="left" w:pos="4320"/>
      </w:tabs>
      <w:spacing w:after="120"/>
      <w:outlineLvl w:val="5"/>
    </w:pPr>
    <w:rPr>
      <w:b/>
    </w:rPr>
  </w:style>
  <w:style w:type="paragraph" w:styleId="Heading7">
    <w:name w:val="heading 7"/>
    <w:aliases w:val="Heading 7 Char"/>
    <w:basedOn w:val="Normal"/>
    <w:next w:val="ParaNum"/>
    <w:link w:val="Heading7Char1"/>
    <w:qFormat/>
    <w:rsid w:val="00415CD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415CD6"/>
    <w:pPr>
      <w:numPr>
        <w:ilvl w:val="7"/>
        <w:numId w:val="5"/>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link w:val="Heading9Char1"/>
    <w:qFormat/>
    <w:rsid w:val="00415CD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5C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CD6"/>
  </w:style>
  <w:style w:type="paragraph" w:customStyle="1" w:styleId="ParaNum">
    <w:name w:val="ParaNum"/>
    <w:basedOn w:val="Normal"/>
    <w:link w:val="ParaNumChar"/>
    <w:rsid w:val="00415CD6"/>
    <w:pPr>
      <w:numPr>
        <w:numId w:val="6"/>
      </w:numPr>
      <w:tabs>
        <w:tab w:val="clear" w:pos="1080"/>
        <w:tab w:val="num" w:pos="1440"/>
      </w:tabs>
      <w:spacing w:after="120"/>
    </w:pPr>
  </w:style>
  <w:style w:type="character" w:customStyle="1" w:styleId="ParaNumChar">
    <w:name w:val="ParaNum Char"/>
    <w:link w:val="ParaNum"/>
    <w:locked/>
    <w:rsid w:val="001E2369"/>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locked/>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locked/>
    <w:rsid w:val="00165C70"/>
    <w:rPr>
      <w:b/>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locked/>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locked/>
    <w:rsid w:val="001B1017"/>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Pr>
      <w:b/>
      <w:snapToGrid w:val="0"/>
      <w:kern w:val="28"/>
      <w:sz w:val="22"/>
    </w:rPr>
  </w:style>
  <w:style w:type="character" w:customStyle="1" w:styleId="Heading6Char3">
    <w:name w:val="Heading 6 Char3"/>
    <w:aliases w:val="Heading 6 Char2 Char,Heading 6 Char1 Char Char,Heading 6 Char Char Char Char,Heading 6 Char Char1 Char,Heading 6 Char1 Char1,Heading 6 Char Char Char1,Heading 6 Char Char2,h6 Char"/>
    <w:link w:val="Heading6"/>
    <w:locked/>
    <w:rPr>
      <w:b/>
      <w:snapToGrid w:val="0"/>
      <w:kern w:val="28"/>
      <w:sz w:val="22"/>
    </w:rPr>
  </w:style>
  <w:style w:type="character" w:customStyle="1" w:styleId="Heading7Char1">
    <w:name w:val="Heading 7 Char1"/>
    <w:aliases w:val="Heading 7 Char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1">
    <w:name w:val="Heading 9 Char1"/>
    <w:aliases w:val="Topic Char,table Char,t Char,9 Char,Heading 9.table Char,Titre 9 Char,Heading 9 Char Char"/>
    <w:link w:val="Heading9"/>
    <w:locked/>
    <w:rPr>
      <w:b/>
      <w:snapToGrid w:val="0"/>
      <w:kern w:val="28"/>
      <w:sz w:val="22"/>
    </w:rPr>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1">
    <w:name w:val="Balloon Text Char1"/>
    <w:link w:val="BalloonText"/>
    <w:uiPriority w:val="99"/>
    <w:semiHidden/>
    <w:locked/>
    <w:rPr>
      <w:rFonts w:ascii="Tahoma" w:hAnsi="Tahoma" w:cs="Times New Roman"/>
      <w:snapToGrid w:val="0"/>
      <w:kern w:val="28"/>
      <w:sz w:val="16"/>
      <w:lang w:val="en-US" w:eastAsia="en-US"/>
    </w:rPr>
  </w:style>
  <w:style w:type="paragraph" w:styleId="EndnoteText">
    <w:name w:val="endnote text"/>
    <w:basedOn w:val="Normal"/>
    <w:link w:val="EndnoteTextChar"/>
    <w:rsid w:val="00415CD6"/>
    <w:rPr>
      <w:sz w:val="20"/>
    </w:rPr>
  </w:style>
  <w:style w:type="character" w:customStyle="1" w:styleId="EndnoteTextChar">
    <w:name w:val="Endnote Text Char"/>
    <w:link w:val="EndnoteText"/>
    <w:locked/>
    <w:rPr>
      <w:snapToGrid w:val="0"/>
      <w:kern w:val="28"/>
    </w:rPr>
  </w:style>
  <w:style w:type="character" w:styleId="EndnoteReference">
    <w:name w:val="endnote reference"/>
    <w:rsid w:val="00415CD6"/>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2"/>
    <w:rsid w:val="00415CD6"/>
    <w:pPr>
      <w:spacing w:after="120"/>
    </w:p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ink w:val="FootnoteText"/>
    <w:locked/>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ocked/>
    <w:rPr>
      <w:rFonts w:cs="Times New Roman"/>
      <w:kern w:val="28"/>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415CD6"/>
    <w:rPr>
      <w:rFonts w:ascii="Times New Roman" w:hAnsi="Times New Roman"/>
      <w:dstrike w:val="0"/>
      <w:color w:val="auto"/>
      <w:sz w:val="20"/>
      <w:vertAlign w:val="superscript"/>
    </w:rPr>
  </w:style>
  <w:style w:type="paragraph" w:styleId="TOC1">
    <w:name w:val="toc 1"/>
    <w:basedOn w:val="Normal"/>
    <w:next w:val="Normal"/>
    <w:rsid w:val="00415CD6"/>
    <w:pPr>
      <w:tabs>
        <w:tab w:val="left" w:pos="360"/>
        <w:tab w:val="right" w:leader="dot" w:pos="9360"/>
      </w:tabs>
      <w:suppressAutoHyphens/>
      <w:ind w:left="360" w:right="720" w:hanging="360"/>
    </w:pPr>
    <w:rPr>
      <w:caps/>
      <w:noProof/>
    </w:rPr>
  </w:style>
  <w:style w:type="paragraph" w:styleId="TOC2">
    <w:name w:val="toc 2"/>
    <w:basedOn w:val="Normal"/>
    <w:next w:val="Normal"/>
    <w:rsid w:val="00415CD6"/>
    <w:pPr>
      <w:tabs>
        <w:tab w:val="left" w:pos="720"/>
        <w:tab w:val="right" w:leader="dot" w:pos="9360"/>
      </w:tabs>
      <w:suppressAutoHyphens/>
      <w:ind w:left="720" w:right="720" w:hanging="360"/>
    </w:pPr>
    <w:rPr>
      <w:noProof/>
    </w:rPr>
  </w:style>
  <w:style w:type="paragraph" w:styleId="TOC3">
    <w:name w:val="toc 3"/>
    <w:basedOn w:val="Normal"/>
    <w:next w:val="Normal"/>
    <w:rsid w:val="00415CD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15CD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15CD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15CD6"/>
    <w:pPr>
      <w:tabs>
        <w:tab w:val="left" w:pos="2160"/>
        <w:tab w:val="right" w:leader="dot" w:pos="9360"/>
      </w:tabs>
      <w:suppressAutoHyphens/>
      <w:ind w:left="2160" w:hanging="360"/>
    </w:pPr>
    <w:rPr>
      <w:noProof/>
    </w:rPr>
  </w:style>
  <w:style w:type="paragraph" w:styleId="TOC7">
    <w:name w:val="toc 7"/>
    <w:basedOn w:val="Normal"/>
    <w:next w:val="Normal"/>
    <w:autoRedefine/>
    <w:rsid w:val="00415CD6"/>
    <w:pPr>
      <w:tabs>
        <w:tab w:val="left" w:pos="2520"/>
        <w:tab w:val="right" w:leader="dot" w:pos="9360"/>
      </w:tabs>
      <w:suppressAutoHyphens/>
      <w:ind w:left="2520" w:hanging="360"/>
    </w:pPr>
    <w:rPr>
      <w:noProof/>
    </w:rPr>
  </w:style>
  <w:style w:type="paragraph" w:styleId="TOC8">
    <w:name w:val="toc 8"/>
    <w:basedOn w:val="Normal"/>
    <w:next w:val="Normal"/>
    <w:autoRedefine/>
    <w:rsid w:val="00415CD6"/>
    <w:pPr>
      <w:tabs>
        <w:tab w:val="left" w:pos="2880"/>
        <w:tab w:val="right" w:leader="dot" w:pos="9360"/>
      </w:tabs>
      <w:suppressAutoHyphens/>
      <w:ind w:left="2880" w:hanging="360"/>
    </w:pPr>
    <w:rPr>
      <w:noProof/>
    </w:rPr>
  </w:style>
  <w:style w:type="paragraph" w:styleId="TOC9">
    <w:name w:val="toc 9"/>
    <w:basedOn w:val="Normal"/>
    <w:next w:val="Normal"/>
    <w:autoRedefine/>
    <w:rsid w:val="00415C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5CD6"/>
    <w:pPr>
      <w:tabs>
        <w:tab w:val="right" w:pos="9360"/>
      </w:tabs>
      <w:suppressAutoHyphens/>
    </w:pPr>
  </w:style>
  <w:style w:type="character" w:customStyle="1" w:styleId="EquationCaption">
    <w:name w:val="_Equation Caption"/>
    <w:rsid w:val="00415CD6"/>
  </w:style>
  <w:style w:type="paragraph" w:styleId="Header">
    <w:name w:val="header"/>
    <w:aliases w:val="encabezado,header odd,header odd1,header odd2,header,he,h,Header/Footer,Page No"/>
    <w:basedOn w:val="Normal"/>
    <w:link w:val="HeaderChar"/>
    <w:autoRedefine/>
    <w:rsid w:val="00415CD6"/>
    <w:pPr>
      <w:tabs>
        <w:tab w:val="center" w:pos="4680"/>
        <w:tab w:val="right" w:pos="9360"/>
      </w:tabs>
    </w:pPr>
    <w:rPr>
      <w:b/>
    </w:rPr>
  </w:style>
  <w:style w:type="character" w:customStyle="1" w:styleId="HeaderChar">
    <w:name w:val="Header Char"/>
    <w:aliases w:val="encabezado Char,header odd Char,header odd1 Char,header odd2 Char,header Char,he Char,h Char,Header/Footer Char,Page No Char"/>
    <w:link w:val="Header"/>
    <w:locked/>
    <w:rPr>
      <w:b/>
      <w:snapToGrid w:val="0"/>
      <w:kern w:val="28"/>
      <w:sz w:val="22"/>
    </w:rPr>
  </w:style>
  <w:style w:type="paragraph" w:styleId="Footer">
    <w:name w:val="footer"/>
    <w:basedOn w:val="Normal"/>
    <w:link w:val="FooterChar"/>
    <w:rsid w:val="00415CD6"/>
    <w:pPr>
      <w:tabs>
        <w:tab w:val="center" w:pos="4320"/>
        <w:tab w:val="right" w:pos="8640"/>
      </w:tabs>
    </w:pPr>
  </w:style>
  <w:style w:type="character" w:customStyle="1" w:styleId="FooterChar">
    <w:name w:val="Footer Char"/>
    <w:link w:val="Footer"/>
    <w:locked/>
    <w:rPr>
      <w:snapToGrid w:val="0"/>
      <w:kern w:val="28"/>
      <w:sz w:val="22"/>
    </w:rPr>
  </w:style>
  <w:style w:type="character" w:styleId="PageNumber">
    <w:name w:val="page number"/>
    <w:basedOn w:val="DefaultParagraphFont"/>
    <w:rsid w:val="00415CD6"/>
  </w:style>
  <w:style w:type="paragraph" w:styleId="BlockText">
    <w:name w:val="Block Text"/>
    <w:basedOn w:val="Normal"/>
    <w:rsid w:val="00415CD6"/>
    <w:pPr>
      <w:spacing w:after="240"/>
      <w:ind w:left="1440" w:right="1440"/>
    </w:pPr>
  </w:style>
  <w:style w:type="paragraph" w:customStyle="1" w:styleId="Paratitle">
    <w:name w:val="Para title"/>
    <w:basedOn w:val="Normal"/>
    <w:rsid w:val="00415CD6"/>
    <w:pPr>
      <w:tabs>
        <w:tab w:val="center" w:pos="9270"/>
      </w:tabs>
      <w:spacing w:after="240"/>
    </w:pPr>
    <w:rPr>
      <w:spacing w:val="-2"/>
    </w:rPr>
  </w:style>
  <w:style w:type="paragraph" w:customStyle="1" w:styleId="Bullet">
    <w:name w:val="Bullet"/>
    <w:basedOn w:val="Normal"/>
    <w:rsid w:val="00415CD6"/>
    <w:pPr>
      <w:tabs>
        <w:tab w:val="left" w:pos="2160"/>
      </w:tabs>
      <w:spacing w:after="220"/>
      <w:ind w:left="2160" w:hanging="720"/>
    </w:pPr>
  </w:style>
  <w:style w:type="paragraph" w:customStyle="1" w:styleId="TableFormat">
    <w:name w:val="TableFormat"/>
    <w:basedOn w:val="Bullet"/>
    <w:rsid w:val="00415CD6"/>
    <w:pPr>
      <w:tabs>
        <w:tab w:val="clear" w:pos="2160"/>
        <w:tab w:val="left" w:pos="5040"/>
      </w:tabs>
      <w:ind w:left="5040" w:hanging="3600"/>
    </w:pPr>
  </w:style>
  <w:style w:type="paragraph" w:customStyle="1" w:styleId="TOCTitle">
    <w:name w:val="TOC Title"/>
    <w:basedOn w:val="Normal"/>
    <w:rsid w:val="00415C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5CD6"/>
    <w:pPr>
      <w:jc w:val="center"/>
    </w:pPr>
    <w:rPr>
      <w:rFonts w:ascii="Times New Roman Bold" w:hAnsi="Times New Roman Bold"/>
      <w:b/>
      <w:bCs/>
      <w:caps/>
      <w:szCs w:val="22"/>
    </w:rPr>
  </w:style>
  <w:style w:type="character" w:styleId="Hyperlink">
    <w:name w:val="Hyperlink"/>
    <w:rsid w:val="00415CD6"/>
    <w:rPr>
      <w:color w:val="0000FF"/>
      <w:u w:val="single"/>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Pr>
      <w:lang w:val="en-US" w:eastAsia="en-US"/>
    </w:rPr>
  </w:style>
  <w:style w:type="character" w:customStyle="1" w:styleId="documentbody1">
    <w:name w:val="documentbody1"/>
    <w:uiPriority w:val="99"/>
    <w:rPr>
      <w:rFonts w:ascii="Verdana" w:hAnsi="Verdana"/>
      <w:sz w:val="19"/>
    </w:rPr>
  </w:style>
  <w:style w:type="character" w:styleId="Emphasis">
    <w:name w:val="Emphasis"/>
    <w:uiPriority w:val="99"/>
    <w:qFormat/>
    <w:rPr>
      <w:rFonts w:cs="Times New Roman"/>
      <w:i/>
    </w:rPr>
  </w:style>
  <w:style w:type="character" w:customStyle="1" w:styleId="Footnote">
    <w:name w:val="Footnote"/>
    <w:uiPriority w:val="99"/>
    <w:rPr>
      <w:rFonts w:cs="Times New Roman"/>
    </w:rPr>
  </w:style>
  <w:style w:type="character" w:styleId="CommentReference">
    <w:name w:val="annotation reference"/>
    <w:uiPriority w:val="99"/>
    <w:rPr>
      <w:rFonts w:cs="Times New Roman"/>
      <w:sz w:val="16"/>
    </w:rPr>
  </w:style>
  <w:style w:type="paragraph" w:styleId="CommentText">
    <w:name w:val="annotation text"/>
    <w:basedOn w:val="Normal"/>
    <w:link w:val="CommentTextChar1"/>
    <w:uiPriority w:val="99"/>
    <w:rPr>
      <w:sz w:val="20"/>
    </w:rPr>
  </w:style>
  <w:style w:type="character" w:customStyle="1" w:styleId="CommentTextChar1">
    <w:name w:val="Comment Text Char1"/>
    <w:link w:val="CommentText"/>
    <w:uiPriority w:val="99"/>
    <w:locked/>
    <w:rPr>
      <w:rFonts w:cs="Times New Roman"/>
      <w:kern w:val="28"/>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kern w:val="28"/>
      <w:sz w:val="20"/>
      <w:szCs w:val="20"/>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locked/>
    <w:rPr>
      <w:rFonts w:cs="Times New Roman"/>
      <w:kern w:val="28"/>
      <w:sz w:val="2"/>
    </w:rPr>
  </w:style>
  <w:style w:type="character" w:customStyle="1" w:styleId="term1">
    <w:name w:val="term1"/>
    <w:uiPriority w:val="99"/>
    <w:rPr>
      <w:b/>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uiPriority w:val="99"/>
    <w:rPr>
      <w:lang w:val="en-US" w:eastAsia="en-US"/>
    </w:rPr>
  </w:style>
  <w:style w:type="paragraph" w:customStyle="1" w:styleId="StyleHeading3Heading3CharLeft">
    <w:name w:val="Style Heading 3Heading 3 Char + Left"/>
    <w:basedOn w:val="Heading3"/>
    <w:uiPriority w:val="99"/>
    <w:pPr>
      <w:numPr>
        <w:ilvl w:val="0"/>
        <w:numId w:val="0"/>
      </w:numPr>
      <w:tabs>
        <w:tab w:val="num" w:pos="360"/>
      </w:tabs>
      <w:ind w:left="360" w:hanging="360"/>
    </w:pPr>
    <w:rPr>
      <w:bCs/>
    </w:rPr>
  </w:style>
  <w:style w:type="paragraph" w:customStyle="1" w:styleId="App1">
    <w:name w:val="App1"/>
    <w:basedOn w:val="Normal"/>
    <w:uiPriority w:val="99"/>
    <w:pPr>
      <w:widowControl/>
      <w:tabs>
        <w:tab w:val="num" w:pos="1440"/>
      </w:tabs>
      <w:ind w:firstLine="72"/>
    </w:pPr>
    <w:rPr>
      <w:kern w:val="0"/>
      <w:szCs w:val="22"/>
    </w:rPr>
  </w:style>
  <w:style w:type="character" w:customStyle="1" w:styleId="href">
    <w:name w:val="href"/>
    <w:uiPriority w:val="99"/>
    <w:rPr>
      <w:rFonts w:cs="Times New Roman"/>
    </w:rPr>
  </w:style>
  <w:style w:type="paragraph" w:customStyle="1" w:styleId="RecNo">
    <w:name w:val="Rec_No"/>
    <w:basedOn w:val="Normal"/>
    <w:next w:val="Normal"/>
    <w:uiPriority w:val="99"/>
    <w:pPr>
      <w:keepNext/>
      <w:keepLines/>
      <w:widowControl/>
      <w:overflowPunct w:val="0"/>
      <w:autoSpaceDE w:val="0"/>
      <w:autoSpaceDN w:val="0"/>
      <w:adjustRightInd w:val="0"/>
      <w:spacing w:before="480"/>
      <w:jc w:val="center"/>
      <w:textAlignment w:val="baseline"/>
    </w:pPr>
    <w:rPr>
      <w:kern w:val="0"/>
      <w:sz w:val="28"/>
      <w:lang w:val="fr-FR"/>
    </w:rPr>
  </w:style>
  <w:style w:type="paragraph" w:customStyle="1" w:styleId="StyleParaNumLeft">
    <w:name w:val="Style ParaNum + Left"/>
    <w:basedOn w:val="ParaNum"/>
    <w:uiPriority w:val="99"/>
    <w:pPr>
      <w:spacing w:after="220"/>
    </w:p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link w:val="HTMLPreformatted"/>
    <w:uiPriority w:val="99"/>
    <w:locked/>
    <w:rPr>
      <w:rFonts w:ascii="Courier New" w:hAnsi="Courier New" w:cs="Courier New"/>
      <w:kern w:val="28"/>
      <w:sz w:val="20"/>
      <w:szCs w:val="20"/>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rPr>
      <w:lang w:val="en-US" w:eastAsia="en-US"/>
    </w:r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Pr>
      <w:rFonts w:cs="Times New Roman"/>
      <w:color w:val="800080"/>
      <w:u w:val="single"/>
    </w:rPr>
  </w:style>
  <w:style w:type="character" w:customStyle="1" w:styleId="StyleFootnoteReference11ptKernat14pt">
    <w:name w:val="Style Footnote Reference + 11 pt Kern at 14 pt"/>
    <w:uiPriority w:val="99"/>
    <w:rPr>
      <w:rFonts w:ascii="Times New Roman" w:hAnsi="Times New Roman"/>
      <w:color w:val="auto"/>
      <w:kern w:val="28"/>
      <w:sz w:val="20"/>
      <w:vertAlign w:val="superscript"/>
      <w:lang w:val="en-US" w:eastAsia="x-none"/>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pPr>
      <w:tabs>
        <w:tab w:val="left" w:pos="1440"/>
      </w:tabs>
      <w:spacing w:after="220"/>
    </w:pPr>
    <w:rPr>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Pr>
      <w:snapToGrid w:val="0"/>
      <w:kern w:val="28"/>
      <w:sz w:val="22"/>
      <w:lang w:val="en-US" w:eastAsia="en-US"/>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pPr>
      <w:widowControl/>
      <w:tabs>
        <w:tab w:val="num" w:pos="720"/>
        <w:tab w:val="left" w:pos="1080"/>
      </w:tabs>
      <w:spacing w:after="240"/>
      <w:ind w:firstLine="360"/>
    </w:pPr>
    <w:rPr>
      <w:snapToGrid/>
      <w:kern w:val="0"/>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Pr>
      <w:snapToGrid w:val="0"/>
      <w:sz w:val="22"/>
      <w:lang w:val="en-US" w:eastAsia="en-US"/>
    </w:rPr>
  </w:style>
  <w:style w:type="character" w:customStyle="1" w:styleId="documentbody5">
    <w:name w:val="documentbody5"/>
    <w:uiPriority w:val="99"/>
    <w:rPr>
      <w:rFonts w:ascii="Verdana" w:hAnsi="Verdana"/>
      <w:sz w:val="19"/>
    </w:rPr>
  </w:style>
  <w:style w:type="character" w:customStyle="1" w:styleId="groupheading5">
    <w:name w:val="groupheading5"/>
    <w:uiPriority w:val="99"/>
    <w:rPr>
      <w:rFonts w:ascii="Verdana" w:hAnsi="Verdana"/>
      <w:b/>
      <w:sz w:val="19"/>
    </w:rPr>
  </w:style>
  <w:style w:type="character" w:customStyle="1" w:styleId="starpage1">
    <w:name w:val="starpage1"/>
    <w:uiPriority w:val="99"/>
    <w:rPr>
      <w:b/>
      <w:i/>
      <w:color w:val="800080"/>
    </w:rPr>
  </w:style>
  <w:style w:type="character" w:customStyle="1" w:styleId="EmailStyle79">
    <w:name w:val="EmailStyle79"/>
    <w:uiPriority w:val="99"/>
    <w:semiHidden/>
    <w:rPr>
      <w:rFonts w:ascii="Arial" w:hAnsi="Arial"/>
      <w:color w:val="auto"/>
      <w:sz w:val="20"/>
    </w:rPr>
  </w:style>
  <w:style w:type="character" w:styleId="Strong">
    <w:name w:val="Strong"/>
    <w:uiPriority w:val="99"/>
    <w:qFormat/>
    <w:rPr>
      <w:rFonts w:cs="Times New Roman"/>
      <w:b/>
    </w:rPr>
  </w:style>
  <w:style w:type="paragraph" w:styleId="Revision">
    <w:name w:val="Revision"/>
    <w:hidden/>
    <w:uiPriority w:val="99"/>
    <w:rPr>
      <w:kern w:val="28"/>
      <w:sz w:val="22"/>
    </w:rPr>
  </w:style>
  <w:style w:type="character" w:customStyle="1" w:styleId="st">
    <w:name w:val="st"/>
    <w:uiPriority w:val="99"/>
    <w:rPr>
      <w:rFonts w:cs="Times New Roman"/>
    </w:rPr>
  </w:style>
  <w:style w:type="paragraph" w:styleId="NormalWeb">
    <w:name w:val="Normal (Web)"/>
    <w:basedOn w:val="Normal"/>
    <w:uiPriority w:val="99"/>
    <w:pPr>
      <w:widowControl/>
      <w:spacing w:before="100" w:beforeAutospacing="1" w:after="100" w:afterAutospacing="1"/>
    </w:pPr>
    <w:rPr>
      <w:kern w:val="0"/>
      <w:sz w:val="24"/>
      <w:szCs w:val="24"/>
    </w:rPr>
  </w:style>
  <w:style w:type="character" w:customStyle="1" w:styleId="msoins0">
    <w:name w:val="msoins"/>
    <w:uiPriority w:val="99"/>
    <w:rPr>
      <w:rFonts w:cs="Times New Roman"/>
    </w:rPr>
  </w:style>
  <w:style w:type="character" w:customStyle="1" w:styleId="StyleFootnoteReferenceStyle13Style12NECGFootnoteReferenc">
    <w:name w:val="Style Footnote ReferenceStyle 13Style 12(NECG) Footnote Referenc..."/>
    <w:uiPriority w:val="99"/>
    <w:rPr>
      <w:rFonts w:ascii="Times New Roman" w:hAnsi="Times New Roman"/>
      <w:color w:val="auto"/>
      <w:sz w:val="20"/>
      <w:u w:val="none"/>
      <w:effect w:val="none"/>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rFonts w:cs="Times New Roman"/>
      <w:kern w:val="28"/>
      <w:sz w:val="20"/>
      <w:szCs w:val="20"/>
    </w:rPr>
  </w:style>
  <w:style w:type="paragraph" w:styleId="BodyTextFirstIndent">
    <w:name w:val="Body Text First Indent"/>
    <w:basedOn w:val="BodyText"/>
    <w:link w:val="BodyTextFirstIndentChar"/>
    <w:uiPriority w:val="99"/>
    <w:pPr>
      <w:widowControl/>
      <w:ind w:firstLine="360"/>
    </w:pPr>
    <w:rPr>
      <w:rFonts w:ascii="Cambria" w:eastAsia="MS Minngs" w:hAnsi="Cambria"/>
      <w:kern w:val="0"/>
      <w:sz w:val="24"/>
      <w:szCs w:val="24"/>
    </w:rPr>
  </w:style>
  <w:style w:type="character" w:customStyle="1" w:styleId="BodyTextFirstIndentChar">
    <w:name w:val="Body Text First Indent Char"/>
    <w:link w:val="BodyTextFirstIndent"/>
    <w:uiPriority w:val="99"/>
    <w:locked/>
    <w:rPr>
      <w:rFonts w:ascii="Cambria" w:eastAsia="MS Minngs" w:hAnsi="Cambria" w:cs="Times New Roman"/>
      <w:kern w:val="28"/>
      <w:sz w:val="20"/>
      <w:szCs w:val="20"/>
      <w:lang w:val="en-US" w:eastAsia="en-US"/>
    </w:rPr>
  </w:style>
  <w:style w:type="paragraph" w:styleId="Caption">
    <w:name w:val="caption"/>
    <w:basedOn w:val="Normal"/>
    <w:next w:val="Normal"/>
    <w:qFormat/>
    <w:locked/>
    <w:rPr>
      <w:b/>
      <w:bCs/>
      <w:sz w:val="20"/>
    </w:rPr>
  </w:style>
  <w:style w:type="character" w:customStyle="1" w:styleId="ptext-25">
    <w:name w:val="ptext-25"/>
    <w:rPr>
      <w:rFonts w:cs="Times New Roman"/>
    </w:rPr>
  </w:style>
  <w:style w:type="character" w:customStyle="1" w:styleId="documentbody">
    <w:name w:val="documentbody"/>
    <w:basedOn w:val="DefaultParagraphFont"/>
  </w:style>
  <w:style w:type="character" w:customStyle="1" w:styleId="apple-converted-space">
    <w:name w:val="apple-converted-space"/>
    <w:basedOn w:val="DefaultParagraphFont"/>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Pr>
      <w:sz w:val="24"/>
      <w:szCs w:val="24"/>
    </w:rPr>
  </w:style>
  <w:style w:type="paragraph" w:customStyle="1" w:styleId="Style1">
    <w:name w:val="Style1"/>
    <w:basedOn w:val="ParaNum"/>
    <w:link w:val="Style1Char"/>
    <w:qFormat/>
    <w:pPr>
      <w:numPr>
        <w:numId w:val="0"/>
      </w:numPr>
      <w:tabs>
        <w:tab w:val="num" w:pos="360"/>
      </w:tabs>
      <w:ind w:hanging="360"/>
    </w:pPr>
  </w:style>
  <w:style w:type="character" w:customStyle="1" w:styleId="Style1Char">
    <w:name w:val="Style1 Char"/>
    <w:basedOn w:val="ParaNumChar"/>
    <w:link w:val="Style1"/>
    <w:rPr>
      <w:snapToGrid w:val="0"/>
      <w:kern w:val="28"/>
      <w:sz w:val="22"/>
    </w:rPr>
  </w:style>
  <w:style w:type="character" w:customStyle="1" w:styleId="BalloonTextChar">
    <w:name w:val="Balloon Text Char"/>
    <w:semiHidden/>
    <w:locked/>
    <w:rPr>
      <w:rFonts w:ascii="Tahoma" w:hAnsi="Tahoma"/>
      <w:snapToGrid w:val="0"/>
      <w:kern w:val="28"/>
      <w:sz w:val="16"/>
      <w:lang w:val="en-US" w:eastAsia="en-US"/>
    </w:rPr>
  </w:style>
  <w:style w:type="character" w:customStyle="1" w:styleId="CommentTextChar">
    <w:name w:val="Comment Text Char"/>
    <w:locked/>
    <w:rPr>
      <w:kern w:val="28"/>
      <w:sz w:val="20"/>
    </w:rPr>
  </w:style>
  <w:style w:type="paragraph" w:customStyle="1" w:styleId="Appendixformat">
    <w:name w:val="Appendix format"/>
    <w:basedOn w:val="Normal"/>
    <w:pPr>
      <w:tabs>
        <w:tab w:val="left" w:pos="1440"/>
      </w:tabs>
      <w:spacing w:after="120"/>
      <w:ind w:left="1440" w:hanging="720"/>
    </w:pPr>
    <w:rPr>
      <w:b/>
      <w:snapToGrid/>
    </w:rPr>
  </w:style>
  <w:style w:type="paragraph" w:customStyle="1" w:styleId="Appendixnumber">
    <w:name w:val="Appendix number"/>
    <w:basedOn w:val="Normal"/>
    <w:pPr>
      <w:numPr>
        <w:numId w:val="2"/>
      </w:numPr>
      <w:spacing w:after="120"/>
    </w:pPr>
    <w:rPr>
      <w:snapToGrid/>
    </w:rPr>
  </w:style>
  <w:style w:type="character" w:customStyle="1" w:styleId="EmailStyle113">
    <w:name w:val="EmailStyle113"/>
    <w:semiHidden/>
    <w:rPr>
      <w:rFonts w:ascii="Arial" w:hAnsi="Arial" w:cs="Arial"/>
      <w:color w:val="000080"/>
      <w:sz w:val="20"/>
      <w:szCs w:val="20"/>
    </w:rPr>
  </w:style>
  <w:style w:type="paragraph" w:customStyle="1" w:styleId="paranum0">
    <w:name w:val="paranum"/>
    <w:basedOn w:val="Normal"/>
    <w:pPr>
      <w:widowControl/>
      <w:tabs>
        <w:tab w:val="num" w:pos="1080"/>
      </w:tabs>
      <w:snapToGrid w:val="0"/>
      <w:spacing w:after="120"/>
      <w:ind w:firstLine="720"/>
    </w:pPr>
    <w:rPr>
      <w:kern w:val="0"/>
      <w:szCs w:val="22"/>
    </w:rPr>
  </w:style>
  <w:style w:type="character" w:customStyle="1" w:styleId="EmailStyle1151">
    <w:name w:val="EmailStyle1151"/>
    <w:semiHidden/>
    <w:rPr>
      <w:rFonts w:ascii="Arial" w:hAnsi="Arial" w:cs="Arial"/>
      <w:color w:val="000080"/>
      <w:sz w:val="20"/>
      <w:szCs w:val="20"/>
    </w:rPr>
  </w:style>
  <w:style w:type="character" w:customStyle="1" w:styleId="StyleFootnoteReferenceStyle13Style12NECGFootnoteReferenc1">
    <w:name w:val="Style Footnote ReferenceStyle 13Style 12(NECG) Footnote Referenc...1"/>
    <w:rPr>
      <w:rFonts w:ascii="Times New Roman" w:hAnsi="Times New Roman" w:cs="Times New Roman" w:hint="default"/>
      <w:strike w:val="0"/>
      <w:dstrike w:val="0"/>
      <w:color w:val="auto"/>
      <w:sz w:val="20"/>
      <w:u w:val="none"/>
      <w:effect w:val="none"/>
      <w:vertAlign w:val="superscript"/>
    </w:rPr>
  </w:style>
  <w:style w:type="paragraph" w:customStyle="1" w:styleId="ColorfulList-Accent11">
    <w:name w:val="Colorful List - Accent 11"/>
    <w:basedOn w:val="Normal"/>
    <w:qFormat/>
    <w:pPr>
      <w:widowControl/>
      <w:ind w:left="720"/>
      <w:contextualSpacing/>
    </w:pPr>
    <w:rPr>
      <w:kern w:val="0"/>
      <w:sz w:val="24"/>
      <w:szCs w:val="24"/>
    </w:rPr>
  </w:style>
  <w:style w:type="paragraph" w:styleId="ListParagraph">
    <w:name w:val="List Paragraph"/>
    <w:basedOn w:val="Normal"/>
    <w:qFormat/>
    <w:pPr>
      <w:widowControl/>
      <w:spacing w:after="200" w:line="276" w:lineRule="auto"/>
      <w:ind w:left="720"/>
      <w:contextualSpacing/>
    </w:pPr>
    <w:rPr>
      <w:rFonts w:ascii="Calibri" w:hAnsi="Calibri"/>
      <w:kern w:val="0"/>
      <w:szCs w:val="22"/>
    </w:rPr>
  </w:style>
  <w:style w:type="paragraph" w:customStyle="1" w:styleId="NumberedList">
    <w:name w:val="Numbered List"/>
    <w:basedOn w:val="Normal"/>
    <w:uiPriority w:val="99"/>
    <w:rsid w:val="00256EAE"/>
    <w:pPr>
      <w:widowControl/>
      <w:numPr>
        <w:numId w:val="3"/>
      </w:numPr>
      <w:tabs>
        <w:tab w:val="clear" w:pos="1080"/>
      </w:tabs>
      <w:spacing w:after="220"/>
      <w:ind w:firstLine="0"/>
    </w:pPr>
    <w:rPr>
      <w:snapToGrid/>
      <w:kern w:val="0"/>
    </w:rPr>
  </w:style>
  <w:style w:type="paragraph" w:styleId="Title">
    <w:name w:val="Title"/>
    <w:basedOn w:val="Normal"/>
    <w:link w:val="TitleChar"/>
    <w:uiPriority w:val="99"/>
    <w:qFormat/>
    <w:locked/>
    <w:rsid w:val="00256EAE"/>
    <w:pPr>
      <w:widowControl/>
      <w:jc w:val="center"/>
    </w:pPr>
    <w:rPr>
      <w:b/>
      <w:snapToGrid/>
      <w:kern w:val="0"/>
    </w:rPr>
  </w:style>
  <w:style w:type="character" w:customStyle="1" w:styleId="TitleChar">
    <w:name w:val="Title Char"/>
    <w:basedOn w:val="DefaultParagraphFont"/>
    <w:link w:val="Title"/>
    <w:uiPriority w:val="99"/>
    <w:rsid w:val="00256EAE"/>
    <w:rPr>
      <w:b/>
      <w:snapToGrid w:val="0"/>
      <w:sz w:val="22"/>
    </w:rPr>
  </w:style>
  <w:style w:type="character" w:customStyle="1" w:styleId="listitemlarge">
    <w:name w:val="listitemlarge"/>
    <w:uiPriority w:val="99"/>
    <w:rsid w:val="00256EAE"/>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256EAE"/>
  </w:style>
  <w:style w:type="paragraph" w:customStyle="1" w:styleId="ColorfulShading-Accent11">
    <w:name w:val="Colorful Shading - Accent 11"/>
    <w:hidden/>
    <w:uiPriority w:val="99"/>
    <w:semiHidden/>
    <w:rsid w:val="00256EAE"/>
    <w:rPr>
      <w:kern w:val="28"/>
      <w:sz w:val="22"/>
    </w:rPr>
  </w:style>
  <w:style w:type="paragraph" w:customStyle="1" w:styleId="ColorfulList-Accent12">
    <w:name w:val="Colorful List - Accent 12"/>
    <w:basedOn w:val="Normal"/>
    <w:uiPriority w:val="99"/>
    <w:qFormat/>
    <w:rsid w:val="00256EAE"/>
    <w:pPr>
      <w:widowControl/>
      <w:spacing w:after="200" w:line="276" w:lineRule="auto"/>
      <w:ind w:left="720"/>
      <w:contextualSpacing/>
    </w:pPr>
    <w:rPr>
      <w:rFonts w:ascii="Calibri" w:hAnsi="Calibri"/>
      <w:snapToGrid/>
      <w:kern w:val="0"/>
      <w:szCs w:val="22"/>
    </w:rPr>
  </w:style>
  <w:style w:type="character" w:customStyle="1" w:styleId="ssens">
    <w:name w:val="ssens"/>
    <w:uiPriority w:val="99"/>
    <w:rsid w:val="00256EAE"/>
  </w:style>
  <w:style w:type="paragraph" w:customStyle="1" w:styleId="ParagraphNumbers">
    <w:name w:val="Paragraph Numbers"/>
    <w:basedOn w:val="ParaNum"/>
    <w:link w:val="ParagraphNumbersChar"/>
    <w:uiPriority w:val="99"/>
    <w:qFormat/>
    <w:rsid w:val="00256EAE"/>
    <w:pPr>
      <w:tabs>
        <w:tab w:val="num" w:pos="720"/>
      </w:tabs>
      <w:spacing w:after="0"/>
      <w:ind w:left="360" w:hanging="360"/>
    </w:pPr>
  </w:style>
  <w:style w:type="character" w:customStyle="1" w:styleId="ParagraphNumbersChar">
    <w:name w:val="Paragraph Numbers Char"/>
    <w:link w:val="ParagraphNumbers"/>
    <w:uiPriority w:val="99"/>
    <w:rsid w:val="00256EAE"/>
    <w:rPr>
      <w:snapToGrid w:val="0"/>
      <w:kern w:val="28"/>
      <w:sz w:val="22"/>
    </w:rPr>
  </w:style>
  <w:style w:type="character" w:customStyle="1" w:styleId="NoStyleChar">
    <w:name w:val="No Style Char"/>
    <w:aliases w:val="h2 Char Char1,UNDERRUBRIK 1-2 Char Char1,Heading 2 Char Char1 Char1,Heading 2 Char1 Char Char Char2,Heading 2 Char Char1 Char Char Char1,Heading 2 Char Char2 Char1,Heading 2 Char1 Char Char2,Heading 2 Char Char3 Char Char1"/>
    <w:uiPriority w:val="99"/>
    <w:rsid w:val="00256EAE"/>
    <w:rPr>
      <w:rFonts w:eastAsia="Calibri"/>
      <w:bCs/>
      <w:iCs/>
    </w:rPr>
  </w:style>
  <w:style w:type="paragraph" w:customStyle="1" w:styleId="Heading5db">
    <w:name w:val="Heading 5 db"/>
    <w:basedOn w:val="Heading7"/>
    <w:link w:val="Heading5dbChar"/>
    <w:uiPriority w:val="99"/>
    <w:rsid w:val="00256EAE"/>
    <w:pPr>
      <w:tabs>
        <w:tab w:val="clear" w:pos="5040"/>
        <w:tab w:val="num" w:pos="2160"/>
      </w:tabs>
      <w:ind w:left="2160" w:hanging="360"/>
    </w:pPr>
    <w:rPr>
      <w:snapToGrid/>
    </w:rPr>
  </w:style>
  <w:style w:type="paragraph" w:customStyle="1" w:styleId="Heading2db">
    <w:name w:val="Heading 2db"/>
    <w:basedOn w:val="Heading2"/>
    <w:link w:val="Heading2dbChar"/>
    <w:uiPriority w:val="99"/>
    <w:qFormat/>
    <w:rsid w:val="00256EAE"/>
    <w:pPr>
      <w:numPr>
        <w:ilvl w:val="0"/>
        <w:numId w:val="0"/>
      </w:numPr>
      <w:pBdr>
        <w:bottom w:val="single" w:sz="6" w:space="31" w:color="auto"/>
      </w:pBdr>
      <w:spacing w:after="0"/>
    </w:pPr>
    <w:rPr>
      <w:rFonts w:eastAsia="Calibri"/>
      <w:b w:val="0"/>
      <w:bCs/>
      <w:iCs/>
      <w:snapToGrid/>
      <w:kern w:val="0"/>
    </w:rPr>
  </w:style>
  <w:style w:type="character" w:customStyle="1" w:styleId="Heading5dbChar">
    <w:name w:val="Heading 5 db Char"/>
    <w:link w:val="Heading5db"/>
    <w:uiPriority w:val="99"/>
    <w:rsid w:val="00256EAE"/>
    <w:rPr>
      <w:b/>
      <w:kern w:val="28"/>
      <w:sz w:val="22"/>
    </w:rPr>
  </w:style>
  <w:style w:type="paragraph" w:customStyle="1" w:styleId="Heading7db">
    <w:name w:val="Heading 7db"/>
    <w:basedOn w:val="Heading5db"/>
    <w:link w:val="Heading7dbChar"/>
    <w:uiPriority w:val="99"/>
    <w:qFormat/>
    <w:rsid w:val="00256EAE"/>
    <w:pPr>
      <w:numPr>
        <w:ilvl w:val="0"/>
        <w:numId w:val="4"/>
      </w:numPr>
      <w:tabs>
        <w:tab w:val="left" w:pos="2160"/>
      </w:tabs>
    </w:pPr>
  </w:style>
  <w:style w:type="character" w:customStyle="1" w:styleId="Heading2dbChar">
    <w:name w:val="Heading 2db Char"/>
    <w:link w:val="Heading2db"/>
    <w:uiPriority w:val="99"/>
    <w:rsid w:val="00256EAE"/>
    <w:rPr>
      <w:rFonts w:eastAsia="Calibri"/>
      <w:bCs/>
      <w:iCs/>
      <w:snapToGrid w:val="0"/>
      <w:sz w:val="22"/>
      <w:szCs w:val="22"/>
    </w:rPr>
  </w:style>
  <w:style w:type="character" w:customStyle="1" w:styleId="Heading7dbChar">
    <w:name w:val="Heading 7db Char"/>
    <w:link w:val="Heading7db"/>
    <w:uiPriority w:val="99"/>
    <w:rsid w:val="00256EAE"/>
    <w:rPr>
      <w:b/>
      <w:kern w:val="28"/>
      <w:sz w:val="22"/>
    </w:rPr>
  </w:style>
  <w:style w:type="paragraph" w:customStyle="1" w:styleId="Default">
    <w:name w:val="Default"/>
    <w:uiPriority w:val="99"/>
    <w:rsid w:val="00256EAE"/>
    <w:pPr>
      <w:autoSpaceDE w:val="0"/>
      <w:autoSpaceDN w:val="0"/>
      <w:adjustRightInd w:val="0"/>
    </w:pPr>
    <w:rPr>
      <w:color w:val="000000"/>
      <w:sz w:val="24"/>
      <w:szCs w:val="24"/>
    </w:rPr>
  </w:style>
  <w:style w:type="paragraph" w:styleId="PlainText">
    <w:name w:val="Plain Text"/>
    <w:basedOn w:val="Normal"/>
    <w:link w:val="PlainTextChar"/>
    <w:uiPriority w:val="99"/>
    <w:unhideWhenUsed/>
    <w:locked/>
    <w:rsid w:val="00256EAE"/>
    <w:pPr>
      <w:widowControl/>
    </w:pPr>
    <w:rPr>
      <w:rFonts w:ascii="Calibri" w:eastAsia="Cambria" w:hAnsi="Calibri"/>
      <w:snapToGrid/>
      <w:kern w:val="0"/>
      <w:szCs w:val="21"/>
    </w:rPr>
  </w:style>
  <w:style w:type="character" w:customStyle="1" w:styleId="PlainTextChar">
    <w:name w:val="Plain Text Char"/>
    <w:basedOn w:val="DefaultParagraphFont"/>
    <w:link w:val="PlainText"/>
    <w:uiPriority w:val="99"/>
    <w:rsid w:val="00256EAE"/>
    <w:rPr>
      <w:rFonts w:ascii="Calibri" w:eastAsia="Cambria" w:hAnsi="Calibri"/>
      <w:snapToGrid w:val="0"/>
      <w:sz w:val="22"/>
      <w:szCs w:val="21"/>
    </w:rPr>
  </w:style>
  <w:style w:type="character" w:customStyle="1" w:styleId="ParaNumChar1">
    <w:name w:val="ParaNum Char1"/>
    <w:rsid w:val="00256EAE"/>
    <w:rPr>
      <w:rFonts w:cs="Times New Roman"/>
      <w:snapToGrid w:val="0"/>
      <w:kern w:val="28"/>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uiPriority w:val="99"/>
    <w:semiHidden/>
    <w:rsid w:val="00256EAE"/>
    <w:rPr>
      <w:rFonts w:cs="Times New Roman"/>
      <w:sz w:val="20"/>
      <w:szCs w:val="20"/>
    </w:rPr>
  </w:style>
  <w:style w:type="character" w:customStyle="1" w:styleId="ptext-18">
    <w:name w:val="ptext-18"/>
    <w:uiPriority w:val="99"/>
    <w:rsid w:val="00256EAE"/>
  </w:style>
  <w:style w:type="character" w:customStyle="1" w:styleId="ParaNumChar2">
    <w:name w:val="ParaNum Char2"/>
    <w:rsid w:val="00256EAE"/>
    <w:rPr>
      <w:snapToGrid w:val="0"/>
      <w:kern w:val="28"/>
      <w:sz w:val="22"/>
      <w:lang w:val="en-US" w:eastAsia="en-US" w:bidi="ar-SA"/>
    </w:rPr>
  </w:style>
  <w:style w:type="character" w:customStyle="1" w:styleId="WW8Num5z0">
    <w:name w:val="WW8Num5z0"/>
    <w:rsid w:val="00256EAE"/>
    <w:rPr>
      <w:rFonts w:ascii="Symbol" w:hAnsi="Symbol"/>
    </w:rPr>
  </w:style>
  <w:style w:type="character" w:customStyle="1" w:styleId="Heading1Char2Char1">
    <w:name w:val="Heading 1 Char2 Char1"/>
    <w:aliases w:val="Heading 1 Char1 Char Char1,Heading 1 Char Char Char Char1,Heading 1 Char Char1 Char2,Heading 1 Char Char1 Char Char1,Heading 1 Char2 Char Char1 Char Char1,Heading 1 Char1 Char Char Char2 Char Char1"/>
    <w:rsid w:val="00256EAE"/>
    <w:rPr>
      <w:rFonts w:ascii="Times New Roman Bold" w:eastAsia="Times New Roman" w:hAnsi="Times New Roman Bold" w:cs="Times New Roman"/>
      <w:b/>
      <w:caps/>
      <w:snapToGrid w:val="0"/>
      <w:kern w:val="28"/>
      <w:szCs w:val="20"/>
    </w:rPr>
  </w:style>
  <w:style w:type="character" w:customStyle="1" w:styleId="3CharChar1">
    <w:name w:val="3 Char Char1"/>
    <w:aliases w:val="Titre 3 Char Char1,1 Char Char1,31 Char Char1,Titre 31 Char Char1,?? 3 Char Char1,3 Char2,Titre 3 Char2,1 Char2,31 Char2,Titre 31 Char2,?? 3 Char2,Heading 3 Char1 Char Char Char1,Heading 3 Char Char Char Char Char2"/>
    <w:rsid w:val="00256EAE"/>
    <w:rPr>
      <w:rFonts w:ascii="Times New Roman" w:eastAsia="Times New Roman" w:hAnsi="Times New Roman" w:cs="Times New Roman"/>
      <w:b/>
      <w:snapToGrid w:val="0"/>
      <w:kern w:val="28"/>
      <w:szCs w:val="20"/>
    </w:rPr>
  </w:style>
  <w:style w:type="character" w:customStyle="1" w:styleId="Heading4Char1CharChar1">
    <w:name w:val="Heading 4 Char1 Char Char1"/>
    <w:aliases w:val="Heading 4 Char2 Char Char1 Char1,Heading 4 Char Char1 Char Char1 Char1,Heading 4 Char1 Char Char Char Char1 Char1,Heading 4 Char Char Char Char Char Char1 Char1,Heading 4 Char1 Char1 Char Char1 Char1"/>
    <w:rsid w:val="00256EAE"/>
    <w:rPr>
      <w:rFonts w:ascii="Times New Roman" w:eastAsia="Times New Roman" w:hAnsi="Times New Roman" w:cs="Times New Roman"/>
      <w:b/>
      <w:snapToGrid w:val="0"/>
      <w:kern w:val="28"/>
      <w:szCs w:val="20"/>
    </w:rPr>
  </w:style>
  <w:style w:type="character" w:customStyle="1" w:styleId="Heading6Char2Char1">
    <w:name w:val="Heading 6 Char2 Char1"/>
    <w:aliases w:val="Heading 6 Char1 Char Char1,Heading 6 Char Char Char Char1,Heading 6 Char Char1 Char1,Heading 6 Char1 Char2,Heading 6 Char Char Char2,h6 Char1"/>
    <w:rsid w:val="00256EAE"/>
    <w:rPr>
      <w:rFonts w:ascii="Times New Roman" w:eastAsia="Times New Roman" w:hAnsi="Times New Roman" w:cs="Times New Roman"/>
      <w:b/>
      <w:snapToGrid w:val="0"/>
      <w:kern w:val="28"/>
      <w:szCs w:val="20"/>
    </w:rPr>
  </w:style>
  <w:style w:type="paragraph" w:customStyle="1" w:styleId="ROParagraphStyle">
    <w:name w:val="R&amp;O Paragraph Style"/>
    <w:basedOn w:val="ParagraphNumbers"/>
    <w:link w:val="ROParagraphStyleChar"/>
    <w:qFormat/>
    <w:rsid w:val="00256EAE"/>
    <w:pPr>
      <w:tabs>
        <w:tab w:val="clear" w:pos="720"/>
      </w:tabs>
      <w:ind w:left="0" w:firstLine="720"/>
    </w:pPr>
    <w:rPr>
      <w:szCs w:val="22"/>
    </w:rPr>
  </w:style>
  <w:style w:type="character" w:customStyle="1" w:styleId="ROParagraphStyleChar">
    <w:name w:val="R&amp;O Paragraph Style Char"/>
    <w:link w:val="ROParagraphStyle"/>
    <w:rsid w:val="00256EAE"/>
    <w:rPr>
      <w:snapToGrid w:val="0"/>
      <w:kern w:val="28"/>
      <w:sz w:val="22"/>
      <w:szCs w:val="22"/>
    </w:rPr>
  </w:style>
  <w:style w:type="character" w:customStyle="1" w:styleId="searchterm">
    <w:name w:val="searchterm"/>
    <w:rsid w:val="00256EAE"/>
  </w:style>
  <w:style w:type="character" w:customStyle="1" w:styleId="FootnoteTextChar11">
    <w:name w:val="Footnote Text Char11"/>
    <w:aliases w:val="Footnote Text Char Char4,Footnote Text Char2 Char3 Char2,Footnote Text Char Char6 Char Char2,Footnote Text Char6 Char Char Char Char2,Footnote Text Char Char6 Char Char1 Char1 Char2"/>
    <w:uiPriority w:val="99"/>
    <w:locked/>
    <w:rsid w:val="00256EAE"/>
    <w:rPr>
      <w:kern w:val="28"/>
      <w:sz w:val="20"/>
    </w:rPr>
  </w:style>
  <w:style w:type="paragraph" w:styleId="TOCHeading">
    <w:name w:val="TOC Heading"/>
    <w:basedOn w:val="Heading1"/>
    <w:next w:val="Normal"/>
    <w:uiPriority w:val="39"/>
    <w:unhideWhenUsed/>
    <w:qFormat/>
    <w:rsid w:val="00256EAE"/>
    <w:pPr>
      <w:keepLines/>
      <w:widowControl/>
      <w:numPr>
        <w:numId w:val="0"/>
      </w:numPr>
      <w:tabs>
        <w:tab w:val="left" w:pos="720"/>
      </w:tabs>
      <w:suppressAutoHyphens w:val="0"/>
      <w:spacing w:before="480" w:after="0" w:line="276" w:lineRule="auto"/>
      <w:outlineLvl w:val="9"/>
    </w:pPr>
    <w:rPr>
      <w:rFonts w:ascii="Calibri" w:eastAsia="MS Gothic" w:hAnsi="Calibri"/>
      <w:bCs/>
      <w:caps w:val="0"/>
      <w:color w:val="365F91"/>
      <w:kern w:val="0"/>
      <w:sz w:val="28"/>
      <w:szCs w:val="28"/>
    </w:rPr>
  </w:style>
  <w:style w:type="character" w:customStyle="1" w:styleId="fnChar">
    <w:name w:val="fn Char"/>
    <w:aliases w:val="ALTS FOOTNOT Char"/>
    <w:uiPriority w:val="99"/>
    <w:semiHidden/>
    <w:rsid w:val="007717BF"/>
    <w:rPr>
      <w:rFonts w:ascii="Times New Roman" w:eastAsia="Times New Roman" w:hAnsi="Times New Roman" w:cs="Times New Roman"/>
      <w:snapToGrid w:val="0"/>
      <w:kern w:val="28"/>
      <w:sz w:val="20"/>
      <w:szCs w:val="20"/>
    </w:rPr>
  </w:style>
  <w:style w:type="character" w:customStyle="1" w:styleId="citation">
    <w:name w:val="citation"/>
    <w:basedOn w:val="DefaultParagraphFont"/>
    <w:rsid w:val="00A35133"/>
  </w:style>
  <w:style w:type="paragraph" w:customStyle="1" w:styleId="LightGrid-Accent31">
    <w:name w:val="Light Grid - Accent 31"/>
    <w:basedOn w:val="Normal"/>
    <w:uiPriority w:val="34"/>
    <w:qFormat/>
    <w:rsid w:val="00B67350"/>
    <w:pPr>
      <w:widowControl/>
      <w:spacing w:after="200" w:line="276" w:lineRule="auto"/>
      <w:ind w:left="720"/>
      <w:contextualSpacing/>
    </w:pPr>
    <w:rPr>
      <w:rFonts w:ascii="Calibri" w:hAnsi="Calibri"/>
      <w:snapToGrid/>
      <w:kern w:val="0"/>
      <w:szCs w:val="22"/>
    </w:rPr>
  </w:style>
  <w:style w:type="paragraph" w:customStyle="1" w:styleId="Style2">
    <w:name w:val="Style2"/>
    <w:basedOn w:val="ParaNum"/>
    <w:link w:val="Style2Char"/>
    <w:qFormat/>
    <w:rsid w:val="009A42B5"/>
    <w:rPr>
      <w:szCs w:val="22"/>
    </w:rPr>
  </w:style>
  <w:style w:type="character" w:customStyle="1" w:styleId="Style2Char">
    <w:name w:val="Style2 Char"/>
    <w:link w:val="Style2"/>
    <w:rsid w:val="009A42B5"/>
    <w:rPr>
      <w:snapToGrid w:val="0"/>
      <w:kern w:val="28"/>
      <w:sz w:val="22"/>
      <w:szCs w:val="22"/>
    </w:rPr>
  </w:style>
  <w:style w:type="character" w:customStyle="1" w:styleId="enumbell">
    <w:name w:val="enumbell"/>
    <w:basedOn w:val="DefaultParagraphFont"/>
    <w:rsid w:val="00B70359"/>
  </w:style>
  <w:style w:type="character" w:customStyle="1" w:styleId="Artref">
    <w:name w:val="Art_ref"/>
    <w:basedOn w:val="DefaultParagraphFont"/>
    <w:rsid w:val="00651016"/>
  </w:style>
  <w:style w:type="character" w:styleId="PlaceholderText">
    <w:name w:val="Placeholder Text"/>
    <w:basedOn w:val="DefaultParagraphFont"/>
    <w:uiPriority w:val="99"/>
    <w:semiHidden/>
    <w:rsid w:val="00D0406B"/>
    <w:rPr>
      <w:color w:val="808080"/>
    </w:rPr>
  </w:style>
  <w:style w:type="character" w:customStyle="1" w:styleId="groupheading">
    <w:name w:val="groupheading"/>
    <w:basedOn w:val="DefaultParagraphFont"/>
    <w:rsid w:val="00C12F92"/>
  </w:style>
  <w:style w:type="character" w:customStyle="1" w:styleId="informationalsmall">
    <w:name w:val="informationalsmall"/>
    <w:basedOn w:val="DefaultParagraphFont"/>
    <w:rsid w:val="00C12F92"/>
  </w:style>
  <w:style w:type="character" w:customStyle="1" w:styleId="starpage">
    <w:name w:val="starpage"/>
    <w:basedOn w:val="DefaultParagraphFont"/>
    <w:rsid w:val="00980AAF"/>
  </w:style>
  <w:style w:type="character" w:customStyle="1" w:styleId="enumxml">
    <w:name w:val="enumxml"/>
    <w:basedOn w:val="DefaultParagraphFont"/>
    <w:rsid w:val="00D30CC9"/>
  </w:style>
  <w:style w:type="character" w:customStyle="1" w:styleId="ptext-1">
    <w:name w:val="ptext-1"/>
    <w:basedOn w:val="DefaultParagraphFont"/>
    <w:rsid w:val="00D30CC9"/>
  </w:style>
  <w:style w:type="character" w:customStyle="1" w:styleId="bestsection">
    <w:name w:val="bestsection"/>
    <w:basedOn w:val="DefaultParagraphFont"/>
    <w:rsid w:val="003D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846">
      <w:bodyDiv w:val="1"/>
      <w:marLeft w:val="0"/>
      <w:marRight w:val="0"/>
      <w:marTop w:val="0"/>
      <w:marBottom w:val="0"/>
      <w:divBdr>
        <w:top w:val="none" w:sz="0" w:space="0" w:color="auto"/>
        <w:left w:val="none" w:sz="0" w:space="0" w:color="auto"/>
        <w:bottom w:val="none" w:sz="0" w:space="0" w:color="auto"/>
        <w:right w:val="none" w:sz="0" w:space="0" w:color="auto"/>
      </w:divBdr>
    </w:div>
    <w:div w:id="219560691">
      <w:bodyDiv w:val="1"/>
      <w:marLeft w:val="0"/>
      <w:marRight w:val="0"/>
      <w:marTop w:val="0"/>
      <w:marBottom w:val="0"/>
      <w:divBdr>
        <w:top w:val="none" w:sz="0" w:space="0" w:color="auto"/>
        <w:left w:val="none" w:sz="0" w:space="0" w:color="auto"/>
        <w:bottom w:val="none" w:sz="0" w:space="0" w:color="auto"/>
        <w:right w:val="none" w:sz="0" w:space="0" w:color="auto"/>
      </w:divBdr>
    </w:div>
    <w:div w:id="243731531">
      <w:bodyDiv w:val="1"/>
      <w:marLeft w:val="0"/>
      <w:marRight w:val="0"/>
      <w:marTop w:val="0"/>
      <w:marBottom w:val="0"/>
      <w:divBdr>
        <w:top w:val="none" w:sz="0" w:space="0" w:color="auto"/>
        <w:left w:val="none" w:sz="0" w:space="0" w:color="auto"/>
        <w:bottom w:val="none" w:sz="0" w:space="0" w:color="auto"/>
        <w:right w:val="none" w:sz="0" w:space="0" w:color="auto"/>
      </w:divBdr>
      <w:divsChild>
        <w:div w:id="1392122605">
          <w:marLeft w:val="0"/>
          <w:marRight w:val="0"/>
          <w:marTop w:val="0"/>
          <w:marBottom w:val="0"/>
          <w:divBdr>
            <w:top w:val="none" w:sz="0" w:space="0" w:color="auto"/>
            <w:left w:val="none" w:sz="0" w:space="0" w:color="auto"/>
            <w:bottom w:val="none" w:sz="0" w:space="0" w:color="auto"/>
            <w:right w:val="none" w:sz="0" w:space="0" w:color="auto"/>
          </w:divBdr>
          <w:divsChild>
            <w:div w:id="2089573537">
              <w:marLeft w:val="0"/>
              <w:marRight w:val="0"/>
              <w:marTop w:val="0"/>
              <w:marBottom w:val="0"/>
              <w:divBdr>
                <w:top w:val="none" w:sz="0" w:space="0" w:color="auto"/>
                <w:left w:val="none" w:sz="0" w:space="0" w:color="auto"/>
                <w:bottom w:val="none" w:sz="0" w:space="0" w:color="auto"/>
                <w:right w:val="none" w:sz="0" w:space="0" w:color="auto"/>
              </w:divBdr>
            </w:div>
            <w:div w:id="796339528">
              <w:marLeft w:val="0"/>
              <w:marRight w:val="0"/>
              <w:marTop w:val="0"/>
              <w:marBottom w:val="0"/>
              <w:divBdr>
                <w:top w:val="none" w:sz="0" w:space="0" w:color="auto"/>
                <w:left w:val="none" w:sz="0" w:space="0" w:color="auto"/>
                <w:bottom w:val="none" w:sz="0" w:space="0" w:color="auto"/>
                <w:right w:val="none" w:sz="0" w:space="0" w:color="auto"/>
              </w:divBdr>
            </w:div>
            <w:div w:id="1158620700">
              <w:marLeft w:val="0"/>
              <w:marRight w:val="0"/>
              <w:marTop w:val="0"/>
              <w:marBottom w:val="0"/>
              <w:divBdr>
                <w:top w:val="none" w:sz="0" w:space="0" w:color="auto"/>
                <w:left w:val="none" w:sz="0" w:space="0" w:color="auto"/>
                <w:bottom w:val="none" w:sz="0" w:space="0" w:color="auto"/>
                <w:right w:val="none" w:sz="0" w:space="0" w:color="auto"/>
              </w:divBdr>
            </w:div>
            <w:div w:id="347415332">
              <w:marLeft w:val="0"/>
              <w:marRight w:val="0"/>
              <w:marTop w:val="0"/>
              <w:marBottom w:val="0"/>
              <w:divBdr>
                <w:top w:val="none" w:sz="0" w:space="0" w:color="auto"/>
                <w:left w:val="none" w:sz="0" w:space="0" w:color="auto"/>
                <w:bottom w:val="none" w:sz="0" w:space="0" w:color="auto"/>
                <w:right w:val="none" w:sz="0" w:space="0" w:color="auto"/>
              </w:divBdr>
            </w:div>
            <w:div w:id="8851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102">
      <w:marLeft w:val="0"/>
      <w:marRight w:val="0"/>
      <w:marTop w:val="0"/>
      <w:marBottom w:val="0"/>
      <w:divBdr>
        <w:top w:val="none" w:sz="0" w:space="0" w:color="auto"/>
        <w:left w:val="none" w:sz="0" w:space="0" w:color="auto"/>
        <w:bottom w:val="none" w:sz="0" w:space="0" w:color="auto"/>
        <w:right w:val="none" w:sz="0" w:space="0" w:color="auto"/>
      </w:divBdr>
    </w:div>
    <w:div w:id="368527103">
      <w:marLeft w:val="0"/>
      <w:marRight w:val="0"/>
      <w:marTop w:val="0"/>
      <w:marBottom w:val="0"/>
      <w:divBdr>
        <w:top w:val="none" w:sz="0" w:space="0" w:color="auto"/>
        <w:left w:val="none" w:sz="0" w:space="0" w:color="auto"/>
        <w:bottom w:val="none" w:sz="0" w:space="0" w:color="auto"/>
        <w:right w:val="none" w:sz="0" w:space="0" w:color="auto"/>
      </w:divBdr>
    </w:div>
    <w:div w:id="368527104">
      <w:marLeft w:val="0"/>
      <w:marRight w:val="0"/>
      <w:marTop w:val="0"/>
      <w:marBottom w:val="0"/>
      <w:divBdr>
        <w:top w:val="none" w:sz="0" w:space="0" w:color="auto"/>
        <w:left w:val="none" w:sz="0" w:space="0" w:color="auto"/>
        <w:bottom w:val="none" w:sz="0" w:space="0" w:color="auto"/>
        <w:right w:val="none" w:sz="0" w:space="0" w:color="auto"/>
      </w:divBdr>
    </w:div>
    <w:div w:id="368527105">
      <w:marLeft w:val="0"/>
      <w:marRight w:val="0"/>
      <w:marTop w:val="0"/>
      <w:marBottom w:val="0"/>
      <w:divBdr>
        <w:top w:val="none" w:sz="0" w:space="0" w:color="auto"/>
        <w:left w:val="none" w:sz="0" w:space="0" w:color="auto"/>
        <w:bottom w:val="none" w:sz="0" w:space="0" w:color="auto"/>
        <w:right w:val="none" w:sz="0" w:space="0" w:color="auto"/>
      </w:divBdr>
      <w:divsChild>
        <w:div w:id="368527106">
          <w:marLeft w:val="0"/>
          <w:marRight w:val="0"/>
          <w:marTop w:val="0"/>
          <w:marBottom w:val="0"/>
          <w:divBdr>
            <w:top w:val="none" w:sz="0" w:space="0" w:color="auto"/>
            <w:left w:val="none" w:sz="0" w:space="0" w:color="auto"/>
            <w:bottom w:val="none" w:sz="0" w:space="0" w:color="auto"/>
            <w:right w:val="none" w:sz="0" w:space="0" w:color="auto"/>
          </w:divBdr>
        </w:div>
      </w:divsChild>
    </w:div>
    <w:div w:id="368527107">
      <w:marLeft w:val="0"/>
      <w:marRight w:val="0"/>
      <w:marTop w:val="0"/>
      <w:marBottom w:val="0"/>
      <w:divBdr>
        <w:top w:val="none" w:sz="0" w:space="0" w:color="auto"/>
        <w:left w:val="none" w:sz="0" w:space="0" w:color="auto"/>
        <w:bottom w:val="none" w:sz="0" w:space="0" w:color="auto"/>
        <w:right w:val="none" w:sz="0" w:space="0" w:color="auto"/>
      </w:divBdr>
    </w:div>
    <w:div w:id="388190385">
      <w:bodyDiv w:val="1"/>
      <w:marLeft w:val="0"/>
      <w:marRight w:val="0"/>
      <w:marTop w:val="0"/>
      <w:marBottom w:val="0"/>
      <w:divBdr>
        <w:top w:val="none" w:sz="0" w:space="0" w:color="auto"/>
        <w:left w:val="none" w:sz="0" w:space="0" w:color="auto"/>
        <w:bottom w:val="none" w:sz="0" w:space="0" w:color="auto"/>
        <w:right w:val="none" w:sz="0" w:space="0" w:color="auto"/>
      </w:divBdr>
    </w:div>
    <w:div w:id="406926567">
      <w:bodyDiv w:val="1"/>
      <w:marLeft w:val="0"/>
      <w:marRight w:val="0"/>
      <w:marTop w:val="0"/>
      <w:marBottom w:val="0"/>
      <w:divBdr>
        <w:top w:val="none" w:sz="0" w:space="0" w:color="auto"/>
        <w:left w:val="none" w:sz="0" w:space="0" w:color="auto"/>
        <w:bottom w:val="none" w:sz="0" w:space="0" w:color="auto"/>
        <w:right w:val="none" w:sz="0" w:space="0" w:color="auto"/>
      </w:divBdr>
    </w:div>
    <w:div w:id="440761723">
      <w:bodyDiv w:val="1"/>
      <w:marLeft w:val="0"/>
      <w:marRight w:val="0"/>
      <w:marTop w:val="0"/>
      <w:marBottom w:val="0"/>
      <w:divBdr>
        <w:top w:val="none" w:sz="0" w:space="0" w:color="auto"/>
        <w:left w:val="none" w:sz="0" w:space="0" w:color="auto"/>
        <w:bottom w:val="none" w:sz="0" w:space="0" w:color="auto"/>
        <w:right w:val="none" w:sz="0" w:space="0" w:color="auto"/>
      </w:divBdr>
    </w:div>
    <w:div w:id="442774191">
      <w:bodyDiv w:val="1"/>
      <w:marLeft w:val="0"/>
      <w:marRight w:val="0"/>
      <w:marTop w:val="0"/>
      <w:marBottom w:val="0"/>
      <w:divBdr>
        <w:top w:val="none" w:sz="0" w:space="0" w:color="auto"/>
        <w:left w:val="none" w:sz="0" w:space="0" w:color="auto"/>
        <w:bottom w:val="none" w:sz="0" w:space="0" w:color="auto"/>
        <w:right w:val="none" w:sz="0" w:space="0" w:color="auto"/>
      </w:divBdr>
      <w:divsChild>
        <w:div w:id="1204178193">
          <w:marLeft w:val="0"/>
          <w:marRight w:val="0"/>
          <w:marTop w:val="0"/>
          <w:marBottom w:val="0"/>
          <w:divBdr>
            <w:top w:val="none" w:sz="0" w:space="0" w:color="auto"/>
            <w:left w:val="none" w:sz="0" w:space="0" w:color="auto"/>
            <w:bottom w:val="none" w:sz="0" w:space="0" w:color="auto"/>
            <w:right w:val="none" w:sz="0" w:space="0" w:color="auto"/>
          </w:divBdr>
        </w:div>
        <w:div w:id="738595432">
          <w:marLeft w:val="0"/>
          <w:marRight w:val="0"/>
          <w:marTop w:val="0"/>
          <w:marBottom w:val="0"/>
          <w:divBdr>
            <w:top w:val="none" w:sz="0" w:space="0" w:color="auto"/>
            <w:left w:val="none" w:sz="0" w:space="0" w:color="auto"/>
            <w:bottom w:val="none" w:sz="0" w:space="0" w:color="auto"/>
            <w:right w:val="none" w:sz="0" w:space="0" w:color="auto"/>
          </w:divBdr>
        </w:div>
      </w:divsChild>
    </w:div>
    <w:div w:id="581643100">
      <w:bodyDiv w:val="1"/>
      <w:marLeft w:val="0"/>
      <w:marRight w:val="0"/>
      <w:marTop w:val="0"/>
      <w:marBottom w:val="0"/>
      <w:divBdr>
        <w:top w:val="none" w:sz="0" w:space="0" w:color="auto"/>
        <w:left w:val="none" w:sz="0" w:space="0" w:color="auto"/>
        <w:bottom w:val="none" w:sz="0" w:space="0" w:color="auto"/>
        <w:right w:val="none" w:sz="0" w:space="0" w:color="auto"/>
      </w:divBdr>
      <w:divsChild>
        <w:div w:id="2044792670">
          <w:marLeft w:val="0"/>
          <w:marRight w:val="0"/>
          <w:marTop w:val="0"/>
          <w:marBottom w:val="0"/>
          <w:divBdr>
            <w:top w:val="none" w:sz="0" w:space="0" w:color="auto"/>
            <w:left w:val="none" w:sz="0" w:space="0" w:color="auto"/>
            <w:bottom w:val="none" w:sz="0" w:space="0" w:color="auto"/>
            <w:right w:val="none" w:sz="0" w:space="0" w:color="auto"/>
          </w:divBdr>
        </w:div>
        <w:div w:id="356127840">
          <w:marLeft w:val="0"/>
          <w:marRight w:val="0"/>
          <w:marTop w:val="0"/>
          <w:marBottom w:val="0"/>
          <w:divBdr>
            <w:top w:val="none" w:sz="0" w:space="0" w:color="auto"/>
            <w:left w:val="none" w:sz="0" w:space="0" w:color="auto"/>
            <w:bottom w:val="none" w:sz="0" w:space="0" w:color="auto"/>
            <w:right w:val="none" w:sz="0" w:space="0" w:color="auto"/>
          </w:divBdr>
        </w:div>
        <w:div w:id="840193172">
          <w:marLeft w:val="0"/>
          <w:marRight w:val="0"/>
          <w:marTop w:val="0"/>
          <w:marBottom w:val="0"/>
          <w:divBdr>
            <w:top w:val="none" w:sz="0" w:space="0" w:color="auto"/>
            <w:left w:val="none" w:sz="0" w:space="0" w:color="auto"/>
            <w:bottom w:val="none" w:sz="0" w:space="0" w:color="auto"/>
            <w:right w:val="none" w:sz="0" w:space="0" w:color="auto"/>
          </w:divBdr>
        </w:div>
        <w:div w:id="1285036117">
          <w:marLeft w:val="0"/>
          <w:marRight w:val="0"/>
          <w:marTop w:val="0"/>
          <w:marBottom w:val="0"/>
          <w:divBdr>
            <w:top w:val="none" w:sz="0" w:space="0" w:color="auto"/>
            <w:left w:val="none" w:sz="0" w:space="0" w:color="auto"/>
            <w:bottom w:val="none" w:sz="0" w:space="0" w:color="auto"/>
            <w:right w:val="none" w:sz="0" w:space="0" w:color="auto"/>
          </w:divBdr>
        </w:div>
        <w:div w:id="1978409657">
          <w:marLeft w:val="0"/>
          <w:marRight w:val="0"/>
          <w:marTop w:val="0"/>
          <w:marBottom w:val="0"/>
          <w:divBdr>
            <w:top w:val="none" w:sz="0" w:space="0" w:color="auto"/>
            <w:left w:val="none" w:sz="0" w:space="0" w:color="auto"/>
            <w:bottom w:val="none" w:sz="0" w:space="0" w:color="auto"/>
            <w:right w:val="none" w:sz="0" w:space="0" w:color="auto"/>
          </w:divBdr>
        </w:div>
      </w:divsChild>
    </w:div>
    <w:div w:id="653995926">
      <w:bodyDiv w:val="1"/>
      <w:marLeft w:val="0"/>
      <w:marRight w:val="0"/>
      <w:marTop w:val="0"/>
      <w:marBottom w:val="0"/>
      <w:divBdr>
        <w:top w:val="none" w:sz="0" w:space="0" w:color="auto"/>
        <w:left w:val="none" w:sz="0" w:space="0" w:color="auto"/>
        <w:bottom w:val="none" w:sz="0" w:space="0" w:color="auto"/>
        <w:right w:val="none" w:sz="0" w:space="0" w:color="auto"/>
      </w:divBdr>
    </w:div>
    <w:div w:id="707998579">
      <w:bodyDiv w:val="1"/>
      <w:marLeft w:val="0"/>
      <w:marRight w:val="0"/>
      <w:marTop w:val="0"/>
      <w:marBottom w:val="0"/>
      <w:divBdr>
        <w:top w:val="none" w:sz="0" w:space="0" w:color="auto"/>
        <w:left w:val="none" w:sz="0" w:space="0" w:color="auto"/>
        <w:bottom w:val="none" w:sz="0" w:space="0" w:color="auto"/>
        <w:right w:val="none" w:sz="0" w:space="0" w:color="auto"/>
      </w:divBdr>
    </w:div>
    <w:div w:id="711879440">
      <w:bodyDiv w:val="1"/>
      <w:marLeft w:val="0"/>
      <w:marRight w:val="0"/>
      <w:marTop w:val="0"/>
      <w:marBottom w:val="0"/>
      <w:divBdr>
        <w:top w:val="none" w:sz="0" w:space="0" w:color="auto"/>
        <w:left w:val="none" w:sz="0" w:space="0" w:color="auto"/>
        <w:bottom w:val="none" w:sz="0" w:space="0" w:color="auto"/>
        <w:right w:val="none" w:sz="0" w:space="0" w:color="auto"/>
      </w:divBdr>
    </w:div>
    <w:div w:id="760294235">
      <w:bodyDiv w:val="1"/>
      <w:marLeft w:val="0"/>
      <w:marRight w:val="0"/>
      <w:marTop w:val="0"/>
      <w:marBottom w:val="0"/>
      <w:divBdr>
        <w:top w:val="none" w:sz="0" w:space="0" w:color="auto"/>
        <w:left w:val="none" w:sz="0" w:space="0" w:color="auto"/>
        <w:bottom w:val="none" w:sz="0" w:space="0" w:color="auto"/>
        <w:right w:val="none" w:sz="0" w:space="0" w:color="auto"/>
      </w:divBdr>
      <w:divsChild>
        <w:div w:id="1498300451">
          <w:marLeft w:val="0"/>
          <w:marRight w:val="0"/>
          <w:marTop w:val="0"/>
          <w:marBottom w:val="0"/>
          <w:divBdr>
            <w:top w:val="none" w:sz="0" w:space="0" w:color="auto"/>
            <w:left w:val="none" w:sz="0" w:space="0" w:color="auto"/>
            <w:bottom w:val="none" w:sz="0" w:space="0" w:color="auto"/>
            <w:right w:val="none" w:sz="0" w:space="0" w:color="auto"/>
          </w:divBdr>
        </w:div>
        <w:div w:id="230889211">
          <w:marLeft w:val="0"/>
          <w:marRight w:val="0"/>
          <w:marTop w:val="0"/>
          <w:marBottom w:val="0"/>
          <w:divBdr>
            <w:top w:val="none" w:sz="0" w:space="0" w:color="auto"/>
            <w:left w:val="none" w:sz="0" w:space="0" w:color="auto"/>
            <w:bottom w:val="none" w:sz="0" w:space="0" w:color="auto"/>
            <w:right w:val="none" w:sz="0" w:space="0" w:color="auto"/>
          </w:divBdr>
        </w:div>
      </w:divsChild>
    </w:div>
    <w:div w:id="842935505">
      <w:bodyDiv w:val="1"/>
      <w:marLeft w:val="0"/>
      <w:marRight w:val="0"/>
      <w:marTop w:val="0"/>
      <w:marBottom w:val="0"/>
      <w:divBdr>
        <w:top w:val="none" w:sz="0" w:space="0" w:color="auto"/>
        <w:left w:val="none" w:sz="0" w:space="0" w:color="auto"/>
        <w:bottom w:val="none" w:sz="0" w:space="0" w:color="auto"/>
        <w:right w:val="none" w:sz="0" w:space="0" w:color="auto"/>
      </w:divBdr>
    </w:div>
    <w:div w:id="868376739">
      <w:bodyDiv w:val="1"/>
      <w:marLeft w:val="0"/>
      <w:marRight w:val="0"/>
      <w:marTop w:val="0"/>
      <w:marBottom w:val="0"/>
      <w:divBdr>
        <w:top w:val="none" w:sz="0" w:space="0" w:color="auto"/>
        <w:left w:val="none" w:sz="0" w:space="0" w:color="auto"/>
        <w:bottom w:val="none" w:sz="0" w:space="0" w:color="auto"/>
        <w:right w:val="none" w:sz="0" w:space="0" w:color="auto"/>
      </w:divBdr>
    </w:div>
    <w:div w:id="873232197">
      <w:bodyDiv w:val="1"/>
      <w:marLeft w:val="0"/>
      <w:marRight w:val="0"/>
      <w:marTop w:val="0"/>
      <w:marBottom w:val="0"/>
      <w:divBdr>
        <w:top w:val="none" w:sz="0" w:space="0" w:color="auto"/>
        <w:left w:val="none" w:sz="0" w:space="0" w:color="auto"/>
        <w:bottom w:val="none" w:sz="0" w:space="0" w:color="auto"/>
        <w:right w:val="none" w:sz="0" w:space="0" w:color="auto"/>
      </w:divBdr>
      <w:divsChild>
        <w:div w:id="1386029247">
          <w:marLeft w:val="0"/>
          <w:marRight w:val="0"/>
          <w:marTop w:val="0"/>
          <w:marBottom w:val="0"/>
          <w:divBdr>
            <w:top w:val="none" w:sz="0" w:space="0" w:color="auto"/>
            <w:left w:val="none" w:sz="0" w:space="0" w:color="auto"/>
            <w:bottom w:val="none" w:sz="0" w:space="0" w:color="auto"/>
            <w:right w:val="none" w:sz="0" w:space="0" w:color="auto"/>
          </w:divBdr>
        </w:div>
        <w:div w:id="1274895295">
          <w:marLeft w:val="0"/>
          <w:marRight w:val="0"/>
          <w:marTop w:val="0"/>
          <w:marBottom w:val="0"/>
          <w:divBdr>
            <w:top w:val="none" w:sz="0" w:space="0" w:color="auto"/>
            <w:left w:val="none" w:sz="0" w:space="0" w:color="auto"/>
            <w:bottom w:val="none" w:sz="0" w:space="0" w:color="auto"/>
            <w:right w:val="none" w:sz="0" w:space="0" w:color="auto"/>
          </w:divBdr>
        </w:div>
        <w:div w:id="1312099091">
          <w:marLeft w:val="0"/>
          <w:marRight w:val="0"/>
          <w:marTop w:val="0"/>
          <w:marBottom w:val="0"/>
          <w:divBdr>
            <w:top w:val="none" w:sz="0" w:space="0" w:color="auto"/>
            <w:left w:val="none" w:sz="0" w:space="0" w:color="auto"/>
            <w:bottom w:val="none" w:sz="0" w:space="0" w:color="auto"/>
            <w:right w:val="none" w:sz="0" w:space="0" w:color="auto"/>
          </w:divBdr>
        </w:div>
        <w:div w:id="1422331494">
          <w:marLeft w:val="0"/>
          <w:marRight w:val="0"/>
          <w:marTop w:val="0"/>
          <w:marBottom w:val="0"/>
          <w:divBdr>
            <w:top w:val="none" w:sz="0" w:space="0" w:color="auto"/>
            <w:left w:val="none" w:sz="0" w:space="0" w:color="auto"/>
            <w:bottom w:val="none" w:sz="0" w:space="0" w:color="auto"/>
            <w:right w:val="none" w:sz="0" w:space="0" w:color="auto"/>
          </w:divBdr>
        </w:div>
        <w:div w:id="1562331916">
          <w:marLeft w:val="0"/>
          <w:marRight w:val="0"/>
          <w:marTop w:val="0"/>
          <w:marBottom w:val="0"/>
          <w:divBdr>
            <w:top w:val="none" w:sz="0" w:space="0" w:color="auto"/>
            <w:left w:val="none" w:sz="0" w:space="0" w:color="auto"/>
            <w:bottom w:val="none" w:sz="0" w:space="0" w:color="auto"/>
            <w:right w:val="none" w:sz="0" w:space="0" w:color="auto"/>
          </w:divBdr>
        </w:div>
        <w:div w:id="590092397">
          <w:marLeft w:val="0"/>
          <w:marRight w:val="0"/>
          <w:marTop w:val="0"/>
          <w:marBottom w:val="0"/>
          <w:divBdr>
            <w:top w:val="none" w:sz="0" w:space="0" w:color="auto"/>
            <w:left w:val="none" w:sz="0" w:space="0" w:color="auto"/>
            <w:bottom w:val="none" w:sz="0" w:space="0" w:color="auto"/>
            <w:right w:val="none" w:sz="0" w:space="0" w:color="auto"/>
          </w:divBdr>
        </w:div>
        <w:div w:id="360712548">
          <w:marLeft w:val="0"/>
          <w:marRight w:val="0"/>
          <w:marTop w:val="0"/>
          <w:marBottom w:val="0"/>
          <w:divBdr>
            <w:top w:val="none" w:sz="0" w:space="0" w:color="auto"/>
            <w:left w:val="none" w:sz="0" w:space="0" w:color="auto"/>
            <w:bottom w:val="none" w:sz="0" w:space="0" w:color="auto"/>
            <w:right w:val="none" w:sz="0" w:space="0" w:color="auto"/>
          </w:divBdr>
        </w:div>
        <w:div w:id="1504392857">
          <w:marLeft w:val="0"/>
          <w:marRight w:val="0"/>
          <w:marTop w:val="0"/>
          <w:marBottom w:val="0"/>
          <w:divBdr>
            <w:top w:val="none" w:sz="0" w:space="0" w:color="auto"/>
            <w:left w:val="none" w:sz="0" w:space="0" w:color="auto"/>
            <w:bottom w:val="none" w:sz="0" w:space="0" w:color="auto"/>
            <w:right w:val="none" w:sz="0" w:space="0" w:color="auto"/>
          </w:divBdr>
        </w:div>
      </w:divsChild>
    </w:div>
    <w:div w:id="931352303">
      <w:bodyDiv w:val="1"/>
      <w:marLeft w:val="0"/>
      <w:marRight w:val="0"/>
      <w:marTop w:val="0"/>
      <w:marBottom w:val="0"/>
      <w:divBdr>
        <w:top w:val="none" w:sz="0" w:space="0" w:color="auto"/>
        <w:left w:val="none" w:sz="0" w:space="0" w:color="auto"/>
        <w:bottom w:val="none" w:sz="0" w:space="0" w:color="auto"/>
        <w:right w:val="none" w:sz="0" w:space="0" w:color="auto"/>
      </w:divBdr>
    </w:div>
    <w:div w:id="1004167219">
      <w:bodyDiv w:val="1"/>
      <w:marLeft w:val="0"/>
      <w:marRight w:val="0"/>
      <w:marTop w:val="0"/>
      <w:marBottom w:val="0"/>
      <w:divBdr>
        <w:top w:val="none" w:sz="0" w:space="0" w:color="auto"/>
        <w:left w:val="none" w:sz="0" w:space="0" w:color="auto"/>
        <w:bottom w:val="none" w:sz="0" w:space="0" w:color="auto"/>
        <w:right w:val="none" w:sz="0" w:space="0" w:color="auto"/>
      </w:divBdr>
    </w:div>
    <w:div w:id="1025667506">
      <w:bodyDiv w:val="1"/>
      <w:marLeft w:val="0"/>
      <w:marRight w:val="0"/>
      <w:marTop w:val="0"/>
      <w:marBottom w:val="0"/>
      <w:divBdr>
        <w:top w:val="none" w:sz="0" w:space="0" w:color="auto"/>
        <w:left w:val="none" w:sz="0" w:space="0" w:color="auto"/>
        <w:bottom w:val="none" w:sz="0" w:space="0" w:color="auto"/>
        <w:right w:val="none" w:sz="0" w:space="0" w:color="auto"/>
      </w:divBdr>
    </w:div>
    <w:div w:id="1037657314">
      <w:bodyDiv w:val="1"/>
      <w:marLeft w:val="0"/>
      <w:marRight w:val="0"/>
      <w:marTop w:val="0"/>
      <w:marBottom w:val="0"/>
      <w:divBdr>
        <w:top w:val="none" w:sz="0" w:space="0" w:color="auto"/>
        <w:left w:val="none" w:sz="0" w:space="0" w:color="auto"/>
        <w:bottom w:val="none" w:sz="0" w:space="0" w:color="auto"/>
        <w:right w:val="none" w:sz="0" w:space="0" w:color="auto"/>
      </w:divBdr>
    </w:div>
    <w:div w:id="1084569563">
      <w:bodyDiv w:val="1"/>
      <w:marLeft w:val="0"/>
      <w:marRight w:val="0"/>
      <w:marTop w:val="0"/>
      <w:marBottom w:val="0"/>
      <w:divBdr>
        <w:top w:val="none" w:sz="0" w:space="0" w:color="auto"/>
        <w:left w:val="none" w:sz="0" w:space="0" w:color="auto"/>
        <w:bottom w:val="none" w:sz="0" w:space="0" w:color="auto"/>
        <w:right w:val="none" w:sz="0" w:space="0" w:color="auto"/>
      </w:divBdr>
    </w:div>
    <w:div w:id="1165514084">
      <w:bodyDiv w:val="1"/>
      <w:marLeft w:val="0"/>
      <w:marRight w:val="0"/>
      <w:marTop w:val="0"/>
      <w:marBottom w:val="0"/>
      <w:divBdr>
        <w:top w:val="none" w:sz="0" w:space="0" w:color="auto"/>
        <w:left w:val="none" w:sz="0" w:space="0" w:color="auto"/>
        <w:bottom w:val="none" w:sz="0" w:space="0" w:color="auto"/>
        <w:right w:val="none" w:sz="0" w:space="0" w:color="auto"/>
      </w:divBdr>
      <w:divsChild>
        <w:div w:id="1804694693">
          <w:marLeft w:val="0"/>
          <w:marRight w:val="0"/>
          <w:marTop w:val="0"/>
          <w:marBottom w:val="0"/>
          <w:divBdr>
            <w:top w:val="none" w:sz="0" w:space="0" w:color="auto"/>
            <w:left w:val="none" w:sz="0" w:space="0" w:color="auto"/>
            <w:bottom w:val="none" w:sz="0" w:space="0" w:color="auto"/>
            <w:right w:val="none" w:sz="0" w:space="0" w:color="auto"/>
          </w:divBdr>
        </w:div>
        <w:div w:id="2147235044">
          <w:marLeft w:val="0"/>
          <w:marRight w:val="0"/>
          <w:marTop w:val="0"/>
          <w:marBottom w:val="0"/>
          <w:divBdr>
            <w:top w:val="none" w:sz="0" w:space="0" w:color="auto"/>
            <w:left w:val="none" w:sz="0" w:space="0" w:color="auto"/>
            <w:bottom w:val="none" w:sz="0" w:space="0" w:color="auto"/>
            <w:right w:val="none" w:sz="0" w:space="0" w:color="auto"/>
          </w:divBdr>
        </w:div>
        <w:div w:id="557085836">
          <w:marLeft w:val="0"/>
          <w:marRight w:val="0"/>
          <w:marTop w:val="0"/>
          <w:marBottom w:val="0"/>
          <w:divBdr>
            <w:top w:val="none" w:sz="0" w:space="0" w:color="auto"/>
            <w:left w:val="none" w:sz="0" w:space="0" w:color="auto"/>
            <w:bottom w:val="none" w:sz="0" w:space="0" w:color="auto"/>
            <w:right w:val="none" w:sz="0" w:space="0" w:color="auto"/>
          </w:divBdr>
        </w:div>
        <w:div w:id="1136527169">
          <w:marLeft w:val="0"/>
          <w:marRight w:val="0"/>
          <w:marTop w:val="0"/>
          <w:marBottom w:val="0"/>
          <w:divBdr>
            <w:top w:val="none" w:sz="0" w:space="0" w:color="auto"/>
            <w:left w:val="none" w:sz="0" w:space="0" w:color="auto"/>
            <w:bottom w:val="none" w:sz="0" w:space="0" w:color="auto"/>
            <w:right w:val="none" w:sz="0" w:space="0" w:color="auto"/>
          </w:divBdr>
        </w:div>
        <w:div w:id="1520924595">
          <w:marLeft w:val="0"/>
          <w:marRight w:val="0"/>
          <w:marTop w:val="0"/>
          <w:marBottom w:val="0"/>
          <w:divBdr>
            <w:top w:val="none" w:sz="0" w:space="0" w:color="auto"/>
            <w:left w:val="none" w:sz="0" w:space="0" w:color="auto"/>
            <w:bottom w:val="none" w:sz="0" w:space="0" w:color="auto"/>
            <w:right w:val="none" w:sz="0" w:space="0" w:color="auto"/>
          </w:divBdr>
        </w:div>
      </w:divsChild>
    </w:div>
    <w:div w:id="1185359940">
      <w:bodyDiv w:val="1"/>
      <w:marLeft w:val="0"/>
      <w:marRight w:val="0"/>
      <w:marTop w:val="0"/>
      <w:marBottom w:val="0"/>
      <w:divBdr>
        <w:top w:val="none" w:sz="0" w:space="0" w:color="auto"/>
        <w:left w:val="none" w:sz="0" w:space="0" w:color="auto"/>
        <w:bottom w:val="none" w:sz="0" w:space="0" w:color="auto"/>
        <w:right w:val="none" w:sz="0" w:space="0" w:color="auto"/>
      </w:divBdr>
    </w:div>
    <w:div w:id="1209033384">
      <w:bodyDiv w:val="1"/>
      <w:marLeft w:val="0"/>
      <w:marRight w:val="0"/>
      <w:marTop w:val="0"/>
      <w:marBottom w:val="0"/>
      <w:divBdr>
        <w:top w:val="none" w:sz="0" w:space="0" w:color="auto"/>
        <w:left w:val="none" w:sz="0" w:space="0" w:color="auto"/>
        <w:bottom w:val="none" w:sz="0" w:space="0" w:color="auto"/>
        <w:right w:val="none" w:sz="0" w:space="0" w:color="auto"/>
      </w:divBdr>
    </w:div>
    <w:div w:id="1254899261">
      <w:bodyDiv w:val="1"/>
      <w:marLeft w:val="0"/>
      <w:marRight w:val="0"/>
      <w:marTop w:val="0"/>
      <w:marBottom w:val="0"/>
      <w:divBdr>
        <w:top w:val="none" w:sz="0" w:space="0" w:color="auto"/>
        <w:left w:val="none" w:sz="0" w:space="0" w:color="auto"/>
        <w:bottom w:val="none" w:sz="0" w:space="0" w:color="auto"/>
        <w:right w:val="none" w:sz="0" w:space="0" w:color="auto"/>
      </w:divBdr>
    </w:div>
    <w:div w:id="1348171305">
      <w:bodyDiv w:val="1"/>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sChild>
            <w:div w:id="316497390">
              <w:marLeft w:val="0"/>
              <w:marRight w:val="0"/>
              <w:marTop w:val="0"/>
              <w:marBottom w:val="0"/>
              <w:divBdr>
                <w:top w:val="none" w:sz="0" w:space="0" w:color="auto"/>
                <w:left w:val="none" w:sz="0" w:space="0" w:color="auto"/>
                <w:bottom w:val="none" w:sz="0" w:space="0" w:color="auto"/>
                <w:right w:val="none" w:sz="0" w:space="0" w:color="auto"/>
              </w:divBdr>
              <w:divsChild>
                <w:div w:id="174006541">
                  <w:marLeft w:val="0"/>
                  <w:marRight w:val="0"/>
                  <w:marTop w:val="0"/>
                  <w:marBottom w:val="0"/>
                  <w:divBdr>
                    <w:top w:val="none" w:sz="0" w:space="0" w:color="auto"/>
                    <w:left w:val="none" w:sz="0" w:space="0" w:color="auto"/>
                    <w:bottom w:val="none" w:sz="0" w:space="0" w:color="auto"/>
                    <w:right w:val="none" w:sz="0" w:space="0" w:color="auto"/>
                  </w:divBdr>
                </w:div>
                <w:div w:id="321546841">
                  <w:marLeft w:val="0"/>
                  <w:marRight w:val="0"/>
                  <w:marTop w:val="0"/>
                  <w:marBottom w:val="0"/>
                  <w:divBdr>
                    <w:top w:val="none" w:sz="0" w:space="0" w:color="auto"/>
                    <w:left w:val="none" w:sz="0" w:space="0" w:color="auto"/>
                    <w:bottom w:val="none" w:sz="0" w:space="0" w:color="auto"/>
                    <w:right w:val="none" w:sz="0" w:space="0" w:color="auto"/>
                  </w:divBdr>
                </w:div>
                <w:div w:id="1992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2640">
      <w:bodyDiv w:val="1"/>
      <w:marLeft w:val="0"/>
      <w:marRight w:val="0"/>
      <w:marTop w:val="0"/>
      <w:marBottom w:val="0"/>
      <w:divBdr>
        <w:top w:val="none" w:sz="0" w:space="0" w:color="auto"/>
        <w:left w:val="none" w:sz="0" w:space="0" w:color="auto"/>
        <w:bottom w:val="none" w:sz="0" w:space="0" w:color="auto"/>
        <w:right w:val="none" w:sz="0" w:space="0" w:color="auto"/>
      </w:divBdr>
      <w:divsChild>
        <w:div w:id="635525763">
          <w:marLeft w:val="0"/>
          <w:marRight w:val="0"/>
          <w:marTop w:val="0"/>
          <w:marBottom w:val="0"/>
          <w:divBdr>
            <w:top w:val="none" w:sz="0" w:space="0" w:color="auto"/>
            <w:left w:val="none" w:sz="0" w:space="0" w:color="auto"/>
            <w:bottom w:val="none" w:sz="0" w:space="0" w:color="auto"/>
            <w:right w:val="none" w:sz="0" w:space="0" w:color="auto"/>
          </w:divBdr>
        </w:div>
        <w:div w:id="1925920326">
          <w:marLeft w:val="0"/>
          <w:marRight w:val="0"/>
          <w:marTop w:val="0"/>
          <w:marBottom w:val="0"/>
          <w:divBdr>
            <w:top w:val="none" w:sz="0" w:space="0" w:color="auto"/>
            <w:left w:val="none" w:sz="0" w:space="0" w:color="auto"/>
            <w:bottom w:val="none" w:sz="0" w:space="0" w:color="auto"/>
            <w:right w:val="none" w:sz="0" w:space="0" w:color="auto"/>
          </w:divBdr>
        </w:div>
        <w:div w:id="836187155">
          <w:marLeft w:val="0"/>
          <w:marRight w:val="0"/>
          <w:marTop w:val="0"/>
          <w:marBottom w:val="0"/>
          <w:divBdr>
            <w:top w:val="none" w:sz="0" w:space="0" w:color="auto"/>
            <w:left w:val="none" w:sz="0" w:space="0" w:color="auto"/>
            <w:bottom w:val="none" w:sz="0" w:space="0" w:color="auto"/>
            <w:right w:val="none" w:sz="0" w:space="0" w:color="auto"/>
          </w:divBdr>
        </w:div>
      </w:divsChild>
    </w:div>
    <w:div w:id="1474591793">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5">
          <w:marLeft w:val="0"/>
          <w:marRight w:val="0"/>
          <w:marTop w:val="0"/>
          <w:marBottom w:val="0"/>
          <w:divBdr>
            <w:top w:val="none" w:sz="0" w:space="0" w:color="auto"/>
            <w:left w:val="none" w:sz="0" w:space="0" w:color="auto"/>
            <w:bottom w:val="none" w:sz="0" w:space="0" w:color="auto"/>
            <w:right w:val="none" w:sz="0" w:space="0" w:color="auto"/>
          </w:divBdr>
        </w:div>
        <w:div w:id="496771206">
          <w:marLeft w:val="0"/>
          <w:marRight w:val="0"/>
          <w:marTop w:val="0"/>
          <w:marBottom w:val="0"/>
          <w:divBdr>
            <w:top w:val="none" w:sz="0" w:space="0" w:color="auto"/>
            <w:left w:val="none" w:sz="0" w:space="0" w:color="auto"/>
            <w:bottom w:val="none" w:sz="0" w:space="0" w:color="auto"/>
            <w:right w:val="none" w:sz="0" w:space="0" w:color="auto"/>
          </w:divBdr>
        </w:div>
      </w:divsChild>
    </w:div>
    <w:div w:id="1617054874">
      <w:bodyDiv w:val="1"/>
      <w:marLeft w:val="0"/>
      <w:marRight w:val="0"/>
      <w:marTop w:val="0"/>
      <w:marBottom w:val="0"/>
      <w:divBdr>
        <w:top w:val="none" w:sz="0" w:space="0" w:color="auto"/>
        <w:left w:val="none" w:sz="0" w:space="0" w:color="auto"/>
        <w:bottom w:val="none" w:sz="0" w:space="0" w:color="auto"/>
        <w:right w:val="none" w:sz="0" w:space="0" w:color="auto"/>
      </w:divBdr>
      <w:divsChild>
        <w:div w:id="1626082070">
          <w:marLeft w:val="0"/>
          <w:marRight w:val="0"/>
          <w:marTop w:val="0"/>
          <w:marBottom w:val="0"/>
          <w:divBdr>
            <w:top w:val="none" w:sz="0" w:space="0" w:color="auto"/>
            <w:left w:val="none" w:sz="0" w:space="0" w:color="auto"/>
            <w:bottom w:val="none" w:sz="0" w:space="0" w:color="auto"/>
            <w:right w:val="none" w:sz="0" w:space="0" w:color="auto"/>
          </w:divBdr>
        </w:div>
        <w:div w:id="1399593448">
          <w:marLeft w:val="0"/>
          <w:marRight w:val="0"/>
          <w:marTop w:val="0"/>
          <w:marBottom w:val="0"/>
          <w:divBdr>
            <w:top w:val="none" w:sz="0" w:space="0" w:color="auto"/>
            <w:left w:val="none" w:sz="0" w:space="0" w:color="auto"/>
            <w:bottom w:val="none" w:sz="0" w:space="0" w:color="auto"/>
            <w:right w:val="none" w:sz="0" w:space="0" w:color="auto"/>
          </w:divBdr>
        </w:div>
      </w:divsChild>
    </w:div>
    <w:div w:id="1650088940">
      <w:bodyDiv w:val="1"/>
      <w:marLeft w:val="0"/>
      <w:marRight w:val="0"/>
      <w:marTop w:val="0"/>
      <w:marBottom w:val="0"/>
      <w:divBdr>
        <w:top w:val="none" w:sz="0" w:space="0" w:color="auto"/>
        <w:left w:val="none" w:sz="0" w:space="0" w:color="auto"/>
        <w:bottom w:val="none" w:sz="0" w:space="0" w:color="auto"/>
        <w:right w:val="none" w:sz="0" w:space="0" w:color="auto"/>
      </w:divBdr>
      <w:divsChild>
        <w:div w:id="42139961">
          <w:marLeft w:val="0"/>
          <w:marRight w:val="0"/>
          <w:marTop w:val="0"/>
          <w:marBottom w:val="0"/>
          <w:divBdr>
            <w:top w:val="none" w:sz="0" w:space="0" w:color="auto"/>
            <w:left w:val="none" w:sz="0" w:space="0" w:color="auto"/>
            <w:bottom w:val="none" w:sz="0" w:space="0" w:color="auto"/>
            <w:right w:val="none" w:sz="0" w:space="0" w:color="auto"/>
          </w:divBdr>
          <w:divsChild>
            <w:div w:id="12596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782">
      <w:bodyDiv w:val="1"/>
      <w:marLeft w:val="0"/>
      <w:marRight w:val="0"/>
      <w:marTop w:val="0"/>
      <w:marBottom w:val="0"/>
      <w:divBdr>
        <w:top w:val="none" w:sz="0" w:space="0" w:color="auto"/>
        <w:left w:val="none" w:sz="0" w:space="0" w:color="auto"/>
        <w:bottom w:val="none" w:sz="0" w:space="0" w:color="auto"/>
        <w:right w:val="none" w:sz="0" w:space="0" w:color="auto"/>
      </w:divBdr>
      <w:divsChild>
        <w:div w:id="260376340">
          <w:marLeft w:val="0"/>
          <w:marRight w:val="0"/>
          <w:marTop w:val="0"/>
          <w:marBottom w:val="0"/>
          <w:divBdr>
            <w:top w:val="none" w:sz="0" w:space="0" w:color="auto"/>
            <w:left w:val="none" w:sz="0" w:space="0" w:color="auto"/>
            <w:bottom w:val="none" w:sz="0" w:space="0" w:color="auto"/>
            <w:right w:val="none" w:sz="0" w:space="0" w:color="auto"/>
          </w:divBdr>
        </w:div>
        <w:div w:id="483737224">
          <w:marLeft w:val="0"/>
          <w:marRight w:val="0"/>
          <w:marTop w:val="0"/>
          <w:marBottom w:val="0"/>
          <w:divBdr>
            <w:top w:val="none" w:sz="0" w:space="0" w:color="auto"/>
            <w:left w:val="none" w:sz="0" w:space="0" w:color="auto"/>
            <w:bottom w:val="none" w:sz="0" w:space="0" w:color="auto"/>
            <w:right w:val="none" w:sz="0" w:space="0" w:color="auto"/>
          </w:divBdr>
        </w:div>
        <w:div w:id="1902473468">
          <w:marLeft w:val="0"/>
          <w:marRight w:val="0"/>
          <w:marTop w:val="0"/>
          <w:marBottom w:val="0"/>
          <w:divBdr>
            <w:top w:val="none" w:sz="0" w:space="0" w:color="auto"/>
            <w:left w:val="none" w:sz="0" w:space="0" w:color="auto"/>
            <w:bottom w:val="none" w:sz="0" w:space="0" w:color="auto"/>
            <w:right w:val="none" w:sz="0" w:space="0" w:color="auto"/>
          </w:divBdr>
        </w:div>
        <w:div w:id="511844076">
          <w:marLeft w:val="0"/>
          <w:marRight w:val="0"/>
          <w:marTop w:val="0"/>
          <w:marBottom w:val="0"/>
          <w:divBdr>
            <w:top w:val="none" w:sz="0" w:space="0" w:color="auto"/>
            <w:left w:val="none" w:sz="0" w:space="0" w:color="auto"/>
            <w:bottom w:val="none" w:sz="0" w:space="0" w:color="auto"/>
            <w:right w:val="none" w:sz="0" w:space="0" w:color="auto"/>
          </w:divBdr>
        </w:div>
        <w:div w:id="1638799005">
          <w:marLeft w:val="0"/>
          <w:marRight w:val="0"/>
          <w:marTop w:val="0"/>
          <w:marBottom w:val="0"/>
          <w:divBdr>
            <w:top w:val="none" w:sz="0" w:space="0" w:color="auto"/>
            <w:left w:val="none" w:sz="0" w:space="0" w:color="auto"/>
            <w:bottom w:val="none" w:sz="0" w:space="0" w:color="auto"/>
            <w:right w:val="none" w:sz="0" w:space="0" w:color="auto"/>
          </w:divBdr>
        </w:div>
        <w:div w:id="425619253">
          <w:marLeft w:val="0"/>
          <w:marRight w:val="0"/>
          <w:marTop w:val="0"/>
          <w:marBottom w:val="0"/>
          <w:divBdr>
            <w:top w:val="none" w:sz="0" w:space="0" w:color="auto"/>
            <w:left w:val="none" w:sz="0" w:space="0" w:color="auto"/>
            <w:bottom w:val="none" w:sz="0" w:space="0" w:color="auto"/>
            <w:right w:val="none" w:sz="0" w:space="0" w:color="auto"/>
          </w:divBdr>
        </w:div>
      </w:divsChild>
    </w:div>
    <w:div w:id="1864202740">
      <w:bodyDiv w:val="1"/>
      <w:marLeft w:val="0"/>
      <w:marRight w:val="0"/>
      <w:marTop w:val="0"/>
      <w:marBottom w:val="0"/>
      <w:divBdr>
        <w:top w:val="none" w:sz="0" w:space="0" w:color="auto"/>
        <w:left w:val="none" w:sz="0" w:space="0" w:color="auto"/>
        <w:bottom w:val="none" w:sz="0" w:space="0" w:color="auto"/>
        <w:right w:val="none" w:sz="0" w:space="0" w:color="auto"/>
      </w:divBdr>
      <w:divsChild>
        <w:div w:id="1942495988">
          <w:marLeft w:val="0"/>
          <w:marRight w:val="0"/>
          <w:marTop w:val="0"/>
          <w:marBottom w:val="0"/>
          <w:divBdr>
            <w:top w:val="none" w:sz="0" w:space="0" w:color="auto"/>
            <w:left w:val="none" w:sz="0" w:space="0" w:color="auto"/>
            <w:bottom w:val="none" w:sz="0" w:space="0" w:color="auto"/>
            <w:right w:val="none" w:sz="0" w:space="0" w:color="auto"/>
          </w:divBdr>
        </w:div>
        <w:div w:id="1793090700">
          <w:marLeft w:val="0"/>
          <w:marRight w:val="0"/>
          <w:marTop w:val="0"/>
          <w:marBottom w:val="0"/>
          <w:divBdr>
            <w:top w:val="none" w:sz="0" w:space="0" w:color="auto"/>
            <w:left w:val="none" w:sz="0" w:space="0" w:color="auto"/>
            <w:bottom w:val="none" w:sz="0" w:space="0" w:color="auto"/>
            <w:right w:val="none" w:sz="0" w:space="0" w:color="auto"/>
          </w:divBdr>
        </w:div>
      </w:divsChild>
    </w:div>
    <w:div w:id="1914313216">
      <w:bodyDiv w:val="1"/>
      <w:marLeft w:val="0"/>
      <w:marRight w:val="0"/>
      <w:marTop w:val="0"/>
      <w:marBottom w:val="0"/>
      <w:divBdr>
        <w:top w:val="none" w:sz="0" w:space="0" w:color="auto"/>
        <w:left w:val="none" w:sz="0" w:space="0" w:color="auto"/>
        <w:bottom w:val="none" w:sz="0" w:space="0" w:color="auto"/>
        <w:right w:val="none" w:sz="0" w:space="0" w:color="auto"/>
      </w:divBdr>
    </w:div>
    <w:div w:id="1962030776">
      <w:bodyDiv w:val="1"/>
      <w:marLeft w:val="0"/>
      <w:marRight w:val="0"/>
      <w:marTop w:val="0"/>
      <w:marBottom w:val="0"/>
      <w:divBdr>
        <w:top w:val="none" w:sz="0" w:space="0" w:color="auto"/>
        <w:left w:val="none" w:sz="0" w:space="0" w:color="auto"/>
        <w:bottom w:val="none" w:sz="0" w:space="0" w:color="auto"/>
        <w:right w:val="none" w:sz="0" w:space="0" w:color="auto"/>
      </w:divBdr>
      <w:divsChild>
        <w:div w:id="200438957">
          <w:marLeft w:val="0"/>
          <w:marRight w:val="0"/>
          <w:marTop w:val="0"/>
          <w:marBottom w:val="0"/>
          <w:divBdr>
            <w:top w:val="none" w:sz="0" w:space="0" w:color="auto"/>
            <w:left w:val="none" w:sz="0" w:space="0" w:color="auto"/>
            <w:bottom w:val="none" w:sz="0" w:space="0" w:color="auto"/>
            <w:right w:val="none" w:sz="0" w:space="0" w:color="auto"/>
          </w:divBdr>
        </w:div>
        <w:div w:id="1210455955">
          <w:marLeft w:val="0"/>
          <w:marRight w:val="0"/>
          <w:marTop w:val="0"/>
          <w:marBottom w:val="0"/>
          <w:divBdr>
            <w:top w:val="none" w:sz="0" w:space="0" w:color="auto"/>
            <w:left w:val="none" w:sz="0" w:space="0" w:color="auto"/>
            <w:bottom w:val="none" w:sz="0" w:space="0" w:color="auto"/>
            <w:right w:val="none" w:sz="0" w:space="0" w:color="auto"/>
          </w:divBdr>
        </w:div>
      </w:divsChild>
    </w:div>
    <w:div w:id="1979915096">
      <w:bodyDiv w:val="1"/>
      <w:marLeft w:val="0"/>
      <w:marRight w:val="0"/>
      <w:marTop w:val="0"/>
      <w:marBottom w:val="0"/>
      <w:divBdr>
        <w:top w:val="none" w:sz="0" w:space="0" w:color="auto"/>
        <w:left w:val="none" w:sz="0" w:space="0" w:color="auto"/>
        <w:bottom w:val="none" w:sz="0" w:space="0" w:color="auto"/>
        <w:right w:val="none" w:sz="0" w:space="0" w:color="auto"/>
      </w:divBdr>
    </w:div>
    <w:div w:id="2034067498">
      <w:bodyDiv w:val="1"/>
      <w:marLeft w:val="0"/>
      <w:marRight w:val="0"/>
      <w:marTop w:val="0"/>
      <w:marBottom w:val="0"/>
      <w:divBdr>
        <w:top w:val="none" w:sz="0" w:space="0" w:color="auto"/>
        <w:left w:val="none" w:sz="0" w:space="0" w:color="auto"/>
        <w:bottom w:val="none" w:sz="0" w:space="0" w:color="auto"/>
        <w:right w:val="none" w:sz="0" w:space="0" w:color="auto"/>
      </w:divBdr>
    </w:div>
    <w:div w:id="2061783206">
      <w:bodyDiv w:val="1"/>
      <w:marLeft w:val="0"/>
      <w:marRight w:val="0"/>
      <w:marTop w:val="0"/>
      <w:marBottom w:val="0"/>
      <w:divBdr>
        <w:top w:val="none" w:sz="0" w:space="0" w:color="auto"/>
        <w:left w:val="none" w:sz="0" w:space="0" w:color="auto"/>
        <w:bottom w:val="none" w:sz="0" w:space="0" w:color="auto"/>
        <w:right w:val="none" w:sz="0" w:space="0" w:color="auto"/>
      </w:divBdr>
      <w:divsChild>
        <w:div w:id="345333221">
          <w:marLeft w:val="0"/>
          <w:marRight w:val="0"/>
          <w:marTop w:val="0"/>
          <w:marBottom w:val="0"/>
          <w:divBdr>
            <w:top w:val="none" w:sz="0" w:space="0" w:color="auto"/>
            <w:left w:val="none" w:sz="0" w:space="0" w:color="auto"/>
            <w:bottom w:val="none" w:sz="0" w:space="0" w:color="auto"/>
            <w:right w:val="none" w:sz="0" w:space="0" w:color="auto"/>
          </w:divBdr>
        </w:div>
        <w:div w:id="738938328">
          <w:marLeft w:val="0"/>
          <w:marRight w:val="0"/>
          <w:marTop w:val="0"/>
          <w:marBottom w:val="0"/>
          <w:divBdr>
            <w:top w:val="none" w:sz="0" w:space="0" w:color="auto"/>
            <w:left w:val="none" w:sz="0" w:space="0" w:color="auto"/>
            <w:bottom w:val="none" w:sz="0" w:space="0" w:color="auto"/>
            <w:right w:val="none" w:sz="0" w:space="0" w:color="auto"/>
          </w:divBdr>
        </w:div>
        <w:div w:id="2010592080">
          <w:marLeft w:val="0"/>
          <w:marRight w:val="0"/>
          <w:marTop w:val="0"/>
          <w:marBottom w:val="0"/>
          <w:divBdr>
            <w:top w:val="none" w:sz="0" w:space="0" w:color="auto"/>
            <w:left w:val="none" w:sz="0" w:space="0" w:color="auto"/>
            <w:bottom w:val="none" w:sz="0" w:space="0" w:color="auto"/>
            <w:right w:val="none" w:sz="0" w:space="0" w:color="auto"/>
          </w:divBdr>
        </w:div>
        <w:div w:id="287472448">
          <w:marLeft w:val="0"/>
          <w:marRight w:val="0"/>
          <w:marTop w:val="0"/>
          <w:marBottom w:val="0"/>
          <w:divBdr>
            <w:top w:val="none" w:sz="0" w:space="0" w:color="auto"/>
            <w:left w:val="none" w:sz="0" w:space="0" w:color="auto"/>
            <w:bottom w:val="none" w:sz="0" w:space="0" w:color="auto"/>
            <w:right w:val="none" w:sz="0" w:space="0" w:color="auto"/>
          </w:divBdr>
        </w:div>
        <w:div w:id="2110001396">
          <w:marLeft w:val="0"/>
          <w:marRight w:val="0"/>
          <w:marTop w:val="0"/>
          <w:marBottom w:val="0"/>
          <w:divBdr>
            <w:top w:val="none" w:sz="0" w:space="0" w:color="auto"/>
            <w:left w:val="none" w:sz="0" w:space="0" w:color="auto"/>
            <w:bottom w:val="none" w:sz="0" w:space="0" w:color="auto"/>
            <w:right w:val="none" w:sz="0" w:space="0" w:color="auto"/>
          </w:divBdr>
        </w:div>
      </w:divsChild>
    </w:div>
    <w:div w:id="2096590517">
      <w:bodyDiv w:val="1"/>
      <w:marLeft w:val="0"/>
      <w:marRight w:val="0"/>
      <w:marTop w:val="0"/>
      <w:marBottom w:val="0"/>
      <w:divBdr>
        <w:top w:val="none" w:sz="0" w:space="0" w:color="auto"/>
        <w:left w:val="none" w:sz="0" w:space="0" w:color="auto"/>
        <w:bottom w:val="none" w:sz="0" w:space="0" w:color="auto"/>
        <w:right w:val="none" w:sz="0" w:space="0" w:color="auto"/>
      </w:divBdr>
    </w:div>
    <w:div w:id="2098941029">
      <w:bodyDiv w:val="1"/>
      <w:marLeft w:val="0"/>
      <w:marRight w:val="0"/>
      <w:marTop w:val="0"/>
      <w:marBottom w:val="0"/>
      <w:divBdr>
        <w:top w:val="none" w:sz="0" w:space="0" w:color="auto"/>
        <w:left w:val="none" w:sz="0" w:space="0" w:color="auto"/>
        <w:bottom w:val="none" w:sz="0" w:space="0" w:color="auto"/>
        <w:right w:val="none" w:sz="0" w:space="0" w:color="auto"/>
      </w:divBdr>
    </w:div>
    <w:div w:id="2122216155">
      <w:bodyDiv w:val="1"/>
      <w:marLeft w:val="0"/>
      <w:marRight w:val="0"/>
      <w:marTop w:val="0"/>
      <w:marBottom w:val="0"/>
      <w:divBdr>
        <w:top w:val="none" w:sz="0" w:space="0" w:color="auto"/>
        <w:left w:val="none" w:sz="0" w:space="0" w:color="auto"/>
        <w:bottom w:val="none" w:sz="0" w:space="0" w:color="auto"/>
        <w:right w:val="none" w:sz="0" w:space="0" w:color="auto"/>
      </w:divBdr>
    </w:div>
    <w:div w:id="21353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2.census.gov/faces/nav/jsf/pages/index.xhtml" TargetMode="External"/><Relationship Id="rId13" Type="http://schemas.openxmlformats.org/officeDocument/2006/relationships/hyperlink" Target="http://www.census.gov/cgi-bin/sssd/naics/naicsrch" TargetMode="External"/><Relationship Id="rId3" Type="http://schemas.openxmlformats.org/officeDocument/2006/relationships/hyperlink" Target="http://web2.westlaw.com/find/default.wl?mt=12&amp;db=1000546&amp;docname=47USCAS534&amp;rp=%2ffind%2fdefault.wl&amp;findtype=L&amp;ordoc=2033507512&amp;tc=-1&amp;vr=2.0&amp;fn=_top&amp;sv=Split&amp;tf=-1&amp;referencepositiontype=T&amp;pbc=933C8BA3&amp;referenceposition=SP%3b5e9c000060bf5&amp;rs=WLW15.01" TargetMode="External"/><Relationship Id="rId7" Type="http://schemas.openxmlformats.org/officeDocument/2006/relationships/hyperlink" Target="http://www.census.gov/cgi-bin/sssd/naics/naicsrch" TargetMode="External"/><Relationship Id="rId12" Type="http://schemas.openxmlformats.org/officeDocument/2006/relationships/hyperlink" Target="http://www.ncta.com/industry-data" TargetMode="External"/><Relationship Id="rId2" Type="http://schemas.openxmlformats.org/officeDocument/2006/relationships/hyperlink" Target="http://web2.westlaw.com/find/default.wl?mt=12&amp;db=1000547&amp;docname=47CFRS76.55&amp;rp=%2ffind%2fdefault.wl&amp;findtype=L&amp;ordoc=2033507512&amp;tc=-1&amp;vr=2.0&amp;fn=_top&amp;sv=Split&amp;tf=-1&amp;referencepositiontype=T&amp;pbc=933C8BA3&amp;referenceposition=SP%3b3fed000053a85&amp;rs=WLW15.01" TargetMode="External"/><Relationship Id="rId16" Type="http://schemas.openxmlformats.org/officeDocument/2006/relationships/hyperlink" Target="http://www.fcc.gov/document/broadcast-station-totals-march-31-2015" TargetMode="External"/><Relationship Id="rId1" Type="http://schemas.openxmlformats.org/officeDocument/2006/relationships/hyperlink" Target="http://web2.westlaw.com/find/default.wl?mt=12&amp;db=1000546&amp;docname=47USCAS535&amp;rp=%2ffind%2fdefault.wl&amp;findtype=L&amp;ordoc=2033507512&amp;tc=-1&amp;vr=2.0&amp;fn=_top&amp;sv=Split&amp;tf=-1&amp;referencepositiontype=T&amp;pbc=933C8BA3&amp;referenceposition=SP%3be4c4000050462&amp;rs=WLW15.01" TargetMode="External"/><Relationship Id="rId6" Type="http://schemas.openxmlformats.org/officeDocument/2006/relationships/hyperlink" Target="http://factfinder2.census.gov/faces/nav/jsf/pages/index.xhtml" TargetMode="External"/><Relationship Id="rId11" Type="http://schemas.openxmlformats.org/officeDocument/2006/relationships/hyperlink" Target="http://www.ncta.com/industry-data" TargetMode="External"/><Relationship Id="rId5" Type="http://schemas.openxmlformats.org/officeDocument/2006/relationships/hyperlink" Target="http://www.census.gov/cgi-bin/sssd/naics/naicsrch" TargetMode="External"/><Relationship Id="rId15" Type="http://schemas.openxmlformats.org/officeDocument/2006/relationships/hyperlink" Target="http://factfinder2.census.gov/faces/tableservices/jsf/pages/productview.xhtml?pid=ECN_2007_US_51SSSZ4&amp;prodType=table" TargetMode="External"/><Relationship Id="rId10" Type="http://schemas.openxmlformats.org/officeDocument/2006/relationships/hyperlink" Target="http://www.snl.com/InteractiveX/TopCableMSOs.aspx?period=2012Q4&amp;sortcol=subscribersbasic&amp;sortorder=desc" TargetMode="External"/><Relationship Id="rId4" Type="http://schemas.openxmlformats.org/officeDocument/2006/relationships/hyperlink" Target="http://web2.westlaw.com/find/default.wl?mt=12&amp;db=1000547&amp;docname=47CFRS76.55&amp;rp=%2ffind%2fdefault.wl&amp;findtype=L&amp;ordoc=2033507512&amp;tc=-1&amp;vr=2.0&amp;fn=_top&amp;sv=Split&amp;tf=-1&amp;referencepositiontype=T&amp;pbc=933C8BA3&amp;referenceposition=SP%3b20c3000034ad5&amp;rs=WLW15.01" TargetMode="External"/><Relationship Id="rId9" Type="http://schemas.openxmlformats.org/officeDocument/2006/relationships/hyperlink" Target="http://www.ncta.com/Statistics.aspx" TargetMode="External"/><Relationship Id="rId14"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17266</Words>
  <Characters>94000</Characters>
  <Application>Microsoft Office Word</Application>
  <DocSecurity>0</DocSecurity>
  <Lines>1397</Lines>
  <Paragraphs>323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111553</CharactersWithSpaces>
  <SharedDoc>false</SharedDoc>
  <HyperlinkBase> </HyperlinkBase>
  <HLinks>
    <vt:vector size="336" baseType="variant">
      <vt:variant>
        <vt:i4>2949201</vt:i4>
      </vt:variant>
      <vt:variant>
        <vt:i4>18</vt:i4>
      </vt:variant>
      <vt:variant>
        <vt:i4>0</vt:i4>
      </vt:variant>
      <vt:variant>
        <vt:i4>5</vt:i4>
      </vt:variant>
      <vt:variant>
        <vt:lpwstr>mailto:Jennifer.Manner@fcc.gov</vt:lpwstr>
      </vt:variant>
      <vt:variant>
        <vt:lpwstr/>
      </vt:variant>
      <vt:variant>
        <vt:i4>3473482</vt:i4>
      </vt:variant>
      <vt:variant>
        <vt:i4>15</vt:i4>
      </vt:variant>
      <vt:variant>
        <vt:i4>0</vt:i4>
      </vt:variant>
      <vt:variant>
        <vt:i4>5</vt:i4>
      </vt:variant>
      <vt:variant>
        <vt:lpwstr>mailto:fcc504@fcc.gov</vt:lpwstr>
      </vt:variant>
      <vt:variant>
        <vt:lpwstr/>
      </vt:variant>
      <vt:variant>
        <vt:i4>7929897</vt:i4>
      </vt:variant>
      <vt:variant>
        <vt:i4>12</vt:i4>
      </vt:variant>
      <vt:variant>
        <vt:i4>0</vt:i4>
      </vt:variant>
      <vt:variant>
        <vt:i4>5</vt:i4>
      </vt:variant>
      <vt:variant>
        <vt:lpwstr>http://fjallfoss.fcc.gov/ecfs2/</vt:lpwstr>
      </vt:variant>
      <vt:variant>
        <vt:lpwstr/>
      </vt:variant>
      <vt:variant>
        <vt:i4>4849745</vt:i4>
      </vt:variant>
      <vt:variant>
        <vt:i4>9</vt:i4>
      </vt:variant>
      <vt:variant>
        <vt:i4>0</vt:i4>
      </vt:variant>
      <vt:variant>
        <vt:i4>5</vt:i4>
      </vt:variant>
      <vt:variant>
        <vt:lpwstr>http://www.fcc.gov/incentiveauctions</vt:lpwstr>
      </vt:variant>
      <vt:variant>
        <vt:lpwstr/>
      </vt:variant>
      <vt:variant>
        <vt:i4>4128882</vt:i4>
      </vt:variant>
      <vt:variant>
        <vt:i4>6</vt:i4>
      </vt:variant>
      <vt:variant>
        <vt:i4>0</vt:i4>
      </vt:variant>
      <vt:variant>
        <vt:i4>5</vt:i4>
      </vt:variant>
      <vt:variant>
        <vt:lpwstr>http://www.fcc.gov/</vt:lpwstr>
      </vt:variant>
      <vt:variant>
        <vt:lpwstr/>
      </vt:variant>
      <vt:variant>
        <vt:i4>8061012</vt:i4>
      </vt:variant>
      <vt:variant>
        <vt:i4>360</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3932202</vt:i4>
      </vt:variant>
      <vt:variant>
        <vt:i4>357</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354</vt:i4>
      </vt:variant>
      <vt:variant>
        <vt:i4>0</vt:i4>
      </vt:variant>
      <vt:variant>
        <vt:i4>5</vt:i4>
      </vt:variant>
      <vt:variant>
        <vt:lpwstr>http://factfinder.census.gov/servlet/IBQTable?_bm=y&amp;-fds_name=EC0700A1&amp;-geo_id=&amp;-_skip=300&amp;-ds_name=EC0731SG2&amp;-_lang=en</vt:lpwstr>
      </vt:variant>
      <vt:variant>
        <vt:lpwstr/>
      </vt:variant>
      <vt:variant>
        <vt:i4>4456490</vt:i4>
      </vt:variant>
      <vt:variant>
        <vt:i4>351</vt:i4>
      </vt:variant>
      <vt:variant>
        <vt:i4>0</vt:i4>
      </vt:variant>
      <vt:variant>
        <vt:i4>5</vt:i4>
      </vt:variant>
      <vt:variant>
        <vt:lpwstr>http://factfinder2.census.gov/faces/tableservices/jsf/pages/productview.xhtml?pid=ECN_2007_US_51SSSZ2&amp;prodType=table</vt:lpwstr>
      </vt:variant>
      <vt:variant>
        <vt:lpwstr/>
      </vt:variant>
      <vt:variant>
        <vt:i4>6619263</vt:i4>
      </vt:variant>
      <vt:variant>
        <vt:i4>348</vt:i4>
      </vt:variant>
      <vt:variant>
        <vt:i4>0</vt:i4>
      </vt:variant>
      <vt:variant>
        <vt:i4>5</vt:i4>
      </vt:variant>
      <vt:variant>
        <vt:lpwstr>http://www.census.gov/cgi-bin/sssd/naics/naicsrch?code=517210&amp;search=2007%20NAICS%20Search</vt:lpwstr>
      </vt:variant>
      <vt:variant>
        <vt:lpwstr/>
      </vt:variant>
      <vt:variant>
        <vt:i4>524390</vt:i4>
      </vt:variant>
      <vt:variant>
        <vt:i4>345</vt:i4>
      </vt:variant>
      <vt:variant>
        <vt:i4>0</vt:i4>
      </vt:variant>
      <vt:variant>
        <vt:i4>5</vt:i4>
      </vt:variant>
      <vt:variant>
        <vt:lpwstr>http://factfinder2.census.gov/faces/tableservices/jsf/pages/productview.xhtml?pid=ECN_2007_US_31I1&amp;prodType=table</vt:lpwstr>
      </vt:variant>
      <vt:variant>
        <vt:lpwstr/>
      </vt:variant>
      <vt:variant>
        <vt:i4>6881357</vt:i4>
      </vt:variant>
      <vt:variant>
        <vt:i4>342</vt:i4>
      </vt:variant>
      <vt:variant>
        <vt:i4>0</vt:i4>
      </vt:variant>
      <vt:variant>
        <vt:i4>5</vt:i4>
      </vt:variant>
      <vt:variant>
        <vt:lpwstr>http://factfinder2.census.gov/faces/tableservices/jsf/pages/productview.xhtml?pid=ECN_2007_US_31SA11&amp;prodType=table</vt:lpwstr>
      </vt:variant>
      <vt:variant>
        <vt:lpwstr/>
      </vt:variant>
      <vt:variant>
        <vt:i4>4653068</vt:i4>
      </vt:variant>
      <vt:variant>
        <vt:i4>339</vt:i4>
      </vt:variant>
      <vt:variant>
        <vt:i4>0</vt:i4>
      </vt:variant>
      <vt:variant>
        <vt:i4>5</vt:i4>
      </vt:variant>
      <vt:variant>
        <vt:lpwstr>http://factfinder.census.gov/servlet/IBQTable?_bm=y&amp;-fds_name=EC0700A1&amp;-geo_id=&amp;-_skip=300&amp;-ds_name=EC0731SG2&amp;-_lang=en</vt:lpwstr>
      </vt:variant>
      <vt:variant>
        <vt:lpwstr/>
      </vt:variant>
      <vt:variant>
        <vt:i4>7012448</vt:i4>
      </vt:variant>
      <vt:variant>
        <vt:i4>336</vt:i4>
      </vt:variant>
      <vt:variant>
        <vt:i4>0</vt:i4>
      </vt:variant>
      <vt:variant>
        <vt:i4>5</vt:i4>
      </vt:variant>
      <vt:variant>
        <vt:lpwstr>http://www.factfinder.census.gov/servlet/IBQTable?_bm=y&amp;-geo_id=&amp;-fds_name=EC0700A1&amp;-_skip=600&amp;-ds_name=EC0751SSSZ5&amp;-_lang=en</vt:lpwstr>
      </vt:variant>
      <vt:variant>
        <vt:lpwstr/>
      </vt:variant>
      <vt:variant>
        <vt:i4>7208998</vt:i4>
      </vt:variant>
      <vt:variant>
        <vt:i4>333</vt:i4>
      </vt:variant>
      <vt:variant>
        <vt:i4>0</vt:i4>
      </vt:variant>
      <vt:variant>
        <vt:i4>5</vt:i4>
      </vt:variant>
      <vt:variant>
        <vt:lpwstr>http://transition.fcc.gov/Daily_Releases/Daily_Business/2012/db0106/DOC-315231A1.pdf</vt:lpwstr>
      </vt:variant>
      <vt:variant>
        <vt:lpwstr/>
      </vt:variant>
      <vt:variant>
        <vt:i4>7208998</vt:i4>
      </vt:variant>
      <vt:variant>
        <vt:i4>330</vt:i4>
      </vt:variant>
      <vt:variant>
        <vt:i4>0</vt:i4>
      </vt:variant>
      <vt:variant>
        <vt:i4>5</vt:i4>
      </vt:variant>
      <vt:variant>
        <vt:lpwstr>http://transition.fcc.gov/Daily_Releases/Daily_Business/2012/db0106/DOC-315231A1.pdf</vt:lpwstr>
      </vt:variant>
      <vt:variant>
        <vt:lpwstr/>
      </vt:variant>
      <vt:variant>
        <vt:i4>7208964</vt:i4>
      </vt:variant>
      <vt:variant>
        <vt:i4>327</vt:i4>
      </vt:variant>
      <vt:variant>
        <vt:i4>0</vt:i4>
      </vt:variant>
      <vt:variant>
        <vt:i4>5</vt:i4>
      </vt:variant>
      <vt:variant>
        <vt:lpwstr>http://hraunfoss.fcc.gov/edocs_public/attachmatch/DOC-315231A1.pdf.</vt:lpwstr>
      </vt:variant>
      <vt:variant>
        <vt:lpwstr/>
      </vt:variant>
      <vt:variant>
        <vt:i4>2162789</vt:i4>
      </vt:variant>
      <vt:variant>
        <vt:i4>324</vt:i4>
      </vt:variant>
      <vt:variant>
        <vt:i4>0</vt:i4>
      </vt:variant>
      <vt:variant>
        <vt:i4>5</vt:i4>
      </vt:variant>
      <vt:variant>
        <vt:lpwstr>http://www.census.gov/naics/2007/def/ND515120.HTM</vt:lpwstr>
      </vt:variant>
      <vt:variant>
        <vt:lpwstr>N515120</vt:lpwstr>
      </vt:variant>
      <vt:variant>
        <vt:i4>5701749</vt:i4>
      </vt:variant>
      <vt:variant>
        <vt:i4>300</vt:i4>
      </vt:variant>
      <vt:variant>
        <vt:i4>0</vt:i4>
      </vt:variant>
      <vt:variant>
        <vt:i4>5</vt:i4>
      </vt:variant>
      <vt:variant>
        <vt:lpwstr>http://transition.fcc.gov/wcb/tapd/universal_service</vt:lpwstr>
      </vt:variant>
      <vt:variant>
        <vt:lpwstr/>
      </vt:variant>
      <vt:variant>
        <vt:i4>7602274</vt:i4>
      </vt:variant>
      <vt:variant>
        <vt:i4>297</vt:i4>
      </vt:variant>
      <vt:variant>
        <vt:i4>0</vt:i4>
      </vt:variant>
      <vt:variant>
        <vt:i4>5</vt:i4>
      </vt:variant>
      <vt:variant>
        <vt:lpwstr>http://www.ntia.doc.gov/legacy/lptv/index.html</vt:lpwstr>
      </vt:variant>
      <vt:variant>
        <vt:lpwstr/>
      </vt:variant>
      <vt:variant>
        <vt:i4>7602274</vt:i4>
      </vt:variant>
      <vt:variant>
        <vt:i4>294</vt:i4>
      </vt:variant>
      <vt:variant>
        <vt:i4>0</vt:i4>
      </vt:variant>
      <vt:variant>
        <vt:i4>5</vt:i4>
      </vt:variant>
      <vt:variant>
        <vt:lpwstr>http://www.ntia.doc.gov/legacy/lptv/index.html</vt:lpwstr>
      </vt:variant>
      <vt:variant>
        <vt:lpwstr/>
      </vt:variant>
      <vt:variant>
        <vt:i4>7733372</vt:i4>
      </vt:variant>
      <vt:variant>
        <vt:i4>291</vt:i4>
      </vt:variant>
      <vt:variant>
        <vt:i4>0</vt:i4>
      </vt:variant>
      <vt:variant>
        <vt:i4>5</vt:i4>
      </vt:variant>
      <vt:variant>
        <vt:lpwstr>http://www.telcordia.com/services/interconnection/white-spaces.html</vt:lpwstr>
      </vt:variant>
      <vt:variant>
        <vt:lpwstr/>
      </vt:variant>
      <vt:variant>
        <vt:i4>3866724</vt:i4>
      </vt:variant>
      <vt:variant>
        <vt:i4>288</vt:i4>
      </vt:variant>
      <vt:variant>
        <vt:i4>0</vt:i4>
      </vt:variant>
      <vt:variant>
        <vt:i4>5</vt:i4>
      </vt:variant>
      <vt:variant>
        <vt:lpwstr>http://whitespaces.spectrumbridge.com/Main.aspx</vt:lpwstr>
      </vt:variant>
      <vt:variant>
        <vt:lpwstr/>
      </vt:variant>
      <vt:variant>
        <vt:i4>6946933</vt:i4>
      </vt:variant>
      <vt:variant>
        <vt:i4>285</vt:i4>
      </vt:variant>
      <vt:variant>
        <vt:i4>0</vt:i4>
      </vt:variant>
      <vt:variant>
        <vt:i4>5</vt:i4>
      </vt:variant>
      <vt:variant>
        <vt:lpwstr>http://siepr.stanford.edu/?q=/system/files/shared/pubs/papers/pdf/11-002_Paper_Milgrom.pdf</vt:lpwstr>
      </vt:variant>
      <vt:variant>
        <vt:lpwstr/>
      </vt:variant>
      <vt:variant>
        <vt:i4>5505025</vt:i4>
      </vt:variant>
      <vt:variant>
        <vt:i4>282</vt:i4>
      </vt:variant>
      <vt:variant>
        <vt:i4>0</vt:i4>
      </vt:variant>
      <vt:variant>
        <vt:i4>5</vt:i4>
      </vt:variant>
      <vt:variant>
        <vt:lpwstr>http://www.tvtechnology.com/news/0086/wireless-mic-users-challenged-by-new-spectrum-limits/213016</vt:lpwstr>
      </vt:variant>
      <vt:variant>
        <vt:lpwstr/>
      </vt:variant>
      <vt:variant>
        <vt:i4>3997728</vt:i4>
      </vt:variant>
      <vt:variant>
        <vt:i4>276</vt:i4>
      </vt:variant>
      <vt:variant>
        <vt:i4>0</vt:i4>
      </vt:variant>
      <vt:variant>
        <vt:i4>5</vt:i4>
      </vt:variant>
      <vt:variant>
        <vt:lpwstr>http://findarticles.com/p/articles/mi_m0DUD/is_7_22/ai_76548958/</vt:lpwstr>
      </vt:variant>
      <vt:variant>
        <vt:lpwstr/>
      </vt:variant>
      <vt:variant>
        <vt:i4>393295</vt:i4>
      </vt:variant>
      <vt:variant>
        <vt:i4>273</vt:i4>
      </vt:variant>
      <vt:variant>
        <vt:i4>0</vt:i4>
      </vt:variant>
      <vt:variant>
        <vt:i4>5</vt:i4>
      </vt:variant>
      <vt:variant>
        <vt:lpwstr>http://www.fda.gov/MedicalDevices/Safety/AlertsandNotices/PublicHealthNotifications/ucm062298.htm</vt:lpwstr>
      </vt:variant>
      <vt:variant>
        <vt:lpwstr/>
      </vt:variant>
      <vt:variant>
        <vt:i4>8323142</vt:i4>
      </vt:variant>
      <vt:variant>
        <vt:i4>270</vt:i4>
      </vt:variant>
      <vt:variant>
        <vt:i4>0</vt:i4>
      </vt:variant>
      <vt:variant>
        <vt:i4>5</vt:i4>
      </vt:variant>
      <vt:variant>
        <vt:lpwstr>http://www.chron.com/CDA/archives/archive.mpl/1998_3045688/digital-signal-for-tv-has-ill-effect-on-heart-devi.html</vt:lpwstr>
      </vt:variant>
      <vt:variant>
        <vt:lpwstr/>
      </vt:variant>
      <vt:variant>
        <vt:i4>1572951</vt:i4>
      </vt:variant>
      <vt:variant>
        <vt:i4>267</vt:i4>
      </vt:variant>
      <vt:variant>
        <vt:i4>0</vt:i4>
      </vt:variant>
      <vt:variant>
        <vt:i4>5</vt:i4>
      </vt:variant>
      <vt:variant>
        <vt:lpwstr>http://www.haystack.mit.edu/ast/science/epoch/index.html</vt:lpwstr>
      </vt:variant>
      <vt:variant>
        <vt:lpwstr/>
      </vt:variant>
      <vt:variant>
        <vt:i4>6881327</vt:i4>
      </vt:variant>
      <vt:variant>
        <vt:i4>264</vt:i4>
      </vt:variant>
      <vt:variant>
        <vt:i4>0</vt:i4>
      </vt:variant>
      <vt:variant>
        <vt:i4>5</vt:i4>
      </vt:variant>
      <vt:variant>
        <vt:lpwstr>http://www.cv.nrao.edu/course/astr534/Radiometers.html</vt:lpwstr>
      </vt:variant>
      <vt:variant>
        <vt:lpwstr/>
      </vt:variant>
      <vt:variant>
        <vt:i4>3211373</vt:i4>
      </vt:variant>
      <vt:variant>
        <vt:i4>258</vt:i4>
      </vt:variant>
      <vt:variant>
        <vt:i4>0</vt:i4>
      </vt:variant>
      <vt:variant>
        <vt:i4>5</vt:i4>
      </vt:variant>
      <vt:variant>
        <vt:lpwstr>https://newwebmail.fcc.gov/owa/redir.aspx?C=d426746464994da499e2b5c9bfa96feb&amp;URL=http%3a%2f%2fwww.ic.gc.ca%2feic%2fsite%2fsmt-gst.nsf%2feng%2fsf01320.html</vt:lpwstr>
      </vt:variant>
      <vt:variant>
        <vt:lpwstr/>
      </vt:variant>
      <vt:variant>
        <vt:i4>3866674</vt:i4>
      </vt:variant>
      <vt:variant>
        <vt:i4>252</vt:i4>
      </vt:variant>
      <vt:variant>
        <vt:i4>0</vt:i4>
      </vt:variant>
      <vt:variant>
        <vt:i4>5</vt:i4>
      </vt:variant>
      <vt:variant>
        <vt:lpwstr>http://www.vlba.nrao.edu/astro/obstatus/current/node5.html</vt:lpwstr>
      </vt:variant>
      <vt:variant>
        <vt:lpwstr/>
      </vt:variant>
      <vt:variant>
        <vt:i4>8126581</vt:i4>
      </vt:variant>
      <vt:variant>
        <vt:i4>183</vt:i4>
      </vt:variant>
      <vt:variant>
        <vt:i4>0</vt:i4>
      </vt:variant>
      <vt:variant>
        <vt:i4>5</vt:i4>
      </vt:variant>
      <vt:variant>
        <vt:lpwstr>http://www.iwpc.org/ResearchLibrary.aspx?ArchiveID=165&amp;Display=doc</vt:lpwstr>
      </vt:variant>
      <vt:variant>
        <vt:lpwstr/>
      </vt:variant>
      <vt:variant>
        <vt:i4>1507360</vt:i4>
      </vt:variant>
      <vt:variant>
        <vt:i4>180</vt:i4>
      </vt:variant>
      <vt:variant>
        <vt:i4>0</vt:i4>
      </vt:variant>
      <vt:variant>
        <vt:i4>5</vt:i4>
      </vt:variant>
      <vt:variant>
        <vt:lpwstr>http://www.3gpp.org/ftp/tsg_ran/WG4_Radio/TSGR4_63/Docs/R4-123128.zip,</vt:lpwstr>
      </vt:variant>
      <vt:variant>
        <vt:lpwstr/>
      </vt:variant>
      <vt:variant>
        <vt:i4>8126523</vt:i4>
      </vt:variant>
      <vt:variant>
        <vt:i4>165</vt:i4>
      </vt:variant>
      <vt:variant>
        <vt:i4>0</vt:i4>
      </vt:variant>
      <vt:variant>
        <vt:i4>5</vt:i4>
      </vt:variant>
      <vt:variant>
        <vt:lpwstr>http://www.fcc.gov/encyclopedia/oet-bulletins-line</vt:lpwstr>
      </vt:variant>
      <vt:variant>
        <vt:lpwstr/>
      </vt:variant>
      <vt:variant>
        <vt:i4>1900548</vt:i4>
      </vt:variant>
      <vt:variant>
        <vt:i4>135</vt:i4>
      </vt:variant>
      <vt:variant>
        <vt:i4>0</vt:i4>
      </vt:variant>
      <vt:variant>
        <vt:i4>5</vt:i4>
      </vt:variant>
      <vt:variant>
        <vt:lpwstr>http://www.bea.gov/scb/pdf/regional/proj/1995/0295rea.pdf</vt:lpwstr>
      </vt:variant>
      <vt:variant>
        <vt:lpwstr/>
      </vt:variant>
      <vt:variant>
        <vt:i4>1835098</vt:i4>
      </vt:variant>
      <vt:variant>
        <vt:i4>75</vt:i4>
      </vt:variant>
      <vt:variant>
        <vt:i4>0</vt:i4>
      </vt:variant>
      <vt:variant>
        <vt:i4>5</vt:i4>
      </vt:variant>
      <vt:variant>
        <vt:lpwstr>http://www.3gpp.org/Carrier-Aggregation-explained</vt:lpwstr>
      </vt:variant>
      <vt:variant>
        <vt:lpwstr/>
      </vt:variant>
      <vt:variant>
        <vt:i4>6684782</vt:i4>
      </vt:variant>
      <vt:variant>
        <vt:i4>72</vt:i4>
      </vt:variant>
      <vt:variant>
        <vt:i4>0</vt:i4>
      </vt:variant>
      <vt:variant>
        <vt:i4>5</vt:i4>
      </vt:variant>
      <vt:variant>
        <vt:lpwstr>http://www.fiercewireless.com/story/report-sprints-lte-network-fast-its-competitors/2012-06-19</vt:lpwstr>
      </vt:variant>
      <vt:variant>
        <vt:lpwstr/>
      </vt:variant>
      <vt:variant>
        <vt:i4>1572942</vt:i4>
      </vt:variant>
      <vt:variant>
        <vt:i4>69</vt:i4>
      </vt:variant>
      <vt:variant>
        <vt:i4>0</vt:i4>
      </vt:variant>
      <vt:variant>
        <vt:i4>5</vt:i4>
      </vt:variant>
      <vt:variant>
        <vt:lpwstr>http://www.3gpp.org/ftp/Specs/html-info/36101.htm</vt:lpwstr>
      </vt:variant>
      <vt:variant>
        <vt:lpwstr/>
      </vt:variant>
      <vt:variant>
        <vt:i4>4522077</vt:i4>
      </vt:variant>
      <vt:variant>
        <vt:i4>66</vt:i4>
      </vt:variant>
      <vt:variant>
        <vt:i4>0</vt:i4>
      </vt:variant>
      <vt:variant>
        <vt:i4>5</vt:i4>
      </vt:variant>
      <vt:variant>
        <vt:lpwstr>http://www.4gamericas.org/index.cfm?fuseaction=page&amp;sectionid=361</vt:lpwstr>
      </vt:variant>
      <vt:variant>
        <vt:lpwstr/>
      </vt:variant>
      <vt:variant>
        <vt:i4>7798911</vt:i4>
      </vt:variant>
      <vt:variant>
        <vt:i4>63</vt:i4>
      </vt:variant>
      <vt:variant>
        <vt:i4>0</vt:i4>
      </vt:variant>
      <vt:variant>
        <vt:i4>5</vt:i4>
      </vt:variant>
      <vt:variant>
        <vt:lpwstr>http://gizmodo.com/5725501/atts-4g-is-hspa%252B-like-t+mobiles</vt:lpwstr>
      </vt:variant>
      <vt:variant>
        <vt:lpwstr/>
      </vt:variant>
      <vt:variant>
        <vt:i4>4522077</vt:i4>
      </vt:variant>
      <vt:variant>
        <vt:i4>60</vt:i4>
      </vt:variant>
      <vt:variant>
        <vt:i4>0</vt:i4>
      </vt:variant>
      <vt:variant>
        <vt:i4>5</vt:i4>
      </vt:variant>
      <vt:variant>
        <vt:lpwstr>http://www.4gamericas.org/index.cfm?fuseaction=page&amp;sectionid=361</vt:lpwstr>
      </vt:variant>
      <vt:variant>
        <vt:lpwstr/>
      </vt:variant>
      <vt:variant>
        <vt:i4>589842</vt:i4>
      </vt:variant>
      <vt:variant>
        <vt:i4>57</vt:i4>
      </vt:variant>
      <vt:variant>
        <vt:i4>0</vt:i4>
      </vt:variant>
      <vt:variant>
        <vt:i4>5</vt:i4>
      </vt:variant>
      <vt:variant>
        <vt:lpwstr>http://www.3gpp.org/ftp/Information/WORK_PLAN/Description_Releases</vt:lpwstr>
      </vt:variant>
      <vt:variant>
        <vt:lpwstr/>
      </vt:variant>
      <vt:variant>
        <vt:i4>8323188</vt:i4>
      </vt:variant>
      <vt:variant>
        <vt:i4>36</vt:i4>
      </vt:variant>
      <vt:variant>
        <vt:i4>0</vt:i4>
      </vt:variant>
      <vt:variant>
        <vt:i4>5</vt:i4>
      </vt:variant>
      <vt:variant>
        <vt:lpwstr>http://transition.fcc.gov/dtv/markets/</vt:lpwstr>
      </vt:variant>
      <vt:variant>
        <vt:lpwstr/>
      </vt:variant>
      <vt:variant>
        <vt:i4>196679</vt:i4>
      </vt:variant>
      <vt:variant>
        <vt:i4>33</vt:i4>
      </vt:variant>
      <vt:variant>
        <vt:i4>0</vt:i4>
      </vt:variant>
      <vt:variant>
        <vt:i4>5</vt:i4>
      </vt:variant>
      <vt:variant>
        <vt:lpwstr>http://dictionary.reference.com/browse/reason</vt:lpwstr>
      </vt:variant>
      <vt:variant>
        <vt:lpwstr/>
      </vt:variant>
      <vt:variant>
        <vt:i4>7995482</vt:i4>
      </vt:variant>
      <vt:variant>
        <vt:i4>30</vt:i4>
      </vt:variant>
      <vt:variant>
        <vt:i4>0</vt:i4>
      </vt:variant>
      <vt:variant>
        <vt:i4>5</vt:i4>
      </vt:variant>
      <vt:variant>
        <vt:lpwstr>http://transition.fcc.gov/Bureaus/Engineering_Technology/Documents/bulletins/oet69/oet69.pdf</vt:lpwstr>
      </vt:variant>
      <vt:variant>
        <vt:lpwstr/>
      </vt:variant>
      <vt:variant>
        <vt:i4>852020</vt:i4>
      </vt:variant>
      <vt:variant>
        <vt:i4>27</vt:i4>
      </vt:variant>
      <vt:variant>
        <vt:i4>0</vt:i4>
      </vt:variant>
      <vt:variant>
        <vt:i4>5</vt:i4>
      </vt:variant>
      <vt:variant>
        <vt:lpwstr>http://licensing.fcc.gov/cgi-bin/prod/cdbs/forms/prod/getimportletter_exh.cgi?import_letter_id=24962</vt:lpwstr>
      </vt:variant>
      <vt:variant>
        <vt:lpwstr/>
      </vt:variant>
      <vt:variant>
        <vt:i4>6815765</vt:i4>
      </vt:variant>
      <vt:variant>
        <vt:i4>24</vt:i4>
      </vt:variant>
      <vt:variant>
        <vt:i4>0</vt:i4>
      </vt:variant>
      <vt:variant>
        <vt:i4>5</vt:i4>
      </vt:variant>
      <vt:variant>
        <vt:lpwstr>http://web2.westlaw.com/find/default.wl?mt=12&amp;db=0001017&amp;tc=-1&amp;rp=%2ffind%2fdefault.wl&amp;findtype=Y&amp;ordoc=1981130744&amp;serialnum=1978027581&amp;vr=2.0&amp;fn=_top&amp;sv=Split&amp;tf=-1&amp;pbc=BD8F821E&amp;rs=WLW12.04</vt:lpwstr>
      </vt:variant>
      <vt:variant>
        <vt:lpwstr/>
      </vt:variant>
      <vt:variant>
        <vt:i4>196654</vt:i4>
      </vt:variant>
      <vt:variant>
        <vt:i4>21</vt:i4>
      </vt:variant>
      <vt:variant>
        <vt:i4>0</vt:i4>
      </vt:variant>
      <vt:variant>
        <vt:i4>5</vt:i4>
      </vt:variant>
      <vt:variant>
        <vt:lpwstr>http://web2.westlaw.com/find/default.wl?mt=12&amp;db=0001017&amp;tc=-1&amp;rp=%2ffind%2fdefault.wl&amp;findtype=Y&amp;ordoc=1981130744&amp;serialnum=1970022292&amp;vr=2.0&amp;fn=_top&amp;sv=Split&amp;tf=-1&amp;referencepositiontype=S&amp;pbc=BD8F821E&amp;referenceposition=113&amp;rs=WLW12.04</vt:lpwstr>
      </vt:variant>
      <vt:variant>
        <vt:lpwstr/>
      </vt:variant>
      <vt:variant>
        <vt:i4>5374077</vt:i4>
      </vt:variant>
      <vt:variant>
        <vt:i4>18</vt:i4>
      </vt:variant>
      <vt:variant>
        <vt:i4>0</vt:i4>
      </vt:variant>
      <vt:variant>
        <vt:i4>5</vt:i4>
      </vt:variant>
      <vt:variant>
        <vt:lpwstr>http://web2.westlaw.com/find/default.wl?mt=12&amp;db=350&amp;tc=-1&amp;rp=%2ffind%2fdefault.wl&amp;findtype=Y&amp;ordoc=2027451772&amp;serialnum=1964116274&amp;vr=2.0&amp;fn=_top&amp;sv=Split&amp;tf=-1&amp;referencepositiontype=S&amp;pbc=D573A015&amp;referenceposition=783&amp;rs=WLW12.04</vt:lpwstr>
      </vt:variant>
      <vt:variant>
        <vt:lpwstr/>
      </vt:variant>
      <vt:variant>
        <vt:i4>3473470</vt:i4>
      </vt:variant>
      <vt:variant>
        <vt:i4>15</vt:i4>
      </vt:variant>
      <vt:variant>
        <vt:i4>0</vt:i4>
      </vt:variant>
      <vt:variant>
        <vt:i4>5</vt:i4>
      </vt:variant>
      <vt:variant>
        <vt:lpwstr>http://www.fcc.gov/topic/incentive-auctions</vt:lpwstr>
      </vt:variant>
      <vt:variant>
        <vt:lpwstr/>
      </vt:variant>
      <vt:variant>
        <vt:i4>8192124</vt:i4>
      </vt:variant>
      <vt:variant>
        <vt:i4>12</vt:i4>
      </vt:variant>
      <vt:variant>
        <vt:i4>0</vt:i4>
      </vt:variant>
      <vt:variant>
        <vt:i4>5</vt:i4>
      </vt:variant>
      <vt:variant>
        <vt:lpwstr>http://www.prnewswire.com/news-releases/mobile-emergency-alert-system-pilot-project-proves-viability-of-mobile-dtv-for-emergency-alerts-147577325.html</vt:lpwstr>
      </vt:variant>
      <vt:variant>
        <vt:lpwstr/>
      </vt:variant>
      <vt:variant>
        <vt:i4>8126574</vt:i4>
      </vt:variant>
      <vt:variant>
        <vt:i4>9</vt:i4>
      </vt:variant>
      <vt:variant>
        <vt:i4>0</vt:i4>
      </vt:variant>
      <vt:variant>
        <vt:i4>5</vt:i4>
      </vt:variant>
      <vt:variant>
        <vt:lpwstr>http://www.openmobilevideo.com/media-relations/press-releases/</vt:lpwstr>
      </vt:variant>
      <vt:variant>
        <vt:lpwstr/>
      </vt:variant>
      <vt:variant>
        <vt:i4>3539034</vt:i4>
      </vt:variant>
      <vt:variant>
        <vt:i4>6</vt:i4>
      </vt:variant>
      <vt:variant>
        <vt:i4>0</vt:i4>
      </vt:variant>
      <vt:variant>
        <vt:i4>5</vt:i4>
      </vt:variant>
      <vt:variant>
        <vt:lpwstr>http://www.tvb.org/media/file/TV_Basics.pdf</vt:lpwstr>
      </vt:variant>
      <vt:variant>
        <vt:lpwstr/>
      </vt:variant>
      <vt:variant>
        <vt:i4>6357114</vt:i4>
      </vt:variant>
      <vt:variant>
        <vt:i4>3</vt:i4>
      </vt:variant>
      <vt:variant>
        <vt:i4>0</vt:i4>
      </vt:variant>
      <vt:variant>
        <vt:i4>5</vt:i4>
      </vt:variant>
      <vt:variant>
        <vt:lpwstr>http://transition.fcc.gov/osp/inc-report/The_Information_Needs_of_Communities.pdf</vt:lpwstr>
      </vt:variant>
      <vt:variant>
        <vt:lpwstr/>
      </vt:variant>
      <vt:variant>
        <vt:i4>7012353</vt:i4>
      </vt:variant>
      <vt:variant>
        <vt:i4>0</vt:i4>
      </vt:variant>
      <vt:variant>
        <vt:i4>0</vt:i4>
      </vt:variant>
      <vt:variant>
        <vt:i4>5</vt:i4>
      </vt:variant>
      <vt:variant>
        <vt:lpwstr>http://hraunfoss.fcc.gov/edocs_public/attachmatch/DOC-304571A2.pdf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2015-04-10T17:39:00Z</cp:lastPrinted>
  <dcterms:created xsi:type="dcterms:W3CDTF">2015-07-21T19:18:00Z</dcterms:created>
  <dcterms:modified xsi:type="dcterms:W3CDTF">2015-07-21T19:18:00Z</dcterms:modified>
  <cp:category> </cp:category>
  <cp:contentStatus> </cp:contentStatus>
</cp:coreProperties>
</file>