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F010" w14:textId="77777777" w:rsidR="004C2EE3" w:rsidRPr="00833574" w:rsidRDefault="004C2EE3">
      <w:pPr>
        <w:jc w:val="center"/>
        <w:rPr>
          <w:b/>
        </w:rPr>
      </w:pPr>
      <w:bookmarkStart w:id="0" w:name="_GoBack"/>
      <w:bookmarkEnd w:id="0"/>
      <w:r w:rsidRPr="00833574">
        <w:rPr>
          <w:rFonts w:ascii="Times New Roman Bold" w:hAnsi="Times New Roman Bold"/>
          <w:b/>
          <w:kern w:val="0"/>
          <w:szCs w:val="22"/>
        </w:rPr>
        <w:t>Before</w:t>
      </w:r>
      <w:r w:rsidRPr="00833574">
        <w:rPr>
          <w:b/>
        </w:rPr>
        <w:t xml:space="preserve"> the</w:t>
      </w:r>
    </w:p>
    <w:p w14:paraId="07145761" w14:textId="77777777" w:rsidR="00921803" w:rsidRPr="00833574" w:rsidRDefault="00921803" w:rsidP="00921803">
      <w:pPr>
        <w:pStyle w:val="StyleBoldCentered"/>
      </w:pPr>
      <w:r w:rsidRPr="00833574">
        <w:t>F</w:t>
      </w:r>
      <w:r w:rsidRPr="00833574">
        <w:rPr>
          <w:caps w:val="0"/>
        </w:rPr>
        <w:t>ederal Communications Commission</w:t>
      </w:r>
    </w:p>
    <w:p w14:paraId="3268D53E" w14:textId="77777777" w:rsidR="004C2EE3" w:rsidRPr="00833574" w:rsidRDefault="00810B6F" w:rsidP="00096D8C">
      <w:pPr>
        <w:pStyle w:val="StyleBoldCentered"/>
      </w:pPr>
      <w:r w:rsidRPr="00833574">
        <w:rPr>
          <w:caps w:val="0"/>
        </w:rPr>
        <w:t>Washington, D.C. 20554</w:t>
      </w:r>
    </w:p>
    <w:p w14:paraId="7AC97D6B" w14:textId="77777777" w:rsidR="004C2EE3" w:rsidRPr="00833574" w:rsidRDefault="004C2EE3" w:rsidP="0070224F"/>
    <w:tbl>
      <w:tblPr>
        <w:tblW w:w="0" w:type="auto"/>
        <w:tblLayout w:type="fixed"/>
        <w:tblLook w:val="0000" w:firstRow="0" w:lastRow="0" w:firstColumn="0" w:lastColumn="0" w:noHBand="0" w:noVBand="0"/>
      </w:tblPr>
      <w:tblGrid>
        <w:gridCol w:w="4698"/>
        <w:gridCol w:w="630"/>
        <w:gridCol w:w="4248"/>
      </w:tblGrid>
      <w:tr w:rsidR="004C2EE3" w:rsidRPr="00833574" w14:paraId="76C0A331" w14:textId="77777777">
        <w:tc>
          <w:tcPr>
            <w:tcW w:w="4698" w:type="dxa"/>
          </w:tcPr>
          <w:p w14:paraId="2DBF137C" w14:textId="77777777" w:rsidR="004C2EE3" w:rsidRPr="00833574" w:rsidRDefault="004C2EE3">
            <w:pPr>
              <w:tabs>
                <w:tab w:val="center" w:pos="4680"/>
              </w:tabs>
              <w:suppressAutoHyphens/>
              <w:rPr>
                <w:spacing w:val="-2"/>
              </w:rPr>
            </w:pPr>
            <w:r w:rsidRPr="00833574">
              <w:rPr>
                <w:spacing w:val="-2"/>
              </w:rPr>
              <w:t>In the Matter of</w:t>
            </w:r>
          </w:p>
          <w:p w14:paraId="165B48ED" w14:textId="77777777" w:rsidR="004C2EE3" w:rsidRPr="00833574" w:rsidRDefault="004C2EE3">
            <w:pPr>
              <w:tabs>
                <w:tab w:val="center" w:pos="4680"/>
              </w:tabs>
              <w:suppressAutoHyphens/>
              <w:rPr>
                <w:spacing w:val="-2"/>
              </w:rPr>
            </w:pPr>
          </w:p>
          <w:p w14:paraId="47096D83" w14:textId="77777777" w:rsidR="004C2EE3" w:rsidRPr="00833574" w:rsidRDefault="00B92DCC" w:rsidP="007115F7">
            <w:pPr>
              <w:tabs>
                <w:tab w:val="center" w:pos="4680"/>
              </w:tabs>
              <w:suppressAutoHyphens/>
              <w:rPr>
                <w:spacing w:val="-2"/>
              </w:rPr>
            </w:pPr>
            <w:r w:rsidRPr="00833574">
              <w:rPr>
                <w:spacing w:val="-2"/>
              </w:rPr>
              <w:t>Amendment to the Commission’s Rules Concerning Effective Competition</w:t>
            </w:r>
          </w:p>
          <w:p w14:paraId="4FBB0405" w14:textId="77777777" w:rsidR="00F76ECB" w:rsidRPr="00833574" w:rsidRDefault="00F76ECB" w:rsidP="007115F7">
            <w:pPr>
              <w:tabs>
                <w:tab w:val="center" w:pos="4680"/>
              </w:tabs>
              <w:suppressAutoHyphens/>
              <w:rPr>
                <w:spacing w:val="-2"/>
              </w:rPr>
            </w:pPr>
          </w:p>
          <w:p w14:paraId="54960DF4" w14:textId="77777777" w:rsidR="00F76ECB" w:rsidRPr="00833574" w:rsidRDefault="00F76ECB" w:rsidP="00DF0A79">
            <w:pPr>
              <w:tabs>
                <w:tab w:val="center" w:pos="4680"/>
              </w:tabs>
              <w:suppressAutoHyphens/>
              <w:rPr>
                <w:spacing w:val="-2"/>
              </w:rPr>
            </w:pPr>
            <w:r w:rsidRPr="00833574">
              <w:rPr>
                <w:spacing w:val="-2"/>
              </w:rPr>
              <w:t>Implementation of Section 111 of the S</w:t>
            </w:r>
            <w:r w:rsidR="00DF0A79" w:rsidRPr="00833574">
              <w:rPr>
                <w:spacing w:val="-2"/>
              </w:rPr>
              <w:t>TELA</w:t>
            </w:r>
            <w:r w:rsidRPr="00833574">
              <w:rPr>
                <w:spacing w:val="-2"/>
              </w:rPr>
              <w:t xml:space="preserve"> Reauthorization Act</w:t>
            </w:r>
          </w:p>
        </w:tc>
        <w:tc>
          <w:tcPr>
            <w:tcW w:w="630" w:type="dxa"/>
          </w:tcPr>
          <w:p w14:paraId="1BA23730" w14:textId="77777777" w:rsidR="004C2EE3" w:rsidRPr="00833574" w:rsidRDefault="004C2EE3">
            <w:pPr>
              <w:tabs>
                <w:tab w:val="center" w:pos="4680"/>
              </w:tabs>
              <w:suppressAutoHyphens/>
              <w:rPr>
                <w:b/>
                <w:spacing w:val="-2"/>
              </w:rPr>
            </w:pPr>
            <w:r w:rsidRPr="00833574">
              <w:rPr>
                <w:b/>
                <w:spacing w:val="-2"/>
              </w:rPr>
              <w:t>)</w:t>
            </w:r>
          </w:p>
          <w:p w14:paraId="392BF558" w14:textId="77777777" w:rsidR="004C2EE3" w:rsidRPr="00833574" w:rsidRDefault="004C2EE3">
            <w:pPr>
              <w:tabs>
                <w:tab w:val="center" w:pos="4680"/>
              </w:tabs>
              <w:suppressAutoHyphens/>
              <w:rPr>
                <w:b/>
                <w:spacing w:val="-2"/>
              </w:rPr>
            </w:pPr>
            <w:r w:rsidRPr="00833574">
              <w:rPr>
                <w:b/>
                <w:spacing w:val="-2"/>
              </w:rPr>
              <w:t>)</w:t>
            </w:r>
          </w:p>
          <w:p w14:paraId="667000B1" w14:textId="77777777" w:rsidR="004C2EE3" w:rsidRPr="00833574" w:rsidRDefault="004C2EE3">
            <w:pPr>
              <w:tabs>
                <w:tab w:val="center" w:pos="4680"/>
              </w:tabs>
              <w:suppressAutoHyphens/>
              <w:rPr>
                <w:b/>
                <w:spacing w:val="-2"/>
              </w:rPr>
            </w:pPr>
            <w:r w:rsidRPr="00833574">
              <w:rPr>
                <w:b/>
                <w:spacing w:val="-2"/>
              </w:rPr>
              <w:t>)</w:t>
            </w:r>
          </w:p>
          <w:p w14:paraId="71D76A54" w14:textId="77777777" w:rsidR="00F76ECB" w:rsidRPr="00833574" w:rsidRDefault="00F76ECB">
            <w:pPr>
              <w:tabs>
                <w:tab w:val="center" w:pos="4680"/>
              </w:tabs>
              <w:suppressAutoHyphens/>
              <w:rPr>
                <w:b/>
                <w:spacing w:val="-2"/>
              </w:rPr>
            </w:pPr>
            <w:r w:rsidRPr="00833574">
              <w:rPr>
                <w:b/>
                <w:spacing w:val="-2"/>
              </w:rPr>
              <w:t>)</w:t>
            </w:r>
          </w:p>
          <w:p w14:paraId="70170529" w14:textId="77777777" w:rsidR="00F76ECB" w:rsidRPr="00833574" w:rsidRDefault="00F76ECB">
            <w:pPr>
              <w:tabs>
                <w:tab w:val="center" w:pos="4680"/>
              </w:tabs>
              <w:suppressAutoHyphens/>
              <w:rPr>
                <w:b/>
                <w:spacing w:val="-2"/>
              </w:rPr>
            </w:pPr>
            <w:r w:rsidRPr="00833574">
              <w:rPr>
                <w:b/>
                <w:spacing w:val="-2"/>
              </w:rPr>
              <w:t>)</w:t>
            </w:r>
          </w:p>
          <w:p w14:paraId="3E2DDE6C" w14:textId="77777777" w:rsidR="00F76ECB" w:rsidRPr="00833574" w:rsidRDefault="00F76ECB">
            <w:pPr>
              <w:tabs>
                <w:tab w:val="center" w:pos="4680"/>
              </w:tabs>
              <w:suppressAutoHyphens/>
              <w:rPr>
                <w:b/>
                <w:spacing w:val="-2"/>
              </w:rPr>
            </w:pPr>
            <w:r w:rsidRPr="00833574">
              <w:rPr>
                <w:b/>
                <w:spacing w:val="-2"/>
              </w:rPr>
              <w:t>)</w:t>
            </w:r>
          </w:p>
          <w:p w14:paraId="00BA97B3" w14:textId="77777777" w:rsidR="004C2EE3" w:rsidRPr="00833574" w:rsidRDefault="004C2EE3">
            <w:pPr>
              <w:tabs>
                <w:tab w:val="center" w:pos="4680"/>
              </w:tabs>
              <w:suppressAutoHyphens/>
              <w:rPr>
                <w:b/>
                <w:spacing w:val="-2"/>
              </w:rPr>
            </w:pPr>
            <w:r w:rsidRPr="00833574">
              <w:rPr>
                <w:b/>
                <w:spacing w:val="-2"/>
              </w:rPr>
              <w:t>)</w:t>
            </w:r>
          </w:p>
        </w:tc>
        <w:tc>
          <w:tcPr>
            <w:tcW w:w="4248" w:type="dxa"/>
          </w:tcPr>
          <w:p w14:paraId="115A65ED" w14:textId="77777777" w:rsidR="004C2EE3" w:rsidRPr="00833574" w:rsidRDefault="004C2EE3">
            <w:pPr>
              <w:tabs>
                <w:tab w:val="center" w:pos="4680"/>
              </w:tabs>
              <w:suppressAutoHyphens/>
              <w:rPr>
                <w:spacing w:val="-2"/>
              </w:rPr>
            </w:pPr>
          </w:p>
          <w:p w14:paraId="5404FBE8" w14:textId="77777777" w:rsidR="004C2EE3" w:rsidRPr="00833574" w:rsidRDefault="004C2EE3">
            <w:pPr>
              <w:pStyle w:val="TOAHeading"/>
              <w:tabs>
                <w:tab w:val="clear" w:pos="9360"/>
                <w:tab w:val="center" w:pos="4680"/>
              </w:tabs>
              <w:rPr>
                <w:spacing w:val="-2"/>
              </w:rPr>
            </w:pPr>
          </w:p>
          <w:p w14:paraId="5E40CB35" w14:textId="48039381" w:rsidR="004C2EE3" w:rsidRPr="00833574" w:rsidRDefault="00B92DCC">
            <w:pPr>
              <w:tabs>
                <w:tab w:val="center" w:pos="4680"/>
              </w:tabs>
              <w:suppressAutoHyphens/>
              <w:rPr>
                <w:spacing w:val="-2"/>
              </w:rPr>
            </w:pPr>
            <w:r w:rsidRPr="00833574">
              <w:rPr>
                <w:spacing w:val="-2"/>
              </w:rPr>
              <w:t>MB Docket No. 1</w:t>
            </w:r>
            <w:r w:rsidR="003A0095" w:rsidRPr="00833574">
              <w:rPr>
                <w:spacing w:val="-2"/>
              </w:rPr>
              <w:t>5</w:t>
            </w:r>
            <w:r w:rsidR="00F92840" w:rsidRPr="00833574">
              <w:rPr>
                <w:spacing w:val="-2"/>
              </w:rPr>
              <w:t>-53</w:t>
            </w:r>
          </w:p>
        </w:tc>
      </w:tr>
    </w:tbl>
    <w:p w14:paraId="57418111" w14:textId="77777777" w:rsidR="004C2EE3" w:rsidRPr="00833574" w:rsidRDefault="004C2EE3" w:rsidP="0070224F"/>
    <w:p w14:paraId="0701432B" w14:textId="76FC1017" w:rsidR="00841AB1" w:rsidRPr="00833574" w:rsidRDefault="00833574" w:rsidP="00F021FA">
      <w:pPr>
        <w:pStyle w:val="StyleBoldCentered"/>
      </w:pPr>
      <w:r w:rsidRPr="00833574">
        <w:t>REPORT AND ORDER</w:t>
      </w:r>
    </w:p>
    <w:p w14:paraId="567A81DE" w14:textId="77777777" w:rsidR="004C2EE3" w:rsidRPr="00833574" w:rsidRDefault="004C2EE3">
      <w:pPr>
        <w:tabs>
          <w:tab w:val="left" w:pos="-720"/>
        </w:tabs>
        <w:suppressAutoHyphens/>
        <w:spacing w:line="227" w:lineRule="auto"/>
        <w:rPr>
          <w:spacing w:val="-2"/>
        </w:rPr>
      </w:pPr>
    </w:p>
    <w:p w14:paraId="34D4F2CC" w14:textId="16272505" w:rsidR="004C2EE3" w:rsidRPr="00833574" w:rsidRDefault="004C2EE3" w:rsidP="00133F79">
      <w:pPr>
        <w:tabs>
          <w:tab w:val="left" w:pos="720"/>
          <w:tab w:val="right" w:pos="9360"/>
        </w:tabs>
        <w:suppressAutoHyphens/>
        <w:spacing w:line="227" w:lineRule="auto"/>
        <w:rPr>
          <w:spacing w:val="-2"/>
        </w:rPr>
      </w:pPr>
      <w:r w:rsidRPr="00833574">
        <w:rPr>
          <w:b/>
          <w:spacing w:val="-2"/>
        </w:rPr>
        <w:t xml:space="preserve">Adopted:  </w:t>
      </w:r>
      <w:r w:rsidR="00333652">
        <w:rPr>
          <w:b/>
          <w:spacing w:val="-2"/>
        </w:rPr>
        <w:t xml:space="preserve">June </w:t>
      </w:r>
      <w:r w:rsidR="00934B04">
        <w:rPr>
          <w:b/>
          <w:spacing w:val="-2"/>
        </w:rPr>
        <w:t>2</w:t>
      </w:r>
      <w:r w:rsidR="00333652">
        <w:rPr>
          <w:b/>
          <w:spacing w:val="-2"/>
        </w:rPr>
        <w:t>, 2015</w:t>
      </w:r>
      <w:r w:rsidRPr="00833574">
        <w:rPr>
          <w:b/>
          <w:spacing w:val="-2"/>
        </w:rPr>
        <w:tab/>
      </w:r>
      <w:r w:rsidR="00822CE0" w:rsidRPr="00833574">
        <w:rPr>
          <w:b/>
          <w:spacing w:val="-2"/>
        </w:rPr>
        <w:t>Released</w:t>
      </w:r>
      <w:r w:rsidRPr="00833574">
        <w:rPr>
          <w:b/>
          <w:spacing w:val="-2"/>
        </w:rPr>
        <w:t>:</w:t>
      </w:r>
      <w:r w:rsidR="00822CE0" w:rsidRPr="00833574">
        <w:rPr>
          <w:b/>
          <w:spacing w:val="-2"/>
        </w:rPr>
        <w:t xml:space="preserve"> </w:t>
      </w:r>
      <w:r w:rsidRPr="00833574">
        <w:rPr>
          <w:b/>
          <w:spacing w:val="-2"/>
        </w:rPr>
        <w:t xml:space="preserve"> </w:t>
      </w:r>
      <w:r w:rsidR="00333652">
        <w:rPr>
          <w:b/>
          <w:spacing w:val="-2"/>
        </w:rPr>
        <w:t>June 3, 2015</w:t>
      </w:r>
    </w:p>
    <w:p w14:paraId="68734B15" w14:textId="77777777" w:rsidR="00822CE0" w:rsidRPr="00833574" w:rsidRDefault="00822CE0">
      <w:pPr>
        <w:rPr>
          <w:highlight w:val="yellow"/>
        </w:rPr>
      </w:pPr>
    </w:p>
    <w:p w14:paraId="0CD84295" w14:textId="452A2EE9" w:rsidR="00412FC5" w:rsidRPr="00833574" w:rsidRDefault="004C2EE3" w:rsidP="00412FC5">
      <w:pPr>
        <w:rPr>
          <w:spacing w:val="-2"/>
        </w:rPr>
      </w:pPr>
      <w:r w:rsidRPr="00833574">
        <w:t xml:space="preserve">By </w:t>
      </w:r>
      <w:r w:rsidR="004E4A22" w:rsidRPr="00833574">
        <w:t>the</w:t>
      </w:r>
      <w:r w:rsidR="002A2D2E" w:rsidRPr="00833574">
        <w:t xml:space="preserve"> </w:t>
      </w:r>
      <w:r w:rsidR="00B92DCC" w:rsidRPr="00833574">
        <w:rPr>
          <w:spacing w:val="-2"/>
        </w:rPr>
        <w:t>Commission</w:t>
      </w:r>
      <w:r w:rsidRPr="00833574">
        <w:rPr>
          <w:spacing w:val="-2"/>
        </w:rPr>
        <w:t>:</w:t>
      </w:r>
      <w:r w:rsidR="003D7FC0">
        <w:t>  Chairman Wheeler and Commissioners Pai and O’Rielly issuing separate statements; Commissioners Clyburn and Rosenworcel approving in part, dissenting in part and issuing separate statements.</w:t>
      </w:r>
    </w:p>
    <w:p w14:paraId="5E8F4B3F" w14:textId="3EF917EC" w:rsidR="00337C0D" w:rsidRDefault="00337C0D" w:rsidP="00514088">
      <w:pPr>
        <w:pStyle w:val="TOCTitle"/>
      </w:pPr>
      <w:bookmarkStart w:id="1" w:name="TOChere"/>
      <w:r>
        <w:t>Table of Contents</w:t>
      </w:r>
    </w:p>
    <w:p w14:paraId="7517A155" w14:textId="4369A5D4" w:rsidR="00337C0D" w:rsidRDefault="00337C0D" w:rsidP="00514088">
      <w:pPr>
        <w:pStyle w:val="Paratitle"/>
      </w:pPr>
      <w:r>
        <w:t>Heading</w:t>
      </w:r>
      <w:r>
        <w:tab/>
        <w:t>Paragraph #</w:t>
      </w:r>
      <w:bookmarkStart w:id="2" w:name="start_here"/>
      <w:bookmarkEnd w:id="2"/>
    </w:p>
    <w:p w14:paraId="7F821B50" w14:textId="516C5C61" w:rsidR="00337C0D" w:rsidRDefault="00337C0D" w:rsidP="000E71D5">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14:paraId="3D5ECCB7" w14:textId="68416C2D" w:rsidR="00337C0D" w:rsidRDefault="00337C0D" w:rsidP="000E71D5">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14:paraId="78E05DAC" w14:textId="4DE24880" w:rsidR="00337C0D" w:rsidRDefault="00337C0D" w:rsidP="000E71D5">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6</w:t>
      </w:r>
    </w:p>
    <w:p w14:paraId="52767D7A" w14:textId="5E01F8BC" w:rsidR="00337C0D" w:rsidRDefault="00337C0D" w:rsidP="0051408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Rebuttable Presumption that Cable Systems are Subject to Effective Competition</w:t>
      </w:r>
      <w:r>
        <w:tab/>
        <w:t>6</w:t>
      </w:r>
    </w:p>
    <w:p w14:paraId="26B8A40A" w14:textId="74C57722" w:rsidR="00337C0D" w:rsidRDefault="00337C0D" w:rsidP="0051408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Implementation of Section 111 of STELAR</w:t>
      </w:r>
      <w:r>
        <w:tab/>
        <w:t>13</w:t>
      </w:r>
    </w:p>
    <w:p w14:paraId="1479CAA2" w14:textId="097FB106" w:rsidR="00337C0D" w:rsidRDefault="00337C0D" w:rsidP="0051408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Procedures to Implement the New Presumption</w:t>
      </w:r>
      <w:r>
        <w:tab/>
        <w:t>17</w:t>
      </w:r>
    </w:p>
    <w:p w14:paraId="1F5F68C5" w14:textId="380EF4A7" w:rsidR="00337C0D" w:rsidRDefault="00337C0D" w:rsidP="00514088">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Current Certifications and Pending Effective Competition Proceedings</w:t>
      </w:r>
      <w:r>
        <w:tab/>
        <w:t>27</w:t>
      </w:r>
    </w:p>
    <w:p w14:paraId="2A42FEB9" w14:textId="4ECF95AE" w:rsidR="00337C0D" w:rsidRDefault="00337C0D" w:rsidP="00337C0D">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31</w:t>
      </w:r>
    </w:p>
    <w:p w14:paraId="6732B8AD" w14:textId="482648CB" w:rsidR="00337C0D" w:rsidRDefault="00337C0D" w:rsidP="0051408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Final Regulatory Flexibility Analysis</w:t>
      </w:r>
      <w:r>
        <w:tab/>
        <w:t>31</w:t>
      </w:r>
    </w:p>
    <w:p w14:paraId="1FE3AAE7" w14:textId="03BC2E1E" w:rsidR="00337C0D" w:rsidRDefault="00337C0D" w:rsidP="0051408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Paperwork Reduction Act of 1995 Analysis</w:t>
      </w:r>
      <w:r>
        <w:tab/>
        <w:t>32</w:t>
      </w:r>
    </w:p>
    <w:p w14:paraId="7C202287" w14:textId="7E2CC589" w:rsidR="00337C0D" w:rsidRDefault="00337C0D" w:rsidP="0051408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Congressional Review Act</w:t>
      </w:r>
      <w:r>
        <w:tab/>
        <w:t>33</w:t>
      </w:r>
    </w:p>
    <w:p w14:paraId="77D9813D" w14:textId="1633CAAE" w:rsidR="00337C0D" w:rsidRDefault="00337C0D" w:rsidP="00514088">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Additional Information</w:t>
      </w:r>
      <w:r>
        <w:tab/>
        <w:t>34</w:t>
      </w:r>
    </w:p>
    <w:p w14:paraId="6E3FE616" w14:textId="63448D3B" w:rsidR="00337C0D" w:rsidRDefault="00337C0D" w:rsidP="00337C0D">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35</w:t>
      </w:r>
    </w:p>
    <w:bookmarkEnd w:id="1"/>
    <w:p w14:paraId="20DE8BF9" w14:textId="4BDFAA26" w:rsidR="00675783" w:rsidRPr="008C5793" w:rsidRDefault="008C5793" w:rsidP="00412FC5">
      <w:r w:rsidRPr="008C5793">
        <w:t>APPENDIX A – Final</w:t>
      </w:r>
      <w:r w:rsidR="00675783" w:rsidRPr="008C5793">
        <w:t xml:space="preserve"> Rules</w:t>
      </w:r>
    </w:p>
    <w:p w14:paraId="14AC955E" w14:textId="5E71C18D" w:rsidR="00675783" w:rsidRPr="008C5793" w:rsidRDefault="00675783" w:rsidP="00412FC5">
      <w:r w:rsidRPr="008C5793">
        <w:t xml:space="preserve">APPENDIX B – </w:t>
      </w:r>
      <w:r w:rsidR="008C5793">
        <w:t>Final</w:t>
      </w:r>
      <w:r w:rsidRPr="008C5793">
        <w:t xml:space="preserve"> Regulatory Flexibility Analysis</w:t>
      </w:r>
    </w:p>
    <w:p w14:paraId="3BEAFCAF" w14:textId="77777777" w:rsidR="00675783" w:rsidRPr="00833574" w:rsidRDefault="00675783" w:rsidP="00412FC5"/>
    <w:p w14:paraId="40EC8EA1" w14:textId="77777777" w:rsidR="002C00E8" w:rsidRPr="00833574" w:rsidRDefault="00B92DCC" w:rsidP="002C00E8">
      <w:pPr>
        <w:pStyle w:val="Heading1"/>
      </w:pPr>
      <w:bookmarkStart w:id="3" w:name="_Toc395525815"/>
      <w:bookmarkStart w:id="4" w:name="_Toc395533567"/>
      <w:bookmarkStart w:id="5" w:name="_Toc395688816"/>
      <w:bookmarkStart w:id="6" w:name="_Toc396124439"/>
      <w:bookmarkStart w:id="7" w:name="_Toc396136518"/>
      <w:bookmarkStart w:id="8" w:name="_Toc396213549"/>
      <w:bookmarkStart w:id="9" w:name="_Toc396298467"/>
      <w:bookmarkStart w:id="10" w:name="_Toc402525570"/>
      <w:bookmarkStart w:id="11" w:name="_Toc404083765"/>
      <w:bookmarkStart w:id="12" w:name="_Toc404594687"/>
      <w:bookmarkStart w:id="13" w:name="_Toc407963499"/>
      <w:bookmarkStart w:id="14" w:name="_Toc408297244"/>
      <w:bookmarkStart w:id="15" w:name="_Toc411603968"/>
      <w:bookmarkStart w:id="16" w:name="_Toc414027001"/>
      <w:bookmarkStart w:id="17" w:name="_Toc414969747"/>
      <w:bookmarkStart w:id="18" w:name="_Toc415493383"/>
      <w:bookmarkStart w:id="19" w:name="_Toc418166668"/>
      <w:bookmarkStart w:id="20" w:name="_Toc418498895"/>
      <w:bookmarkStart w:id="21" w:name="_Toc418677546"/>
      <w:bookmarkStart w:id="22" w:name="_Toc418753391"/>
      <w:bookmarkStart w:id="23" w:name="_Toc419276606"/>
      <w:r w:rsidRPr="00833574">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5C85199" w14:textId="623A64FB" w:rsidR="00B92DCC" w:rsidRPr="009D182F" w:rsidRDefault="00C62028" w:rsidP="00FA00FF">
      <w:pPr>
        <w:pStyle w:val="ParaNum"/>
      </w:pPr>
      <w:r w:rsidRPr="00833574">
        <w:t xml:space="preserve">In </w:t>
      </w:r>
      <w:r w:rsidR="00CF1AEF" w:rsidRPr="00833574">
        <w:t xml:space="preserve">this </w:t>
      </w:r>
      <w:r w:rsidR="00833574" w:rsidRPr="00833574">
        <w:t>Report and Order</w:t>
      </w:r>
      <w:r w:rsidR="00CF1AEF" w:rsidRPr="00833574">
        <w:t xml:space="preserve"> (“</w:t>
      </w:r>
      <w:r w:rsidR="00833574" w:rsidRPr="00833574">
        <w:t>Order”</w:t>
      </w:r>
      <w:r w:rsidR="00CF1AEF" w:rsidRPr="00833574">
        <w:t xml:space="preserve">), </w:t>
      </w:r>
      <w:r w:rsidRPr="00833574">
        <w:t xml:space="preserve">we </w:t>
      </w:r>
      <w:r w:rsidR="0071195D" w:rsidRPr="00833574">
        <w:t xml:space="preserve">improve </w:t>
      </w:r>
      <w:r w:rsidR="00242F43">
        <w:t xml:space="preserve">and expedite </w:t>
      </w:r>
      <w:r w:rsidR="0071195D" w:rsidRPr="00833574">
        <w:t>the effective competition process</w:t>
      </w:r>
      <w:r w:rsidR="00833574" w:rsidRPr="00833574">
        <w:t xml:space="preserve"> by </w:t>
      </w:r>
      <w:r w:rsidRPr="00833574">
        <w:t>adopt</w:t>
      </w:r>
      <w:r w:rsidR="00833574" w:rsidRPr="00833574">
        <w:t>ing</w:t>
      </w:r>
      <w:r w:rsidRPr="00833574">
        <w:t xml:space="preserve"> a rebuttable presumption </w:t>
      </w:r>
      <w:r w:rsidR="00CF1AEF" w:rsidRPr="00833574">
        <w:t xml:space="preserve">that cable operators are subject to </w:t>
      </w:r>
      <w:r w:rsidR="00AA3D65">
        <w:t>“</w:t>
      </w:r>
      <w:r w:rsidR="001005B6">
        <w:t>E</w:t>
      </w:r>
      <w:r w:rsidR="00CF1AEF" w:rsidRPr="00833574">
        <w:t xml:space="preserve">ffective </w:t>
      </w:r>
      <w:r w:rsidR="001005B6">
        <w:t>C</w:t>
      </w:r>
      <w:r w:rsidR="00CF1AEF" w:rsidRPr="00833574">
        <w:t>ompetition</w:t>
      </w:r>
      <w:r w:rsidR="00242F43">
        <w:t>.</w:t>
      </w:r>
      <w:r w:rsidR="00AA3D65">
        <w:t>”</w:t>
      </w:r>
      <w:r w:rsidR="001005B6">
        <w:rPr>
          <w:rStyle w:val="FootnoteReference"/>
        </w:rPr>
        <w:footnoteReference w:id="2"/>
      </w:r>
      <w:r w:rsidR="00242F43">
        <w:t xml:space="preserve">  Specifically, we presume that cable operators are subject to what is commonly</w:t>
      </w:r>
      <w:r w:rsidR="001F687E">
        <w:t xml:space="preserve"> referred to as </w:t>
      </w:r>
      <w:r w:rsidR="001005B6">
        <w:t>“C</w:t>
      </w:r>
      <w:r w:rsidR="00833574" w:rsidRPr="00833574">
        <w:t xml:space="preserve">ompeting </w:t>
      </w:r>
      <w:r w:rsidR="001005B6">
        <w:t>P</w:t>
      </w:r>
      <w:r w:rsidR="00833574" w:rsidRPr="00833574">
        <w:t>rovider</w:t>
      </w:r>
      <w:r w:rsidR="001F687E">
        <w:t xml:space="preserve"> </w:t>
      </w:r>
      <w:r w:rsidR="001005B6">
        <w:t>E</w:t>
      </w:r>
      <w:r w:rsidR="001F687E">
        <w:t xml:space="preserve">ffective </w:t>
      </w:r>
      <w:r w:rsidR="001005B6">
        <w:t>C</w:t>
      </w:r>
      <w:r w:rsidR="001F687E">
        <w:t>ompetition</w:t>
      </w:r>
      <w:r w:rsidR="00CF1AEF" w:rsidRPr="00833574">
        <w:t>.</w:t>
      </w:r>
      <w:r w:rsidR="001005B6">
        <w:t>”</w:t>
      </w:r>
      <w:r w:rsidR="001F687E">
        <w:rPr>
          <w:rStyle w:val="FootnoteReference"/>
        </w:rPr>
        <w:footnoteReference w:id="3"/>
      </w:r>
      <w:r w:rsidR="00CF1AEF" w:rsidRPr="00833574">
        <w:t xml:space="preserve">  </w:t>
      </w:r>
      <w:r w:rsidR="001F687E">
        <w:t>As a result,</w:t>
      </w:r>
      <w:r w:rsidR="000475F6" w:rsidRPr="00833574">
        <w:t xml:space="preserve"> </w:t>
      </w:r>
      <w:r w:rsidR="001F687E">
        <w:t xml:space="preserve">each </w:t>
      </w:r>
      <w:r w:rsidR="00715E71" w:rsidRPr="00833574">
        <w:t>franchis</w:t>
      </w:r>
      <w:r w:rsidR="00D37CEA" w:rsidRPr="00833574">
        <w:t>ing</w:t>
      </w:r>
      <w:r w:rsidR="00715E71" w:rsidRPr="00833574">
        <w:t xml:space="preserve"> authorit</w:t>
      </w:r>
      <w:r w:rsidR="001F687E">
        <w:t>y</w:t>
      </w:r>
      <w:r w:rsidR="00715E71" w:rsidRPr="00833574">
        <w:rPr>
          <w:rStyle w:val="FootnoteReference"/>
        </w:rPr>
        <w:footnoteReference w:id="4"/>
      </w:r>
      <w:r w:rsidR="001F687E">
        <w:t xml:space="preserve"> will be prohibited</w:t>
      </w:r>
      <w:r w:rsidR="00715E71" w:rsidRPr="00833574">
        <w:t xml:space="preserve"> </w:t>
      </w:r>
      <w:r w:rsidR="00833574" w:rsidRPr="00833574">
        <w:t>from</w:t>
      </w:r>
      <w:r w:rsidR="00715E71" w:rsidRPr="00833574">
        <w:t xml:space="preserve"> </w:t>
      </w:r>
      <w:r w:rsidR="00715E71" w:rsidRPr="00833574">
        <w:lastRenderedPageBreak/>
        <w:t>regulat</w:t>
      </w:r>
      <w:r w:rsidR="00833574" w:rsidRPr="00833574">
        <w:t>ing</w:t>
      </w:r>
      <w:r w:rsidR="00715E71" w:rsidRPr="00833574">
        <w:t xml:space="preserve"> basic cable rates</w:t>
      </w:r>
      <w:r w:rsidR="009D182F">
        <w:rPr>
          <w:rStyle w:val="FootnoteReference"/>
        </w:rPr>
        <w:footnoteReference w:id="5"/>
      </w:r>
      <w:r w:rsidR="00715E71" w:rsidRPr="00833574">
        <w:t xml:space="preserve"> </w:t>
      </w:r>
      <w:r w:rsidR="00833574" w:rsidRPr="00833574">
        <w:t xml:space="preserve">unless </w:t>
      </w:r>
      <w:r w:rsidR="001F687E">
        <w:t xml:space="preserve">it </w:t>
      </w:r>
      <w:r w:rsidR="00833574" w:rsidRPr="00833574">
        <w:t>successfully demonstrates that</w:t>
      </w:r>
      <w:r w:rsidR="00715E71" w:rsidRPr="00833574">
        <w:t xml:space="preserve"> the cable system is not</w:t>
      </w:r>
      <w:r w:rsidR="00715E71" w:rsidRPr="008C2309">
        <w:rPr>
          <w:i/>
        </w:rPr>
        <w:t xml:space="preserve"> </w:t>
      </w:r>
      <w:r w:rsidR="00715E71" w:rsidRPr="00833574">
        <w:t xml:space="preserve">subject to </w:t>
      </w:r>
      <w:r w:rsidR="001005B6">
        <w:t>C</w:t>
      </w:r>
      <w:r w:rsidR="001F687E">
        <w:t xml:space="preserve">ompeting </w:t>
      </w:r>
      <w:r w:rsidR="001005B6">
        <w:t>P</w:t>
      </w:r>
      <w:r w:rsidR="001F687E">
        <w:t xml:space="preserve">rovider </w:t>
      </w:r>
      <w:r w:rsidR="001005B6">
        <w:t>E</w:t>
      </w:r>
      <w:r w:rsidR="00715E71" w:rsidRPr="00833574">
        <w:t xml:space="preserve">ffective </w:t>
      </w:r>
      <w:r w:rsidR="001005B6">
        <w:t>C</w:t>
      </w:r>
      <w:r w:rsidR="00715E71" w:rsidRPr="00833574">
        <w:t xml:space="preserve">ompetition.  </w:t>
      </w:r>
      <w:r w:rsidR="008C2309" w:rsidRPr="008C2309">
        <w:t>This change is justified by</w:t>
      </w:r>
      <w:r w:rsidR="00885C0B" w:rsidRPr="008C2309">
        <w:t xml:space="preserve"> </w:t>
      </w:r>
      <w:r w:rsidR="00AD02C5">
        <w:t>the fact that</w:t>
      </w:r>
      <w:r w:rsidR="00C82F4F" w:rsidRPr="008C2309">
        <w:t xml:space="preserve"> Direct Broadcast Satellite (“DBS”) service</w:t>
      </w:r>
      <w:r w:rsidR="008C2309" w:rsidRPr="008C2309">
        <w:t xml:space="preserve"> is </w:t>
      </w:r>
      <w:r w:rsidR="00D80E4C">
        <w:t>ubiquitous</w:t>
      </w:r>
      <w:r w:rsidR="008C2309" w:rsidRPr="008C2309">
        <w:t xml:space="preserve"> today</w:t>
      </w:r>
      <w:r w:rsidR="00B94CAC">
        <w:t xml:space="preserve"> </w:t>
      </w:r>
      <w:r w:rsidR="00D80E4C">
        <w:t>and that DBS providers have captured almost 34</w:t>
      </w:r>
      <w:r w:rsidR="00B94CAC">
        <w:t xml:space="preserve"> percent</w:t>
      </w:r>
      <w:r w:rsidR="00D80E4C">
        <w:t xml:space="preserve"> of </w:t>
      </w:r>
      <w:r w:rsidR="00B605A4">
        <w:t>multichannel video programming distributor (“</w:t>
      </w:r>
      <w:r w:rsidR="00D80E4C">
        <w:t>MVPD</w:t>
      </w:r>
      <w:r w:rsidR="00B605A4">
        <w:t>”)</w:t>
      </w:r>
      <w:r w:rsidR="00D80E4C">
        <w:t xml:space="preserve"> subscribers</w:t>
      </w:r>
      <w:r w:rsidR="00131416" w:rsidRPr="008C2309">
        <w:t>.</w:t>
      </w:r>
      <w:r w:rsidR="00131416" w:rsidRPr="008C2309">
        <w:rPr>
          <w:rStyle w:val="FootnoteReference"/>
        </w:rPr>
        <w:footnoteReference w:id="6"/>
      </w:r>
      <w:r w:rsidR="00131416" w:rsidRPr="008C2309">
        <w:t xml:space="preserve">  </w:t>
      </w:r>
      <w:r w:rsidR="00FA00FF">
        <w:t xml:space="preserve">This Order </w:t>
      </w:r>
      <w:r w:rsidR="001F687E">
        <w:t xml:space="preserve">also </w:t>
      </w:r>
      <w:r w:rsidR="008C2309" w:rsidRPr="008C2309">
        <w:t>implement</w:t>
      </w:r>
      <w:r w:rsidR="00FA00FF">
        <w:t>s</w:t>
      </w:r>
      <w:r w:rsidR="008C2309" w:rsidRPr="008C2309">
        <w:t xml:space="preserve"> </w:t>
      </w:r>
      <w:r w:rsidR="00616FD5">
        <w:t>s</w:t>
      </w:r>
      <w:r w:rsidR="008C2309" w:rsidRPr="008C2309">
        <w:t>ection 111 of</w:t>
      </w:r>
      <w:r w:rsidR="000475F6" w:rsidRPr="008C2309">
        <w:t xml:space="preserve"> the </w:t>
      </w:r>
      <w:r w:rsidR="005F08D8" w:rsidRPr="008C2309">
        <w:t>STELA Reauthorization Act of 2014</w:t>
      </w:r>
      <w:r w:rsidR="000475F6" w:rsidRPr="008C2309">
        <w:t xml:space="preserve"> (</w:t>
      </w:r>
      <w:r w:rsidR="00A66656" w:rsidRPr="008C2309">
        <w:t>“</w:t>
      </w:r>
      <w:r w:rsidR="000475F6" w:rsidRPr="008C2309">
        <w:t>STELAR</w:t>
      </w:r>
      <w:r w:rsidR="00A66656" w:rsidRPr="008C2309">
        <w:t>”</w:t>
      </w:r>
      <w:r w:rsidR="000475F6" w:rsidRPr="008C2309">
        <w:t>)</w:t>
      </w:r>
      <w:r w:rsidR="008C2309">
        <w:t xml:space="preserve">, which directs the Commission to adopt a streamlined </w:t>
      </w:r>
      <w:r w:rsidR="001005B6">
        <w:t>E</w:t>
      </w:r>
      <w:r w:rsidR="008C2309">
        <w:t xml:space="preserve">ffective </w:t>
      </w:r>
      <w:r w:rsidR="001005B6">
        <w:t>C</w:t>
      </w:r>
      <w:r w:rsidR="008C2309">
        <w:t xml:space="preserve">ompetition process for small cable </w:t>
      </w:r>
      <w:r w:rsidR="008C2309" w:rsidRPr="008C2309">
        <w:t>operators.</w:t>
      </w:r>
      <w:r w:rsidR="005F08D8" w:rsidRPr="008C2309">
        <w:rPr>
          <w:rStyle w:val="FootnoteReference"/>
        </w:rPr>
        <w:footnoteReference w:id="7"/>
      </w:r>
      <w:r w:rsidR="005F08D8" w:rsidRPr="008C2309">
        <w:t xml:space="preserve">  </w:t>
      </w:r>
      <w:r w:rsidR="00861478">
        <w:t>By a</w:t>
      </w:r>
      <w:r w:rsidR="00FA00FF">
        <w:t xml:space="preserve">dopting a </w:t>
      </w:r>
      <w:r w:rsidR="00F72E14">
        <w:t xml:space="preserve">rebuttable </w:t>
      </w:r>
      <w:r w:rsidR="00FA00FF">
        <w:t xml:space="preserve">presumption of </w:t>
      </w:r>
      <w:r w:rsidR="001005B6">
        <w:t>C</w:t>
      </w:r>
      <w:r w:rsidR="00FA00FF">
        <w:t xml:space="preserve">ompeting </w:t>
      </w:r>
      <w:r w:rsidR="001005B6">
        <w:t>P</w:t>
      </w:r>
      <w:r w:rsidR="00FA00FF">
        <w:t xml:space="preserve">rovider </w:t>
      </w:r>
      <w:r w:rsidR="001005B6">
        <w:t>E</w:t>
      </w:r>
      <w:r w:rsidR="00FA00FF">
        <w:t xml:space="preserve">ffective </w:t>
      </w:r>
      <w:r w:rsidR="001005B6">
        <w:t>C</w:t>
      </w:r>
      <w:r w:rsidR="00FA00FF">
        <w:t>ompetition</w:t>
      </w:r>
      <w:r w:rsidR="003D3390">
        <w:t>,</w:t>
      </w:r>
      <w:r w:rsidR="00FA00FF">
        <w:t xml:space="preserve"> </w:t>
      </w:r>
      <w:r w:rsidR="00861478">
        <w:t xml:space="preserve">we update our </w:t>
      </w:r>
      <w:r w:rsidR="00374D33">
        <w:t xml:space="preserve">Effective Competition </w:t>
      </w:r>
      <w:r w:rsidR="00861478">
        <w:t>rules</w:t>
      </w:r>
      <w:r w:rsidR="005A7A92">
        <w:t>, for the first time in over 20 years,</w:t>
      </w:r>
      <w:r w:rsidR="00861478">
        <w:t xml:space="preserve"> to reflect the current MVPD marketplace,</w:t>
      </w:r>
      <w:r w:rsidR="00861478" w:rsidRPr="009D182F">
        <w:rPr>
          <w:rStyle w:val="FootnoteReference"/>
        </w:rPr>
        <w:footnoteReference w:id="8"/>
      </w:r>
      <w:r w:rsidR="00861478">
        <w:t xml:space="preserve"> reduce the regulatory burdens on </w:t>
      </w:r>
      <w:r w:rsidR="007B0AE0">
        <w:t>all cable operators</w:t>
      </w:r>
      <w:r w:rsidR="000271D9">
        <w:t>,</w:t>
      </w:r>
      <w:r w:rsidR="007B0AE0">
        <w:t xml:space="preserve"> </w:t>
      </w:r>
      <w:r w:rsidR="003D3390">
        <w:t xml:space="preserve">especially </w:t>
      </w:r>
      <w:r w:rsidR="007B0AE0">
        <w:t>small operators</w:t>
      </w:r>
      <w:r w:rsidR="00374D33">
        <w:t>,</w:t>
      </w:r>
      <w:r w:rsidR="005F08D8" w:rsidRPr="001F687E">
        <w:rPr>
          <w:rStyle w:val="FootnoteReference"/>
        </w:rPr>
        <w:footnoteReference w:id="9"/>
      </w:r>
      <w:r w:rsidR="00C42658" w:rsidRPr="001F687E">
        <w:t xml:space="preserve"> </w:t>
      </w:r>
      <w:r w:rsidR="00861478">
        <w:t>and</w:t>
      </w:r>
      <w:r w:rsidR="00B007B8" w:rsidRPr="009D182F">
        <w:t xml:space="preserve"> </w:t>
      </w:r>
      <w:r w:rsidR="00FA00FF" w:rsidRPr="009D182F">
        <w:t>mor</w:t>
      </w:r>
      <w:r w:rsidR="00B007B8" w:rsidRPr="009D182F">
        <w:t>e efficiently allocat</w:t>
      </w:r>
      <w:r w:rsidR="00FA00FF" w:rsidRPr="009D182F">
        <w:t>e</w:t>
      </w:r>
      <w:r w:rsidR="00B007B8" w:rsidRPr="009D182F">
        <w:t xml:space="preserve"> the Commission’s resources</w:t>
      </w:r>
      <w:r w:rsidR="00861478">
        <w:t>.</w:t>
      </w:r>
    </w:p>
    <w:p w14:paraId="70EEFB40" w14:textId="007795A0" w:rsidR="00B92DCC" w:rsidRPr="009D182F" w:rsidRDefault="00B92DCC" w:rsidP="00B92DCC">
      <w:pPr>
        <w:pStyle w:val="Heading1"/>
      </w:pPr>
      <w:bookmarkStart w:id="24" w:name="_Toc395525816"/>
      <w:bookmarkStart w:id="25" w:name="_Toc395533568"/>
      <w:bookmarkStart w:id="26" w:name="_Toc395688817"/>
      <w:bookmarkStart w:id="27" w:name="_Toc396124440"/>
      <w:bookmarkStart w:id="28" w:name="_Toc396136519"/>
      <w:bookmarkStart w:id="29" w:name="_Toc396213550"/>
      <w:bookmarkStart w:id="30" w:name="_Toc396298468"/>
      <w:bookmarkStart w:id="31" w:name="_Toc402525571"/>
      <w:bookmarkStart w:id="32" w:name="_Toc404083766"/>
      <w:bookmarkStart w:id="33" w:name="_Toc404594688"/>
      <w:bookmarkStart w:id="34" w:name="_Toc407963500"/>
      <w:bookmarkStart w:id="35" w:name="_Toc408297245"/>
      <w:bookmarkStart w:id="36" w:name="_Toc411603969"/>
      <w:bookmarkStart w:id="37" w:name="_Toc414027002"/>
      <w:bookmarkStart w:id="38" w:name="_Toc414969748"/>
      <w:bookmarkStart w:id="39" w:name="_Toc415493384"/>
      <w:bookmarkStart w:id="40" w:name="_Toc418166669"/>
      <w:bookmarkStart w:id="41" w:name="_Toc418498896"/>
      <w:bookmarkStart w:id="42" w:name="_Toc418677547"/>
      <w:bookmarkStart w:id="43" w:name="_Toc418753392"/>
      <w:bookmarkStart w:id="44" w:name="_Toc419276607"/>
      <w:r w:rsidRPr="009D182F">
        <w:t>Background</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1B29A796" w14:textId="3AFB3F00" w:rsidR="00432870" w:rsidRPr="00991AC2" w:rsidRDefault="003B665F" w:rsidP="00432870">
      <w:pPr>
        <w:pStyle w:val="ParaNum"/>
      </w:pPr>
      <w:r w:rsidRPr="009D182F">
        <w:t>In</w:t>
      </w:r>
      <w:r w:rsidR="00432870" w:rsidRPr="009D182F">
        <w:t xml:space="preserve"> the Cable Television Consumer Protection and Competition Act of 1992 (“1992 Cable Act”), Congress adopted </w:t>
      </w:r>
      <w:r w:rsidR="009D182F" w:rsidRPr="009D182F">
        <w:rPr>
          <w:szCs w:val="22"/>
        </w:rPr>
        <w:t xml:space="preserve">a “preference for competition,” pursuant to which a franchising authority may regulate basic cable service </w:t>
      </w:r>
      <w:r w:rsidR="002C2546">
        <w:rPr>
          <w:szCs w:val="22"/>
        </w:rPr>
        <w:t xml:space="preserve">tier </w:t>
      </w:r>
      <w:r w:rsidR="009D182F" w:rsidRPr="009D182F">
        <w:rPr>
          <w:szCs w:val="22"/>
        </w:rPr>
        <w:t xml:space="preserve">rates and equipment only if the Commission finds that the cable system is not subject to </w:t>
      </w:r>
      <w:r w:rsidR="003D3967">
        <w:rPr>
          <w:szCs w:val="22"/>
        </w:rPr>
        <w:t>E</w:t>
      </w:r>
      <w:r w:rsidR="009D182F" w:rsidRPr="009D182F">
        <w:rPr>
          <w:szCs w:val="22"/>
        </w:rPr>
        <w:t xml:space="preserve">ffective </w:t>
      </w:r>
      <w:r w:rsidR="003D3967">
        <w:rPr>
          <w:szCs w:val="22"/>
        </w:rPr>
        <w:t>C</w:t>
      </w:r>
      <w:r w:rsidR="009D182F" w:rsidRPr="00991AC2">
        <w:rPr>
          <w:szCs w:val="22"/>
        </w:rPr>
        <w:t>ompetition</w:t>
      </w:r>
      <w:r w:rsidR="00B92DCC" w:rsidRPr="00991AC2">
        <w:rPr>
          <w:szCs w:val="22"/>
        </w:rPr>
        <w:t>.</w:t>
      </w:r>
      <w:r w:rsidR="00B92DCC" w:rsidRPr="00991AC2">
        <w:rPr>
          <w:rStyle w:val="FootnoteReference"/>
          <w:szCs w:val="22"/>
        </w:rPr>
        <w:footnoteReference w:id="10"/>
      </w:r>
      <w:r w:rsidR="0054164B" w:rsidRPr="00991AC2">
        <w:rPr>
          <w:szCs w:val="22"/>
        </w:rPr>
        <w:t xml:space="preserve">  Section 623(l)(1) of the </w:t>
      </w:r>
      <w:r w:rsidR="008D34DE">
        <w:rPr>
          <w:szCs w:val="22"/>
        </w:rPr>
        <w:t xml:space="preserve">Act </w:t>
      </w:r>
      <w:r w:rsidR="0054164B" w:rsidRPr="00991AC2">
        <w:rPr>
          <w:szCs w:val="22"/>
        </w:rPr>
        <w:t xml:space="preserve">defines </w:t>
      </w:r>
      <w:r w:rsidR="009D182F" w:rsidRPr="00991AC2">
        <w:rPr>
          <w:szCs w:val="22"/>
        </w:rPr>
        <w:t xml:space="preserve">the four types of </w:t>
      </w:r>
      <w:r w:rsidR="003D3967">
        <w:rPr>
          <w:szCs w:val="22"/>
        </w:rPr>
        <w:t>E</w:t>
      </w:r>
      <w:r w:rsidR="0054164B" w:rsidRPr="00991AC2">
        <w:rPr>
          <w:szCs w:val="22"/>
        </w:rPr>
        <w:t xml:space="preserve">ffective </w:t>
      </w:r>
      <w:r w:rsidR="003D3967">
        <w:rPr>
          <w:szCs w:val="22"/>
        </w:rPr>
        <w:t>C</w:t>
      </w:r>
      <w:r w:rsidR="0054164B" w:rsidRPr="00991AC2">
        <w:rPr>
          <w:szCs w:val="22"/>
        </w:rPr>
        <w:t>ompetition</w:t>
      </w:r>
      <w:r w:rsidR="00991AC2" w:rsidRPr="00991AC2">
        <w:rPr>
          <w:szCs w:val="22"/>
        </w:rPr>
        <w:t>, as follows</w:t>
      </w:r>
      <w:r w:rsidR="0054164B" w:rsidRPr="00991AC2">
        <w:rPr>
          <w:szCs w:val="22"/>
        </w:rPr>
        <w:t>:</w:t>
      </w:r>
    </w:p>
    <w:p w14:paraId="4573A3F2" w14:textId="64BD3A35" w:rsidR="00991AC2" w:rsidRDefault="00991AC2" w:rsidP="00991AC2">
      <w:pPr>
        <w:pStyle w:val="ParaNum"/>
        <w:numPr>
          <w:ilvl w:val="0"/>
          <w:numId w:val="13"/>
        </w:numPr>
        <w:ind w:left="1080" w:right="720"/>
      </w:pPr>
      <w:r w:rsidRPr="00991AC2">
        <w:rPr>
          <w:i/>
        </w:rPr>
        <w:t xml:space="preserve">Low </w:t>
      </w:r>
      <w:r w:rsidR="003D3967">
        <w:rPr>
          <w:i/>
        </w:rPr>
        <w:t>P</w:t>
      </w:r>
      <w:r w:rsidRPr="00991AC2">
        <w:rPr>
          <w:i/>
        </w:rPr>
        <w:t xml:space="preserve">enetration </w:t>
      </w:r>
      <w:r w:rsidR="003D3967">
        <w:rPr>
          <w:i/>
        </w:rPr>
        <w:t>E</w:t>
      </w:r>
      <w:r w:rsidRPr="00991AC2">
        <w:rPr>
          <w:i/>
        </w:rPr>
        <w:t xml:space="preserve">ffective </w:t>
      </w:r>
      <w:r w:rsidR="003D3967">
        <w:rPr>
          <w:i/>
        </w:rPr>
        <w:t>C</w:t>
      </w:r>
      <w:r w:rsidRPr="00991AC2">
        <w:rPr>
          <w:i/>
        </w:rPr>
        <w:t>ompetition</w:t>
      </w:r>
      <w:r w:rsidRPr="00991AC2">
        <w:t xml:space="preserve">, which is present if </w:t>
      </w:r>
      <w:r w:rsidR="00B92DCC" w:rsidRPr="00991AC2">
        <w:t>fewer than 30 percent of the households in the franchise area subscribe to the cable service of a cable</w:t>
      </w:r>
      <w:r w:rsidR="0054164B" w:rsidRPr="00991AC2">
        <w:t xml:space="preserve"> system</w:t>
      </w:r>
      <w:r w:rsidR="00B92DCC" w:rsidRPr="00991AC2">
        <w:t>;</w:t>
      </w:r>
      <w:r w:rsidR="00B92DCC" w:rsidRPr="00991AC2">
        <w:rPr>
          <w:rStyle w:val="FootnoteReference"/>
          <w:szCs w:val="22"/>
        </w:rPr>
        <w:footnoteReference w:id="11"/>
      </w:r>
    </w:p>
    <w:p w14:paraId="3807AD7D" w14:textId="6139719A" w:rsidR="00991AC2" w:rsidRDefault="00991AC2" w:rsidP="00370553">
      <w:pPr>
        <w:pStyle w:val="ParaNum"/>
        <w:widowControl/>
        <w:numPr>
          <w:ilvl w:val="0"/>
          <w:numId w:val="13"/>
        </w:numPr>
        <w:ind w:left="1080" w:right="720"/>
      </w:pPr>
      <w:r>
        <w:rPr>
          <w:i/>
        </w:rPr>
        <w:t xml:space="preserve">Competing </w:t>
      </w:r>
      <w:r w:rsidR="003D3967">
        <w:rPr>
          <w:i/>
        </w:rPr>
        <w:t>P</w:t>
      </w:r>
      <w:r>
        <w:rPr>
          <w:i/>
        </w:rPr>
        <w:t xml:space="preserve">rovider </w:t>
      </w:r>
      <w:r w:rsidR="003D3967">
        <w:rPr>
          <w:i/>
        </w:rPr>
        <w:t>E</w:t>
      </w:r>
      <w:r>
        <w:rPr>
          <w:i/>
        </w:rPr>
        <w:t xml:space="preserve">ffective </w:t>
      </w:r>
      <w:r w:rsidR="003D3967">
        <w:rPr>
          <w:i/>
        </w:rPr>
        <w:t>C</w:t>
      </w:r>
      <w:r>
        <w:rPr>
          <w:i/>
        </w:rPr>
        <w:t>ompetition</w:t>
      </w:r>
      <w:r>
        <w:t xml:space="preserve">, which is </w:t>
      </w:r>
      <w:r w:rsidRPr="00991AC2">
        <w:t xml:space="preserve">present if </w:t>
      </w:r>
      <w:r w:rsidR="00B92DCC" w:rsidRPr="00991AC2">
        <w:t>the franchise area is (i) served by at least two unaffiliated MVPDs each of which offers comparable video programming to at least 50 percent of the households in the franchise area; and (ii) the number of households subscribing to programming services offered by MVPDs other than the largest MVPD exceeds 15 percent of the households in the franchise area;</w:t>
      </w:r>
      <w:r w:rsidR="00B92DCC" w:rsidRPr="00991AC2">
        <w:rPr>
          <w:rStyle w:val="FootnoteReference"/>
          <w:szCs w:val="22"/>
        </w:rPr>
        <w:footnoteReference w:id="12"/>
      </w:r>
      <w:r w:rsidR="00B92DCC" w:rsidRPr="00991AC2">
        <w:t xml:space="preserve"> </w:t>
      </w:r>
    </w:p>
    <w:p w14:paraId="501B2432" w14:textId="2AF2FE95" w:rsidR="00991AC2" w:rsidRDefault="00991AC2" w:rsidP="00991AC2">
      <w:pPr>
        <w:pStyle w:val="ParaNum"/>
        <w:numPr>
          <w:ilvl w:val="0"/>
          <w:numId w:val="13"/>
        </w:numPr>
        <w:ind w:left="1080" w:right="720"/>
      </w:pPr>
      <w:r>
        <w:rPr>
          <w:i/>
        </w:rPr>
        <w:lastRenderedPageBreak/>
        <w:t xml:space="preserve">Municipal </w:t>
      </w:r>
      <w:r w:rsidR="003D3967">
        <w:rPr>
          <w:i/>
        </w:rPr>
        <w:t>P</w:t>
      </w:r>
      <w:r>
        <w:rPr>
          <w:i/>
        </w:rPr>
        <w:t xml:space="preserve">rovider </w:t>
      </w:r>
      <w:r w:rsidR="003D3967">
        <w:rPr>
          <w:i/>
        </w:rPr>
        <w:t>E</w:t>
      </w:r>
      <w:r w:rsidRPr="00991AC2">
        <w:rPr>
          <w:i/>
        </w:rPr>
        <w:t xml:space="preserve">ffective </w:t>
      </w:r>
      <w:r w:rsidR="003D3967">
        <w:rPr>
          <w:i/>
        </w:rPr>
        <w:t>C</w:t>
      </w:r>
      <w:r w:rsidRPr="00991AC2">
        <w:rPr>
          <w:i/>
        </w:rPr>
        <w:t>ompetition</w:t>
      </w:r>
      <w:r w:rsidRPr="00991AC2">
        <w:t xml:space="preserve">, which is present if </w:t>
      </w:r>
      <w:r w:rsidR="00AA3D65">
        <w:t>a</w:t>
      </w:r>
      <w:r w:rsidR="00B92DCC" w:rsidRPr="00991AC2">
        <w:t>n MVPD operated by the franchising authority for that franchise area offers video programming to at least 50 percent of the households in that franchise area;</w:t>
      </w:r>
      <w:r w:rsidR="00B92DCC" w:rsidRPr="00991AC2">
        <w:rPr>
          <w:rStyle w:val="FootnoteReference"/>
          <w:szCs w:val="22"/>
        </w:rPr>
        <w:footnoteReference w:id="13"/>
      </w:r>
      <w:r>
        <w:t xml:space="preserve"> and</w:t>
      </w:r>
    </w:p>
    <w:p w14:paraId="5D39B393" w14:textId="687D86BE" w:rsidR="00B92DCC" w:rsidRPr="00396AED" w:rsidRDefault="00991AC2" w:rsidP="00991AC2">
      <w:pPr>
        <w:pStyle w:val="ParaNum"/>
        <w:numPr>
          <w:ilvl w:val="0"/>
          <w:numId w:val="13"/>
        </w:numPr>
        <w:ind w:left="1080" w:right="720"/>
      </w:pPr>
      <w:r w:rsidRPr="00991AC2">
        <w:rPr>
          <w:i/>
        </w:rPr>
        <w:t xml:space="preserve">Local </w:t>
      </w:r>
      <w:r w:rsidR="003D3967">
        <w:rPr>
          <w:i/>
        </w:rPr>
        <w:t>E</w:t>
      </w:r>
      <w:r w:rsidRPr="00991AC2">
        <w:rPr>
          <w:i/>
        </w:rPr>
        <w:t xml:space="preserve">xchange </w:t>
      </w:r>
      <w:r w:rsidR="003D3967">
        <w:rPr>
          <w:i/>
        </w:rPr>
        <w:t>C</w:t>
      </w:r>
      <w:r w:rsidRPr="00991AC2">
        <w:rPr>
          <w:i/>
        </w:rPr>
        <w:t xml:space="preserve">arrier (LEC) </w:t>
      </w:r>
      <w:r w:rsidR="003D3967">
        <w:rPr>
          <w:i/>
        </w:rPr>
        <w:t>E</w:t>
      </w:r>
      <w:r w:rsidRPr="00991AC2">
        <w:rPr>
          <w:i/>
        </w:rPr>
        <w:t xml:space="preserve">ffective </w:t>
      </w:r>
      <w:r w:rsidR="003D3967">
        <w:rPr>
          <w:i/>
        </w:rPr>
        <w:t>C</w:t>
      </w:r>
      <w:r w:rsidRPr="00991AC2">
        <w:rPr>
          <w:i/>
        </w:rPr>
        <w:t>ompetition</w:t>
      </w:r>
      <w:r w:rsidRPr="00991AC2">
        <w:t xml:space="preserve">, which is present if </w:t>
      </w:r>
      <w:r w:rsidR="00B92DCC" w:rsidRPr="00991AC2">
        <w:t xml:space="preserve">a local exchange carrier or its affiliate (or any MVPD using the facilities of such carrier or its affiliate) offers video programming services directly to subscribers by any means (other than direct-to-home satellite services) in the franchise area of an unaffiliated cable operator which is providing cable service in that franchise area, but only if the video programming services so offered in that area are comparable to the video </w:t>
      </w:r>
      <w:r w:rsidR="00B92DCC" w:rsidRPr="00396AED">
        <w:t>programming services provided by the unaffiliated cable operator in that area.</w:t>
      </w:r>
      <w:r w:rsidR="00B92DCC" w:rsidRPr="00396AED">
        <w:rPr>
          <w:rStyle w:val="FootnoteReference"/>
          <w:szCs w:val="22"/>
        </w:rPr>
        <w:footnoteReference w:id="14"/>
      </w:r>
    </w:p>
    <w:p w14:paraId="2A958107" w14:textId="280F9C4F" w:rsidR="004B540C" w:rsidRPr="004B540C" w:rsidRDefault="0054164B" w:rsidP="004B540C">
      <w:pPr>
        <w:pStyle w:val="ParaNum"/>
        <w:numPr>
          <w:ilvl w:val="0"/>
          <w:numId w:val="0"/>
        </w:numPr>
      </w:pPr>
      <w:r w:rsidRPr="00396AED">
        <w:rPr>
          <w:szCs w:val="22"/>
        </w:rPr>
        <w:t xml:space="preserve">Section 623 of the Act does not permit </w:t>
      </w:r>
      <w:r w:rsidR="00396AED" w:rsidRPr="00396AED">
        <w:rPr>
          <w:szCs w:val="22"/>
        </w:rPr>
        <w:t>franchising authorities to</w:t>
      </w:r>
      <w:r w:rsidRPr="00396AED">
        <w:rPr>
          <w:szCs w:val="22"/>
        </w:rPr>
        <w:t xml:space="preserve"> regulat</w:t>
      </w:r>
      <w:r w:rsidR="00396AED" w:rsidRPr="00396AED">
        <w:rPr>
          <w:szCs w:val="22"/>
        </w:rPr>
        <w:t>e</w:t>
      </w:r>
      <w:r w:rsidRPr="00396AED">
        <w:rPr>
          <w:szCs w:val="22"/>
        </w:rPr>
        <w:t xml:space="preserve"> any cable </w:t>
      </w:r>
      <w:r w:rsidR="00ED31F2" w:rsidRPr="00396AED">
        <w:rPr>
          <w:szCs w:val="22"/>
        </w:rPr>
        <w:t xml:space="preserve">service </w:t>
      </w:r>
      <w:r w:rsidRPr="00396AED">
        <w:rPr>
          <w:szCs w:val="22"/>
        </w:rPr>
        <w:t xml:space="preserve">rates other than the basic service </w:t>
      </w:r>
      <w:r w:rsidR="002C2546">
        <w:rPr>
          <w:szCs w:val="22"/>
        </w:rPr>
        <w:t xml:space="preserve">tier </w:t>
      </w:r>
      <w:r w:rsidRPr="00396AED">
        <w:rPr>
          <w:szCs w:val="22"/>
        </w:rPr>
        <w:t>rate</w:t>
      </w:r>
      <w:r w:rsidR="002C2546">
        <w:rPr>
          <w:szCs w:val="22"/>
        </w:rPr>
        <w:t xml:space="preserve"> and equipment used to receive the signal</w:t>
      </w:r>
      <w:r w:rsidRPr="00396AED">
        <w:rPr>
          <w:szCs w:val="22"/>
        </w:rPr>
        <w:t>.</w:t>
      </w:r>
      <w:r w:rsidR="00582105" w:rsidRPr="00396AED">
        <w:rPr>
          <w:rStyle w:val="FootnoteReference"/>
          <w:szCs w:val="22"/>
        </w:rPr>
        <w:footnoteReference w:id="15"/>
      </w:r>
    </w:p>
    <w:p w14:paraId="016AACD9" w14:textId="030C4A99" w:rsidR="00B92DCC" w:rsidRPr="00E64875" w:rsidRDefault="004B540C" w:rsidP="00F16639">
      <w:pPr>
        <w:pStyle w:val="ParaNum"/>
        <w:widowControl/>
      </w:pPr>
      <w:r w:rsidRPr="00E64875">
        <w:t xml:space="preserve">In 1993, when the Commission implemented the statute’s </w:t>
      </w:r>
      <w:r w:rsidR="003D3967">
        <w:t>E</w:t>
      </w:r>
      <w:r w:rsidRPr="00E64875">
        <w:t xml:space="preserve">ffective </w:t>
      </w:r>
      <w:r w:rsidR="003D3967">
        <w:t>C</w:t>
      </w:r>
      <w:r w:rsidRPr="00E64875">
        <w:t xml:space="preserve">ompetition provisions, the existence of </w:t>
      </w:r>
      <w:r w:rsidR="003D3967">
        <w:t>E</w:t>
      </w:r>
      <w:r w:rsidRPr="00E64875">
        <w:t xml:space="preserve">ffective </w:t>
      </w:r>
      <w:r w:rsidR="003D3967">
        <w:t>C</w:t>
      </w:r>
      <w:r w:rsidRPr="00E64875">
        <w:t>ompetition was the exception rather than the rule.  Incumbent cable operators had captured approximately 95 percent of MVPD subscribers.</w:t>
      </w:r>
      <w:r w:rsidRPr="00E64875">
        <w:rPr>
          <w:rStyle w:val="FootnoteReference"/>
          <w:szCs w:val="22"/>
        </w:rPr>
        <w:footnoteReference w:id="16"/>
      </w:r>
      <w:r w:rsidRPr="00E64875">
        <w:t xml:space="preserve">  </w:t>
      </w:r>
      <w:r w:rsidR="00D35628">
        <w:t xml:space="preserve">In </w:t>
      </w:r>
      <w:r w:rsidRPr="00E64875">
        <w:t>the vast majority of franchise areas</w:t>
      </w:r>
      <w:r w:rsidR="00D35628" w:rsidRPr="00D35628">
        <w:t xml:space="preserve"> </w:t>
      </w:r>
      <w:r w:rsidR="00D35628">
        <w:rPr>
          <w:szCs w:val="22"/>
        </w:rPr>
        <w:t>o</w:t>
      </w:r>
      <w:r w:rsidR="00D35628" w:rsidRPr="00D35628">
        <w:rPr>
          <w:szCs w:val="22"/>
        </w:rPr>
        <w:t>nly a single cable operator</w:t>
      </w:r>
      <w:r w:rsidR="00D35628">
        <w:rPr>
          <w:szCs w:val="22"/>
        </w:rPr>
        <w:t xml:space="preserve"> provided service</w:t>
      </w:r>
      <w:r w:rsidRPr="00E64875">
        <w:rPr>
          <w:rStyle w:val="FootnoteReference"/>
          <w:szCs w:val="22"/>
        </w:rPr>
        <w:footnoteReference w:id="17"/>
      </w:r>
      <w:r w:rsidRPr="00E64875">
        <w:t xml:space="preserve"> and those operators had “substantial market power at the local distribution level.”</w:t>
      </w:r>
      <w:r w:rsidRPr="00E64875">
        <w:rPr>
          <w:rStyle w:val="FootnoteReference"/>
          <w:szCs w:val="22"/>
        </w:rPr>
        <w:footnoteReference w:id="18"/>
      </w:r>
      <w:r w:rsidRPr="00E64875">
        <w:t xml:space="preserve">  DBS service had not yet entered the market,</w:t>
      </w:r>
      <w:r w:rsidRPr="00E64875">
        <w:rPr>
          <w:rStyle w:val="FootnoteReference"/>
          <w:szCs w:val="22"/>
        </w:rPr>
        <w:footnoteReference w:id="19"/>
      </w:r>
      <w:r w:rsidRPr="00E64875">
        <w:t xml:space="preserve"> and local exchange carriers (“LECs”), such as Verizon and AT&amp;T, had not yet entered the MVPD business in any significant way.</w:t>
      </w:r>
      <w:r w:rsidRPr="00E64875">
        <w:rPr>
          <w:rStyle w:val="FootnoteReference"/>
          <w:szCs w:val="22"/>
        </w:rPr>
        <w:footnoteReference w:id="20"/>
      </w:r>
      <w:r w:rsidRPr="00E64875">
        <w:t xml:space="preserve">  </w:t>
      </w:r>
      <w:r w:rsidR="007F1A6A">
        <w:t>Against</w:t>
      </w:r>
      <w:r w:rsidRPr="00E64875">
        <w:t xml:space="preserve"> this backdrop, t</w:t>
      </w:r>
      <w:r w:rsidR="00BB0A20" w:rsidRPr="00E64875">
        <w:t>he Commission adopted</w:t>
      </w:r>
      <w:r w:rsidR="00B92DCC" w:rsidRPr="00E64875">
        <w:t xml:space="preserve"> </w:t>
      </w:r>
      <w:r w:rsidR="00975CD4" w:rsidRPr="00E64875">
        <w:t>a</w:t>
      </w:r>
      <w:r w:rsidR="00B92DCC" w:rsidRPr="00E64875">
        <w:t xml:space="preserve"> presumption that cable systems </w:t>
      </w:r>
      <w:r w:rsidR="00460812" w:rsidRPr="00E64875">
        <w:t xml:space="preserve">are </w:t>
      </w:r>
      <w:r w:rsidR="00B92DCC" w:rsidRPr="00E64875">
        <w:t xml:space="preserve">not subject to </w:t>
      </w:r>
      <w:r w:rsidR="003D3967">
        <w:t>E</w:t>
      </w:r>
      <w:r w:rsidR="00B92DCC" w:rsidRPr="00E64875">
        <w:t xml:space="preserve">ffective </w:t>
      </w:r>
      <w:r w:rsidR="003D3967">
        <w:t>C</w:t>
      </w:r>
      <w:r w:rsidR="00B92DCC" w:rsidRPr="00E64875">
        <w:t>ompetition</w:t>
      </w:r>
      <w:r w:rsidRPr="00E64875">
        <w:t>,</w:t>
      </w:r>
      <w:r w:rsidR="00B92DCC" w:rsidRPr="00E64875">
        <w:rPr>
          <w:rStyle w:val="FootnoteReference"/>
          <w:szCs w:val="22"/>
        </w:rPr>
        <w:footnoteReference w:id="21"/>
      </w:r>
      <w:r w:rsidR="00B92DCC" w:rsidRPr="00E64875">
        <w:t xml:space="preserve"> </w:t>
      </w:r>
      <w:r w:rsidR="00BB0A20" w:rsidRPr="00E64875">
        <w:t>and it</w:t>
      </w:r>
      <w:r w:rsidR="00B92DCC" w:rsidRPr="00E64875">
        <w:t xml:space="preserve"> provided that a </w:t>
      </w:r>
      <w:r w:rsidR="002C1892" w:rsidRPr="00E64875">
        <w:t>franchising authority</w:t>
      </w:r>
      <w:r w:rsidR="00B92DCC" w:rsidRPr="00E64875">
        <w:t xml:space="preserve"> that want</w:t>
      </w:r>
      <w:r w:rsidR="00B007B8" w:rsidRPr="00E64875">
        <w:t>ed</w:t>
      </w:r>
      <w:r w:rsidR="00B92DCC" w:rsidRPr="00E64875">
        <w:t xml:space="preserve"> to regulate </w:t>
      </w:r>
      <w:r w:rsidR="00BB0A20" w:rsidRPr="00E64875">
        <w:t xml:space="preserve">a cable operator’s basic </w:t>
      </w:r>
      <w:r w:rsidR="002C2546">
        <w:t xml:space="preserve">service tier </w:t>
      </w:r>
      <w:r w:rsidR="00BB0A20" w:rsidRPr="00E64875">
        <w:t xml:space="preserve">rates must </w:t>
      </w:r>
      <w:r w:rsidR="00457CF6" w:rsidRPr="00E64875">
        <w:t xml:space="preserve">be certified by </w:t>
      </w:r>
      <w:r w:rsidR="008A2212">
        <w:t xml:space="preserve">filing </w:t>
      </w:r>
      <w:r w:rsidRPr="00E64875">
        <w:t>FCC Form 328</w:t>
      </w:r>
      <w:r w:rsidR="008A2212">
        <w:t xml:space="preserve"> with the Commission</w:t>
      </w:r>
      <w:r w:rsidR="00BB0A20" w:rsidRPr="00E64875">
        <w:t>.</w:t>
      </w:r>
      <w:r w:rsidR="00B92DCC" w:rsidRPr="00E64875">
        <w:rPr>
          <w:rStyle w:val="FootnoteReference"/>
          <w:szCs w:val="22"/>
        </w:rPr>
        <w:footnoteReference w:id="22"/>
      </w:r>
      <w:r w:rsidR="00BB0A20" w:rsidRPr="00E64875">
        <w:t xml:space="preserve">  </w:t>
      </w:r>
      <w:r w:rsidR="00E64875" w:rsidRPr="00E64875">
        <w:t>A</w:t>
      </w:r>
      <w:r w:rsidR="001929D0" w:rsidRPr="00E64875">
        <w:t xml:space="preserve"> cable operator </w:t>
      </w:r>
      <w:r w:rsidR="00E64875" w:rsidRPr="00E64875">
        <w:t xml:space="preserve">that </w:t>
      </w:r>
      <w:r w:rsidR="001929D0" w:rsidRPr="00E64875">
        <w:t xml:space="preserve">wishes to </w:t>
      </w:r>
      <w:r w:rsidR="008A2212">
        <w:t>challenge</w:t>
      </w:r>
      <w:r w:rsidR="008A2212" w:rsidRPr="00E64875">
        <w:t xml:space="preserve"> </w:t>
      </w:r>
      <w:r w:rsidR="001929D0" w:rsidRPr="00E64875">
        <w:t xml:space="preserve">the </w:t>
      </w:r>
      <w:r w:rsidR="002C1892" w:rsidRPr="00E64875">
        <w:t>franchising authority</w:t>
      </w:r>
      <w:r w:rsidR="001558CE">
        <w:t>’s right</w:t>
      </w:r>
      <w:r w:rsidR="002C4E8E">
        <w:t xml:space="preserve"> </w:t>
      </w:r>
      <w:r w:rsidR="001558CE">
        <w:t xml:space="preserve">to </w:t>
      </w:r>
      <w:r w:rsidR="001929D0" w:rsidRPr="00E64875">
        <w:t>regulat</w:t>
      </w:r>
      <w:r w:rsidR="001558CE">
        <w:t>e</w:t>
      </w:r>
      <w:r w:rsidR="001929D0" w:rsidRPr="00E64875">
        <w:t xml:space="preserve"> its basic service </w:t>
      </w:r>
      <w:r w:rsidR="002C2546">
        <w:t xml:space="preserve">tier </w:t>
      </w:r>
      <w:r w:rsidR="001929D0" w:rsidRPr="00E64875">
        <w:t>rate</w:t>
      </w:r>
      <w:r w:rsidR="00E64875" w:rsidRPr="00E64875">
        <w:t xml:space="preserve"> </w:t>
      </w:r>
      <w:r w:rsidR="008A2212">
        <w:t>bears the</w:t>
      </w:r>
      <w:r w:rsidR="00E64875" w:rsidRPr="00E64875">
        <w:t xml:space="preserve"> burden</w:t>
      </w:r>
      <w:r w:rsidR="008A2212">
        <w:t xml:space="preserve"> of</w:t>
      </w:r>
      <w:r w:rsidR="00457CF6" w:rsidRPr="00E64875">
        <w:t xml:space="preserve"> </w:t>
      </w:r>
      <w:r w:rsidR="00D014EE" w:rsidRPr="00E64875">
        <w:t>rebut</w:t>
      </w:r>
      <w:r w:rsidR="00E64875" w:rsidRPr="00E64875">
        <w:t>ting the presumption and demonstrating</w:t>
      </w:r>
      <w:r w:rsidR="00D014EE" w:rsidRPr="00E64875">
        <w:t xml:space="preserve"> that it is in fact subject to </w:t>
      </w:r>
      <w:r w:rsidR="003D3967">
        <w:t>E</w:t>
      </w:r>
      <w:r w:rsidR="00D014EE" w:rsidRPr="00E64875">
        <w:t xml:space="preserve">ffective </w:t>
      </w:r>
      <w:r w:rsidR="003D3967">
        <w:t>C</w:t>
      </w:r>
      <w:r w:rsidR="00D014EE" w:rsidRPr="00E64875">
        <w:t>ompetition</w:t>
      </w:r>
      <w:r w:rsidR="00457CF6" w:rsidRPr="00E64875">
        <w:t>.</w:t>
      </w:r>
      <w:r w:rsidR="00457CF6" w:rsidRPr="00E64875">
        <w:rPr>
          <w:rStyle w:val="FootnoteReference"/>
          <w:szCs w:val="22"/>
        </w:rPr>
        <w:footnoteReference w:id="23"/>
      </w:r>
    </w:p>
    <w:p w14:paraId="51DE84D3" w14:textId="00F36CBB" w:rsidR="0017410B" w:rsidRPr="0053589A" w:rsidRDefault="00E64875" w:rsidP="00F41EAA">
      <w:pPr>
        <w:pStyle w:val="ParaNum"/>
        <w:widowControl/>
      </w:pPr>
      <w:r w:rsidRPr="0017410B">
        <w:rPr>
          <w:szCs w:val="22"/>
        </w:rPr>
        <w:t>As described in the NPRM in this proceeding, the</w:t>
      </w:r>
      <w:r w:rsidR="003320EC" w:rsidRPr="0017410B">
        <w:rPr>
          <w:szCs w:val="22"/>
        </w:rPr>
        <w:t xml:space="preserve"> MVPD marketplace </w:t>
      </w:r>
      <w:r w:rsidR="00AB1A9C">
        <w:rPr>
          <w:szCs w:val="22"/>
        </w:rPr>
        <w:t xml:space="preserve">has changed in ways that </w:t>
      </w:r>
      <w:r w:rsidR="004C755A">
        <w:rPr>
          <w:szCs w:val="22"/>
        </w:rPr>
        <w:t xml:space="preserve">substantially </w:t>
      </w:r>
      <w:r w:rsidR="00AB1A9C">
        <w:rPr>
          <w:szCs w:val="22"/>
        </w:rPr>
        <w:t>impact the test for</w:t>
      </w:r>
      <w:r w:rsidR="00E6360B">
        <w:rPr>
          <w:szCs w:val="22"/>
        </w:rPr>
        <w:t xml:space="preserve"> Competing Provider</w:t>
      </w:r>
      <w:r w:rsidR="00AB1A9C">
        <w:rPr>
          <w:szCs w:val="22"/>
        </w:rPr>
        <w:t xml:space="preserve"> Effective Competition</w:t>
      </w:r>
      <w:r w:rsidR="0017410B" w:rsidRPr="0017410B">
        <w:rPr>
          <w:szCs w:val="22"/>
        </w:rPr>
        <w:t>.</w:t>
      </w:r>
      <w:r w:rsidRPr="0017410B">
        <w:rPr>
          <w:rStyle w:val="FootnoteReference"/>
          <w:szCs w:val="22"/>
        </w:rPr>
        <w:footnoteReference w:id="24"/>
      </w:r>
      <w:r w:rsidRPr="0017410B">
        <w:rPr>
          <w:szCs w:val="22"/>
        </w:rPr>
        <w:t xml:space="preserve">  </w:t>
      </w:r>
      <w:r w:rsidR="0017410B" w:rsidRPr="0017410B">
        <w:rPr>
          <w:szCs w:val="22"/>
        </w:rPr>
        <w:t xml:space="preserve">After the NPRM was released, the Commission adopted its </w:t>
      </w:r>
      <w:r w:rsidR="003D3390">
        <w:rPr>
          <w:szCs w:val="22"/>
        </w:rPr>
        <w:t xml:space="preserve">most recent </w:t>
      </w:r>
      <w:r w:rsidR="0017410B" w:rsidRPr="0017410B">
        <w:rPr>
          <w:szCs w:val="22"/>
        </w:rPr>
        <w:t xml:space="preserve">video competition report </w:t>
      </w:r>
      <w:r w:rsidR="0017410B">
        <w:rPr>
          <w:szCs w:val="22"/>
        </w:rPr>
        <w:t>containing many of the same statistics cited in the NPRM.</w:t>
      </w:r>
      <w:r w:rsidR="0053589A">
        <w:rPr>
          <w:szCs w:val="22"/>
        </w:rPr>
        <w:t xml:space="preserve">  Specifically, the video competition report reached the following conclusions, among others:</w:t>
      </w:r>
    </w:p>
    <w:p w14:paraId="438FA648" w14:textId="2685DEAD" w:rsidR="007974FB" w:rsidRDefault="007974FB" w:rsidP="0053589A">
      <w:pPr>
        <w:pStyle w:val="ParaNum"/>
        <w:numPr>
          <w:ilvl w:val="0"/>
          <w:numId w:val="15"/>
        </w:numPr>
        <w:ind w:left="1080" w:right="720"/>
      </w:pPr>
      <w:r>
        <w:rPr>
          <w:i/>
        </w:rPr>
        <w:t>Slight increase in DBS subscribership.</w:t>
      </w:r>
      <w:r>
        <w:t xml:space="preserve">  The number of DBS subscribers increased from year-end 2012 (34.1 million, or 33.8 percent of MVPD subscribers) to year-end 2013 (34.2 million, or 33.9 percent of MVPD subscribers).</w:t>
      </w:r>
      <w:r>
        <w:rPr>
          <w:rStyle w:val="FootnoteReference"/>
        </w:rPr>
        <w:footnoteReference w:id="25"/>
      </w:r>
    </w:p>
    <w:p w14:paraId="2D33E3F8" w14:textId="1EB0A982" w:rsidR="007974FB" w:rsidRDefault="007974FB" w:rsidP="0053589A">
      <w:pPr>
        <w:pStyle w:val="ParaNum"/>
        <w:numPr>
          <w:ilvl w:val="0"/>
          <w:numId w:val="15"/>
        </w:numPr>
        <w:ind w:left="1080" w:right="720"/>
      </w:pPr>
      <w:r>
        <w:rPr>
          <w:i/>
        </w:rPr>
        <w:t>Significant increase in telephone MVPD subscribership.</w:t>
      </w:r>
      <w:r>
        <w:t xml:space="preserve">  The number of telephone MVPD subscribers increased from year-end 2012 (9.9 million, or 9.8 percent of MVPD subscribers) to year-end 2013 (11.3 million, or 11.2 percent of MVPD subscribers).</w:t>
      </w:r>
      <w:r>
        <w:rPr>
          <w:rStyle w:val="FootnoteReference"/>
        </w:rPr>
        <w:footnoteReference w:id="26"/>
      </w:r>
    </w:p>
    <w:p w14:paraId="0ED784B3" w14:textId="5373C633" w:rsidR="007974FB" w:rsidRPr="004C755A" w:rsidRDefault="007974FB" w:rsidP="0053589A">
      <w:pPr>
        <w:pStyle w:val="ParaNum"/>
        <w:numPr>
          <w:ilvl w:val="0"/>
          <w:numId w:val="15"/>
        </w:numPr>
        <w:ind w:left="1080" w:right="720"/>
      </w:pPr>
      <w:r>
        <w:rPr>
          <w:i/>
        </w:rPr>
        <w:t xml:space="preserve">Widespread availability of </w:t>
      </w:r>
      <w:r w:rsidRPr="006B27B2">
        <w:rPr>
          <w:i/>
        </w:rPr>
        <w:t>DBS video service.</w:t>
      </w:r>
      <w:r w:rsidR="006B27B2" w:rsidRPr="006B27B2">
        <w:rPr>
          <w:i/>
        </w:rPr>
        <w:t xml:space="preserve">  </w:t>
      </w:r>
      <w:r w:rsidR="006B27B2" w:rsidRPr="006B27B2">
        <w:rPr>
          <w:szCs w:val="22"/>
        </w:rPr>
        <w:t>DIRECTV provides local broadcast channels to 197 markets representing over 99 percent of U.S. homes, and DISH Network provides local broadcast channels to all 210 markets.</w:t>
      </w:r>
      <w:r w:rsidR="006B27B2" w:rsidRPr="006B27B2">
        <w:rPr>
          <w:rStyle w:val="FootnoteReference"/>
          <w:szCs w:val="22"/>
        </w:rPr>
        <w:footnoteReference w:id="27"/>
      </w:r>
    </w:p>
    <w:p w14:paraId="33BF9917" w14:textId="159F0047" w:rsidR="0055168A" w:rsidRDefault="003D3390" w:rsidP="0055168A">
      <w:pPr>
        <w:pStyle w:val="ParaNum"/>
        <w:numPr>
          <w:ilvl w:val="0"/>
          <w:numId w:val="15"/>
        </w:numPr>
        <w:ind w:left="1080" w:right="720"/>
      </w:pPr>
      <w:r>
        <w:rPr>
          <w:i/>
        </w:rPr>
        <w:t xml:space="preserve">Consumer access to </w:t>
      </w:r>
      <w:r w:rsidR="0055168A">
        <w:rPr>
          <w:i/>
        </w:rPr>
        <w:t>multiple MVPDs.</w:t>
      </w:r>
      <w:r w:rsidR="0055168A">
        <w:t xml:space="preserve">  Approximately 99.7 percent of homes in the U.S. have access to at least three MVPDs, and nearly 35 percent have access to at least four MVPDs.</w:t>
      </w:r>
      <w:r w:rsidR="0055168A">
        <w:rPr>
          <w:rStyle w:val="FootnoteReference"/>
        </w:rPr>
        <w:footnoteReference w:id="28"/>
      </w:r>
    </w:p>
    <w:p w14:paraId="250B9900" w14:textId="1254BFC8" w:rsidR="00726346" w:rsidRPr="00726346" w:rsidRDefault="00D35628" w:rsidP="00736410">
      <w:pPr>
        <w:pStyle w:val="ParaNum"/>
        <w:numPr>
          <w:ilvl w:val="0"/>
          <w:numId w:val="0"/>
        </w:numPr>
        <w:ind w:right="720"/>
      </w:pPr>
      <w:r>
        <w:t>As described in</w:t>
      </w:r>
      <w:r w:rsidR="00AD1383">
        <w:t xml:space="preserve"> the NPRM</w:t>
      </w:r>
      <w:r w:rsidR="00736410">
        <w:t xml:space="preserve">, the Commission has </w:t>
      </w:r>
      <w:r w:rsidR="008F5B13">
        <w:t>found</w:t>
      </w:r>
      <w:r w:rsidR="00736410">
        <w:t xml:space="preserve"> Effective Competition in more than 99.5 percent of the communities</w:t>
      </w:r>
      <w:r w:rsidR="00AD1383">
        <w:t xml:space="preserve"> </w:t>
      </w:r>
      <w:r w:rsidR="00736410">
        <w:t>evaluated since the start of 2013</w:t>
      </w:r>
      <w:r w:rsidR="00AD1383">
        <w:t>.</w:t>
      </w:r>
      <w:r w:rsidR="00AD1383">
        <w:rPr>
          <w:rStyle w:val="FootnoteReference"/>
        </w:rPr>
        <w:footnoteReference w:id="29"/>
      </w:r>
      <w:r w:rsidR="00736410">
        <w:t xml:space="preserve">  </w:t>
      </w:r>
      <w:r w:rsidR="00726346" w:rsidRPr="00726346">
        <w:rPr>
          <w:szCs w:val="22"/>
        </w:rPr>
        <w:t>As stated in the NPRM, t</w:t>
      </w:r>
      <w:r w:rsidR="00480477" w:rsidRPr="00726346">
        <w:rPr>
          <w:szCs w:val="22"/>
        </w:rPr>
        <w:t xml:space="preserve">he Commission </w:t>
      </w:r>
      <w:r w:rsidR="004B3814" w:rsidRPr="00726346">
        <w:rPr>
          <w:szCs w:val="22"/>
        </w:rPr>
        <w:t xml:space="preserve">has </w:t>
      </w:r>
      <w:r w:rsidR="00CD6F17" w:rsidRPr="00726346">
        <w:rPr>
          <w:szCs w:val="22"/>
        </w:rPr>
        <w:t>issued</w:t>
      </w:r>
      <w:r w:rsidR="00493A8B" w:rsidRPr="00726346">
        <w:rPr>
          <w:szCs w:val="22"/>
        </w:rPr>
        <w:t xml:space="preserve"> affirmative findings of </w:t>
      </w:r>
      <w:r w:rsidR="003D3967">
        <w:rPr>
          <w:szCs w:val="22"/>
        </w:rPr>
        <w:t>E</w:t>
      </w:r>
      <w:r w:rsidR="00493A8B" w:rsidRPr="00726346">
        <w:rPr>
          <w:szCs w:val="22"/>
        </w:rPr>
        <w:t xml:space="preserve">ffective </w:t>
      </w:r>
      <w:r w:rsidR="003D3967">
        <w:rPr>
          <w:szCs w:val="22"/>
        </w:rPr>
        <w:t>C</w:t>
      </w:r>
      <w:r w:rsidR="00493A8B" w:rsidRPr="00726346">
        <w:rPr>
          <w:szCs w:val="22"/>
        </w:rPr>
        <w:t xml:space="preserve">ompetition </w:t>
      </w:r>
      <w:r w:rsidR="00CD6F17" w:rsidRPr="00726346">
        <w:rPr>
          <w:szCs w:val="22"/>
        </w:rPr>
        <w:t>in</w:t>
      </w:r>
      <w:r w:rsidR="004B3814" w:rsidRPr="00726346">
        <w:rPr>
          <w:szCs w:val="22"/>
        </w:rPr>
        <w:t xml:space="preserve"> the country’s largest cities</w:t>
      </w:r>
      <w:r w:rsidR="00CD6F17" w:rsidRPr="00726346">
        <w:rPr>
          <w:szCs w:val="22"/>
        </w:rPr>
        <w:t>,</w:t>
      </w:r>
      <w:r w:rsidR="00480477" w:rsidRPr="00726346">
        <w:rPr>
          <w:szCs w:val="22"/>
        </w:rPr>
        <w:t xml:space="preserve"> </w:t>
      </w:r>
      <w:r w:rsidR="001558CE">
        <w:rPr>
          <w:szCs w:val="22"/>
        </w:rPr>
        <w:t xml:space="preserve">in its </w:t>
      </w:r>
      <w:r w:rsidR="00B92DCC" w:rsidRPr="00726346">
        <w:rPr>
          <w:szCs w:val="22"/>
        </w:rPr>
        <w:t>suburban areas</w:t>
      </w:r>
      <w:r w:rsidR="00FC65A4" w:rsidRPr="00726346">
        <w:rPr>
          <w:szCs w:val="22"/>
        </w:rPr>
        <w:t>,</w:t>
      </w:r>
      <w:r w:rsidR="00B92DCC" w:rsidRPr="00726346">
        <w:rPr>
          <w:szCs w:val="22"/>
        </w:rPr>
        <w:t xml:space="preserve"> </w:t>
      </w:r>
      <w:r w:rsidR="00CD6F17" w:rsidRPr="00726346">
        <w:rPr>
          <w:szCs w:val="22"/>
        </w:rPr>
        <w:t>and</w:t>
      </w:r>
      <w:r w:rsidR="00B92DCC" w:rsidRPr="00726346">
        <w:rPr>
          <w:szCs w:val="22"/>
        </w:rPr>
        <w:t xml:space="preserve"> </w:t>
      </w:r>
      <w:r w:rsidR="001558CE">
        <w:rPr>
          <w:szCs w:val="22"/>
        </w:rPr>
        <w:t>in its</w:t>
      </w:r>
      <w:r w:rsidR="00B92DCC" w:rsidRPr="00726346">
        <w:rPr>
          <w:szCs w:val="22"/>
        </w:rPr>
        <w:t xml:space="preserve"> rural areas where </w:t>
      </w:r>
      <w:r w:rsidR="00DB7951" w:rsidRPr="00726346">
        <w:rPr>
          <w:szCs w:val="22"/>
        </w:rPr>
        <w:t xml:space="preserve">subscription to </w:t>
      </w:r>
      <w:r w:rsidR="00B92DCC" w:rsidRPr="00726346">
        <w:rPr>
          <w:szCs w:val="22"/>
        </w:rPr>
        <w:t>DBS is</w:t>
      </w:r>
      <w:r w:rsidR="00DB7951" w:rsidRPr="00726346">
        <w:rPr>
          <w:szCs w:val="22"/>
        </w:rPr>
        <w:t xml:space="preserve"> </w:t>
      </w:r>
      <w:r w:rsidR="001558CE">
        <w:rPr>
          <w:szCs w:val="22"/>
        </w:rPr>
        <w:t xml:space="preserve">particularly </w:t>
      </w:r>
      <w:r w:rsidR="00DB7951" w:rsidRPr="00726346">
        <w:rPr>
          <w:szCs w:val="22"/>
        </w:rPr>
        <w:t>high</w:t>
      </w:r>
      <w:r w:rsidR="00B92DCC" w:rsidRPr="00726346">
        <w:rPr>
          <w:szCs w:val="22"/>
        </w:rPr>
        <w:t>.</w:t>
      </w:r>
      <w:r w:rsidR="00B92DCC" w:rsidRPr="00726346">
        <w:rPr>
          <w:rStyle w:val="FootnoteReference"/>
          <w:szCs w:val="22"/>
        </w:rPr>
        <w:footnoteReference w:id="30"/>
      </w:r>
    </w:p>
    <w:p w14:paraId="28B4C3C3" w14:textId="24D17ECF" w:rsidR="00726346" w:rsidRPr="00B01C6D" w:rsidRDefault="00D80E4C" w:rsidP="0097673F">
      <w:pPr>
        <w:pStyle w:val="ParaNum"/>
      </w:pPr>
      <w:r>
        <w:rPr>
          <w:szCs w:val="22"/>
        </w:rPr>
        <w:t>T</w:t>
      </w:r>
      <w:r w:rsidR="00726346" w:rsidRPr="00B01C6D">
        <w:rPr>
          <w:szCs w:val="22"/>
        </w:rPr>
        <w:t xml:space="preserve">he Commission </w:t>
      </w:r>
      <w:r w:rsidR="00D35628">
        <w:rPr>
          <w:szCs w:val="22"/>
        </w:rPr>
        <w:t>released</w:t>
      </w:r>
      <w:r w:rsidR="00D35628" w:rsidRPr="00B01C6D">
        <w:rPr>
          <w:szCs w:val="22"/>
        </w:rPr>
        <w:t xml:space="preserve"> </w:t>
      </w:r>
      <w:r w:rsidR="00726346" w:rsidRPr="00B01C6D">
        <w:rPr>
          <w:szCs w:val="22"/>
        </w:rPr>
        <w:t xml:space="preserve">the NPRM in this proceeding seeking comment on adopting a presumption of </w:t>
      </w:r>
      <w:r w:rsidR="003D3967">
        <w:rPr>
          <w:szCs w:val="22"/>
        </w:rPr>
        <w:t>C</w:t>
      </w:r>
      <w:r w:rsidR="00726346" w:rsidRPr="00B01C6D">
        <w:rPr>
          <w:szCs w:val="22"/>
        </w:rPr>
        <w:t xml:space="preserve">ompeting </w:t>
      </w:r>
      <w:r w:rsidR="003D3967">
        <w:rPr>
          <w:szCs w:val="22"/>
        </w:rPr>
        <w:t>P</w:t>
      </w:r>
      <w:r w:rsidR="00726346" w:rsidRPr="00B01C6D">
        <w:rPr>
          <w:szCs w:val="22"/>
        </w:rPr>
        <w:t xml:space="preserve">rovider </w:t>
      </w:r>
      <w:r w:rsidR="003D3967">
        <w:rPr>
          <w:szCs w:val="22"/>
        </w:rPr>
        <w:t>E</w:t>
      </w:r>
      <w:r w:rsidR="00726346" w:rsidRPr="00B01C6D">
        <w:rPr>
          <w:szCs w:val="22"/>
        </w:rPr>
        <w:t xml:space="preserve">ffective </w:t>
      </w:r>
      <w:r w:rsidR="003D3967">
        <w:rPr>
          <w:szCs w:val="22"/>
        </w:rPr>
        <w:t>C</w:t>
      </w:r>
      <w:r w:rsidR="00726346" w:rsidRPr="00B01C6D">
        <w:rPr>
          <w:szCs w:val="22"/>
        </w:rPr>
        <w:t>ompetition.</w:t>
      </w:r>
      <w:r w:rsidR="00B01C6D">
        <w:rPr>
          <w:szCs w:val="22"/>
        </w:rPr>
        <w:t xml:space="preserve">  The Commission sought to </w:t>
      </w:r>
      <w:r w:rsidR="00BF7B4A">
        <w:rPr>
          <w:szCs w:val="22"/>
        </w:rPr>
        <w:t xml:space="preserve">establish a streamlined </w:t>
      </w:r>
      <w:r w:rsidR="00BC4B1A">
        <w:rPr>
          <w:szCs w:val="22"/>
        </w:rPr>
        <w:t xml:space="preserve">Effective Competition </w:t>
      </w:r>
      <w:r w:rsidR="00BF7B4A">
        <w:rPr>
          <w:szCs w:val="22"/>
        </w:rPr>
        <w:t xml:space="preserve">process for small cable operators and to </w:t>
      </w:r>
      <w:r w:rsidR="00B01C6D">
        <w:rPr>
          <w:szCs w:val="22"/>
        </w:rPr>
        <w:t xml:space="preserve">adopt policies that would reduce unnecessary regulatory burdens on </w:t>
      </w:r>
      <w:r>
        <w:rPr>
          <w:szCs w:val="22"/>
        </w:rPr>
        <w:t xml:space="preserve">the </w:t>
      </w:r>
      <w:r w:rsidR="00B01C6D">
        <w:rPr>
          <w:szCs w:val="22"/>
        </w:rPr>
        <w:t xml:space="preserve">industry </w:t>
      </w:r>
      <w:r>
        <w:rPr>
          <w:szCs w:val="22"/>
        </w:rPr>
        <w:t>as a whole</w:t>
      </w:r>
      <w:r w:rsidR="00B01C6D">
        <w:rPr>
          <w:szCs w:val="22"/>
        </w:rPr>
        <w:t xml:space="preserve"> while ensuring the most efficient use of Commission resources.</w:t>
      </w:r>
      <w:r w:rsidR="00B01C6D">
        <w:rPr>
          <w:rStyle w:val="FootnoteReference"/>
          <w:szCs w:val="22"/>
        </w:rPr>
        <w:footnoteReference w:id="31"/>
      </w:r>
    </w:p>
    <w:p w14:paraId="27790B92" w14:textId="77777777" w:rsidR="00B92DCC" w:rsidRPr="003878E9" w:rsidRDefault="005A3C98" w:rsidP="00B92DCC">
      <w:pPr>
        <w:pStyle w:val="Heading1"/>
      </w:pPr>
      <w:bookmarkStart w:id="45" w:name="_Toc396124441"/>
      <w:bookmarkStart w:id="46" w:name="_Toc396136520"/>
      <w:bookmarkStart w:id="47" w:name="_Toc396213551"/>
      <w:bookmarkStart w:id="48" w:name="_Toc396298469"/>
      <w:bookmarkStart w:id="49" w:name="_Toc402525573"/>
      <w:bookmarkStart w:id="50" w:name="_Toc404083768"/>
      <w:bookmarkStart w:id="51" w:name="_Toc404594690"/>
      <w:bookmarkStart w:id="52" w:name="_Toc407963502"/>
      <w:bookmarkStart w:id="53" w:name="_Toc408297247"/>
      <w:bookmarkStart w:id="54" w:name="_Toc411603971"/>
      <w:bookmarkStart w:id="55" w:name="_Toc414027004"/>
      <w:bookmarkStart w:id="56" w:name="_Toc414969749"/>
      <w:bookmarkStart w:id="57" w:name="_Toc415493385"/>
      <w:bookmarkStart w:id="58" w:name="_Toc418166670"/>
      <w:bookmarkStart w:id="59" w:name="_Toc418498897"/>
      <w:bookmarkStart w:id="60" w:name="_Toc418677548"/>
      <w:bookmarkStart w:id="61" w:name="_Toc418753393"/>
      <w:bookmarkStart w:id="62" w:name="_Toc419276608"/>
      <w:r w:rsidRPr="003878E9">
        <w:t>discussion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69BDB6E1" w14:textId="77F6D1CE" w:rsidR="00215C67" w:rsidRPr="003878E9" w:rsidRDefault="00F72E14" w:rsidP="00215C67">
      <w:pPr>
        <w:pStyle w:val="Heading2"/>
      </w:pPr>
      <w:bookmarkStart w:id="63" w:name="_Toc396124442"/>
      <w:bookmarkStart w:id="64" w:name="_Toc396136521"/>
      <w:bookmarkStart w:id="65" w:name="_Toc396213552"/>
      <w:bookmarkStart w:id="66" w:name="_Toc396298470"/>
      <w:bookmarkStart w:id="67" w:name="_Toc402525574"/>
      <w:bookmarkStart w:id="68" w:name="_Toc404083769"/>
      <w:bookmarkStart w:id="69" w:name="_Toc404594691"/>
      <w:bookmarkStart w:id="70" w:name="_Toc407963503"/>
      <w:bookmarkStart w:id="71" w:name="_Toc408297248"/>
      <w:bookmarkStart w:id="72" w:name="_Toc411603972"/>
      <w:bookmarkStart w:id="73" w:name="_Toc414027005"/>
      <w:bookmarkStart w:id="74" w:name="_Toc414969750"/>
      <w:bookmarkStart w:id="75" w:name="_Toc415493386"/>
      <w:bookmarkStart w:id="76" w:name="_Toc418166671"/>
      <w:bookmarkStart w:id="77" w:name="_Toc418498898"/>
      <w:bookmarkStart w:id="78" w:name="_Toc418677549"/>
      <w:bookmarkStart w:id="79" w:name="_Toc418753394"/>
      <w:bookmarkStart w:id="80" w:name="_Toc419276609"/>
      <w:r>
        <w:t xml:space="preserve">Rebuttable </w:t>
      </w:r>
      <w:r w:rsidR="00215C67" w:rsidRPr="003878E9">
        <w:t>Presumption that Cable Systems are Subject to Effective Competition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7ACD7FF8" w14:textId="23244102" w:rsidR="00CF2F33" w:rsidRDefault="003878E9" w:rsidP="003E4B62">
      <w:pPr>
        <w:pStyle w:val="ParaNum"/>
      </w:pPr>
      <w:r w:rsidRPr="003878E9">
        <w:t xml:space="preserve">We adopt a </w:t>
      </w:r>
      <w:r w:rsidR="00F72E14">
        <w:t xml:space="preserve">rebuttable </w:t>
      </w:r>
      <w:r w:rsidRPr="003878E9">
        <w:t xml:space="preserve">presumption that cable operators are subject to </w:t>
      </w:r>
      <w:r w:rsidR="003D3967">
        <w:t>C</w:t>
      </w:r>
      <w:r w:rsidRPr="003878E9">
        <w:t xml:space="preserve">ompeting </w:t>
      </w:r>
      <w:r w:rsidR="003D3967">
        <w:t>P</w:t>
      </w:r>
      <w:r w:rsidRPr="003878E9">
        <w:t xml:space="preserve">rovider </w:t>
      </w:r>
      <w:r w:rsidR="003D3967">
        <w:t>E</w:t>
      </w:r>
      <w:r w:rsidRPr="003878E9">
        <w:t xml:space="preserve">ffective </w:t>
      </w:r>
      <w:r w:rsidR="003D3967">
        <w:t>C</w:t>
      </w:r>
      <w:r w:rsidRPr="003878E9">
        <w:t xml:space="preserve">ompetition, finding that such an approach is </w:t>
      </w:r>
      <w:r w:rsidR="00D80E4C">
        <w:t>warranted</w:t>
      </w:r>
      <w:r w:rsidRPr="003878E9">
        <w:t xml:space="preserve"> by market changes since the Commission adopted the presumption of no </w:t>
      </w:r>
      <w:r w:rsidR="003D3967">
        <w:t>E</w:t>
      </w:r>
      <w:r w:rsidRPr="003878E9">
        <w:t xml:space="preserve">ffective </w:t>
      </w:r>
      <w:r w:rsidR="003D3967">
        <w:t>C</w:t>
      </w:r>
      <w:r w:rsidRPr="003878E9">
        <w:t>ompetition</w:t>
      </w:r>
      <w:r w:rsidR="005A7A92">
        <w:t xml:space="preserve"> over 20 years ago</w:t>
      </w:r>
      <w:r w:rsidRPr="003878E9">
        <w:t>.</w:t>
      </w:r>
      <w:r w:rsidR="007B02BE">
        <w:rPr>
          <w:rStyle w:val="FootnoteReference"/>
        </w:rPr>
        <w:footnoteReference w:id="32"/>
      </w:r>
      <w:r>
        <w:t xml:space="preserve">  </w:t>
      </w:r>
      <w:r w:rsidR="002D7B62">
        <w:t>When the Commission adopted the presumption of no Effective Competition, incumbent cable operators had approximately a 95 percent market share of MVPD subscribers and only a single cable operator served the local franchise area in the vast majority of franchise areas, which is very different from today’s marketplace.</w:t>
      </w:r>
      <w:r w:rsidR="002D7B62">
        <w:rPr>
          <w:rStyle w:val="FootnoteReference"/>
        </w:rPr>
        <w:footnoteReference w:id="33"/>
      </w:r>
      <w:r w:rsidR="002D7B62">
        <w:t xml:space="preserve">  </w:t>
      </w:r>
      <w:r w:rsidR="006B06FD" w:rsidRPr="003E4B62">
        <w:t xml:space="preserve">As explained above, </w:t>
      </w:r>
      <w:r w:rsidR="003E4B62" w:rsidRPr="003E4B62">
        <w:t>the two-</w:t>
      </w:r>
      <w:r w:rsidR="003E4B62">
        <w:t>prong</w:t>
      </w:r>
      <w:r w:rsidR="00D35628">
        <w:t>ed</w:t>
      </w:r>
      <w:r w:rsidR="003E4B62" w:rsidRPr="003E4B62">
        <w:t xml:space="preserve"> test for </w:t>
      </w:r>
      <w:r w:rsidR="006B06FD" w:rsidRPr="003E4B62">
        <w:t xml:space="preserve">a finding of </w:t>
      </w:r>
      <w:r w:rsidR="003D3967">
        <w:t>C</w:t>
      </w:r>
      <w:r w:rsidR="006B06FD" w:rsidRPr="003E4B62">
        <w:t xml:space="preserve">ompeting </w:t>
      </w:r>
      <w:r w:rsidR="003D3967">
        <w:t>P</w:t>
      </w:r>
      <w:r w:rsidR="006B06FD" w:rsidRPr="003E4B62">
        <w:t xml:space="preserve">rovider </w:t>
      </w:r>
      <w:r w:rsidR="003D3967">
        <w:t>E</w:t>
      </w:r>
      <w:r w:rsidR="006B06FD" w:rsidRPr="003E4B62">
        <w:t xml:space="preserve">ffective </w:t>
      </w:r>
      <w:r w:rsidR="003D3967">
        <w:t>C</w:t>
      </w:r>
      <w:r w:rsidR="006B06FD" w:rsidRPr="003E4B62">
        <w:t>ompetition requires that (1) the franchise area is “served by at least two unaffiliated [MVPDs] each of which offers comparable video programming to at least 50 percent of the households in the franchise area;” and (2) “the number of households subscribing to programming services offered by [MVPDs] other than the largest [MVPD] exceeds 15 percent of the households in the franchise area.”</w:t>
      </w:r>
      <w:r w:rsidR="006B06FD" w:rsidRPr="003E4B62">
        <w:rPr>
          <w:rStyle w:val="FootnoteReference"/>
        </w:rPr>
        <w:footnoteReference w:id="34"/>
      </w:r>
      <w:r w:rsidR="006B06FD" w:rsidRPr="003E4B62">
        <w:t xml:space="preserve">  </w:t>
      </w:r>
      <w:r w:rsidR="003E4B62" w:rsidRPr="003E4B62">
        <w:t>Below we explain how t</w:t>
      </w:r>
      <w:r w:rsidR="005E377A" w:rsidRPr="003E4B62">
        <w:t xml:space="preserve">he current state of competition in the MVPD </w:t>
      </w:r>
      <w:r w:rsidR="00B95958" w:rsidRPr="003E4B62">
        <w:t>marketplace</w:t>
      </w:r>
      <w:r w:rsidR="003E4B62" w:rsidRPr="003E4B62">
        <w:t>, particularly with regard to DBS,</w:t>
      </w:r>
      <w:r w:rsidR="005E377A" w:rsidRPr="003E4B62">
        <w:t xml:space="preserve"> support</w:t>
      </w:r>
      <w:r w:rsidR="00076D22" w:rsidRPr="003E4B62">
        <w:t>s</w:t>
      </w:r>
      <w:r w:rsidR="005E377A" w:rsidRPr="003E4B62">
        <w:t xml:space="preserve"> </w:t>
      </w:r>
      <w:r w:rsidR="006B06FD" w:rsidRPr="003E4B62">
        <w:t>a</w:t>
      </w:r>
      <w:r w:rsidR="005E377A" w:rsidRPr="003E4B62">
        <w:t xml:space="preserve"> rebuttable presumption</w:t>
      </w:r>
      <w:r w:rsidR="006B06FD" w:rsidRPr="003E4B62">
        <w:t xml:space="preserve"> that the two-part test is </w:t>
      </w:r>
      <w:r w:rsidR="006B06FD" w:rsidRPr="00CA5C95">
        <w:t>met</w:t>
      </w:r>
      <w:r w:rsidR="00076D22" w:rsidRPr="00CA5C95">
        <w:t>.</w:t>
      </w:r>
      <w:r w:rsidR="003C2DD4" w:rsidRPr="00CA5C95">
        <w:t xml:space="preserve">  </w:t>
      </w:r>
    </w:p>
    <w:p w14:paraId="2BAD3003" w14:textId="53ACBE09" w:rsidR="00BF0E37" w:rsidRPr="00BF0E37" w:rsidRDefault="00CA5C95" w:rsidP="003E4B62">
      <w:pPr>
        <w:pStyle w:val="ParaNum"/>
      </w:pPr>
      <w:r w:rsidRPr="00CA5C95">
        <w:t>At</w:t>
      </w:r>
      <w:r>
        <w:t xml:space="preserve"> the outset</w:t>
      </w:r>
      <w:r w:rsidR="005A7A92">
        <w:t>,</w:t>
      </w:r>
      <w:r>
        <w:t xml:space="preserve"> we note that out of the </w:t>
      </w:r>
      <w:r w:rsidR="00EE765E">
        <w:t>1,440</w:t>
      </w:r>
      <w:r w:rsidR="00AD1383">
        <w:t xml:space="preserve"> Community Unit Identification Numbers</w:t>
      </w:r>
      <w:r>
        <w:rPr>
          <w:b/>
        </w:rPr>
        <w:t xml:space="preserve"> </w:t>
      </w:r>
      <w:r w:rsidR="00AD1383">
        <w:t>(“</w:t>
      </w:r>
      <w:r>
        <w:t>CUIDs</w:t>
      </w:r>
      <w:r w:rsidR="00AD1383">
        <w:t>”)</w:t>
      </w:r>
      <w:r w:rsidR="00AD1383">
        <w:rPr>
          <w:rStyle w:val="FootnoteReference"/>
        </w:rPr>
        <w:footnoteReference w:id="35"/>
      </w:r>
      <w:r>
        <w:t xml:space="preserve"> for which the Commission has made an </w:t>
      </w:r>
      <w:r w:rsidR="003D3967">
        <w:t>E</w:t>
      </w:r>
      <w:r>
        <w:t xml:space="preserve">ffective </w:t>
      </w:r>
      <w:r w:rsidR="003D3967">
        <w:t>C</w:t>
      </w:r>
      <w:r>
        <w:t xml:space="preserve">ompetition determination since the start of 2013, it found that </w:t>
      </w:r>
      <w:r w:rsidR="00EE765E" w:rsidRPr="00EE765E">
        <w:t>1,</w:t>
      </w:r>
      <w:r w:rsidR="00EE765E">
        <w:t>433</w:t>
      </w:r>
      <w:r>
        <w:rPr>
          <w:b/>
        </w:rPr>
        <w:t xml:space="preserve"> </w:t>
      </w:r>
      <w:r>
        <w:t xml:space="preserve">CUIDs </w:t>
      </w:r>
      <w:r w:rsidR="00EE765E">
        <w:t xml:space="preserve">(or more than 99.5 percent of the CUIDs evaluated) </w:t>
      </w:r>
      <w:r>
        <w:t xml:space="preserve">have satisfied </w:t>
      </w:r>
      <w:r w:rsidR="00EE765E">
        <w:t>one of the statutory Effective Competition tests</w:t>
      </w:r>
      <w:r>
        <w:t>.</w:t>
      </w:r>
      <w:r w:rsidR="00C92EE1">
        <w:rPr>
          <w:rStyle w:val="FootnoteReference"/>
        </w:rPr>
        <w:footnoteReference w:id="36"/>
      </w:r>
      <w:r w:rsidR="007F613E">
        <w:t xml:space="preserve">  </w:t>
      </w:r>
      <w:r w:rsidR="00EE765E">
        <w:t xml:space="preserve">For the vast majority of the CUIDs evaluated (1,150, or </w:t>
      </w:r>
      <w:r w:rsidR="007E55AB">
        <w:t>approximately</w:t>
      </w:r>
      <w:r w:rsidR="00EE765E">
        <w:t xml:space="preserve"> 80 percent), this decision was based on </w:t>
      </w:r>
      <w:r w:rsidR="00A14369">
        <w:t>C</w:t>
      </w:r>
      <w:r w:rsidR="00EE765E">
        <w:t xml:space="preserve">ompeting </w:t>
      </w:r>
      <w:r w:rsidR="00A14369">
        <w:t>P</w:t>
      </w:r>
      <w:r w:rsidR="00EE765E">
        <w:t xml:space="preserve">rovider </w:t>
      </w:r>
      <w:r w:rsidR="00A14369">
        <w:t>E</w:t>
      </w:r>
      <w:r w:rsidR="00EE765E">
        <w:t xml:space="preserve">ffective </w:t>
      </w:r>
      <w:r w:rsidR="00A14369">
        <w:t>C</w:t>
      </w:r>
      <w:r w:rsidR="00EE765E">
        <w:t>ompetition.</w:t>
      </w:r>
      <w:r w:rsidR="00EE765E">
        <w:rPr>
          <w:rStyle w:val="FootnoteReference"/>
        </w:rPr>
        <w:footnoteReference w:id="37"/>
      </w:r>
      <w:r w:rsidR="00EE765E">
        <w:t xml:space="preserve">  </w:t>
      </w:r>
      <w:r w:rsidR="00A75F8C" w:rsidRPr="0097673F">
        <w:rPr>
          <w:szCs w:val="22"/>
        </w:rPr>
        <w:t xml:space="preserve">Franchising authorities filed oppositions to only </w:t>
      </w:r>
      <w:r w:rsidR="00A75F8C">
        <w:rPr>
          <w:szCs w:val="22"/>
        </w:rPr>
        <w:t>18</w:t>
      </w:r>
      <w:r w:rsidR="00A75F8C" w:rsidRPr="0097673F">
        <w:rPr>
          <w:szCs w:val="22"/>
        </w:rPr>
        <w:t xml:space="preserve"> (or </w:t>
      </w:r>
      <w:r w:rsidR="00A75F8C">
        <w:rPr>
          <w:szCs w:val="22"/>
        </w:rPr>
        <w:t>less than 8</w:t>
      </w:r>
      <w:r w:rsidR="00A75F8C" w:rsidRPr="0097673F">
        <w:rPr>
          <w:szCs w:val="22"/>
        </w:rPr>
        <w:t xml:space="preserve"> percent) of the </w:t>
      </w:r>
      <w:r w:rsidR="009A14AF">
        <w:rPr>
          <w:szCs w:val="22"/>
        </w:rPr>
        <w:t xml:space="preserve">total of </w:t>
      </w:r>
      <w:r w:rsidR="00A75F8C">
        <w:rPr>
          <w:szCs w:val="22"/>
        </w:rPr>
        <w:t>228</w:t>
      </w:r>
      <w:r w:rsidR="00A75F8C" w:rsidRPr="0097673F">
        <w:rPr>
          <w:szCs w:val="22"/>
        </w:rPr>
        <w:t xml:space="preserve"> </w:t>
      </w:r>
      <w:r w:rsidR="009A14AF">
        <w:rPr>
          <w:szCs w:val="22"/>
        </w:rPr>
        <w:t xml:space="preserve">Effective Competition </w:t>
      </w:r>
      <w:r w:rsidR="00A75F8C" w:rsidRPr="0097673F">
        <w:rPr>
          <w:szCs w:val="22"/>
        </w:rPr>
        <w:t>petitions</w:t>
      </w:r>
      <w:r w:rsidR="00A75F8C">
        <w:rPr>
          <w:szCs w:val="22"/>
        </w:rPr>
        <w:t xml:space="preserve"> </w:t>
      </w:r>
      <w:r w:rsidR="00F17BBA">
        <w:rPr>
          <w:szCs w:val="22"/>
        </w:rPr>
        <w:t>considered</w:t>
      </w:r>
      <w:r w:rsidR="00A75F8C">
        <w:rPr>
          <w:szCs w:val="22"/>
        </w:rPr>
        <w:t xml:space="preserve"> during this timeframe</w:t>
      </w:r>
      <w:r w:rsidR="00A75F8C" w:rsidRPr="0097673F">
        <w:rPr>
          <w:szCs w:val="22"/>
        </w:rPr>
        <w:t>.</w:t>
      </w:r>
      <w:r w:rsidR="00A75F8C">
        <w:rPr>
          <w:rStyle w:val="FootnoteReference"/>
          <w:szCs w:val="22"/>
        </w:rPr>
        <w:footnoteReference w:id="38"/>
      </w:r>
      <w:r w:rsidR="00A75F8C" w:rsidRPr="0097673F">
        <w:rPr>
          <w:szCs w:val="22"/>
        </w:rPr>
        <w:t xml:space="preserve">  </w:t>
      </w:r>
      <w:r w:rsidR="007F613E">
        <w:t xml:space="preserve">Some commenters object to an analysis of data based on filed Effective Competition petitions, </w:t>
      </w:r>
      <w:r w:rsidR="007F613E" w:rsidRPr="001A745B">
        <w:t>asserting that cable operators do not file petitions where they know the filings would be denied based on a lack of Effective Competition</w:t>
      </w:r>
      <w:r w:rsidR="007F613E">
        <w:t>.</w:t>
      </w:r>
      <w:r w:rsidR="007F613E">
        <w:rPr>
          <w:rStyle w:val="FootnoteReference"/>
        </w:rPr>
        <w:footnoteReference w:id="39"/>
      </w:r>
      <w:r w:rsidR="007F613E">
        <w:t xml:space="preserve">  </w:t>
      </w:r>
      <w:r w:rsidR="009A14AF">
        <w:t>Howe</w:t>
      </w:r>
      <w:r w:rsidR="00E27B37">
        <w:t>v</w:t>
      </w:r>
      <w:r w:rsidR="009A14AF">
        <w:t>er, g</w:t>
      </w:r>
      <w:r w:rsidR="00E27B37">
        <w:t>iven data that indicates a ubiquitous DBS presence nationwide</w:t>
      </w:r>
      <w:r w:rsidR="00EA3F27">
        <w:t>,</w:t>
      </w:r>
      <w:r w:rsidR="00EA2C6B">
        <w:rPr>
          <w:rStyle w:val="FootnoteReference"/>
        </w:rPr>
        <w:footnoteReference w:id="40"/>
      </w:r>
      <w:r w:rsidR="00EA3F27">
        <w:t xml:space="preserve"> w</w:t>
      </w:r>
      <w:r w:rsidR="007F613E">
        <w:t xml:space="preserve">e </w:t>
      </w:r>
      <w:r w:rsidR="001B1D18">
        <w:t xml:space="preserve">have no reason to </w:t>
      </w:r>
      <w:r w:rsidR="00EA3F27">
        <w:t>believe that</w:t>
      </w:r>
      <w:r w:rsidR="00AE5EFA">
        <w:t xml:space="preserve"> </w:t>
      </w:r>
      <w:r w:rsidR="001B1D18">
        <w:t xml:space="preserve">the number of Effective Competition petitions granted in recent years is not representative of the marketplace on the whole.  Marketplace realities cause us to believe that in nearly all communities </w:t>
      </w:r>
      <w:r w:rsidR="001B1D18" w:rsidRPr="001B1D18">
        <w:t>where</w:t>
      </w:r>
      <w:r w:rsidR="001D5F29" w:rsidRPr="001B1D18">
        <w:t xml:space="preserve"> </w:t>
      </w:r>
      <w:r w:rsidR="00AE5EFA" w:rsidRPr="001B1D18">
        <w:t xml:space="preserve">cable operators </w:t>
      </w:r>
      <w:r w:rsidR="001B1D18" w:rsidRPr="00514088">
        <w:t>have</w:t>
      </w:r>
      <w:r w:rsidR="001D5F29" w:rsidRPr="001B1D18">
        <w:t xml:space="preserve"> </w:t>
      </w:r>
      <w:r w:rsidR="00AE5EFA" w:rsidRPr="001B1D18">
        <w:t>decline</w:t>
      </w:r>
      <w:r w:rsidR="001B1D18" w:rsidRPr="00514088">
        <w:t>d</w:t>
      </w:r>
      <w:r w:rsidR="00AE5EFA" w:rsidRPr="001B1D18">
        <w:t xml:space="preserve"> to file Effective Competition petition</w:t>
      </w:r>
      <w:r w:rsidR="001D5F29" w:rsidRPr="001B1D18">
        <w:t>s</w:t>
      </w:r>
      <w:r w:rsidR="001B1D18" w:rsidRPr="00514088">
        <w:t xml:space="preserve">, Effective Competition is present but the cable operator has not found it worthwhile to undertake the expense of filing an Effective Competition petition, perhaps because </w:t>
      </w:r>
      <w:r w:rsidR="00AE5EFA">
        <w:t xml:space="preserve">the </w:t>
      </w:r>
      <w:r w:rsidR="00737EFA">
        <w:t xml:space="preserve">vast </w:t>
      </w:r>
      <w:r w:rsidR="00AE5EFA">
        <w:t xml:space="preserve">majority of franchising authorities have chosen not to </w:t>
      </w:r>
      <w:r w:rsidR="00AE5EFA" w:rsidRPr="00BF0E37">
        <w:t>regulate rates despite the existing presumption of no Effective Competition</w:t>
      </w:r>
      <w:r w:rsidR="00737EFA" w:rsidRPr="00BF0E37">
        <w:t>.</w:t>
      </w:r>
      <w:r w:rsidR="00AE5EFA" w:rsidRPr="00BF0E37">
        <w:rPr>
          <w:rStyle w:val="FootnoteReference"/>
        </w:rPr>
        <w:footnoteReference w:id="41"/>
      </w:r>
    </w:p>
    <w:p w14:paraId="00290154" w14:textId="250353B6" w:rsidR="00637086" w:rsidRPr="00E4657D" w:rsidRDefault="003C2DD4">
      <w:pPr>
        <w:pStyle w:val="ParaNum"/>
      </w:pPr>
      <w:r w:rsidRPr="00BF0E37">
        <w:t xml:space="preserve">With regard to the first prong of the </w:t>
      </w:r>
      <w:r w:rsidR="007F613E" w:rsidRPr="00BF0E37">
        <w:t>Competing Provider Effective Competition t</w:t>
      </w:r>
      <w:r w:rsidRPr="00BF0E37">
        <w:t>est</w:t>
      </w:r>
      <w:r w:rsidR="00AD0A00" w:rsidRPr="00BF0E37">
        <w:t xml:space="preserve"> as </w:t>
      </w:r>
      <w:r w:rsidR="00C72F48">
        <w:t>related</w:t>
      </w:r>
      <w:r w:rsidR="00AD0A00" w:rsidRPr="00BF0E37">
        <w:t xml:space="preserve"> to the new presumption</w:t>
      </w:r>
      <w:r w:rsidRPr="00BF0E37">
        <w:t xml:space="preserve">, </w:t>
      </w:r>
      <w:r w:rsidR="00B614D9" w:rsidRPr="00BF0E37">
        <w:t xml:space="preserve">we </w:t>
      </w:r>
      <w:r w:rsidR="00E43818" w:rsidRPr="00BF0E37">
        <w:t>find</w:t>
      </w:r>
      <w:r w:rsidR="00B614D9" w:rsidRPr="00BF0E37">
        <w:t xml:space="preserve"> that </w:t>
      </w:r>
      <w:r w:rsidRPr="00BF0E37">
        <w:t xml:space="preserve">the ubiquitous </w:t>
      </w:r>
      <w:r w:rsidR="002122D4" w:rsidRPr="00BF0E37">
        <w:t xml:space="preserve">nationwide </w:t>
      </w:r>
      <w:r w:rsidRPr="00BF0E37">
        <w:t>presence of DBS providers</w:t>
      </w:r>
      <w:r w:rsidR="005854BC" w:rsidRPr="00BF0E37">
        <w:t>,</w:t>
      </w:r>
      <w:r w:rsidRPr="00BF0E37">
        <w:t xml:space="preserve"> DIRECTV and D</w:t>
      </w:r>
      <w:r w:rsidR="00297490" w:rsidRPr="00BF0E37">
        <w:t>ISH</w:t>
      </w:r>
      <w:r w:rsidRPr="00BF0E37">
        <w:t xml:space="preserve"> Network</w:t>
      </w:r>
      <w:r w:rsidR="005854BC" w:rsidRPr="00BF0E37">
        <w:t>,</w:t>
      </w:r>
      <w:r w:rsidRPr="00BF0E37">
        <w:t xml:space="preserve"> </w:t>
      </w:r>
      <w:r w:rsidR="00BC0287">
        <w:t xml:space="preserve">presumptively </w:t>
      </w:r>
      <w:r w:rsidR="00E439EB" w:rsidRPr="00BF0E37">
        <w:t>satisf</w:t>
      </w:r>
      <w:r w:rsidR="002122D4" w:rsidRPr="00BF0E37">
        <w:t>ies</w:t>
      </w:r>
      <w:r w:rsidRPr="00BF0E37">
        <w:t xml:space="preserve"> the requirement that the franchise area </w:t>
      </w:r>
      <w:r w:rsidR="00C72F48">
        <w:t>be</w:t>
      </w:r>
      <w:r w:rsidRPr="00BF0E37">
        <w:t xml:space="preserve"> served by two unaffiliated MVPDs each of which offers comparable programming to at least 50 percent of the households in the franchise area</w:t>
      </w:r>
      <w:r w:rsidR="005854BC" w:rsidRPr="00BF0E37">
        <w:t>.</w:t>
      </w:r>
      <w:r w:rsidR="00652165" w:rsidRPr="00BF0E37">
        <w:t xml:space="preserve">  </w:t>
      </w:r>
      <w:r w:rsidR="004340D0" w:rsidRPr="00BF0E37">
        <w:t xml:space="preserve">Neither DIRECTV nor DISH Network is affiliated with </w:t>
      </w:r>
      <w:r w:rsidR="007B1B63">
        <w:t>each other</w:t>
      </w:r>
      <w:r w:rsidR="004340D0" w:rsidRPr="00BF0E37">
        <w:t>.</w:t>
      </w:r>
      <w:r w:rsidR="00C12C58" w:rsidRPr="00BF0E37">
        <w:rPr>
          <w:rStyle w:val="FootnoteReference"/>
        </w:rPr>
        <w:footnoteReference w:id="42"/>
      </w:r>
      <w:r w:rsidR="004340D0" w:rsidRPr="00BF0E37">
        <w:t xml:space="preserve">  To offer comparable programming, the Commission’s rules provide that a competing MVPD must offer at least 12 channels of video programming, including at least one channel of non-broadcast service programming.</w:t>
      </w:r>
      <w:r w:rsidR="004340D0" w:rsidRPr="00BF0E37">
        <w:rPr>
          <w:rStyle w:val="FootnoteReference"/>
        </w:rPr>
        <w:footnoteReference w:id="43"/>
      </w:r>
      <w:r w:rsidR="004340D0" w:rsidRPr="00BF0E37">
        <w:t xml:space="preserve">  The programming lineups of DIRECTV and DISH Network satisfy this requirement.</w:t>
      </w:r>
      <w:r w:rsidR="004340D0" w:rsidRPr="00BF0E37">
        <w:rPr>
          <w:rStyle w:val="FootnoteReference"/>
        </w:rPr>
        <w:footnoteReference w:id="44"/>
      </w:r>
      <w:r w:rsidR="004340D0" w:rsidRPr="00BF0E37">
        <w:t xml:space="preserve">  </w:t>
      </w:r>
      <w:r w:rsidR="00BC0287">
        <w:t>In addition</w:t>
      </w:r>
      <w:r w:rsidR="004340D0" w:rsidRPr="00BF0E37">
        <w:t xml:space="preserve">, the widespread presence of DIRECTV and DISH Network justifies a rebuttable presumption that they </w:t>
      </w:r>
      <w:r w:rsidR="00BC0287">
        <w:t xml:space="preserve">each </w:t>
      </w:r>
      <w:r w:rsidR="00330322">
        <w:t>offer</w:t>
      </w:r>
      <w:r w:rsidR="00330322" w:rsidRPr="00BF0E37">
        <w:t xml:space="preserve"> </w:t>
      </w:r>
      <w:r w:rsidR="004340D0" w:rsidRPr="00BF0E37">
        <w:t xml:space="preserve">MVPD service to at least 50 percent of households in all franchise areas.  As stated above, </w:t>
      </w:r>
      <w:r w:rsidR="004340D0" w:rsidRPr="00BF0E37">
        <w:rPr>
          <w:szCs w:val="22"/>
        </w:rPr>
        <w:t>DIRECTV provides local broadcast channels to 197 markets representing over 99 percent of U.S. homes, and DISH Network provides local broadcast channels to all 210 markets.</w:t>
      </w:r>
      <w:r w:rsidR="004340D0" w:rsidRPr="00BF0E37">
        <w:rPr>
          <w:rStyle w:val="FootnoteReference"/>
          <w:szCs w:val="22"/>
        </w:rPr>
        <w:footnoteReference w:id="45"/>
      </w:r>
      <w:r w:rsidR="004340D0" w:rsidRPr="00BF0E37">
        <w:rPr>
          <w:szCs w:val="22"/>
        </w:rPr>
        <w:t xml:space="preserve">  In the </w:t>
      </w:r>
      <w:r w:rsidR="00C12C58" w:rsidRPr="00BF0E37">
        <w:rPr>
          <w:szCs w:val="22"/>
        </w:rPr>
        <w:t xml:space="preserve">most </w:t>
      </w:r>
      <w:r w:rsidR="004340D0" w:rsidRPr="00BF0E37">
        <w:rPr>
          <w:szCs w:val="22"/>
        </w:rPr>
        <w:t>recent video competition report, the Commission assumed that DBS MVPDs are available to all homes in the U.S., while recognizing that this slightly overstates the actual availability of DBS.</w:t>
      </w:r>
      <w:r w:rsidR="004340D0" w:rsidRPr="00BF0E37">
        <w:rPr>
          <w:rStyle w:val="FootnoteReference"/>
          <w:szCs w:val="22"/>
        </w:rPr>
        <w:footnoteReference w:id="46"/>
      </w:r>
      <w:r w:rsidR="00637086" w:rsidRPr="00BF0E37">
        <w:rPr>
          <w:szCs w:val="22"/>
        </w:rPr>
        <w:t xml:space="preserve">  Further, the </w:t>
      </w:r>
      <w:r w:rsidR="002122D4" w:rsidRPr="00BF0E37">
        <w:t xml:space="preserve">Commission has held in hundreds of </w:t>
      </w:r>
      <w:r w:rsidR="003D3967" w:rsidRPr="00BF0E37">
        <w:t>C</w:t>
      </w:r>
      <w:r w:rsidR="002122D4" w:rsidRPr="00BF0E37">
        <w:t xml:space="preserve">ompeting </w:t>
      </w:r>
      <w:r w:rsidR="003D3967" w:rsidRPr="00BF0E37">
        <w:t>P</w:t>
      </w:r>
      <w:r w:rsidR="002122D4" w:rsidRPr="00BF0E37">
        <w:t xml:space="preserve">rovider </w:t>
      </w:r>
      <w:r w:rsidR="003D3967" w:rsidRPr="00BF0E37">
        <w:t>E</w:t>
      </w:r>
      <w:r w:rsidR="002122D4" w:rsidRPr="00BF0E37">
        <w:t xml:space="preserve">ffective </w:t>
      </w:r>
      <w:r w:rsidR="003D3967" w:rsidRPr="00BF0E37">
        <w:t>C</w:t>
      </w:r>
      <w:r w:rsidR="002122D4" w:rsidRPr="00BF0E37">
        <w:t>ompetition decisions that the presence of DIRECTV and DISH Network satisfies the first prong of the test.</w:t>
      </w:r>
      <w:r w:rsidR="00391DCD" w:rsidRPr="00BF0E37">
        <w:rPr>
          <w:rStyle w:val="FootnoteReference"/>
        </w:rPr>
        <w:footnoteReference w:id="47"/>
      </w:r>
      <w:r w:rsidR="005854BC" w:rsidRPr="00BF0E37">
        <w:t xml:space="preserve">  </w:t>
      </w:r>
      <w:r w:rsidR="005A7A92">
        <w:t>Notably</w:t>
      </w:r>
      <w:r w:rsidR="00652165" w:rsidRPr="00BF0E37">
        <w:t>, the Commission has never determined that the presence of DIRECTV and D</w:t>
      </w:r>
      <w:r w:rsidR="00DF0A79" w:rsidRPr="00BF0E37">
        <w:t>ISH</w:t>
      </w:r>
      <w:r w:rsidR="00652165" w:rsidRPr="00BF0E37">
        <w:t xml:space="preserve"> Network failed to satisfy the first prong of the competing provid</w:t>
      </w:r>
      <w:r w:rsidR="00637086" w:rsidRPr="00BF0E37">
        <w:t>er test.</w:t>
      </w:r>
    </w:p>
    <w:p w14:paraId="3EF020B3" w14:textId="4B747F8A" w:rsidR="00637086" w:rsidRDefault="00F909FD" w:rsidP="00BB2C57">
      <w:pPr>
        <w:pStyle w:val="ParaNum"/>
        <w:widowControl/>
      </w:pPr>
      <w:r w:rsidRPr="00637086">
        <w:t>With re</w:t>
      </w:r>
      <w:r w:rsidR="00637086">
        <w:t>gard</w:t>
      </w:r>
      <w:r w:rsidRPr="00637086">
        <w:t xml:space="preserve"> to the second prong of the test, we </w:t>
      </w:r>
      <w:r w:rsidR="00637086">
        <w:t>will presume that more than 15 percent of the households in a franchise area subscribe to programming services offered by MVPDs other than the largest MVPD.  Based on the data presented above, on a nationwide basis competitors to incumbent cable operators have captured approximately 34 percent of U.S. households, or more than double the percentage needed to satisfy the second prong of the competing provider test.</w:t>
      </w:r>
      <w:r w:rsidR="00961C47">
        <w:rPr>
          <w:rStyle w:val="FootnoteReference"/>
        </w:rPr>
        <w:footnoteReference w:id="48"/>
      </w:r>
      <w:r w:rsidR="00961C47">
        <w:t xml:space="preserve">  Nationally, DBS service alone has </w:t>
      </w:r>
      <w:r w:rsidR="00D00142">
        <w:t>close to</w:t>
      </w:r>
      <w:r w:rsidR="00961C47">
        <w:t xml:space="preserve"> twice the necessary subscribership.</w:t>
      </w:r>
      <w:r w:rsidR="00961C47">
        <w:rPr>
          <w:rStyle w:val="FootnoteReference"/>
        </w:rPr>
        <w:footnoteReference w:id="49"/>
      </w:r>
      <w:r w:rsidR="00431D41">
        <w:t xml:space="preserve">  Further, NCTA has found that competing MVPDs have a penetration rate of more than 15 percent in each of the 210 Designated Market Areas (“DMAs”) in the United States, and most DMAs have a DBS penetration rate above 20 percent.</w:t>
      </w:r>
      <w:r w:rsidR="00431D41">
        <w:rPr>
          <w:rStyle w:val="FootnoteReference"/>
        </w:rPr>
        <w:footnoteReference w:id="50"/>
      </w:r>
      <w:r w:rsidR="00431D41">
        <w:t xml:space="preserve">  </w:t>
      </w:r>
      <w:r w:rsidR="00B1445A">
        <w:t>NAB argues that a presumption based on national market share data lacks a rational nexus to the question of whether more than 15 percent of the households in a specific franchise area actually subscribe to programming services offered by MVPDs other than the largest MVPD.</w:t>
      </w:r>
      <w:r w:rsidR="00B1445A">
        <w:rPr>
          <w:rStyle w:val="FootnoteReference"/>
        </w:rPr>
        <w:footnoteReference w:id="51"/>
      </w:r>
      <w:r w:rsidR="00B1445A">
        <w:t xml:space="preserve">  We disagree, finding instead that</w:t>
      </w:r>
      <w:r w:rsidR="00C72F48">
        <w:t>,</w:t>
      </w:r>
      <w:r w:rsidR="00B1445A">
        <w:t xml:space="preserve"> as NCTA states, “an average figure is not conclusive evidence of the specific penetration in every community” but “it undeniably supports the Commission’s proposed rebuttable presumption” and “is a strong predictor that competitors have garnered far in excess of the market share Congress deemed necessary to free cable operators from the vestiges of rate regulation.”</w:t>
      </w:r>
      <w:r w:rsidR="00B1445A">
        <w:rPr>
          <w:rStyle w:val="FootnoteReference"/>
        </w:rPr>
        <w:footnoteReference w:id="52"/>
      </w:r>
      <w:r w:rsidR="00BC0287">
        <w:t xml:space="preserve">  </w:t>
      </w:r>
      <w:r w:rsidR="00C75CBB">
        <w:t>The level of competing MVPD penetration in all of the DMAs, along with the</w:t>
      </w:r>
      <w:r w:rsidR="00D021BA">
        <w:t>ir</w:t>
      </w:r>
      <w:r w:rsidR="00C75CBB">
        <w:t xml:space="preserve"> ubiquitous service availability, justifies placing the burden on franchising authorities to show a lack of </w:t>
      </w:r>
      <w:r w:rsidR="00D74217">
        <w:t>E</w:t>
      </w:r>
      <w:r w:rsidR="00C75CBB">
        <w:t xml:space="preserve">ffective </w:t>
      </w:r>
      <w:r w:rsidR="00D74217">
        <w:t>C</w:t>
      </w:r>
      <w:r w:rsidR="00C75CBB">
        <w:t xml:space="preserve">ompetition.  </w:t>
      </w:r>
      <w:r w:rsidR="00BC0287">
        <w:t xml:space="preserve">Under the </w:t>
      </w:r>
      <w:r w:rsidR="00C75CBB">
        <w:t>rebuttable</w:t>
      </w:r>
      <w:r w:rsidR="00BC0287">
        <w:t xml:space="preserve"> presumption adopted in this Order, local franchising authorities will be </w:t>
      </w:r>
      <w:r w:rsidR="00E71AEC">
        <w:t>able</w:t>
      </w:r>
      <w:r w:rsidR="00D74217">
        <w:t xml:space="preserve"> </w:t>
      </w:r>
      <w:r w:rsidR="00BC0287">
        <w:t>to attempt to demonstrate that the Competing Provider Effective Competition test is not met in a given area.</w:t>
      </w:r>
      <w:r w:rsidR="00745400">
        <w:rPr>
          <w:rStyle w:val="FootnoteReference"/>
        </w:rPr>
        <w:footnoteReference w:id="53"/>
      </w:r>
      <w:r w:rsidR="00C75CBB">
        <w:t xml:space="preserve">  Thus, we will not be basing our finding on the nationwide statistics alone.  </w:t>
      </w:r>
    </w:p>
    <w:p w14:paraId="3EFB4F88" w14:textId="51782FA0" w:rsidR="00717FAF" w:rsidRDefault="00717FAF" w:rsidP="00BB2C57">
      <w:pPr>
        <w:pStyle w:val="ParaNum"/>
        <w:widowControl/>
      </w:pPr>
      <w:r>
        <w:t xml:space="preserve">For all of the above reasons, we conclude that adopting a </w:t>
      </w:r>
      <w:r w:rsidR="00F72E14">
        <w:t xml:space="preserve">rebuttable </w:t>
      </w:r>
      <w:r>
        <w:t xml:space="preserve">presumption of </w:t>
      </w:r>
      <w:r w:rsidR="003D3967">
        <w:t>C</w:t>
      </w:r>
      <w:r>
        <w:t xml:space="preserve">ompeting </w:t>
      </w:r>
      <w:r w:rsidR="003D3967">
        <w:t>P</w:t>
      </w:r>
      <w:r>
        <w:t xml:space="preserve">rovider </w:t>
      </w:r>
      <w:r w:rsidR="003D3967">
        <w:t>E</w:t>
      </w:r>
      <w:r>
        <w:t xml:space="preserve">ffective </w:t>
      </w:r>
      <w:r w:rsidR="003D3967">
        <w:t>C</w:t>
      </w:r>
      <w:r>
        <w:t xml:space="preserve">ompetition </w:t>
      </w:r>
      <w:r w:rsidR="00D00142">
        <w:t>is</w:t>
      </w:r>
      <w:r>
        <w:t xml:space="preserve"> consistent with the current state of the </w:t>
      </w:r>
      <w:r w:rsidR="005A7A92">
        <w:t xml:space="preserve">video </w:t>
      </w:r>
      <w:r>
        <w:t>market</w:t>
      </w:r>
      <w:r w:rsidR="005A7A92">
        <w:t>place</w:t>
      </w:r>
      <w:r>
        <w:t xml:space="preserve">.  We do not, however, find that market changes since the adoption of the original presumption would support a presumption that any of the other </w:t>
      </w:r>
      <w:r w:rsidR="003D3967">
        <w:t>E</w:t>
      </w:r>
      <w:r>
        <w:t xml:space="preserve">ffective </w:t>
      </w:r>
      <w:r w:rsidR="003D3967">
        <w:t>C</w:t>
      </w:r>
      <w:r>
        <w:t xml:space="preserve">ompetition tests (low penetration, municipal provider, or LEC) </w:t>
      </w:r>
      <w:r w:rsidR="00C72F48">
        <w:t>is</w:t>
      </w:r>
      <w:r>
        <w:t xml:space="preserve"> met.  </w:t>
      </w:r>
      <w:r w:rsidR="00CD60C9">
        <w:t>Although some commenters have asked that we also establish a rebuttable presumption of LEC Effective Competition in any franchise area where an LEC MVPD offers video service,</w:t>
      </w:r>
      <w:r w:rsidR="00CD60C9">
        <w:rPr>
          <w:rStyle w:val="FootnoteReference"/>
        </w:rPr>
        <w:footnoteReference w:id="54"/>
      </w:r>
      <w:r w:rsidR="00221E98">
        <w:t xml:space="preserve"> we decline to do so at this time.  </w:t>
      </w:r>
      <w:r w:rsidR="00E43818">
        <w:t xml:space="preserve">The record lacks evidence to support a presumption that the service area of </w:t>
      </w:r>
      <w:r w:rsidR="00AD0A00">
        <w:t>a</w:t>
      </w:r>
      <w:r w:rsidR="00B605A4">
        <w:t>n</w:t>
      </w:r>
      <w:r w:rsidR="00AD0A00">
        <w:t xml:space="preserve"> </w:t>
      </w:r>
      <w:r w:rsidR="00E43818">
        <w:t xml:space="preserve">LEC MVPD substantially overlaps that of the incumbent cable operator in a sufficient number of franchise areas </w:t>
      </w:r>
      <w:r w:rsidR="00330322">
        <w:t>where a</w:t>
      </w:r>
      <w:r w:rsidR="009F1060">
        <w:t>n</w:t>
      </w:r>
      <w:r w:rsidR="00330322">
        <w:t xml:space="preserve"> LEC MVPD offers video service</w:t>
      </w:r>
      <w:r w:rsidR="00E43818">
        <w:t xml:space="preserve"> </w:t>
      </w:r>
      <w:r w:rsidR="00330322">
        <w:t>to</w:t>
      </w:r>
      <w:r w:rsidR="00E43818">
        <w:t xml:space="preserve"> make such a presumption supportable.</w:t>
      </w:r>
      <w:r w:rsidR="00E43818">
        <w:rPr>
          <w:rStyle w:val="FootnoteReference"/>
        </w:rPr>
        <w:footnoteReference w:id="55"/>
      </w:r>
      <w:r w:rsidR="00CD60C9">
        <w:t xml:space="preserve"> </w:t>
      </w:r>
      <w:r w:rsidR="0095649B">
        <w:t xml:space="preserve"> </w:t>
      </w:r>
      <w:r>
        <w:t xml:space="preserve">Accordingly, our presumption of </w:t>
      </w:r>
      <w:r w:rsidR="003D3967">
        <w:t>E</w:t>
      </w:r>
      <w:r>
        <w:t xml:space="preserve">ffective </w:t>
      </w:r>
      <w:r w:rsidR="003D3967">
        <w:t>C</w:t>
      </w:r>
      <w:r>
        <w:t xml:space="preserve">ompetition is limited to </w:t>
      </w:r>
      <w:r w:rsidR="003D3967">
        <w:t>C</w:t>
      </w:r>
      <w:r>
        <w:t xml:space="preserve">ompeting </w:t>
      </w:r>
      <w:r w:rsidR="003D3967">
        <w:t>P</w:t>
      </w:r>
      <w:r>
        <w:t xml:space="preserve">rovider </w:t>
      </w:r>
      <w:r w:rsidR="003D3967">
        <w:t>E</w:t>
      </w:r>
      <w:r>
        <w:t xml:space="preserve">ffective </w:t>
      </w:r>
      <w:r w:rsidR="003D3967">
        <w:t>C</w:t>
      </w:r>
      <w:r>
        <w:t>ompetition.</w:t>
      </w:r>
      <w:r w:rsidR="008C5793">
        <w:t xml:space="preserve">  Absent a demonstration to the contrary, we will continue to presume that cable systems are not subject to </w:t>
      </w:r>
      <w:r w:rsidR="003D3967">
        <w:t>L</w:t>
      </w:r>
      <w:r w:rsidR="008C5793">
        <w:t xml:space="preserve">ow </w:t>
      </w:r>
      <w:r w:rsidR="003D3967">
        <w:t>P</w:t>
      </w:r>
      <w:r w:rsidR="008C5793">
        <w:t xml:space="preserve">enetration, </w:t>
      </w:r>
      <w:r w:rsidR="003D3967">
        <w:t>M</w:t>
      </w:r>
      <w:r w:rsidR="008C5793">
        <w:t xml:space="preserve">unicipal </w:t>
      </w:r>
      <w:r w:rsidR="003D3967">
        <w:t>P</w:t>
      </w:r>
      <w:r w:rsidR="008C5793">
        <w:t xml:space="preserve">rovider, or LEC </w:t>
      </w:r>
      <w:r w:rsidR="003D3967">
        <w:t>E</w:t>
      </w:r>
      <w:r w:rsidR="008C5793">
        <w:t xml:space="preserve">ffective </w:t>
      </w:r>
      <w:r w:rsidR="003D3967">
        <w:t>C</w:t>
      </w:r>
      <w:r w:rsidR="008C5793">
        <w:t>ompetition.</w:t>
      </w:r>
      <w:r w:rsidR="0095649B">
        <w:rPr>
          <w:rStyle w:val="FootnoteReference"/>
        </w:rPr>
        <w:footnoteReference w:id="56"/>
      </w:r>
    </w:p>
    <w:p w14:paraId="739796A1" w14:textId="08C27122" w:rsidR="00717FAF" w:rsidRPr="006C14EE" w:rsidRDefault="006C6AEB" w:rsidP="002D20D2">
      <w:pPr>
        <w:pStyle w:val="ParaNum"/>
        <w:widowControl/>
      </w:pPr>
      <w:r>
        <w:t xml:space="preserve">Adoption of the presumption of Competing Provider Effective Competition is consistent with </w:t>
      </w:r>
      <w:r w:rsidR="007179BE">
        <w:t>s</w:t>
      </w:r>
      <w:r>
        <w:t>ection 623 of the Act, which prohibits a franchising authority from regulating basic cable rates “[i]f the Commission finds that a cable system is subject to effective competition.”</w:t>
      </w:r>
      <w:r>
        <w:rPr>
          <w:rStyle w:val="FootnoteReference"/>
        </w:rPr>
        <w:footnoteReference w:id="57"/>
      </w:r>
      <w:r>
        <w:t xml:space="preserve"> </w:t>
      </w:r>
      <w:r w:rsidR="00F1792A">
        <w:t xml:space="preserve"> </w:t>
      </w:r>
      <w:r w:rsidR="006A18D7">
        <w:t>Contrary to the suggestion of some commenters,</w:t>
      </w:r>
      <w:r w:rsidR="00F1792A">
        <w:rPr>
          <w:rStyle w:val="FootnoteReference"/>
        </w:rPr>
        <w:footnoteReference w:id="58"/>
      </w:r>
      <w:r w:rsidR="006A18D7">
        <w:t xml:space="preserve"> we see no statutory bar to applying a nationwide rebuttable presumption of Competing Provider Effective Competition in making this finding</w:t>
      </w:r>
      <w:r w:rsidR="00244D0B">
        <w:t>.</w:t>
      </w:r>
      <w:r w:rsidR="006A18D7">
        <w:rPr>
          <w:rStyle w:val="FootnoteReference"/>
        </w:rPr>
        <w:footnoteReference w:id="59"/>
      </w:r>
      <w:r w:rsidR="006A18D7">
        <w:t xml:space="preserve">  In fact, the NPRM in the proceeding implementing </w:t>
      </w:r>
      <w:r w:rsidR="007179BE">
        <w:t>s</w:t>
      </w:r>
      <w:r w:rsidR="006A18D7">
        <w:t xml:space="preserve">ection 623 of the Act initially proposed </w:t>
      </w:r>
      <w:r w:rsidR="00C72F48">
        <w:t xml:space="preserve">to </w:t>
      </w:r>
      <w:r w:rsidR="006A18D7">
        <w:t>requir</w:t>
      </w:r>
      <w:r w:rsidR="00C72F48">
        <w:t>e</w:t>
      </w:r>
      <w:r w:rsidR="006A18D7">
        <w:t xml:space="preserve"> franchising authorities to demonstrate that Effective Competition was not present in the franchise area, explaining that such an approach would be reasonable because the Act “makes the absence of effective competition a prerequisite to regulators’ legal authority over basic rates.”</w:t>
      </w:r>
      <w:r w:rsidR="006A18D7">
        <w:rPr>
          <w:rStyle w:val="FootnoteReference"/>
        </w:rPr>
        <w:footnoteReference w:id="60"/>
      </w:r>
      <w:r w:rsidR="006A18D7">
        <w:t xml:space="preserve">  </w:t>
      </w:r>
      <w:r w:rsidR="00A47C9F">
        <w:t>Specifically, the statute provides that “[i]f the Commission finds that a cable system is not subject to effective competition, the rates for the provision of basic cable service shall be subject to regulation by a franchising authority, or by the Commission . . . .”</w:t>
      </w:r>
      <w:r w:rsidR="00A47C9F">
        <w:rPr>
          <w:rStyle w:val="FootnoteReference"/>
        </w:rPr>
        <w:footnoteReference w:id="61"/>
      </w:r>
      <w:r w:rsidR="00A47C9F">
        <w:t xml:space="preserve">  </w:t>
      </w:r>
      <w:r w:rsidR="006A18D7">
        <w:t xml:space="preserve">Although the Commission ultimately </w:t>
      </w:r>
      <w:r w:rsidR="00C72F48">
        <w:t>took a different</w:t>
      </w:r>
      <w:r w:rsidR="006A18D7">
        <w:t xml:space="preserve"> course, that decision was based on what was most efficient given the state of the marketplace at the time the presumption </w:t>
      </w:r>
      <w:r w:rsidR="00E43818">
        <w:t>w</w:t>
      </w:r>
      <w:r w:rsidR="006A18D7">
        <w:t>as adopted and it was not mandated by statute.</w:t>
      </w:r>
      <w:r w:rsidR="006A18D7">
        <w:rPr>
          <w:rStyle w:val="FootnoteReference"/>
        </w:rPr>
        <w:footnoteReference w:id="62"/>
      </w:r>
      <w:r w:rsidR="00834C97">
        <w:t xml:space="preserve">  Given the state of the </w:t>
      </w:r>
      <w:r w:rsidR="00731F52">
        <w:t xml:space="preserve">video </w:t>
      </w:r>
      <w:r w:rsidR="00834C97">
        <w:t>marketplace today,</w:t>
      </w:r>
      <w:r w:rsidR="00834C97">
        <w:rPr>
          <w:rStyle w:val="FootnoteReference"/>
        </w:rPr>
        <w:footnoteReference w:id="63"/>
      </w:r>
      <w:r w:rsidR="00834C97">
        <w:t xml:space="preserve"> we find that it is appropriate to presume the presence of Competing Provider Effective Competition on a nationwide basis, provided that franchising authorities have an opportunity to rebut that presumption and demonstrate that </w:t>
      </w:r>
      <w:r w:rsidR="00475A15">
        <w:t>the Competing Provider Effective Competition</w:t>
      </w:r>
      <w:r w:rsidR="00A12887">
        <w:t xml:space="preserve"> test</w:t>
      </w:r>
      <w:r w:rsidR="00834C97">
        <w:t xml:space="preserve"> </w:t>
      </w:r>
      <w:r w:rsidR="00475A15">
        <w:t xml:space="preserve">is not met </w:t>
      </w:r>
      <w:r w:rsidR="00834C97">
        <w:t xml:space="preserve">in </w:t>
      </w:r>
      <w:r w:rsidR="00C72F48">
        <w:t>a</w:t>
      </w:r>
      <w:r w:rsidR="00834C97">
        <w:t xml:space="preserve"> specific area.  The franchising authority’s ability to file a revised Form 328 pursuant to the procedures discussed below</w:t>
      </w:r>
      <w:r w:rsidR="00834C97">
        <w:rPr>
          <w:rStyle w:val="FootnoteReference"/>
        </w:rPr>
        <w:footnoteReference w:id="64"/>
      </w:r>
      <w:r w:rsidR="00834C97">
        <w:t xml:space="preserve"> will ensure that the Commission </w:t>
      </w:r>
      <w:r w:rsidR="00C72F48">
        <w:t xml:space="preserve">will </w:t>
      </w:r>
      <w:r w:rsidR="00834C97">
        <w:t>continue to receive evidence regarding a specific franchise area where the franchising authority deems it relevant.</w:t>
      </w:r>
      <w:r w:rsidR="00834C97">
        <w:rPr>
          <w:rStyle w:val="FootnoteReference"/>
        </w:rPr>
        <w:footnoteReference w:id="65"/>
      </w:r>
      <w:r w:rsidR="00CC5CAF">
        <w:t xml:space="preserve">  The fact that Effective Competition decisions apply to specific franchise areas does not preclude the Commission from adopting a rebuttable presumption of Competing Provider Effective Competition today</w:t>
      </w:r>
      <w:r w:rsidR="004C36F7">
        <w:t xml:space="preserve"> based on the pervasive competition to cable from other MVPDs</w:t>
      </w:r>
      <w:r w:rsidR="00CC5CAF">
        <w:t>, just as it did not prevent the Commission from adopting a rebuttable presumption of no Effective Competition based on cable’s national 95 percent share of the MVPD marketplace in 1993.</w:t>
      </w:r>
      <w:r w:rsidR="00CC5CAF">
        <w:rPr>
          <w:rStyle w:val="FootnoteReference"/>
        </w:rPr>
        <w:footnoteReference w:id="66"/>
      </w:r>
      <w:r w:rsidR="00A12887">
        <w:t xml:space="preserve">  </w:t>
      </w:r>
      <w:r w:rsidR="00717FAF">
        <w:t xml:space="preserve">In the NPRM, we sought comment on whether there were certain geographic areas in which we should not adopt a presumption of </w:t>
      </w:r>
      <w:r w:rsidR="003D3967">
        <w:t>C</w:t>
      </w:r>
      <w:r w:rsidR="00717FAF">
        <w:t xml:space="preserve">ompeting </w:t>
      </w:r>
      <w:r w:rsidR="003D3967">
        <w:t>P</w:t>
      </w:r>
      <w:r w:rsidR="00717FAF">
        <w:t xml:space="preserve">rovider </w:t>
      </w:r>
      <w:r w:rsidR="003D3967">
        <w:t>E</w:t>
      </w:r>
      <w:r w:rsidR="00717FAF">
        <w:t xml:space="preserve">ffective </w:t>
      </w:r>
      <w:r w:rsidR="003D3967">
        <w:t>C</w:t>
      </w:r>
      <w:r w:rsidR="00717FAF">
        <w:t>ompetition.</w:t>
      </w:r>
      <w:r w:rsidR="00717FAF">
        <w:rPr>
          <w:rStyle w:val="FootnoteReference"/>
        </w:rPr>
        <w:footnoteReference w:id="67"/>
      </w:r>
      <w:r w:rsidR="0060166D">
        <w:t xml:space="preserve">  No commenter addressed this issue, and thus we will not adopt different rules for any specific geographic areas.</w:t>
      </w:r>
    </w:p>
    <w:p w14:paraId="239CA547" w14:textId="7540D37D" w:rsidR="006C14EE" w:rsidRPr="00E84742" w:rsidRDefault="00475A15" w:rsidP="00B06BA4">
      <w:pPr>
        <w:pStyle w:val="ParaNum"/>
      </w:pPr>
      <w:r>
        <w:t xml:space="preserve">We are not persuaded by commenters who argue that we should not adopt a rebuttable presumption of Competing Provider Effective </w:t>
      </w:r>
      <w:r w:rsidR="00A12887">
        <w:t>C</w:t>
      </w:r>
      <w:r>
        <w:t xml:space="preserve">ompetition because of the potential impact of findings of </w:t>
      </w:r>
      <w:r w:rsidR="00A12887">
        <w:t>E</w:t>
      </w:r>
      <w:r>
        <w:t xml:space="preserve">ffective </w:t>
      </w:r>
      <w:r w:rsidR="00A12887">
        <w:t>C</w:t>
      </w:r>
      <w:r>
        <w:t xml:space="preserve">ompetition on the basic service tier requirement found in </w:t>
      </w:r>
      <w:r w:rsidR="00A12887">
        <w:t>s</w:t>
      </w:r>
      <w:r>
        <w:t xml:space="preserve">ection 623 of the Act.  </w:t>
      </w:r>
      <w:r w:rsidR="000C764F" w:rsidRPr="00D775FE">
        <w:t>Several commenters</w:t>
      </w:r>
      <w:r w:rsidR="00B06BA4" w:rsidRPr="00EB6E53">
        <w:t xml:space="preserve"> </w:t>
      </w:r>
      <w:r w:rsidRPr="00EB6E53">
        <w:t>argue</w:t>
      </w:r>
      <w:r w:rsidR="00B06BA4" w:rsidRPr="00EB6E53">
        <w:t xml:space="preserve"> </w:t>
      </w:r>
      <w:r w:rsidRPr="00EB6E53">
        <w:t xml:space="preserve">that our action </w:t>
      </w:r>
      <w:r w:rsidR="006C14EE" w:rsidRPr="007D1B2B">
        <w:t>would enable cable operators to move broadcast stations</w:t>
      </w:r>
      <w:r w:rsidR="00EB5E25">
        <w:t xml:space="preserve"> that elect retransmission consent</w:t>
      </w:r>
      <w:r w:rsidR="006C14EE" w:rsidRPr="007D1B2B">
        <w:t xml:space="preserve"> </w:t>
      </w:r>
      <w:r w:rsidR="009D0E5C">
        <w:t>and</w:t>
      </w:r>
      <w:r w:rsidR="009D0E5C" w:rsidRPr="007D1B2B">
        <w:t xml:space="preserve"> </w:t>
      </w:r>
      <w:r w:rsidR="006C14EE" w:rsidRPr="007D1B2B">
        <w:t>public, educational, and governmental access (“PEG”) channels</w:t>
      </w:r>
      <w:r w:rsidR="00EA1603" w:rsidRPr="00D775FE">
        <w:t xml:space="preserve"> to a higher tier</w:t>
      </w:r>
      <w:r w:rsidR="0064389A">
        <w:t>, leading to higher consumer prices</w:t>
      </w:r>
      <w:r w:rsidRPr="00D775FE">
        <w:t>.</w:t>
      </w:r>
      <w:r w:rsidR="006C14EE">
        <w:rPr>
          <w:rStyle w:val="FootnoteReference"/>
        </w:rPr>
        <w:footnoteReference w:id="68"/>
      </w:r>
      <w:r w:rsidR="006C14EE">
        <w:t xml:space="preserve"> </w:t>
      </w:r>
      <w:r w:rsidR="00A12887">
        <w:t xml:space="preserve"> </w:t>
      </w:r>
      <w:r w:rsidR="00EB5E25">
        <w:t xml:space="preserve">If a finding of </w:t>
      </w:r>
      <w:r w:rsidR="00145D75">
        <w:t>E</w:t>
      </w:r>
      <w:r w:rsidR="00EB5E25">
        <w:t xml:space="preserve">ffective </w:t>
      </w:r>
      <w:r w:rsidR="00145D75">
        <w:t>C</w:t>
      </w:r>
      <w:r w:rsidR="00EB5E25">
        <w:t xml:space="preserve">ompetition results in elimination of the basic service tier requirement </w:t>
      </w:r>
      <w:r w:rsidR="00FE4AF8">
        <w:t>--</w:t>
      </w:r>
      <w:r w:rsidR="00EB5E25">
        <w:t xml:space="preserve"> a statutory interpretation issue </w:t>
      </w:r>
      <w:r w:rsidR="00FE4AF8">
        <w:t xml:space="preserve">that </w:t>
      </w:r>
      <w:r w:rsidR="00EB5E25">
        <w:t xml:space="preserve">we do not address here </w:t>
      </w:r>
      <w:r w:rsidR="00FE4AF8">
        <w:t>--</w:t>
      </w:r>
      <w:r w:rsidR="00EB5E25">
        <w:t xml:space="preserve"> that conclusion would apply not only in communities where the new presumption of </w:t>
      </w:r>
      <w:r w:rsidR="00145D75">
        <w:t>E</w:t>
      </w:r>
      <w:r w:rsidR="00EB5E25">
        <w:t xml:space="preserve">ffective </w:t>
      </w:r>
      <w:r w:rsidR="00145D75">
        <w:t>C</w:t>
      </w:r>
      <w:r w:rsidR="00EB5E25">
        <w:t xml:space="preserve">ompetition is not successfully rebutted but also in the thousands of communities in which we have already issued findings of </w:t>
      </w:r>
      <w:r w:rsidR="00145D75">
        <w:t>E</w:t>
      </w:r>
      <w:r w:rsidR="00EB5E25">
        <w:t xml:space="preserve">ffective </w:t>
      </w:r>
      <w:r w:rsidR="00145D75">
        <w:t>C</w:t>
      </w:r>
      <w:r w:rsidR="00EB5E25">
        <w:t xml:space="preserve">ompetition.  </w:t>
      </w:r>
      <w:r w:rsidR="009D0E5C">
        <w:t xml:space="preserve">Despite these widespread findings of </w:t>
      </w:r>
      <w:r w:rsidR="00145D75">
        <w:t>E</w:t>
      </w:r>
      <w:r w:rsidR="009D0E5C">
        <w:t xml:space="preserve">ffective </w:t>
      </w:r>
      <w:r w:rsidR="00145D75">
        <w:t>C</w:t>
      </w:r>
      <w:r w:rsidR="009D0E5C">
        <w:t>ompetition, c</w:t>
      </w:r>
      <w:r w:rsidR="00EB5E25">
        <w:t>ommenters</w:t>
      </w:r>
      <w:r w:rsidR="009D0E5C">
        <w:t xml:space="preserve"> </w:t>
      </w:r>
      <w:r w:rsidR="00EB5E25">
        <w:t>have not pointed to a single instance in which cable operators have even attempted to move broadcast stations or PEG channels off the basic service tier</w:t>
      </w:r>
      <w:r w:rsidR="00EA1603">
        <w:t>.</w:t>
      </w:r>
      <w:r w:rsidR="00EA1603">
        <w:rPr>
          <w:rStyle w:val="FootnoteReference"/>
        </w:rPr>
        <w:footnoteReference w:id="69"/>
      </w:r>
      <w:r w:rsidR="008F5B13">
        <w:t xml:space="preserve">  </w:t>
      </w:r>
      <w:r w:rsidR="009F090A">
        <w:t>NAB argues</w:t>
      </w:r>
      <w:r w:rsidR="00096689">
        <w:t xml:space="preserve"> that cable operators </w:t>
      </w:r>
      <w:r w:rsidR="009F090A">
        <w:t>may</w:t>
      </w:r>
      <w:r w:rsidR="00096689">
        <w:t xml:space="preserve"> not</w:t>
      </w:r>
      <w:r w:rsidR="009F090A">
        <w:t xml:space="preserve"> have </w:t>
      </w:r>
      <w:r w:rsidR="00096689">
        <w:t>moved broadcast stations or PEG channels to a higher tier</w:t>
      </w:r>
      <w:r w:rsidR="009F090A">
        <w:t xml:space="preserve"> in communities with a finding of Effective Competition</w:t>
      </w:r>
      <w:r w:rsidR="00096689">
        <w:t xml:space="preserve"> at least in part because they do not wish to do so on a fragmented “patchwork” basis</w:t>
      </w:r>
      <w:r w:rsidR="00096689">
        <w:rPr>
          <w:rStyle w:val="FootnoteReference"/>
        </w:rPr>
        <w:footnoteReference w:id="70"/>
      </w:r>
      <w:r w:rsidR="00096689">
        <w:t xml:space="preserve"> </w:t>
      </w:r>
      <w:r w:rsidR="009F090A">
        <w:t>but they have provided no support for this assertion.  Moreover, a</w:t>
      </w:r>
      <w:r w:rsidR="00096689">
        <w:t xml:space="preserve"> patchwork of communities with and without Effective Competition </w:t>
      </w:r>
      <w:r w:rsidR="009F090A">
        <w:t>will continue to</w:t>
      </w:r>
      <w:r w:rsidR="00096689">
        <w:t xml:space="preserve"> exist after the adoption of this Order </w:t>
      </w:r>
      <w:r w:rsidR="009F090A">
        <w:t>if any</w:t>
      </w:r>
      <w:r w:rsidR="00096689">
        <w:t xml:space="preserve"> franchising authorities </w:t>
      </w:r>
      <w:r w:rsidR="009F090A">
        <w:t>are able to</w:t>
      </w:r>
      <w:r w:rsidR="00096689">
        <w:t xml:space="preserve"> rebut the new presumption and remain certified.  </w:t>
      </w:r>
      <w:r w:rsidR="009D0E5C">
        <w:t xml:space="preserve">We thus find </w:t>
      </w:r>
      <w:r w:rsidR="00C04B84">
        <w:t xml:space="preserve">that </w:t>
      </w:r>
      <w:r w:rsidR="009D0E5C">
        <w:t xml:space="preserve">the concerns expressed by commenters </w:t>
      </w:r>
      <w:r w:rsidR="00C04B84">
        <w:t xml:space="preserve">in this regard are </w:t>
      </w:r>
      <w:r w:rsidR="009D0E5C">
        <w:t>unpersuasive.</w:t>
      </w:r>
      <w:r w:rsidR="00FE4AF8">
        <w:t xml:space="preserve">  </w:t>
      </w:r>
      <w:r w:rsidR="00096689">
        <w:t xml:space="preserve">Moreover, they do not speak to the key issue in this proceeding:  whether maintaining a presumption of no Effective Competition is consistent with the current state of the MVPD marketplace.  </w:t>
      </w:r>
      <w:r w:rsidR="00FE4AF8">
        <w:t xml:space="preserve">Accordingly, we do not believe that they provide a sound basis to retain rules that are no longer justified by marketplace realities and </w:t>
      </w:r>
      <w:r w:rsidR="006C21FE">
        <w:t xml:space="preserve">that </w:t>
      </w:r>
      <w:r w:rsidR="00FE4AF8">
        <w:t>place unwarranted burdens on cable operators and the Commission.</w:t>
      </w:r>
    </w:p>
    <w:p w14:paraId="4F0E6B3E" w14:textId="6CC09907" w:rsidR="000E3725" w:rsidRPr="00637086" w:rsidRDefault="000E3725" w:rsidP="000E3725">
      <w:pPr>
        <w:pStyle w:val="Heading2"/>
      </w:pPr>
      <w:bookmarkStart w:id="81" w:name="_Toc414969751"/>
      <w:bookmarkStart w:id="82" w:name="_Toc415493387"/>
      <w:bookmarkStart w:id="83" w:name="_Toc418166672"/>
      <w:bookmarkStart w:id="84" w:name="_Toc418498899"/>
      <w:bookmarkStart w:id="85" w:name="_Toc418677550"/>
      <w:bookmarkStart w:id="86" w:name="_Toc418753395"/>
      <w:bookmarkStart w:id="87" w:name="_Toc419276610"/>
      <w:r>
        <w:t>Implementation of Section 111 of STELAR</w:t>
      </w:r>
      <w:bookmarkEnd w:id="81"/>
      <w:bookmarkEnd w:id="82"/>
      <w:bookmarkEnd w:id="83"/>
      <w:bookmarkEnd w:id="84"/>
      <w:bookmarkEnd w:id="85"/>
      <w:bookmarkEnd w:id="86"/>
      <w:bookmarkEnd w:id="87"/>
    </w:p>
    <w:p w14:paraId="29011CF5" w14:textId="52FE483D" w:rsidR="00FD5F9A" w:rsidRDefault="00A47C9F" w:rsidP="00FD5F9A">
      <w:pPr>
        <w:pStyle w:val="ParaNum"/>
      </w:pPr>
      <w:r>
        <w:t>For the r</w:t>
      </w:r>
      <w:r w:rsidR="006F676B">
        <w:t>easons stated above, s</w:t>
      </w:r>
      <w:r>
        <w:t>ection 623 of the Act provides the Commission with ample authority to adopt a rebuttable presumption of Competing Provider Effective Competition for both large and small cable operators.  However, additional support for our decision today is found in STELAR.  Specifically, w</w:t>
      </w:r>
      <w:r w:rsidR="000108F5">
        <w:t>e conclude</w:t>
      </w:r>
      <w:r w:rsidR="000108F5" w:rsidRPr="0058226D">
        <w:t xml:space="preserve"> that adopti</w:t>
      </w:r>
      <w:r w:rsidR="000108F5">
        <w:t>ng a rebuttable presumption of Competing Provider Effective C</w:t>
      </w:r>
      <w:r w:rsidR="000108F5" w:rsidRPr="0058226D">
        <w:t>ompetition fully effectuates the Commission’s responsibilities under section 111 of STELAR</w:t>
      </w:r>
      <w:r w:rsidR="000108F5">
        <w:t>.</w:t>
      </w:r>
      <w:r w:rsidR="000108F5">
        <w:rPr>
          <w:rStyle w:val="FootnoteReference"/>
        </w:rPr>
        <w:footnoteReference w:id="71"/>
      </w:r>
      <w:r w:rsidR="000108F5">
        <w:t xml:space="preserve">  Section 111 directs the Commission “to establish a streamlined process for filing of an effective competition petition pursuant to this section for small cable operators, particularly those who serve primarily rural areas.”</w:t>
      </w:r>
      <w:r w:rsidR="000108F5">
        <w:rPr>
          <w:rStyle w:val="FootnoteReference"/>
        </w:rPr>
        <w:footnoteReference w:id="72"/>
      </w:r>
      <w:r w:rsidR="000108F5">
        <w:t xml:space="preserve">  The new presumption of Competing Provider Effective Competition will establish a streamlined process for </w:t>
      </w:r>
      <w:r w:rsidR="00A72C11">
        <w:t xml:space="preserve">all cable operators, including </w:t>
      </w:r>
      <w:r w:rsidR="000108F5">
        <w:t>small operators, by reallocating the burden of providing evidence of Effective Competition in a manner that better comports with the current state of the marketplace.</w:t>
      </w:r>
      <w:r w:rsidR="000108F5">
        <w:rPr>
          <w:rStyle w:val="FootnoteReference"/>
        </w:rPr>
        <w:footnoteReference w:id="73"/>
      </w:r>
      <w:r w:rsidR="000108F5">
        <w:t xml:space="preserve">  The existing presumption of no Effective Competition requires cable operators to produce information about competing providers’ service area</w:t>
      </w:r>
      <w:r w:rsidR="00C72F48">
        <w:t>s</w:t>
      </w:r>
      <w:r w:rsidR="000108F5">
        <w:t xml:space="preserve"> and number</w:t>
      </w:r>
      <w:r w:rsidR="00C72F48">
        <w:t>s</w:t>
      </w:r>
      <w:r w:rsidR="000108F5">
        <w:t xml:space="preserve"> of subscribers, and </w:t>
      </w:r>
      <w:r w:rsidR="00C72F48">
        <w:t xml:space="preserve">to </w:t>
      </w:r>
      <w:r w:rsidR="000108F5">
        <w:t>petition the Commission for an affirmative finding of the requisite competition in particular franchise areas.</w:t>
      </w:r>
      <w:r w:rsidR="000108F5">
        <w:rPr>
          <w:rStyle w:val="FootnoteReference"/>
        </w:rPr>
        <w:footnoteReference w:id="74"/>
      </w:r>
      <w:r w:rsidR="000108F5">
        <w:t xml:space="preserve">  Changing the presumption – which is merely a procedural device – will streamline the process by shifting the burden of producing evidence with respect to Effective Competition.  Under our modified rule, franchising authorities remain free to rebut the presumption by presenting community-specific evidence, which the cable operator would then have the burden to overcome based on its own evidence.</w:t>
      </w:r>
      <w:r w:rsidR="000108F5">
        <w:rPr>
          <w:rStyle w:val="FootnoteReference"/>
        </w:rPr>
        <w:footnoteReference w:id="75"/>
      </w:r>
      <w:r w:rsidR="000108F5">
        <w:t xml:space="preserve">  The new process is streamlined for cable operators because they will be required to file only in response to a showing by </w:t>
      </w:r>
      <w:r w:rsidR="00C72F48">
        <w:t xml:space="preserve">a </w:t>
      </w:r>
      <w:r w:rsidR="000108F5">
        <w:t>franchising authorit</w:t>
      </w:r>
      <w:r w:rsidR="00C72F48">
        <w:t>y</w:t>
      </w:r>
      <w:r w:rsidR="000108F5">
        <w:t xml:space="preserve"> that an operator does not face Competing Provider Effective Competition in the franchise area.</w:t>
      </w:r>
      <w:r w:rsidR="000108F5">
        <w:rPr>
          <w:rStyle w:val="FootnoteReference"/>
        </w:rPr>
        <w:footnoteReference w:id="76"/>
      </w:r>
      <w:r w:rsidR="000108F5">
        <w:t xml:space="preserve">  The burden would then shift to the cable </w:t>
      </w:r>
      <w:r w:rsidR="000108F5" w:rsidRPr="00A23787">
        <w:t xml:space="preserve">operator to prove </w:t>
      </w:r>
      <w:r w:rsidR="000108F5">
        <w:t>E</w:t>
      </w:r>
      <w:r w:rsidR="000108F5" w:rsidRPr="00A23787">
        <w:t xml:space="preserve">ffective </w:t>
      </w:r>
      <w:r w:rsidR="000108F5">
        <w:t>C</w:t>
      </w:r>
      <w:r w:rsidR="000108F5" w:rsidRPr="00A23787">
        <w:t>ompetition.  As ACA states:</w:t>
      </w:r>
    </w:p>
    <w:p w14:paraId="0A8A88F5" w14:textId="0BE87718" w:rsidR="000108F5" w:rsidRDefault="000108F5" w:rsidP="00E4657D">
      <w:pPr>
        <w:pStyle w:val="ParaNum"/>
        <w:numPr>
          <w:ilvl w:val="0"/>
          <w:numId w:val="0"/>
        </w:numPr>
        <w:ind w:left="720"/>
      </w:pPr>
      <w:r w:rsidRPr="00A23787">
        <w:t>Despite widespread and obvious competition, many cable operators, particularly small operators, have not availed themselves of effective competition relief because of the burdens of overcoming the current presumption against effective competition.  These burdens include the costs of purchasing the required zip code and competing provider penetration information, preparing a formal legal filing for submission to the Commission, paying a filing fee, and then waiting an uncertain amount of time for a decision.  Congress recognized these burdens when it enacted Section 111 of STELAR and adoption of the Commission’s proposal is the most effective and rational way to reduce these burdens and ensure that cable operators of all sizes that face effective competition obtain the relief to which they are entitled.</w:t>
      </w:r>
      <w:r>
        <w:rPr>
          <w:rStyle w:val="FootnoteReference"/>
        </w:rPr>
        <w:footnoteReference w:id="77"/>
      </w:r>
    </w:p>
    <w:p w14:paraId="14BB9516" w14:textId="4D634BA1" w:rsidR="000108F5" w:rsidRDefault="000108F5">
      <w:pPr>
        <w:pStyle w:val="ParaNum"/>
      </w:pPr>
      <w:r>
        <w:t xml:space="preserve">We agree with commenters that there is no statutory restriction on extending the same revised rebuttable presumption of Competing Provider Effective Competition to </w:t>
      </w:r>
      <w:r w:rsidRPr="00001DE9">
        <w:t>all</w:t>
      </w:r>
      <w:r>
        <w:rPr>
          <w:i/>
        </w:rPr>
        <w:t xml:space="preserve"> </w:t>
      </w:r>
      <w:r>
        <w:t>cable systems.</w:t>
      </w:r>
      <w:r>
        <w:rPr>
          <w:rStyle w:val="FootnoteReference"/>
        </w:rPr>
        <w:footnoteReference w:id="78"/>
      </w:r>
      <w:r>
        <w:t xml:space="preserve">  Section 111 of STELAR directs the Commission to establish streamlined measures for small cable operators within a certain deadline,</w:t>
      </w:r>
      <w:r>
        <w:rPr>
          <w:rStyle w:val="FootnoteReference"/>
        </w:rPr>
        <w:footnoteReference w:id="79"/>
      </w:r>
      <w:r>
        <w:t xml:space="preserve"> but it “neither expands nor restricts the scope of the Commission’s authority to administer the effective competition process.”</w:t>
      </w:r>
      <w:r>
        <w:rPr>
          <w:rStyle w:val="FootnoteReference"/>
        </w:rPr>
        <w:footnoteReference w:id="80"/>
      </w:r>
      <w:r>
        <w:t xml:space="preserve">  As commenters observe, “reducing regulatory burdens on all cable operators, large and small,” will ensure that Commission procedures “reflect marketplace realities and allow for a more efficient allocation of Commission and industry resources.”</w:t>
      </w:r>
      <w:r>
        <w:rPr>
          <w:rStyle w:val="FootnoteReference"/>
        </w:rPr>
        <w:footnoteReference w:id="81"/>
      </w:r>
    </w:p>
    <w:p w14:paraId="16A41A4E" w14:textId="02904C69" w:rsidR="000108F5" w:rsidRDefault="000108F5" w:rsidP="00BD2CCC">
      <w:pPr>
        <w:pStyle w:val="ParaNum"/>
        <w:widowControl/>
      </w:pPr>
      <w:r>
        <w:t>We recognize that STELAR provides that “[n]othing in this subsection shall be construed to have any effect on the duty of a small cable operator to prove the existence of effective competition under this section.”</w:t>
      </w:r>
      <w:r>
        <w:rPr>
          <w:rStyle w:val="FootnoteReference"/>
        </w:rPr>
        <w:footnoteReference w:id="82"/>
      </w:r>
      <w:r>
        <w:t xml:space="preserve">  NAB argues that this provision ratifies the Commission’s placement of the burden of proving Effective Competition on the cable operators, and prevents the Commission from shifting the burden.</w:t>
      </w:r>
      <w:r>
        <w:rPr>
          <w:rStyle w:val="FootnoteReference"/>
        </w:rPr>
        <w:footnoteReference w:id="83"/>
      </w:r>
      <w:r>
        <w:t xml:space="preserve">  We do not read this language as limiting the Commission’s authority to eliminate or modify the presumption for cable operators, large or small.  The Commission adopted the presumption of no Effective Competition as a procedural mechanism,</w:t>
      </w:r>
      <w:r w:rsidRPr="0058226D">
        <w:rPr>
          <w:sz w:val="20"/>
          <w:vertAlign w:val="superscript"/>
        </w:rPr>
        <w:footnoteReference w:id="84"/>
      </w:r>
      <w:r>
        <w:t xml:space="preserve"> based in large part on the premise that “the vast majority of cable systems” in 1993 were “not subject to effective competition.”</w:t>
      </w:r>
      <w:r>
        <w:rPr>
          <w:rStyle w:val="FootnoteReference"/>
        </w:rPr>
        <w:footnoteReference w:id="85"/>
      </w:r>
      <w:r>
        <w:t xml:space="preserve">  The presumption was never mandated by Congress, and there is nothing in STELAR’s provisions </w:t>
      </w:r>
      <w:r w:rsidR="00B5560C">
        <w:t xml:space="preserve">that </w:t>
      </w:r>
      <w:r>
        <w:t>suggests that Congress intended to withdraw the Commission’s general rulemaking power to revisit its rules and modify or repeal them if it finds such action is warranted.</w:t>
      </w:r>
      <w:r>
        <w:rPr>
          <w:rStyle w:val="FootnoteReference"/>
        </w:rPr>
        <w:footnoteReference w:id="86"/>
      </w:r>
      <w:r>
        <w:t xml:space="preserve">  In the clause that NAB relies on, Congress merely disavows any intent to alter or interfere with the Commission rule requiring proof of the existence of Effective Competition, as applied to small cable operators.  </w:t>
      </w:r>
      <w:r w:rsidR="009241EA">
        <w:t>It d</w:t>
      </w:r>
      <w:r w:rsidR="00694805">
        <w:t>oes</w:t>
      </w:r>
      <w:r w:rsidR="009241EA">
        <w:t xml:space="preserve"> not require the Commission to maintain t</w:t>
      </w:r>
      <w:r w:rsidR="009F1060">
        <w:t>he presumption of no Effective C</w:t>
      </w:r>
      <w:r w:rsidR="009241EA">
        <w:t xml:space="preserve">ompetition.  </w:t>
      </w:r>
      <w:r>
        <w:t xml:space="preserve">Rather, Congress only requires the Commission to streamline the process for “small cable operators.”  Thus, Congress did not “ratify” or lock in </w:t>
      </w:r>
      <w:r w:rsidR="00063D11">
        <w:t xml:space="preserve">place </w:t>
      </w:r>
      <w:r>
        <w:t xml:space="preserve">the current presumption.  Indeed, if this provision were read to restrict the Commission from changing the presumption for small operators, as NAB urges, it would have the perverse effect of permitting the Commission to reduce burdens on larger operators but not on smaller ones, contrary to the clear intent and narrow focus of </w:t>
      </w:r>
      <w:r w:rsidR="00A067CE">
        <w:t>s</w:t>
      </w:r>
      <w:r>
        <w:t xml:space="preserve">ection 111.  Thus, we find unpersuasive NAB’s argument that </w:t>
      </w:r>
      <w:r w:rsidR="00A067CE">
        <w:t>s</w:t>
      </w:r>
      <w:r>
        <w:t>ection 111 of STELAR prohibits the rule modifications adopted in this Order.</w:t>
      </w:r>
      <w:r>
        <w:rPr>
          <w:rStyle w:val="FootnoteReference"/>
        </w:rPr>
        <w:footnoteReference w:id="87"/>
      </w:r>
    </w:p>
    <w:p w14:paraId="752D95CE" w14:textId="1C3EEF41" w:rsidR="008A1060" w:rsidRPr="008A1060" w:rsidRDefault="008A1060">
      <w:pPr>
        <w:pStyle w:val="ParaNum"/>
      </w:pPr>
      <w:r w:rsidRPr="008A1060">
        <w:t xml:space="preserve">In the NPRM, the Commission sought comment on </w:t>
      </w:r>
      <w:r>
        <w:t xml:space="preserve">alternate streamlined procedures that it </w:t>
      </w:r>
      <w:r w:rsidR="00A11412">
        <w:t>could</w:t>
      </w:r>
      <w:r>
        <w:t xml:space="preserve"> adopt for small cable operators pursuant to </w:t>
      </w:r>
      <w:r w:rsidR="00616FD5">
        <w:t>s</w:t>
      </w:r>
      <w:r>
        <w:t>ection 111.</w:t>
      </w:r>
      <w:r>
        <w:rPr>
          <w:rStyle w:val="FootnoteReference"/>
        </w:rPr>
        <w:footnoteReference w:id="88"/>
      </w:r>
      <w:r w:rsidR="00FD4F79">
        <w:t xml:space="preserve">  </w:t>
      </w:r>
      <w:r w:rsidR="00124557">
        <w:t xml:space="preserve">Some commenters proposed that we </w:t>
      </w:r>
      <w:r w:rsidR="00666C75">
        <w:t xml:space="preserve">could </w:t>
      </w:r>
      <w:r w:rsidR="00124557">
        <w:t>implement section 111</w:t>
      </w:r>
      <w:r w:rsidR="00A82268">
        <w:t xml:space="preserve"> </w:t>
      </w:r>
      <w:r w:rsidR="00736F9C">
        <w:t>through small cable operator Effective Competition reforms</w:t>
      </w:r>
      <w:r w:rsidR="00A82268">
        <w:t xml:space="preserve"> other than reversing the presumption, </w:t>
      </w:r>
      <w:r w:rsidR="00736F9C">
        <w:t xml:space="preserve">for example, by eliminating filing fees, automatically </w:t>
      </w:r>
      <w:r w:rsidR="00A4753E">
        <w:t xml:space="preserve">granting </w:t>
      </w:r>
      <w:r w:rsidR="00736F9C">
        <w:t xml:space="preserve">certain petitions, </w:t>
      </w:r>
      <w:r w:rsidR="001719EB">
        <w:t xml:space="preserve">adopting a time limit for Commission review, </w:t>
      </w:r>
      <w:r w:rsidR="00736F9C">
        <w:t>or</w:t>
      </w:r>
      <w:r w:rsidR="00A4753E">
        <w:t xml:space="preserve"> otherwise</w:t>
      </w:r>
      <w:r w:rsidR="00736F9C">
        <w:t xml:space="preserve"> streamlining </w:t>
      </w:r>
      <w:r w:rsidR="00A4753E">
        <w:t>existing Effective Competition</w:t>
      </w:r>
      <w:r w:rsidR="00736F9C">
        <w:t xml:space="preserve"> procedures</w:t>
      </w:r>
      <w:r w:rsidR="00A4753E">
        <w:t>.</w:t>
      </w:r>
      <w:r w:rsidR="00736F9C">
        <w:rPr>
          <w:rStyle w:val="FootnoteReference"/>
        </w:rPr>
        <w:footnoteReference w:id="89"/>
      </w:r>
      <w:r w:rsidR="00A4753E">
        <w:t xml:space="preserve">  We have evaluated all of the alternate proposals set forth in the record and we conclude that</w:t>
      </w:r>
      <w:r w:rsidR="00C72F48">
        <w:t>,</w:t>
      </w:r>
      <w:r w:rsidR="00A4753E">
        <w:t xml:space="preserve"> while some are already implemented,</w:t>
      </w:r>
      <w:r w:rsidR="00A4753E">
        <w:rPr>
          <w:rStyle w:val="FootnoteReference"/>
        </w:rPr>
        <w:footnoteReference w:id="90"/>
      </w:r>
      <w:r w:rsidR="00840F22">
        <w:t xml:space="preserve"> others would not have a sufficient impact on the costs that burden cable operators</w:t>
      </w:r>
      <w:r w:rsidR="00A11412">
        <w:t>, particularly small cable operators,</w:t>
      </w:r>
      <w:r w:rsidR="00840F22">
        <w:t xml:space="preserve"> under the existing Effective Competition regime</w:t>
      </w:r>
      <w:r w:rsidR="00743214">
        <w:t xml:space="preserve">, including the costs of purchasing </w:t>
      </w:r>
      <w:r w:rsidR="00B95FE2">
        <w:t xml:space="preserve">data indicating </w:t>
      </w:r>
      <w:r w:rsidR="00780E43">
        <w:t>what</w:t>
      </w:r>
      <w:r w:rsidR="00B95FE2">
        <w:t xml:space="preserve"> </w:t>
      </w:r>
      <w:r w:rsidR="00743214">
        <w:t>zip code</w:t>
      </w:r>
      <w:r w:rsidR="00B95FE2">
        <w:t>s</w:t>
      </w:r>
      <w:r w:rsidR="00780E43">
        <w:t xml:space="preserve"> make up the local franchising area</w:t>
      </w:r>
      <w:r w:rsidR="00B95FE2">
        <w:t>, using the resulting list of zip codes to purchase</w:t>
      </w:r>
      <w:r w:rsidR="00743214">
        <w:t xml:space="preserve"> penetration data</w:t>
      </w:r>
      <w:r w:rsidR="00B95FE2">
        <w:t>,</w:t>
      </w:r>
      <w:r w:rsidR="00743214">
        <w:t xml:space="preserve"> and preparing a formal legal filing</w:t>
      </w:r>
      <w:r w:rsidR="00840F22">
        <w:t>.</w:t>
      </w:r>
      <w:r w:rsidR="00840F22">
        <w:rPr>
          <w:rStyle w:val="FootnoteReference"/>
        </w:rPr>
        <w:footnoteReference w:id="91"/>
      </w:r>
      <w:r w:rsidR="00743214">
        <w:t xml:space="preserve">  Accordingly, we have concluded that adopting a rebuttable presumption of Competing Provider Effective Competition is the best approach to streamline the process for small cable operators.</w:t>
      </w:r>
    </w:p>
    <w:p w14:paraId="4907F90A" w14:textId="490BDBAA" w:rsidR="00B92DCC" w:rsidRPr="00524D0C" w:rsidRDefault="00B92DCC" w:rsidP="00B92DCC">
      <w:pPr>
        <w:pStyle w:val="Heading2"/>
      </w:pPr>
      <w:bookmarkStart w:id="88" w:name="_Toc395525822"/>
      <w:bookmarkStart w:id="89" w:name="_Toc395533572"/>
      <w:bookmarkStart w:id="90" w:name="_Toc395688820"/>
      <w:bookmarkStart w:id="91" w:name="_Toc396124443"/>
      <w:bookmarkStart w:id="92" w:name="_Toc396136522"/>
      <w:bookmarkStart w:id="93" w:name="_Toc396213553"/>
      <w:bookmarkStart w:id="94" w:name="_Toc396298471"/>
      <w:bookmarkStart w:id="95" w:name="_Toc402525575"/>
      <w:bookmarkStart w:id="96" w:name="_Toc404083770"/>
      <w:bookmarkStart w:id="97" w:name="_Toc404594692"/>
      <w:bookmarkStart w:id="98" w:name="_Toc407963504"/>
      <w:bookmarkStart w:id="99" w:name="_Toc408297249"/>
      <w:bookmarkStart w:id="100" w:name="_Toc411603973"/>
      <w:bookmarkStart w:id="101" w:name="_Toc414027006"/>
      <w:bookmarkStart w:id="102" w:name="_Toc414969752"/>
      <w:bookmarkStart w:id="103" w:name="_Toc415493388"/>
      <w:bookmarkStart w:id="104" w:name="_Toc418166673"/>
      <w:bookmarkStart w:id="105" w:name="_Toc418498900"/>
      <w:bookmarkStart w:id="106" w:name="_Toc418677551"/>
      <w:bookmarkStart w:id="107" w:name="_Toc418753396"/>
      <w:bookmarkStart w:id="108" w:name="_Toc419276611"/>
      <w:r w:rsidRPr="00524D0C">
        <w:t>Procedure</w:t>
      </w:r>
      <w:bookmarkEnd w:id="88"/>
      <w:bookmarkEnd w:id="89"/>
      <w:bookmarkEnd w:id="90"/>
      <w:bookmarkEnd w:id="91"/>
      <w:r w:rsidR="00835927" w:rsidRPr="00524D0C">
        <w:t>s</w:t>
      </w:r>
      <w:r w:rsidR="00C9664E" w:rsidRPr="00524D0C">
        <w:t xml:space="preserve"> </w:t>
      </w:r>
      <w:r w:rsidR="00524D0C" w:rsidRPr="00524D0C">
        <w:t>t</w:t>
      </w:r>
      <w:r w:rsidR="000756DC" w:rsidRPr="00524D0C">
        <w:t xml:space="preserve">o Implement </w:t>
      </w:r>
      <w:r w:rsidR="00F72E14">
        <w:t>the</w:t>
      </w:r>
      <w:r w:rsidR="000756DC" w:rsidRPr="00524D0C">
        <w:t xml:space="preserve"> New</w:t>
      </w:r>
      <w:r w:rsidR="00C9664E" w:rsidRPr="00524D0C">
        <w:t xml:space="preserve"> Presumption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43AD386" w14:textId="4F21DD6A" w:rsidR="00D53150" w:rsidRDefault="000756DC" w:rsidP="006D3DAC">
      <w:pPr>
        <w:pStyle w:val="ParaNum"/>
        <w:widowControl/>
      </w:pPr>
      <w:r w:rsidRPr="00E30E3C">
        <w:t xml:space="preserve">In this section, we </w:t>
      </w:r>
      <w:r w:rsidR="00E30E3C" w:rsidRPr="00E30E3C">
        <w:t xml:space="preserve">adopt new procedures to </w:t>
      </w:r>
      <w:r w:rsidR="006D3DAC">
        <w:t>implement</w:t>
      </w:r>
      <w:r w:rsidR="00E30E3C" w:rsidRPr="00E30E3C">
        <w:t xml:space="preserve"> </w:t>
      </w:r>
      <w:r w:rsidR="00E30E3C">
        <w:t xml:space="preserve">the rebuttable presumption of </w:t>
      </w:r>
      <w:r w:rsidR="003D3967">
        <w:t>C</w:t>
      </w:r>
      <w:r w:rsidR="00E30E3C">
        <w:t xml:space="preserve">ompeting </w:t>
      </w:r>
      <w:r w:rsidR="003D3967">
        <w:t>P</w:t>
      </w:r>
      <w:r w:rsidR="00E30E3C">
        <w:t xml:space="preserve">rovider </w:t>
      </w:r>
      <w:r w:rsidR="003D3967">
        <w:t>E</w:t>
      </w:r>
      <w:r w:rsidR="00E30E3C">
        <w:t xml:space="preserve">ffective </w:t>
      </w:r>
      <w:r w:rsidR="003D3967">
        <w:t>C</w:t>
      </w:r>
      <w:r w:rsidR="00E30E3C">
        <w:t xml:space="preserve">ompetition.  </w:t>
      </w:r>
      <w:r w:rsidR="00543085">
        <w:t>W</w:t>
      </w:r>
      <w:r w:rsidR="007F58A2" w:rsidRPr="001F35E7">
        <w:t>ith certain exceptions discussed below</w:t>
      </w:r>
      <w:r w:rsidR="007A36F8">
        <w:t>,</w:t>
      </w:r>
      <w:r w:rsidR="004A798E">
        <w:t xml:space="preserve"> we</w:t>
      </w:r>
      <w:r w:rsidR="00DC0007">
        <w:t xml:space="preserve"> </w:t>
      </w:r>
      <w:r w:rsidR="00D53150">
        <w:t xml:space="preserve">adopt procedures </w:t>
      </w:r>
      <w:r w:rsidR="00C72F48">
        <w:t xml:space="preserve">largely </w:t>
      </w:r>
      <w:r w:rsidR="00D53150">
        <w:t xml:space="preserve">comparable to those </w:t>
      </w:r>
      <w:r w:rsidR="00616FD5">
        <w:t>discussed</w:t>
      </w:r>
      <w:r w:rsidR="00D53150">
        <w:t xml:space="preserve"> in the NPRM.</w:t>
      </w:r>
      <w:r w:rsidR="007A36F8">
        <w:t xml:space="preserve">  </w:t>
      </w:r>
      <w:r w:rsidR="00F67E99">
        <w:t>In short, a franchising authority w</w:t>
      </w:r>
      <w:r w:rsidR="00C72F48">
        <w:t>ill</w:t>
      </w:r>
      <w:r w:rsidR="00F67E99">
        <w:t xml:space="preserve"> obtain certification to regulate a cable operator’s basic service tier and associated equipment by filing </w:t>
      </w:r>
      <w:r w:rsidR="000C1ACF">
        <w:t xml:space="preserve">a </w:t>
      </w:r>
      <w:r w:rsidR="00F67E99">
        <w:t>revised Form 328, which will include a demonstration rebutting the presumption of Competing Provider Effective Competition.  A cable operator may continue to oppose a Form 328 by filing a petition for reconsideration of the form.</w:t>
      </w:r>
    </w:p>
    <w:p w14:paraId="002235C8" w14:textId="2C6A37BC" w:rsidR="00855C9D" w:rsidRPr="00E30E3C" w:rsidRDefault="00F67E99" w:rsidP="006D3DAC">
      <w:pPr>
        <w:pStyle w:val="ParaNum"/>
        <w:widowControl/>
      </w:pPr>
      <w:r>
        <w:t xml:space="preserve">Specifically, </w:t>
      </w:r>
      <w:r w:rsidR="00F74509">
        <w:t>as under</w:t>
      </w:r>
      <w:r w:rsidR="007F58A2">
        <w:t xml:space="preserve"> our existing procedures</w:t>
      </w:r>
      <w:r w:rsidR="00D53150">
        <w:t>, a</w:t>
      </w:r>
      <w:r w:rsidR="00E30E3C">
        <w:t xml:space="preserve"> franchising authority that seeks certification to regulate a cable operator’s basic service tier and associated equipment </w:t>
      </w:r>
      <w:r w:rsidR="00F74509">
        <w:t>will</w:t>
      </w:r>
      <w:r w:rsidR="00E30E3C">
        <w:t xml:space="preserve"> file Form 328.  We will revise Question 6 of that form to include a new Question 6a, which will state the new presumption of </w:t>
      </w:r>
      <w:r w:rsidR="003D3967">
        <w:t>C</w:t>
      </w:r>
      <w:r w:rsidR="00E30E3C">
        <w:t xml:space="preserve">ompeting </w:t>
      </w:r>
      <w:r w:rsidR="003D3967">
        <w:t>P</w:t>
      </w:r>
      <w:r w:rsidR="00E30E3C">
        <w:t xml:space="preserve">rovider </w:t>
      </w:r>
      <w:r w:rsidR="003D3967">
        <w:t>E</w:t>
      </w:r>
      <w:r w:rsidR="00E30E3C">
        <w:t xml:space="preserve">ffective </w:t>
      </w:r>
      <w:r w:rsidR="003D3967">
        <w:t>C</w:t>
      </w:r>
      <w:r w:rsidR="00E30E3C">
        <w:t>ompetition.  Question 6a will ask a franchising authority to provide an attachment containing evidence adequate to satisfy its burden of rebutting the presumption with specific evidence.</w:t>
      </w:r>
      <w:r w:rsidR="00855C9D">
        <w:t xml:space="preserve">  </w:t>
      </w:r>
      <w:r w:rsidR="00F83724">
        <w:t xml:space="preserve">A </w:t>
      </w:r>
      <w:r w:rsidR="00855C9D">
        <w:t xml:space="preserve">franchising authority may continue to </w:t>
      </w:r>
      <w:r w:rsidR="006D3DAC">
        <w:t>rely on the</w:t>
      </w:r>
      <w:r w:rsidR="00855C9D">
        <w:t xml:space="preserve"> </w:t>
      </w:r>
      <w:r w:rsidR="00D53150">
        <w:t xml:space="preserve">current </w:t>
      </w:r>
      <w:r w:rsidR="00855C9D">
        <w:t>presumption</w:t>
      </w:r>
      <w:r w:rsidR="006D3DAC">
        <w:t xml:space="preserve"> that </w:t>
      </w:r>
      <w:r w:rsidR="003D3967">
        <w:t>L</w:t>
      </w:r>
      <w:r w:rsidR="00F83724">
        <w:t xml:space="preserve">ow </w:t>
      </w:r>
      <w:r w:rsidR="003D3967">
        <w:t>P</w:t>
      </w:r>
      <w:r w:rsidR="00F83724">
        <w:t xml:space="preserve">enetration, </w:t>
      </w:r>
      <w:r w:rsidR="003D3967">
        <w:t>M</w:t>
      </w:r>
      <w:r w:rsidR="00F83724">
        <w:t xml:space="preserve">unicipal </w:t>
      </w:r>
      <w:r w:rsidR="003D3967">
        <w:t>P</w:t>
      </w:r>
      <w:r w:rsidR="00F83724">
        <w:t>rovider, and LEC</w:t>
      </w:r>
      <w:r w:rsidR="006D3DAC">
        <w:t xml:space="preserve"> </w:t>
      </w:r>
      <w:r w:rsidR="003D3967">
        <w:t>E</w:t>
      </w:r>
      <w:r w:rsidR="006D3DAC">
        <w:t xml:space="preserve">ffective </w:t>
      </w:r>
      <w:r w:rsidR="003D3967">
        <w:t>C</w:t>
      </w:r>
      <w:r w:rsidR="006D3DAC">
        <w:t>ompetition are not present</w:t>
      </w:r>
      <w:r w:rsidR="00855C9D">
        <w:t xml:space="preserve"> unless it has actual knowledge to the contrary.</w:t>
      </w:r>
      <w:r w:rsidR="00855C9D">
        <w:rPr>
          <w:rStyle w:val="FootnoteReference"/>
        </w:rPr>
        <w:footnoteReference w:id="92"/>
      </w:r>
      <w:r w:rsidR="00855C9D">
        <w:t xml:space="preserve">  </w:t>
      </w:r>
      <w:r w:rsidR="006D3DAC">
        <w:t xml:space="preserve">Hence, a franchising authority need not submit evidence regarding a lack of </w:t>
      </w:r>
      <w:r w:rsidR="003D3967">
        <w:t>E</w:t>
      </w:r>
      <w:r w:rsidR="006D3DAC">
        <w:t xml:space="preserve">ffective </w:t>
      </w:r>
      <w:r w:rsidR="003D3967">
        <w:t>C</w:t>
      </w:r>
      <w:r w:rsidR="006D3DAC">
        <w:t xml:space="preserve">ompetition under </w:t>
      </w:r>
      <w:r w:rsidR="00D53150">
        <w:t>those</w:t>
      </w:r>
      <w:r w:rsidR="006D3DAC">
        <w:t xml:space="preserve"> three tests</w:t>
      </w:r>
      <w:r w:rsidR="00D53150">
        <w:t xml:space="preserve">; it need only submit evidence regarding the lack of </w:t>
      </w:r>
      <w:r w:rsidR="003D3967">
        <w:t>C</w:t>
      </w:r>
      <w:r w:rsidR="00D53150">
        <w:t xml:space="preserve">ompeting </w:t>
      </w:r>
      <w:r w:rsidR="003D3967">
        <w:t>P</w:t>
      </w:r>
      <w:r w:rsidR="00D53150">
        <w:t xml:space="preserve">rovider </w:t>
      </w:r>
      <w:r w:rsidR="003D3967">
        <w:t>E</w:t>
      </w:r>
      <w:r w:rsidR="00D53150">
        <w:t xml:space="preserve">ffective </w:t>
      </w:r>
      <w:r w:rsidR="003D3967">
        <w:t>C</w:t>
      </w:r>
      <w:r w:rsidR="00D53150">
        <w:t>ompetition</w:t>
      </w:r>
      <w:r w:rsidR="006D3DAC">
        <w:t xml:space="preserve">.  </w:t>
      </w:r>
      <w:r w:rsidR="00855C9D">
        <w:t xml:space="preserve">Question 6b of the revised form will state the presumption that cable systems are not subject to any other type of </w:t>
      </w:r>
      <w:r w:rsidR="003D3967">
        <w:t>E</w:t>
      </w:r>
      <w:r w:rsidR="00855C9D">
        <w:t xml:space="preserve">ffective </w:t>
      </w:r>
      <w:r w:rsidR="003D3967">
        <w:t>C</w:t>
      </w:r>
      <w:r w:rsidR="00855C9D">
        <w:t>ompetition</w:t>
      </w:r>
      <w:r w:rsidR="00F83724">
        <w:t xml:space="preserve"> excluding </w:t>
      </w:r>
      <w:r w:rsidR="003D3967">
        <w:t>C</w:t>
      </w:r>
      <w:r w:rsidR="00F83724">
        <w:t xml:space="preserve">ompeting </w:t>
      </w:r>
      <w:r w:rsidR="003D3967">
        <w:t>P</w:t>
      </w:r>
      <w:r w:rsidR="00F83724">
        <w:t xml:space="preserve">rovider </w:t>
      </w:r>
      <w:r w:rsidR="003D3967">
        <w:t>E</w:t>
      </w:r>
      <w:r w:rsidR="00F83724">
        <w:t xml:space="preserve">ffective </w:t>
      </w:r>
      <w:r w:rsidR="003D3967">
        <w:t>C</w:t>
      </w:r>
      <w:r w:rsidR="00F83724">
        <w:t>ompetition</w:t>
      </w:r>
      <w:r w:rsidR="00855C9D">
        <w:t xml:space="preserve">, and it will </w:t>
      </w:r>
      <w:r w:rsidR="007F1001">
        <w:t xml:space="preserve">retain the question in the current form </w:t>
      </w:r>
      <w:r w:rsidR="00855C9D">
        <w:t>ask</w:t>
      </w:r>
      <w:r w:rsidR="007F1001">
        <w:t>ing</w:t>
      </w:r>
      <w:r w:rsidR="00855C9D">
        <w:t xml:space="preserve"> the franchising authority to indicate whether it has reason to believe that this presumption is correct.</w:t>
      </w:r>
      <w:r w:rsidR="006D3DAC">
        <w:t xml:space="preserve">  </w:t>
      </w:r>
      <w:r w:rsidR="00855C9D">
        <w:t xml:space="preserve">We will revise the instructions for completing Form 328 to reflect the changes to Question 6.  In addition, we note that instruction number 2 to the form was not previously updated to reference LEC </w:t>
      </w:r>
      <w:r w:rsidR="003D3967">
        <w:t>E</w:t>
      </w:r>
      <w:r w:rsidR="00855C9D">
        <w:t xml:space="preserve">ffective </w:t>
      </w:r>
      <w:r w:rsidR="003D3967">
        <w:t>C</w:t>
      </w:r>
      <w:r w:rsidR="00855C9D">
        <w:t xml:space="preserve">ompetition, even though the form itself contains such an update.  For accuracy and completeness, we will revise instruction number 2 to reference LEC </w:t>
      </w:r>
      <w:r w:rsidR="003D3967">
        <w:t>E</w:t>
      </w:r>
      <w:r w:rsidR="00855C9D">
        <w:t xml:space="preserve">ffective </w:t>
      </w:r>
      <w:r w:rsidR="003D3967">
        <w:t>C</w:t>
      </w:r>
      <w:r w:rsidR="00855C9D">
        <w:t>ompetition.</w:t>
      </w:r>
    </w:p>
    <w:p w14:paraId="449FEA52" w14:textId="7F52FF8F" w:rsidR="00572395" w:rsidRDefault="002D296C" w:rsidP="00835927">
      <w:pPr>
        <w:pStyle w:val="ParaNum"/>
      </w:pPr>
      <w:r w:rsidRPr="00321FC5">
        <w:t xml:space="preserve">Except as otherwise discussed, </w:t>
      </w:r>
      <w:r w:rsidR="009D57DD" w:rsidRPr="00321FC5">
        <w:t>we</w:t>
      </w:r>
      <w:r w:rsidR="00634620" w:rsidRPr="00321FC5">
        <w:t xml:space="preserve"> </w:t>
      </w:r>
      <w:r w:rsidR="00321FC5" w:rsidRPr="00321FC5">
        <w:t xml:space="preserve">will </w:t>
      </w:r>
      <w:r w:rsidR="00634620" w:rsidRPr="00321FC5">
        <w:t xml:space="preserve">retain the existing provisions in </w:t>
      </w:r>
      <w:r w:rsidR="00616FD5">
        <w:t>s</w:t>
      </w:r>
      <w:r w:rsidR="00634620" w:rsidRPr="00321FC5">
        <w:t>ection 76.910 of our rules</w:t>
      </w:r>
      <w:r w:rsidR="00321FC5" w:rsidRPr="00321FC5">
        <w:t xml:space="preserve"> governing franchising authority certifications.  A</w:t>
      </w:r>
      <w:r w:rsidR="00321FC5">
        <w:t xml:space="preserve">s stated in current </w:t>
      </w:r>
      <w:r w:rsidR="00616FD5">
        <w:t>s</w:t>
      </w:r>
      <w:r w:rsidR="00321FC5">
        <w:t>ection 76.910</w:t>
      </w:r>
      <w:r w:rsidR="00321FC5" w:rsidRPr="00321FC5">
        <w:t xml:space="preserve">, </w:t>
      </w:r>
      <w:r w:rsidR="00321FC5">
        <w:t xml:space="preserve">the certification will become effective 30 days after the franchising authority files Form 328 unless the </w:t>
      </w:r>
      <w:r w:rsidR="00137B5F">
        <w:t>Commission notifies the franchising authority</w:t>
      </w:r>
      <w:r w:rsidR="00321FC5">
        <w:t xml:space="preserve"> otherwise.</w:t>
      </w:r>
      <w:r w:rsidR="00321FC5">
        <w:rPr>
          <w:rStyle w:val="FootnoteReference"/>
        </w:rPr>
        <w:footnoteReference w:id="93"/>
      </w:r>
      <w:r w:rsidR="000C0E39">
        <w:t xml:space="preserve">  We find that this approach is consistent with a presumption of </w:t>
      </w:r>
      <w:r w:rsidR="003D3967">
        <w:t>C</w:t>
      </w:r>
      <w:r w:rsidR="000C0E39">
        <w:t xml:space="preserve">ompeting </w:t>
      </w:r>
      <w:r w:rsidR="003D3967">
        <w:t>P</w:t>
      </w:r>
      <w:r w:rsidR="000C0E39">
        <w:t xml:space="preserve">rovider </w:t>
      </w:r>
      <w:r w:rsidR="003D3967">
        <w:t>E</w:t>
      </w:r>
      <w:r w:rsidR="000C0E39">
        <w:t xml:space="preserve">ffective </w:t>
      </w:r>
      <w:r w:rsidR="003D3967">
        <w:t>C</w:t>
      </w:r>
      <w:r w:rsidR="000C0E39">
        <w:t xml:space="preserve">ompetition, because the franchising authority is required to </w:t>
      </w:r>
      <w:r w:rsidR="00850602">
        <w:t>submit</w:t>
      </w:r>
      <w:r w:rsidR="000C0E39">
        <w:t xml:space="preserve"> a rebuttal of that presumption </w:t>
      </w:r>
      <w:r w:rsidR="00850602">
        <w:t>with</w:t>
      </w:r>
      <w:r w:rsidR="000C0E39">
        <w:t xml:space="preserve"> Form 328.</w:t>
      </w:r>
      <w:r w:rsidR="00605A17">
        <w:t xml:space="preserve">  </w:t>
      </w:r>
      <w:r w:rsidR="001D6767">
        <w:t>This approach also is consistent with the statutory requirement that in general, a franchising authority’s certification must become effective 30 days after the date filed.</w:t>
      </w:r>
      <w:r w:rsidR="001D6767">
        <w:rPr>
          <w:rStyle w:val="FootnoteReference"/>
        </w:rPr>
        <w:footnoteReference w:id="94"/>
      </w:r>
      <w:r w:rsidR="001D6767">
        <w:t xml:space="preserve">  </w:t>
      </w:r>
      <w:r w:rsidR="00605A17">
        <w:t>Once a franchising authority files revised Form 328, the Commission may deny a certification based on failure to meet the applicable burden</w:t>
      </w:r>
      <w:r w:rsidR="008D34DE">
        <w:t>,</w:t>
      </w:r>
      <w:r w:rsidR="00605A17">
        <w:t xml:space="preserve"> consistent with the Commission’s authority to dismiss a pleading that fails on its face to satisfy applicable requirements.</w:t>
      </w:r>
      <w:r w:rsidR="007F58A2">
        <w:rPr>
          <w:rStyle w:val="FootnoteReference"/>
        </w:rPr>
        <w:footnoteReference w:id="95"/>
      </w:r>
      <w:r w:rsidR="00605A17">
        <w:t xml:space="preserve">  Accordingly, </w:t>
      </w:r>
      <w:r w:rsidR="00966D00">
        <w:t>if</w:t>
      </w:r>
      <w:r w:rsidR="00605A17">
        <w:t xml:space="preserve"> a franchising authority files a revised Form 328 that </w:t>
      </w:r>
      <w:r w:rsidR="005E2221">
        <w:t>fails to meet the required standards to regulate rates</w:t>
      </w:r>
      <w:r w:rsidR="00FE4F10">
        <w:t>,</w:t>
      </w:r>
      <w:r w:rsidR="00DC0007">
        <w:t xml:space="preserve"> </w:t>
      </w:r>
      <w:r w:rsidR="00966D00">
        <w:t xml:space="preserve">we will promptly deny the filing and it thus </w:t>
      </w:r>
      <w:r w:rsidR="00DC0007">
        <w:t xml:space="preserve">will </w:t>
      </w:r>
      <w:r w:rsidR="00966D00">
        <w:t>not become effective 30 days after filing</w:t>
      </w:r>
      <w:r w:rsidR="00FE4F10">
        <w:t xml:space="preserve">.  </w:t>
      </w:r>
      <w:r w:rsidR="003841E1">
        <w:t xml:space="preserve">We see no need to require a franchising authority to wait one year before filing a new Form 328 after one is denied, as ACA </w:t>
      </w:r>
      <w:r w:rsidR="008D34DE">
        <w:t>request</w:t>
      </w:r>
      <w:r w:rsidR="003841E1">
        <w:t>s</w:t>
      </w:r>
      <w:r w:rsidR="00966D00">
        <w:t>;</w:t>
      </w:r>
      <w:r w:rsidR="003841E1">
        <w:rPr>
          <w:rStyle w:val="FootnoteReference"/>
        </w:rPr>
        <w:footnoteReference w:id="96"/>
      </w:r>
      <w:r w:rsidR="003841E1">
        <w:t xml:space="preserve"> </w:t>
      </w:r>
      <w:r w:rsidR="00966D00">
        <w:t>we believe</w:t>
      </w:r>
      <w:r w:rsidR="003841E1">
        <w:t xml:space="preserve"> that franchising authorities should remain able to file a new Form 328 </w:t>
      </w:r>
      <w:r w:rsidR="00966D00">
        <w:t>at any time</w:t>
      </w:r>
      <w:r w:rsidR="003841E1">
        <w:t xml:space="preserve"> if </w:t>
      </w:r>
      <w:r w:rsidR="007F1001">
        <w:t xml:space="preserve">circumstances change such that </w:t>
      </w:r>
      <w:r w:rsidR="00A7592B">
        <w:t>they</w:t>
      </w:r>
      <w:r w:rsidR="007F1001">
        <w:t xml:space="preserve"> can submit new</w:t>
      </w:r>
      <w:r w:rsidR="003841E1">
        <w:t xml:space="preserve"> </w:t>
      </w:r>
      <w:r w:rsidR="008D34DE">
        <w:t>data rebut</w:t>
      </w:r>
      <w:r w:rsidR="007F1001">
        <w:t>ting</w:t>
      </w:r>
      <w:r w:rsidR="008D34DE">
        <w:t xml:space="preserve"> the presumption of Competing Provider Effective Competition</w:t>
      </w:r>
      <w:r w:rsidR="003841E1">
        <w:t xml:space="preserve">. </w:t>
      </w:r>
    </w:p>
    <w:p w14:paraId="18D4DE67" w14:textId="4061D855" w:rsidR="00321FC5" w:rsidRDefault="00850602" w:rsidP="00835927">
      <w:pPr>
        <w:pStyle w:val="ParaNum"/>
      </w:pPr>
      <w:r>
        <w:t xml:space="preserve">We also find that deeming a certification effective 30 days after it is filed is consistent with STELAR’s requirement that we streamline the </w:t>
      </w:r>
      <w:r w:rsidR="003D3967">
        <w:t>E</w:t>
      </w:r>
      <w:r>
        <w:t xml:space="preserve">ffective </w:t>
      </w:r>
      <w:r w:rsidR="003D3967">
        <w:t>C</w:t>
      </w:r>
      <w:r>
        <w:t xml:space="preserve">ompetition process for small cable operators.  We expect that few franchising authorities will file the revised Form 328 because </w:t>
      </w:r>
      <w:r w:rsidR="007F58A2">
        <w:t>they</w:t>
      </w:r>
      <w:r>
        <w:t xml:space="preserve"> will</w:t>
      </w:r>
      <w:r w:rsidR="00CE504A">
        <w:t xml:space="preserve"> </w:t>
      </w:r>
      <w:r>
        <w:t xml:space="preserve">be </w:t>
      </w:r>
      <w:r w:rsidR="007F58A2">
        <w:t>un</w:t>
      </w:r>
      <w:r>
        <w:t xml:space="preserve">able to </w:t>
      </w:r>
      <w:r w:rsidR="004A798E">
        <w:t xml:space="preserve">produce </w:t>
      </w:r>
      <w:r w:rsidR="0018352D">
        <w:t xml:space="preserve">the necessary </w:t>
      </w:r>
      <w:r w:rsidR="007F58A2">
        <w:t xml:space="preserve">evidence to </w:t>
      </w:r>
      <w:r>
        <w:t xml:space="preserve">rebut the presumption of </w:t>
      </w:r>
      <w:r w:rsidR="003D3967">
        <w:t>C</w:t>
      </w:r>
      <w:r>
        <w:t xml:space="preserve">ompeting </w:t>
      </w:r>
      <w:r w:rsidR="003D3967">
        <w:t>P</w:t>
      </w:r>
      <w:r>
        <w:t xml:space="preserve">rovider </w:t>
      </w:r>
      <w:r w:rsidR="003D3967">
        <w:t>E</w:t>
      </w:r>
      <w:r>
        <w:t xml:space="preserve">ffective </w:t>
      </w:r>
      <w:r w:rsidR="003D3967">
        <w:t>C</w:t>
      </w:r>
      <w:r>
        <w:t>ompetition</w:t>
      </w:r>
      <w:r w:rsidR="00C24B89">
        <w:t xml:space="preserve"> in most franchise areas</w:t>
      </w:r>
      <w:r w:rsidR="00736BCB">
        <w:t xml:space="preserve">, </w:t>
      </w:r>
      <w:r w:rsidR="00CA166E">
        <w:t>due to</w:t>
      </w:r>
      <w:r w:rsidR="00736BCB">
        <w:t xml:space="preserve"> the ubiquity of DBS service</w:t>
      </w:r>
      <w:r>
        <w:t xml:space="preserve">.  Cable operators thus will </w:t>
      </w:r>
      <w:r w:rsidR="00845C7F">
        <w:t xml:space="preserve">likely </w:t>
      </w:r>
      <w:r w:rsidR="007F58A2">
        <w:t>need to address</w:t>
      </w:r>
      <w:r>
        <w:t xml:space="preserve"> </w:t>
      </w:r>
      <w:r w:rsidR="00845C7F">
        <w:t>only a</w:t>
      </w:r>
      <w:r w:rsidR="007F58A2">
        <w:t xml:space="preserve"> small number of</w:t>
      </w:r>
      <w:r>
        <w:t xml:space="preserve"> filed Form 328s</w:t>
      </w:r>
      <w:r w:rsidR="004A798E">
        <w:t>.</w:t>
      </w:r>
      <w:r>
        <w:t xml:space="preserve">  </w:t>
      </w:r>
      <w:r w:rsidR="007F58A2">
        <w:t xml:space="preserve">In fact, </w:t>
      </w:r>
      <w:r w:rsidR="00845C7F">
        <w:t>if</w:t>
      </w:r>
      <w:r w:rsidR="00626739">
        <w:t xml:space="preserve"> the Commission finds </w:t>
      </w:r>
      <w:r w:rsidR="00490E9A">
        <w:t xml:space="preserve">that the attachment accompanying </w:t>
      </w:r>
      <w:r w:rsidR="00626739">
        <w:t>a</w:t>
      </w:r>
      <w:r w:rsidR="007F58A2">
        <w:t xml:space="preserve"> franchis</w:t>
      </w:r>
      <w:r w:rsidR="00C46342">
        <w:t>ing</w:t>
      </w:r>
      <w:r w:rsidR="007F58A2">
        <w:t xml:space="preserve"> authority</w:t>
      </w:r>
      <w:r w:rsidR="00153520">
        <w:t xml:space="preserve">’s Form 328 </w:t>
      </w:r>
      <w:r w:rsidR="00C12E44">
        <w:t>fails to show the evidence required to rebut the presumption</w:t>
      </w:r>
      <w:r w:rsidR="00153520">
        <w:t xml:space="preserve">, </w:t>
      </w:r>
      <w:r w:rsidR="00626739">
        <w:t xml:space="preserve">and the Commission thus dismisses the form based on failure to meet the applicable burden, </w:t>
      </w:r>
      <w:r w:rsidR="00490E9A">
        <w:t xml:space="preserve">then </w:t>
      </w:r>
      <w:r w:rsidR="00626739">
        <w:t xml:space="preserve">the cable operator </w:t>
      </w:r>
      <w:r w:rsidR="00845C7F">
        <w:t xml:space="preserve">will not </w:t>
      </w:r>
      <w:r w:rsidR="00626739">
        <w:t xml:space="preserve">need </w:t>
      </w:r>
      <w:r w:rsidR="00845C7F">
        <w:t xml:space="preserve">to </w:t>
      </w:r>
      <w:r w:rsidR="00626739">
        <w:t>take any affirmative action</w:t>
      </w:r>
      <w:r w:rsidR="00153520">
        <w:t xml:space="preserve">.  </w:t>
      </w:r>
      <w:r w:rsidR="00D511D4">
        <w:t xml:space="preserve">The new approach adopted herein thus will streamline the Effective Competition process for all cable operators, including small ones.  </w:t>
      </w:r>
      <w:r w:rsidR="002A7EE1">
        <w:t>The NPRM sought comment on whether a cable operator should have an opportunity before the 30-day period expires to respond to a franchising authority’s showing.</w:t>
      </w:r>
      <w:r w:rsidR="002A7EE1">
        <w:rPr>
          <w:rStyle w:val="FootnoteReference"/>
        </w:rPr>
        <w:footnoteReference w:id="97"/>
      </w:r>
      <w:r w:rsidR="002A7EE1">
        <w:t xml:space="preserve">  </w:t>
      </w:r>
      <w:r w:rsidR="002A7EE1" w:rsidRPr="00566B45">
        <w:t>Commenters did not address this is</w:t>
      </w:r>
      <w:r w:rsidR="00EB074B" w:rsidRPr="007D4138">
        <w:t>sue and we find it unnecessary to do so, given that a cable operator may file a petiti</w:t>
      </w:r>
      <w:r w:rsidR="00EB074B" w:rsidRPr="00EB6E53">
        <w:t>on for reconsideration that would automatically stay the imposition of rate regulation, as discussed below.</w:t>
      </w:r>
      <w:r w:rsidR="00EB074B">
        <w:t xml:space="preserve">  </w:t>
      </w:r>
    </w:p>
    <w:p w14:paraId="5A32BC85" w14:textId="2F9E0A8E" w:rsidR="00835927" w:rsidRPr="00D80C62" w:rsidRDefault="00616FD5" w:rsidP="00835927">
      <w:pPr>
        <w:pStyle w:val="ParaNum"/>
      </w:pPr>
      <w:r w:rsidRPr="00616FD5">
        <w:t>As discussed in the NPRM,</w:t>
      </w:r>
      <w:r w:rsidRPr="00616FD5">
        <w:rPr>
          <w:rStyle w:val="FootnoteReference"/>
        </w:rPr>
        <w:footnoteReference w:id="98"/>
      </w:r>
      <w:r w:rsidRPr="00616FD5">
        <w:t xml:space="preserve"> </w:t>
      </w:r>
      <w:r w:rsidR="00736BCB">
        <w:t xml:space="preserve">under </w:t>
      </w:r>
      <w:r w:rsidR="00CE504A">
        <w:t>our</w:t>
      </w:r>
      <w:r w:rsidR="00736BCB">
        <w:t xml:space="preserve"> current rules </w:t>
      </w:r>
      <w:r w:rsidRPr="00616FD5">
        <w:t>a</w:t>
      </w:r>
      <w:r w:rsidR="003B3D34" w:rsidRPr="00616FD5">
        <w:t xml:space="preserve"> cable operator </w:t>
      </w:r>
      <w:r w:rsidR="009D57DD" w:rsidRPr="00616FD5">
        <w:t xml:space="preserve">may </w:t>
      </w:r>
      <w:r w:rsidR="003B3D34" w:rsidRPr="00616FD5">
        <w:t>oppos</w:t>
      </w:r>
      <w:r w:rsidR="009D57DD" w:rsidRPr="00616FD5">
        <w:t>e</w:t>
      </w:r>
      <w:r w:rsidR="003B3D34" w:rsidRPr="00616FD5">
        <w:t xml:space="preserve"> a certification</w:t>
      </w:r>
      <w:r w:rsidRPr="00616FD5">
        <w:t xml:space="preserve"> by f</w:t>
      </w:r>
      <w:r w:rsidR="003B3D34" w:rsidRPr="00616FD5">
        <w:t>il</w:t>
      </w:r>
      <w:r w:rsidRPr="00616FD5">
        <w:t>ing</w:t>
      </w:r>
      <w:r w:rsidR="003B3D34" w:rsidRPr="00616FD5">
        <w:t xml:space="preserve"> a petition for reconsideration pursuant to </w:t>
      </w:r>
      <w:r w:rsidRPr="00616FD5">
        <w:t>s</w:t>
      </w:r>
      <w:r w:rsidR="003B3D34" w:rsidRPr="00616FD5">
        <w:t xml:space="preserve">ection 76.911 of our rules, demonstrating that it satisfies any of the four tests for </w:t>
      </w:r>
      <w:r w:rsidR="00DE5C65">
        <w:t>E</w:t>
      </w:r>
      <w:r w:rsidR="003B3D34" w:rsidRPr="00616FD5">
        <w:t xml:space="preserve">ffective </w:t>
      </w:r>
      <w:r w:rsidR="00DE5C65">
        <w:t>C</w:t>
      </w:r>
      <w:r w:rsidR="003B3D34" w:rsidRPr="00616FD5">
        <w:t>ompetition</w:t>
      </w:r>
      <w:r w:rsidR="001D6767">
        <w:t>.</w:t>
      </w:r>
      <w:r w:rsidR="003B3D34" w:rsidRPr="00616FD5">
        <w:rPr>
          <w:rStyle w:val="FootnoteReference"/>
        </w:rPr>
        <w:footnoteReference w:id="99"/>
      </w:r>
      <w:r w:rsidR="003B3D34" w:rsidRPr="00616FD5">
        <w:t xml:space="preserve">  </w:t>
      </w:r>
      <w:r w:rsidR="00845C7F">
        <w:t>Similarly, under the new rules</w:t>
      </w:r>
      <w:r w:rsidR="00852FD6">
        <w:t xml:space="preserve">, the cable operator may file a petition for reconsideration in which it either (a) disagrees with a franchising authority’s rebuttal of the presumption of </w:t>
      </w:r>
      <w:r w:rsidR="00DE5C65">
        <w:t>C</w:t>
      </w:r>
      <w:r w:rsidR="00852FD6">
        <w:t xml:space="preserve">ompeting </w:t>
      </w:r>
      <w:r w:rsidR="00DE5C65">
        <w:t>P</w:t>
      </w:r>
      <w:r w:rsidR="00852FD6">
        <w:t xml:space="preserve">rovider </w:t>
      </w:r>
      <w:r w:rsidR="00DE5C65">
        <w:t>E</w:t>
      </w:r>
      <w:r w:rsidR="00852FD6">
        <w:t xml:space="preserve">ffective </w:t>
      </w:r>
      <w:r w:rsidR="00DE5C65">
        <w:t>C</w:t>
      </w:r>
      <w:r w:rsidR="00852FD6">
        <w:t xml:space="preserve">ompetition, or (b) </w:t>
      </w:r>
      <w:r w:rsidR="007B555B">
        <w:t xml:space="preserve">attempts to </w:t>
      </w:r>
      <w:r w:rsidR="00852FD6">
        <w:t>demonstrat</w:t>
      </w:r>
      <w:r w:rsidR="007B555B">
        <w:t>e</w:t>
      </w:r>
      <w:r w:rsidR="00852FD6">
        <w:t xml:space="preserve"> the presence of one of the other types of </w:t>
      </w:r>
      <w:r w:rsidR="00DE5C65">
        <w:t>E</w:t>
      </w:r>
      <w:r w:rsidR="00852FD6">
        <w:t xml:space="preserve">ffective </w:t>
      </w:r>
      <w:r w:rsidR="00DE5C65">
        <w:t>C</w:t>
      </w:r>
      <w:r w:rsidR="00852FD6">
        <w:t xml:space="preserve">ompetition (low penetration, municipal provider, or LEC).  </w:t>
      </w:r>
      <w:r w:rsidRPr="00616FD5">
        <w:t xml:space="preserve">We see no need to make any revisions to existing section 76.911.  </w:t>
      </w:r>
      <w:r w:rsidR="00736BCB">
        <w:t>T</w:t>
      </w:r>
      <w:r w:rsidR="002D20D2">
        <w:t>h</w:t>
      </w:r>
      <w:r w:rsidR="00D042C2" w:rsidRPr="00616FD5">
        <w:t xml:space="preserve">e procedures set forth in </w:t>
      </w:r>
      <w:r w:rsidRPr="00616FD5">
        <w:t>s</w:t>
      </w:r>
      <w:r w:rsidR="00D042C2" w:rsidRPr="00616FD5">
        <w:t xml:space="preserve">ection 1.106 of our rules </w:t>
      </w:r>
      <w:r w:rsidR="00736BCB">
        <w:t xml:space="preserve">for the filing of petitions for reconsideration </w:t>
      </w:r>
      <w:r w:rsidRPr="00616FD5">
        <w:t xml:space="preserve">will </w:t>
      </w:r>
      <w:r w:rsidR="00D042C2" w:rsidRPr="00616FD5">
        <w:t xml:space="preserve">continue </w:t>
      </w:r>
      <w:r w:rsidR="00D042C2" w:rsidRPr="00852FD6">
        <w:t xml:space="preserve">to govern </w:t>
      </w:r>
      <w:r w:rsidRPr="00852FD6">
        <w:t>petition</w:t>
      </w:r>
      <w:r w:rsidR="004B6845">
        <w:t>s</w:t>
      </w:r>
      <w:r w:rsidRPr="00852FD6">
        <w:t xml:space="preserve"> for reconsideration of Form 328</w:t>
      </w:r>
      <w:r w:rsidR="004B6845">
        <w:t xml:space="preserve"> and </w:t>
      </w:r>
      <w:r w:rsidR="00736BCB">
        <w:t xml:space="preserve">responsive </w:t>
      </w:r>
      <w:r w:rsidR="004B6845">
        <w:t>pleadings</w:t>
      </w:r>
      <w:r w:rsidRPr="00852FD6">
        <w:t>.</w:t>
      </w:r>
      <w:r w:rsidR="00852FD6" w:rsidRPr="00852FD6">
        <w:rPr>
          <w:rStyle w:val="FootnoteReference"/>
        </w:rPr>
        <w:footnoteReference w:id="100"/>
      </w:r>
      <w:r w:rsidR="00D042C2" w:rsidRPr="00852FD6">
        <w:t xml:space="preserve">  </w:t>
      </w:r>
      <w:r w:rsidR="00736BCB" w:rsidRPr="007D4138">
        <w:t>In addition</w:t>
      </w:r>
      <w:r w:rsidR="00852FD6" w:rsidRPr="007D4138">
        <w:t xml:space="preserve">, </w:t>
      </w:r>
      <w:r w:rsidR="00736BCB" w:rsidRPr="007D4138">
        <w:t>a cable operator’s</w:t>
      </w:r>
      <w:r w:rsidR="00852FD6" w:rsidRPr="0048457E">
        <w:t xml:space="preserve"> filing of a </w:t>
      </w:r>
      <w:r w:rsidR="002D296C" w:rsidRPr="00EB6E53">
        <w:t xml:space="preserve">petition for reconsideration alleging that </w:t>
      </w:r>
      <w:r w:rsidR="00DE5C65" w:rsidRPr="00EB6E53">
        <w:t>E</w:t>
      </w:r>
      <w:r w:rsidR="002D296C" w:rsidRPr="00EB6E53">
        <w:t xml:space="preserve">ffective </w:t>
      </w:r>
      <w:r w:rsidR="00DE5C65" w:rsidRPr="00EB6E53">
        <w:t>C</w:t>
      </w:r>
      <w:r w:rsidR="002D296C" w:rsidRPr="007D1B2B">
        <w:t>ompetition exists w</w:t>
      </w:r>
      <w:r w:rsidR="00852FD6" w:rsidRPr="008371A6">
        <w:t>ill continue to</w:t>
      </w:r>
      <w:r w:rsidR="002D296C" w:rsidRPr="00842868">
        <w:t xml:space="preserve"> automatically </w:t>
      </w:r>
      <w:r w:rsidR="00370FFF" w:rsidRPr="00524BA3">
        <w:t>stay</w:t>
      </w:r>
      <w:r w:rsidR="002D296C" w:rsidRPr="00524BA3">
        <w:t xml:space="preserve"> </w:t>
      </w:r>
      <w:r w:rsidR="002D296C" w:rsidRPr="007D4138">
        <w:t>the imposition of rate regulation</w:t>
      </w:r>
      <w:r w:rsidR="00370FFF" w:rsidRPr="007D4138">
        <w:t xml:space="preserve"> pending the outcome of the</w:t>
      </w:r>
      <w:r w:rsidR="002D296C" w:rsidRPr="007D4138">
        <w:t xml:space="preserve"> reconsideration proceeding</w:t>
      </w:r>
      <w:r w:rsidR="00370FFF" w:rsidRPr="00852FD6">
        <w:t>.</w:t>
      </w:r>
      <w:r w:rsidR="00852FD6">
        <w:rPr>
          <w:rStyle w:val="FootnoteReference"/>
        </w:rPr>
        <w:footnoteReference w:id="101"/>
      </w:r>
      <w:r w:rsidR="00E53D46" w:rsidRPr="00852FD6">
        <w:t xml:space="preserve"> </w:t>
      </w:r>
      <w:r w:rsidR="00370FFF" w:rsidRPr="00852FD6">
        <w:t xml:space="preserve"> </w:t>
      </w:r>
      <w:r w:rsidR="00852FD6" w:rsidRPr="00852FD6">
        <w:t>Although the NPRM sought comment on whether we should deem a petition for reconsideration granted if the Commission does not act on it within six months,</w:t>
      </w:r>
      <w:r w:rsidR="00852FD6" w:rsidRPr="00852FD6">
        <w:rPr>
          <w:rStyle w:val="FootnoteReference"/>
        </w:rPr>
        <w:footnoteReference w:id="102"/>
      </w:r>
      <w:r w:rsidR="00852FD6" w:rsidRPr="00852FD6">
        <w:t xml:space="preserve"> we find that such an approach is unnecessary given the automatic </w:t>
      </w:r>
      <w:r w:rsidR="00852FD6" w:rsidRPr="00D80C62">
        <w:t>rate regulation stay.</w:t>
      </w:r>
    </w:p>
    <w:p w14:paraId="677732E0" w14:textId="41A3C545" w:rsidR="00364062" w:rsidRDefault="005B271A" w:rsidP="00360883">
      <w:pPr>
        <w:pStyle w:val="ParaNum"/>
      </w:pPr>
      <w:r w:rsidRPr="00D80C62">
        <w:t xml:space="preserve">Our rules currently permit cable operators to request information from a competitor about the competitor’s reach and number of subscribers, </w:t>
      </w:r>
      <w:r w:rsidR="009D08E0" w:rsidRPr="00D80C62">
        <w:t xml:space="preserve">if the evidence </w:t>
      </w:r>
      <w:r w:rsidR="00153520">
        <w:t xml:space="preserve">necessary to </w:t>
      </w:r>
      <w:r w:rsidR="009D08E0" w:rsidRPr="00D80C62">
        <w:t xml:space="preserve">establish </w:t>
      </w:r>
      <w:r w:rsidR="00DE5C65">
        <w:t>E</w:t>
      </w:r>
      <w:r w:rsidR="009D08E0" w:rsidRPr="00D80C62">
        <w:t xml:space="preserve">ffective </w:t>
      </w:r>
      <w:r w:rsidR="00DE5C65">
        <w:t>C</w:t>
      </w:r>
      <w:r w:rsidR="009D08E0" w:rsidRPr="00D80C62">
        <w:t>ompetition is not otherwise available</w:t>
      </w:r>
      <w:r w:rsidRPr="00D80C62">
        <w:t>.</w:t>
      </w:r>
      <w:r w:rsidRPr="00D80C62">
        <w:rPr>
          <w:rStyle w:val="FootnoteReference"/>
        </w:rPr>
        <w:footnoteReference w:id="103"/>
      </w:r>
      <w:r w:rsidR="00E31142" w:rsidRPr="00D80C62">
        <w:t xml:space="preserve"> </w:t>
      </w:r>
      <w:r w:rsidR="009D08E0" w:rsidRPr="00D80C62">
        <w:t xml:space="preserve"> </w:t>
      </w:r>
      <w:r w:rsidR="00D80C62">
        <w:t xml:space="preserve">We will retain that provision, while adding a similar provision to benefit franchising authorities now that they will bear the burden of demonstrating the lack of </w:t>
      </w:r>
      <w:r w:rsidR="00DE5C65">
        <w:t>C</w:t>
      </w:r>
      <w:r w:rsidR="00D80C62">
        <w:t xml:space="preserve">ompeting </w:t>
      </w:r>
      <w:r w:rsidR="00DE5C65">
        <w:t>P</w:t>
      </w:r>
      <w:r w:rsidR="00D80C62">
        <w:t xml:space="preserve">rovider </w:t>
      </w:r>
      <w:r w:rsidR="00DE5C65">
        <w:t>E</w:t>
      </w:r>
      <w:r w:rsidR="00D80C62">
        <w:t xml:space="preserve">ffective </w:t>
      </w:r>
      <w:r w:rsidR="00DE5C65">
        <w:t>C</w:t>
      </w:r>
      <w:r w:rsidR="00D80C62">
        <w:t>ompetition.</w:t>
      </w:r>
      <w:r w:rsidR="0008203E">
        <w:rPr>
          <w:rStyle w:val="FootnoteReference"/>
        </w:rPr>
        <w:footnoteReference w:id="104"/>
      </w:r>
      <w:r w:rsidR="00D80C62">
        <w:t xml:space="preserve">  Specifically, we</w:t>
      </w:r>
      <w:r w:rsidR="005B7E17" w:rsidRPr="00D80C62">
        <w:t xml:space="preserve"> </w:t>
      </w:r>
      <w:r w:rsidR="00D80C62" w:rsidRPr="00D80C62">
        <w:t>will</w:t>
      </w:r>
      <w:r w:rsidR="005B7E17" w:rsidRPr="00D80C62">
        <w:t xml:space="preserve"> </w:t>
      </w:r>
      <w:r w:rsidR="007F1023" w:rsidRPr="00D80C62">
        <w:t xml:space="preserve">amend our rules to </w:t>
      </w:r>
      <w:r w:rsidR="005B7E17" w:rsidRPr="00D80C62">
        <w:t>provide that</w:t>
      </w:r>
      <w:r w:rsidR="00CE504A">
        <w:t>,</w:t>
      </w:r>
      <w:r w:rsidR="001C45FE" w:rsidRPr="00D80C62">
        <w:t xml:space="preserve"> if a </w:t>
      </w:r>
      <w:r w:rsidR="002C1892" w:rsidRPr="00D80C62">
        <w:t>franchising authority</w:t>
      </w:r>
      <w:r w:rsidR="001C45FE" w:rsidRPr="00D80C62">
        <w:t xml:space="preserve"> </w:t>
      </w:r>
      <w:r w:rsidR="009D08E0" w:rsidRPr="00D80C62">
        <w:t xml:space="preserve">filing Form 328 </w:t>
      </w:r>
      <w:r w:rsidR="001C45FE" w:rsidRPr="00D80C62">
        <w:t xml:space="preserve">wishes to </w:t>
      </w:r>
      <w:r w:rsidR="00D80C62" w:rsidRPr="00D80C62">
        <w:t xml:space="preserve">demonstrate a lack of </w:t>
      </w:r>
      <w:r w:rsidR="00DE5C65">
        <w:t>C</w:t>
      </w:r>
      <w:r w:rsidR="002F0F94">
        <w:t xml:space="preserve">ompeting </w:t>
      </w:r>
      <w:r w:rsidR="00DE5C65">
        <w:t>P</w:t>
      </w:r>
      <w:r w:rsidR="002F0F94">
        <w:t xml:space="preserve">rovider </w:t>
      </w:r>
      <w:r w:rsidR="00DE5C65">
        <w:t>E</w:t>
      </w:r>
      <w:r w:rsidR="009F0BF9" w:rsidRPr="00D80C62">
        <w:t xml:space="preserve">ffective </w:t>
      </w:r>
      <w:r w:rsidR="00DE5C65">
        <w:t>C</w:t>
      </w:r>
      <w:r w:rsidR="009F0BF9" w:rsidRPr="00D80C62">
        <w:t>ompetition</w:t>
      </w:r>
      <w:r w:rsidR="001C45FE" w:rsidRPr="00D80C62">
        <w:t xml:space="preserve"> and</w:t>
      </w:r>
      <w:r w:rsidR="006F23BE" w:rsidRPr="00D80C62">
        <w:t xml:space="preserve"> </w:t>
      </w:r>
      <w:r w:rsidR="009F0BF9" w:rsidRPr="00D80C62">
        <w:t xml:space="preserve">necessary </w:t>
      </w:r>
      <w:r w:rsidR="005B7E17" w:rsidRPr="00D80C62">
        <w:t xml:space="preserve">evidence is not otherwise available, </w:t>
      </w:r>
      <w:r w:rsidR="001B5368" w:rsidRPr="00D80C62">
        <w:t>the</w:t>
      </w:r>
      <w:r w:rsidR="005B7E17" w:rsidRPr="00D80C62">
        <w:t xml:space="preserve"> </w:t>
      </w:r>
      <w:r w:rsidR="002C1892" w:rsidRPr="00D80C62">
        <w:t>franchising authority</w:t>
      </w:r>
      <w:r w:rsidR="005B7E17" w:rsidRPr="00D80C62">
        <w:t xml:space="preserve"> may request </w:t>
      </w:r>
      <w:r w:rsidR="00033909" w:rsidRPr="00D80C62">
        <w:t xml:space="preserve">directly </w:t>
      </w:r>
      <w:r w:rsidR="005B7E17" w:rsidRPr="00D80C62">
        <w:t>from an</w:t>
      </w:r>
      <w:r w:rsidR="00A4206F">
        <w:t xml:space="preserve"> </w:t>
      </w:r>
      <w:r w:rsidR="005B7E17" w:rsidRPr="00D80C62">
        <w:t xml:space="preserve">MVPD information regarding </w:t>
      </w:r>
      <w:r w:rsidR="009D08E0" w:rsidRPr="00D80C62">
        <w:t>the MVPD’s</w:t>
      </w:r>
      <w:r w:rsidR="005B7E17" w:rsidRPr="00D80C62">
        <w:t xml:space="preserve"> reach and number of subscribers</w:t>
      </w:r>
      <w:r w:rsidR="006806BC" w:rsidRPr="00D80C62">
        <w:t xml:space="preserve"> in a particular franchise area</w:t>
      </w:r>
      <w:r w:rsidR="005B7E17" w:rsidRPr="00D80C62">
        <w:t xml:space="preserve">.  </w:t>
      </w:r>
      <w:r w:rsidR="007103E0" w:rsidRPr="00D80C62">
        <w:t xml:space="preserve">As currently required for </w:t>
      </w:r>
      <w:r w:rsidR="001B5368" w:rsidRPr="00D80C62">
        <w:t xml:space="preserve">such </w:t>
      </w:r>
      <w:r w:rsidR="00781A96" w:rsidRPr="00D80C62">
        <w:t xml:space="preserve">requests by </w:t>
      </w:r>
      <w:r w:rsidR="007103E0" w:rsidRPr="00D80C62">
        <w:t>cable operators, w</w:t>
      </w:r>
      <w:r w:rsidR="005B7E17" w:rsidRPr="00D80C62">
        <w:t xml:space="preserve">e </w:t>
      </w:r>
      <w:r w:rsidR="00D80C62" w:rsidRPr="00D80C62">
        <w:t xml:space="preserve">will </w:t>
      </w:r>
      <w:r w:rsidR="005B7E17" w:rsidRPr="00D80C62">
        <w:t xml:space="preserve">require the MVPD to respond to such a request within 15 days, </w:t>
      </w:r>
      <w:r w:rsidR="005B7E17" w:rsidRPr="007C44B4">
        <w:t>and</w:t>
      </w:r>
      <w:r w:rsidR="005F4CFA" w:rsidRPr="007C44B4">
        <w:t xml:space="preserve"> </w:t>
      </w:r>
      <w:r w:rsidR="007F1023" w:rsidRPr="007C44B4">
        <w:t>we</w:t>
      </w:r>
      <w:r w:rsidR="00D77D52" w:rsidRPr="007C44B4">
        <w:t xml:space="preserve"> </w:t>
      </w:r>
      <w:r w:rsidR="00D80C62" w:rsidRPr="007C44B4">
        <w:t>will permit</w:t>
      </w:r>
      <w:r w:rsidR="005B7E17" w:rsidRPr="007C44B4">
        <w:t xml:space="preserve"> such responses </w:t>
      </w:r>
      <w:r w:rsidR="00D80C62" w:rsidRPr="007C44B4">
        <w:t>to</w:t>
      </w:r>
      <w:r w:rsidR="005B7E17" w:rsidRPr="007C44B4">
        <w:t xml:space="preserve"> be limited to numerical totals</w:t>
      </w:r>
      <w:r w:rsidR="006806BC" w:rsidRPr="007C44B4">
        <w:t xml:space="preserve"> related to subscribership and reach</w:t>
      </w:r>
      <w:r w:rsidR="00D80C62" w:rsidRPr="007C44B4">
        <w:t>.</w:t>
      </w:r>
      <w:r w:rsidR="0008203E">
        <w:t xml:space="preserve">  </w:t>
      </w:r>
      <w:r w:rsidR="001719EB">
        <w:t>Third</w:t>
      </w:r>
      <w:r w:rsidR="00CE504A">
        <w:t>-</w:t>
      </w:r>
      <w:r w:rsidR="001719EB">
        <w:t>party MVPDs must timely respond to these requests, and the Commission may use its enforcement power to ensure compliance.</w:t>
      </w:r>
      <w:r w:rsidR="001719EB">
        <w:rPr>
          <w:rStyle w:val="FootnoteReference"/>
        </w:rPr>
        <w:footnoteReference w:id="105"/>
      </w:r>
      <w:r w:rsidR="001719EB">
        <w:t xml:space="preserve">  </w:t>
      </w:r>
      <w:r w:rsidR="0008203E">
        <w:t>We understand that currently, third</w:t>
      </w:r>
      <w:r w:rsidR="00CE504A">
        <w:t>-</w:t>
      </w:r>
      <w:r w:rsidR="0008203E">
        <w:t xml:space="preserve">party MVPDs or their agents sometimes charge cable operators for access to this data.  </w:t>
      </w:r>
      <w:r w:rsidR="00E8526C">
        <w:t>We will revisit th</w:t>
      </w:r>
      <w:r w:rsidR="00DA1BB5">
        <w:t>e</w:t>
      </w:r>
      <w:r w:rsidR="00E8526C">
        <w:t xml:space="preserve"> issue</w:t>
      </w:r>
      <w:r w:rsidR="00DA1BB5">
        <w:t xml:space="preserve"> of the cost of the data</w:t>
      </w:r>
      <w:r w:rsidR="00E8526C">
        <w:t xml:space="preserve"> if we receive complaints that the cost of such data makes the filing of Form 328 cost-prohibitive to franchising authorities.</w:t>
      </w:r>
      <w:r w:rsidR="00633F8E">
        <w:rPr>
          <w:rStyle w:val="FootnoteReference"/>
        </w:rPr>
        <w:footnoteReference w:id="106"/>
      </w:r>
    </w:p>
    <w:p w14:paraId="5150C315" w14:textId="02065726" w:rsidR="00C304FC" w:rsidRDefault="00C304FC" w:rsidP="00360883">
      <w:pPr>
        <w:pStyle w:val="ParaNum"/>
      </w:pPr>
      <w:r>
        <w:t xml:space="preserve">Even under the new approach to </w:t>
      </w:r>
      <w:r w:rsidR="00DE5C65">
        <w:t>E</w:t>
      </w:r>
      <w:r>
        <w:t xml:space="preserve">ffective </w:t>
      </w:r>
      <w:r w:rsidR="00DE5C65">
        <w:t>C</w:t>
      </w:r>
      <w:r>
        <w:t xml:space="preserve">ompetition adopted herein, we expect that cable operators </w:t>
      </w:r>
      <w:r w:rsidR="002F0F94">
        <w:t xml:space="preserve">still </w:t>
      </w:r>
      <w:r>
        <w:t xml:space="preserve">on occasion </w:t>
      </w:r>
      <w:r w:rsidR="002F0F94">
        <w:t>may</w:t>
      </w:r>
      <w:r>
        <w:t xml:space="preserve"> wish to file petitions for a determination of </w:t>
      </w:r>
      <w:r w:rsidR="00DE5C65">
        <w:t>E</w:t>
      </w:r>
      <w:r>
        <w:t xml:space="preserve">ffective </w:t>
      </w:r>
      <w:r w:rsidR="00DE5C65">
        <w:t>C</w:t>
      </w:r>
      <w:r>
        <w:t>ompetition pursuant to section 76.907 of our rules.</w:t>
      </w:r>
      <w:r>
        <w:rPr>
          <w:rStyle w:val="FootnoteReference"/>
        </w:rPr>
        <w:footnoteReference w:id="107"/>
      </w:r>
      <w:r>
        <w:t xml:space="preserve">  In particular, if a franchising authority is certified under the new rules and procedures, a cable operator may at a later date wish to file a petition demonstrating that circumstances have changed and one of the four types of </w:t>
      </w:r>
      <w:r w:rsidR="00DE5C65">
        <w:t>E</w:t>
      </w:r>
      <w:r>
        <w:t xml:space="preserve">ffective </w:t>
      </w:r>
      <w:r w:rsidR="00DE5C65">
        <w:t>C</w:t>
      </w:r>
      <w:r>
        <w:t>ompetition exists.  Accordingly, we will retain existing section 76.907, but we will revise section 76.907(b) to reflect the new presumption.</w:t>
      </w:r>
      <w:r w:rsidR="00930254">
        <w:t xml:space="preserve">  Once a franchising authority is certified under the new rules adopted herein, after having demonstrated a lack of Competing Provider Effective Competition, we agree with ACA that it would not make sense for a cable operator filing a decertification petition to benefit from the presumption of Effective Competition;</w:t>
      </w:r>
      <w:r w:rsidR="00DC7D29">
        <w:rPr>
          <w:rStyle w:val="FootnoteReference"/>
        </w:rPr>
        <w:footnoteReference w:id="108"/>
      </w:r>
      <w:r w:rsidR="00930254">
        <w:t xml:space="preserve"> rather, in this instance the cable operator must demonstrate that circumstances have changed and Effective Competition is now present in the franchise area.</w:t>
      </w:r>
      <w:r w:rsidR="00DC7D29">
        <w:rPr>
          <w:rStyle w:val="FootnoteReference"/>
        </w:rPr>
        <w:footnoteReference w:id="109"/>
      </w:r>
      <w:r w:rsidR="009F1060">
        <w:t xml:space="preserve">  </w:t>
      </w:r>
      <w:r w:rsidR="009F1060" w:rsidRPr="009F1060">
        <w:t>We will clarify in revised section 76.907(b) that the new presumption of Competing Provider Effective Competition does not apply in this instance.</w:t>
      </w:r>
    </w:p>
    <w:p w14:paraId="62E79F2D" w14:textId="2E1BE3A3" w:rsidR="007A2F63" w:rsidRDefault="007C44B4" w:rsidP="00F70B6F">
      <w:pPr>
        <w:pStyle w:val="ParaNum"/>
      </w:pPr>
      <w:r w:rsidRPr="007C44B4">
        <w:t>All of t</w:t>
      </w:r>
      <w:r w:rsidR="007A2F63" w:rsidRPr="007C44B4">
        <w:t xml:space="preserve">he new rules and procedures for </w:t>
      </w:r>
      <w:r w:rsidR="00DE5C65">
        <w:t>E</w:t>
      </w:r>
      <w:r w:rsidR="007A2F63" w:rsidRPr="007C44B4">
        <w:t xml:space="preserve">ffective </w:t>
      </w:r>
      <w:r w:rsidR="00DE5C65">
        <w:t>C</w:t>
      </w:r>
      <w:r w:rsidR="007A2F63" w:rsidRPr="007C44B4">
        <w:t xml:space="preserve">ompetition </w:t>
      </w:r>
      <w:r w:rsidRPr="007C44B4">
        <w:t>will</w:t>
      </w:r>
      <w:r w:rsidR="005F4CFA" w:rsidRPr="007C44B4">
        <w:t xml:space="preserve"> </w:t>
      </w:r>
      <w:r w:rsidR="007A2F63" w:rsidRPr="007C44B4">
        <w:t xml:space="preserve">go into effect </w:t>
      </w:r>
      <w:r w:rsidR="001B5368" w:rsidRPr="007C44B4">
        <w:t xml:space="preserve">once the Commission announces </w:t>
      </w:r>
      <w:r w:rsidR="00257C69" w:rsidRPr="007C44B4">
        <w:t>approval by the Office of Management and Budget (“OMB”)</w:t>
      </w:r>
      <w:r w:rsidR="001B5368" w:rsidRPr="007C44B4">
        <w:t xml:space="preserve"> of the rules that require such approval</w:t>
      </w:r>
      <w:r w:rsidR="00987618">
        <w:t xml:space="preserve"> and of </w:t>
      </w:r>
      <w:r w:rsidR="00A11412">
        <w:t xml:space="preserve">revised </w:t>
      </w:r>
      <w:r w:rsidR="00987618">
        <w:t>Form 328</w:t>
      </w:r>
      <w:r w:rsidR="00282EE4" w:rsidRPr="007C44B4">
        <w:t>.</w:t>
      </w:r>
      <w:r w:rsidR="00CA6DCC">
        <w:t xml:space="preserve">  Although some of the rules, such as the new </w:t>
      </w:r>
      <w:r w:rsidR="00F72E14">
        <w:t xml:space="preserve">rebuttable </w:t>
      </w:r>
      <w:r w:rsidR="00CA6DCC">
        <w:t xml:space="preserve">presumption of </w:t>
      </w:r>
      <w:r w:rsidR="00DE5C65">
        <w:t>C</w:t>
      </w:r>
      <w:r w:rsidR="00CA6DCC">
        <w:t xml:space="preserve">ompeting </w:t>
      </w:r>
      <w:r w:rsidR="00DE5C65">
        <w:t>P</w:t>
      </w:r>
      <w:r w:rsidR="00CA6DCC">
        <w:t xml:space="preserve">rovider </w:t>
      </w:r>
      <w:r w:rsidR="00DE5C65">
        <w:t>E</w:t>
      </w:r>
      <w:r w:rsidR="00CA6DCC">
        <w:t xml:space="preserve">ffective </w:t>
      </w:r>
      <w:r w:rsidR="00DE5C65">
        <w:t>C</w:t>
      </w:r>
      <w:r w:rsidR="00CA6DCC">
        <w:t xml:space="preserve">ompetition itself, do not require OMB approval, we conclude that none of the rules </w:t>
      </w:r>
      <w:r w:rsidR="00987618">
        <w:t>should go into effect until the OMB</w:t>
      </w:r>
      <w:r w:rsidR="00CA6DCC">
        <w:t xml:space="preserve"> approval is obtained.  </w:t>
      </w:r>
      <w:r w:rsidR="00436353">
        <w:t xml:space="preserve">Although some commenters have argued that cable operators generally </w:t>
      </w:r>
      <w:r w:rsidR="00436353" w:rsidRPr="004E258F">
        <w:t xml:space="preserve">should benefit from the new presumption as soon as it </w:t>
      </w:r>
      <w:r w:rsidR="00CE504A">
        <w:t xml:space="preserve">is </w:t>
      </w:r>
      <w:r w:rsidR="00436353" w:rsidRPr="004E258F">
        <w:t>adopted,</w:t>
      </w:r>
      <w:r w:rsidR="00436353">
        <w:rPr>
          <w:rStyle w:val="FootnoteReference"/>
        </w:rPr>
        <w:footnoteReference w:id="110"/>
      </w:r>
      <w:r w:rsidR="00436353">
        <w:t xml:space="preserve"> we find that tying the effective date to the OMB approval</w:t>
      </w:r>
      <w:r w:rsidR="00CA6DCC">
        <w:t xml:space="preserve"> is appropriate where, as here, all of the rules are so closely tied to the submission of a revised form that require</w:t>
      </w:r>
      <w:r w:rsidR="00B81DFF">
        <w:t>s</w:t>
      </w:r>
      <w:r w:rsidR="00CA6DCC">
        <w:t xml:space="preserve"> OMB approval.</w:t>
      </w:r>
    </w:p>
    <w:p w14:paraId="64829809" w14:textId="51EFC699" w:rsidR="00C304FC" w:rsidRDefault="00C304FC">
      <w:pPr>
        <w:pStyle w:val="ParaNum"/>
      </w:pPr>
      <w:r>
        <w:t xml:space="preserve">Overall, we find that the new rules and procedures discussed above will create an </w:t>
      </w:r>
      <w:r w:rsidR="00DE5C65">
        <w:t>E</w:t>
      </w:r>
      <w:r>
        <w:t xml:space="preserve">ffective </w:t>
      </w:r>
      <w:r w:rsidR="00DE5C65">
        <w:t>C</w:t>
      </w:r>
      <w:r>
        <w:t xml:space="preserve">ompetition process that is </w:t>
      </w:r>
      <w:r w:rsidR="00C34F9C">
        <w:t>more efficient</w:t>
      </w:r>
      <w:r w:rsidR="00A4206F">
        <w:t xml:space="preserve"> for cable operators, especially</w:t>
      </w:r>
      <w:r>
        <w:t xml:space="preserve"> small cable operators</w:t>
      </w:r>
      <w:r w:rsidR="00067638">
        <w:t>, than the current approach</w:t>
      </w:r>
      <w:r>
        <w:t>.</w:t>
      </w:r>
      <w:r w:rsidR="00A4206F">
        <w:rPr>
          <w:rStyle w:val="FootnoteReference"/>
        </w:rPr>
        <w:footnoteReference w:id="111"/>
      </w:r>
      <w:r>
        <w:t xml:space="preserve">  Cable operators will not be </w:t>
      </w:r>
      <w:r w:rsidR="006206AA">
        <w:t xml:space="preserve">required to file </w:t>
      </w:r>
      <w:r w:rsidR="00A224D7">
        <w:t xml:space="preserve">petitions for a determination of </w:t>
      </w:r>
      <w:r w:rsidR="00DE5C65">
        <w:t>E</w:t>
      </w:r>
      <w:r w:rsidR="00A224D7">
        <w:t xml:space="preserve">ffective </w:t>
      </w:r>
      <w:r w:rsidR="00DE5C65">
        <w:t>C</w:t>
      </w:r>
      <w:r w:rsidR="00A224D7">
        <w:t xml:space="preserve">ompetition in the first instance; instead, franchising authorities </w:t>
      </w:r>
      <w:r w:rsidR="006206AA">
        <w:t xml:space="preserve">will have to </w:t>
      </w:r>
      <w:r w:rsidR="00A224D7">
        <w:t xml:space="preserve">rebut the presumption of </w:t>
      </w:r>
      <w:r w:rsidR="00DE5C65">
        <w:t>C</w:t>
      </w:r>
      <w:r w:rsidR="00A224D7">
        <w:t xml:space="preserve">ompeting </w:t>
      </w:r>
      <w:r w:rsidR="00DE5C65">
        <w:t>P</w:t>
      </w:r>
      <w:r w:rsidR="00A224D7">
        <w:t xml:space="preserve">rovider </w:t>
      </w:r>
      <w:r w:rsidR="00DE5C65">
        <w:t>E</w:t>
      </w:r>
      <w:r w:rsidR="00A224D7">
        <w:t xml:space="preserve">ffective </w:t>
      </w:r>
      <w:r w:rsidR="00DE5C65">
        <w:t>C</w:t>
      </w:r>
      <w:r w:rsidR="00A224D7">
        <w:t>ompetition</w:t>
      </w:r>
      <w:r w:rsidR="006206AA">
        <w:t xml:space="preserve"> in those limited locations in which the statutory test is not met</w:t>
      </w:r>
      <w:r w:rsidR="00A224D7">
        <w:t>.</w:t>
      </w:r>
      <w:r w:rsidR="00380FEB">
        <w:rPr>
          <w:rStyle w:val="FootnoteReference"/>
        </w:rPr>
        <w:footnoteReference w:id="112"/>
      </w:r>
      <w:r w:rsidR="00380FEB">
        <w:t xml:space="preserve">  </w:t>
      </w:r>
      <w:r w:rsidR="007A36F8">
        <w:t>The record demonstrates that f</w:t>
      </w:r>
      <w:r w:rsidR="00A76231">
        <w:t xml:space="preserve">iling Effective Competition petitions has forced cable operators to incur significant costs, </w:t>
      </w:r>
      <w:r w:rsidR="007A36F8">
        <w:t>such as the cost of</w:t>
      </w:r>
      <w:r w:rsidR="00A76231">
        <w:t xml:space="preserve"> purchasing zip code and competing provider penetration data and preparing formal legal filings,</w:t>
      </w:r>
      <w:r w:rsidR="00A76231">
        <w:rPr>
          <w:rStyle w:val="FootnoteReference"/>
        </w:rPr>
        <w:footnoteReference w:id="113"/>
      </w:r>
      <w:r w:rsidR="00A76231">
        <w:t xml:space="preserve"> merely to confirm what the </w:t>
      </w:r>
      <w:r w:rsidR="00852810">
        <w:t xml:space="preserve">marketplace data already suggests about the </w:t>
      </w:r>
      <w:r w:rsidR="00A76231">
        <w:t xml:space="preserve">likely application of the </w:t>
      </w:r>
      <w:r w:rsidR="00124679">
        <w:t xml:space="preserve">statutory </w:t>
      </w:r>
      <w:r w:rsidR="00A76231">
        <w:t>Effective Competition tests</w:t>
      </w:r>
      <w:r w:rsidR="00852810">
        <w:t xml:space="preserve"> in </w:t>
      </w:r>
      <w:r w:rsidR="00EA00EF">
        <w:t>almost all</w:t>
      </w:r>
      <w:r w:rsidR="00852810">
        <w:t xml:space="preserve"> communities</w:t>
      </w:r>
      <w:r w:rsidR="00A76231">
        <w:t>.</w:t>
      </w:r>
      <w:r w:rsidR="00A76231">
        <w:rPr>
          <w:rStyle w:val="FootnoteReference"/>
        </w:rPr>
        <w:footnoteReference w:id="114"/>
      </w:r>
      <w:r w:rsidR="00A76231">
        <w:t xml:space="preserve">  </w:t>
      </w:r>
      <w:r w:rsidR="007A36F8">
        <w:t>According to ACA, o</w:t>
      </w:r>
      <w:r w:rsidR="00BC5058">
        <w:t xml:space="preserve">nly one cable operator with fewer than 1,000,000 </w:t>
      </w:r>
      <w:r w:rsidR="00F078BE">
        <w:t xml:space="preserve">total </w:t>
      </w:r>
      <w:r w:rsidR="00BC5058">
        <w:t>subscribers has filed an Effective Competition petition since December 30, 2011, even though such operators are likely subject to Effective Competition to the same degree as other</w:t>
      </w:r>
      <w:r w:rsidR="00CE504A">
        <w:t>,</w:t>
      </w:r>
      <w:r w:rsidR="00BC5058">
        <w:t xml:space="preserve"> larger operators.</w:t>
      </w:r>
      <w:r w:rsidR="00BC5058">
        <w:rPr>
          <w:rStyle w:val="FootnoteReference"/>
        </w:rPr>
        <w:footnoteReference w:id="115"/>
      </w:r>
      <w:r w:rsidR="00124679">
        <w:t xml:space="preserve">  </w:t>
      </w:r>
      <w:r w:rsidR="00A76231">
        <w:t xml:space="preserve">Given the ubiquitous nationwide presence </w:t>
      </w:r>
      <w:r w:rsidR="00EA00EF">
        <w:t>and penetration levels</w:t>
      </w:r>
      <w:r w:rsidR="00A76231">
        <w:t xml:space="preserve"> of DBS, we find that it no longer makes sense to burden cable operators with </w:t>
      </w:r>
      <w:r w:rsidR="00F62352">
        <w:t xml:space="preserve">the costs of </w:t>
      </w:r>
      <w:r w:rsidR="00A76231">
        <w:t>filing an Effective Competition petition in the first instance</w:t>
      </w:r>
      <w:r w:rsidR="0008203E">
        <w:t xml:space="preserve">.  </w:t>
      </w:r>
      <w:r w:rsidR="00EA00EF">
        <w:t>It is far more efficient to require franchis</w:t>
      </w:r>
      <w:r w:rsidR="00104BC9">
        <w:t>ing</w:t>
      </w:r>
      <w:r w:rsidR="00EA00EF">
        <w:t xml:space="preserve"> authorities to rebut the presumption in those relatively rare instances where there may not be </w:t>
      </w:r>
      <w:r w:rsidR="00104BC9">
        <w:t>E</w:t>
      </w:r>
      <w:r w:rsidR="00EA00EF">
        <w:t xml:space="preserve">ffective </w:t>
      </w:r>
      <w:r w:rsidR="00104BC9">
        <w:t>C</w:t>
      </w:r>
      <w:r w:rsidR="00EA00EF">
        <w:t xml:space="preserve">ompetition.  </w:t>
      </w:r>
      <w:r w:rsidR="003E2FD6">
        <w:t>Contrary to NAB’s suggestion,</w:t>
      </w:r>
      <w:r w:rsidR="003E2FD6">
        <w:rPr>
          <w:rStyle w:val="FootnoteReference"/>
        </w:rPr>
        <w:footnoteReference w:id="116"/>
      </w:r>
      <w:r w:rsidR="003E2FD6">
        <w:t xml:space="preserve"> the burdens imposed on cable operators under the current presumption</w:t>
      </w:r>
      <w:r w:rsidR="003B0B2A">
        <w:t>,</w:t>
      </w:r>
      <w:r w:rsidR="003E2FD6">
        <w:t xml:space="preserve"> which is no longer supportable</w:t>
      </w:r>
      <w:r w:rsidR="00852810">
        <w:t xml:space="preserve"> by marketplace data</w:t>
      </w:r>
      <w:r w:rsidR="003B0B2A">
        <w:t>,</w:t>
      </w:r>
      <w:r w:rsidR="003E2FD6">
        <w:t xml:space="preserve"> justify adoption of the new presumption as the most efficient approach.  </w:t>
      </w:r>
      <w:r w:rsidR="00104BC9">
        <w:t>The fact</w:t>
      </w:r>
      <w:r w:rsidR="0008203E">
        <w:t xml:space="preserve"> that </w:t>
      </w:r>
      <w:r w:rsidR="00A76231">
        <w:t>cable operators benefit from a finding of Effective Competition</w:t>
      </w:r>
      <w:r w:rsidR="00A76231">
        <w:rPr>
          <w:rStyle w:val="FootnoteReference"/>
        </w:rPr>
        <w:footnoteReference w:id="117"/>
      </w:r>
      <w:r w:rsidR="00104BC9">
        <w:t xml:space="preserve"> does not alter this analysis.</w:t>
      </w:r>
      <w:r w:rsidR="00A76231">
        <w:t xml:space="preserve">  </w:t>
      </w:r>
      <w:r w:rsidR="00A4206F">
        <w:t>We expect that the volume of new Form 328s filed by franchising authorities will be far less than the volume of cable operator Effective Competition petitions currently filed</w:t>
      </w:r>
      <w:r w:rsidR="00A76231">
        <w:t>, which will conserve resources of cable operators as well as the Commission</w:t>
      </w:r>
      <w:r w:rsidR="00A4206F">
        <w:t>.</w:t>
      </w:r>
      <w:r w:rsidR="00A76231">
        <w:rPr>
          <w:rStyle w:val="FootnoteReference"/>
        </w:rPr>
        <w:footnoteReference w:id="118"/>
      </w:r>
      <w:r w:rsidR="00A4206F">
        <w:t xml:space="preserve">  </w:t>
      </w:r>
      <w:r w:rsidR="000A4B97">
        <w:t>Contrary to the suggestion of some</w:t>
      </w:r>
      <w:r w:rsidR="00A76231">
        <w:t xml:space="preserve"> commenters</w:t>
      </w:r>
      <w:r w:rsidR="000A4B97">
        <w:t>,</w:t>
      </w:r>
      <w:r w:rsidR="00A76231">
        <w:rPr>
          <w:rStyle w:val="FootnoteReference"/>
        </w:rPr>
        <w:footnoteReference w:id="119"/>
      </w:r>
      <w:r w:rsidR="000A4B97">
        <w:t xml:space="preserve"> we do not expect franchising authorities in thousands of communities to file new Form 328s.</w:t>
      </w:r>
      <w:r w:rsidR="00A76231">
        <w:t xml:space="preserve"> </w:t>
      </w:r>
      <w:r w:rsidR="00287B17">
        <w:t xml:space="preserve"> </w:t>
      </w:r>
      <w:r w:rsidR="000A4B97">
        <w:t>Rather, w</w:t>
      </w:r>
      <w:r w:rsidR="00A11412">
        <w:t>e anticipate</w:t>
      </w:r>
      <w:r w:rsidR="00A76231">
        <w:t xml:space="preserve"> that few franchising authorities will be able to present data to rebut the presumption of Competing Provider Effective Competition</w:t>
      </w:r>
      <w:r w:rsidR="003B0B2A">
        <w:t xml:space="preserve">, given the ubiquity </w:t>
      </w:r>
      <w:r w:rsidR="00303A4F">
        <w:t xml:space="preserve">and penetration </w:t>
      </w:r>
      <w:r w:rsidR="003B0B2A">
        <w:t>of DBS</w:t>
      </w:r>
      <w:r w:rsidR="00A76231">
        <w:t>.</w:t>
      </w:r>
      <w:r w:rsidR="00A11412">
        <w:t xml:space="preserve">  In this regard, we agree with NCTA that</w:t>
      </w:r>
      <w:r w:rsidR="00CE504A">
        <w:t>,</w:t>
      </w:r>
      <w:r w:rsidR="006A70B1">
        <w:t xml:space="preserve"> “[g]iven competitive conditions throughout the country and the </w:t>
      </w:r>
      <w:r w:rsidR="006A70B1" w:rsidRPr="004E258F">
        <w:t xml:space="preserve">relatively few </w:t>
      </w:r>
      <w:r w:rsidR="00287B17" w:rsidRPr="00EB6E53">
        <w:t>[franchising authorities]</w:t>
      </w:r>
      <w:r w:rsidR="006A70B1" w:rsidRPr="00EB6E53">
        <w:t xml:space="preserve"> that currently rate regulate</w:t>
      </w:r>
      <w:r w:rsidR="006A70B1">
        <w:t xml:space="preserve">, shifting the presumption is extraordinarily unlikely to unleash an avalanche of </w:t>
      </w:r>
      <w:r w:rsidR="00287B17">
        <w:t>[franchising authority]</w:t>
      </w:r>
      <w:r w:rsidR="006A70B1">
        <w:t xml:space="preserve"> filings.”</w:t>
      </w:r>
      <w:r w:rsidR="00A76231">
        <w:rPr>
          <w:rStyle w:val="FootnoteReference"/>
        </w:rPr>
        <w:footnoteReference w:id="120"/>
      </w:r>
      <w:r w:rsidR="001934C7">
        <w:t xml:space="preserve">  </w:t>
      </w:r>
    </w:p>
    <w:p w14:paraId="3CCFA272" w14:textId="74CFF943" w:rsidR="00DE5C65" w:rsidRDefault="005726F3" w:rsidP="009F1D70">
      <w:pPr>
        <w:pStyle w:val="ParaNum"/>
      </w:pPr>
      <w:r>
        <w:t>We recognize that franchis</w:t>
      </w:r>
      <w:r w:rsidR="00BB5FBA">
        <w:t>ing</w:t>
      </w:r>
      <w:r>
        <w:t xml:space="preserve"> authorities, including small franchis</w:t>
      </w:r>
      <w:r w:rsidR="00BB5FBA">
        <w:t>ing</w:t>
      </w:r>
      <w:r>
        <w:t xml:space="preserve"> authorities, will face additional burdens in preparing revised Form 328 with an attachment rebut</w:t>
      </w:r>
      <w:r w:rsidR="00261F73">
        <w:t>ting</w:t>
      </w:r>
      <w:r>
        <w:t xml:space="preserve"> the presumption of </w:t>
      </w:r>
      <w:r w:rsidR="00DE5C65">
        <w:t>C</w:t>
      </w:r>
      <w:r>
        <w:t xml:space="preserve">ompeting </w:t>
      </w:r>
      <w:r w:rsidR="00DE5C65">
        <w:t>P</w:t>
      </w:r>
      <w:r>
        <w:t xml:space="preserve">rovider </w:t>
      </w:r>
      <w:r w:rsidR="00DE5C65">
        <w:t>E</w:t>
      </w:r>
      <w:r>
        <w:t xml:space="preserve">ffective </w:t>
      </w:r>
      <w:r w:rsidR="00DE5C65">
        <w:t>C</w:t>
      </w:r>
      <w:r>
        <w:t>ompetition</w:t>
      </w:r>
      <w:r w:rsidR="00261F73">
        <w:t>, and we also recognize that some franchising authorities have limited resources</w:t>
      </w:r>
      <w:r>
        <w:t>.</w:t>
      </w:r>
      <w:r w:rsidR="00261F73">
        <w:rPr>
          <w:rStyle w:val="FootnoteReference"/>
        </w:rPr>
        <w:footnoteReference w:id="121"/>
      </w:r>
      <w:r>
        <w:t xml:space="preserve">  We conclude that </w:t>
      </w:r>
      <w:r w:rsidR="004E258F">
        <w:t xml:space="preserve">any </w:t>
      </w:r>
      <w:r>
        <w:t xml:space="preserve">such </w:t>
      </w:r>
      <w:r w:rsidRPr="004E258F">
        <w:t>burdens</w:t>
      </w:r>
      <w:r w:rsidR="006206AA">
        <w:t xml:space="preserve"> </w:t>
      </w:r>
      <w:r>
        <w:t>are justified</w:t>
      </w:r>
      <w:r w:rsidR="006206AA">
        <w:t xml:space="preserve"> by the efficiency gained by conforming the presumption to </w:t>
      </w:r>
      <w:r w:rsidR="0009300E">
        <w:t>marketplace realities</w:t>
      </w:r>
      <w:r w:rsidR="006206AA">
        <w:t>.</w:t>
      </w:r>
      <w:r>
        <w:rPr>
          <w:rStyle w:val="FootnoteReference"/>
        </w:rPr>
        <w:footnoteReference w:id="122"/>
      </w:r>
      <w:r w:rsidR="001F3A34">
        <w:t xml:space="preserve">  </w:t>
      </w:r>
      <w:r w:rsidR="005D2AB6">
        <w:t>In 1993, the Commission stated that it was “mindful of franchising authorities’ concern that they do not have access to the information or the resources necessary to show the absence of effective competition as a threshold matter o</w:t>
      </w:r>
      <w:r w:rsidR="00CB0B94">
        <w:t>f</w:t>
      </w:r>
      <w:r w:rsidR="005D2AB6">
        <w:t xml:space="preserve"> jurisdiction.”</w:t>
      </w:r>
      <w:r w:rsidR="005D2AB6">
        <w:rPr>
          <w:rStyle w:val="FootnoteReference"/>
        </w:rPr>
        <w:footnoteReference w:id="123"/>
      </w:r>
      <w:r w:rsidR="005D2AB6">
        <w:t xml:space="preserve">  Today, in contrast, Effective Competition exists in </w:t>
      </w:r>
      <w:r w:rsidR="001E0DF0">
        <w:t>the vast majority of</w:t>
      </w:r>
      <w:r w:rsidR="005D2AB6">
        <w:t xml:space="preserve"> franchise areas </w:t>
      </w:r>
      <w:r w:rsidR="001E0DF0">
        <w:t>and</w:t>
      </w:r>
      <w:r w:rsidR="005D2AB6">
        <w:t xml:space="preserve"> we anticipate few franchising authorities will </w:t>
      </w:r>
      <w:r w:rsidR="0009300E">
        <w:t>have a basis for filing</w:t>
      </w:r>
      <w:r w:rsidR="005D2AB6">
        <w:t xml:space="preserve"> a revised Form 328 demonstrating a lack of Competing Provider Effective </w:t>
      </w:r>
      <w:r w:rsidR="0065644E">
        <w:t>C</w:t>
      </w:r>
      <w:r w:rsidR="005D2AB6">
        <w:t>ompetition</w:t>
      </w:r>
      <w:r w:rsidR="00B05BEC">
        <w:t>.</w:t>
      </w:r>
      <w:r w:rsidR="005D2AB6">
        <w:rPr>
          <w:rStyle w:val="FootnoteReference"/>
        </w:rPr>
        <w:footnoteReference w:id="124"/>
      </w:r>
      <w:r w:rsidR="005D2AB6">
        <w:t xml:space="preserve">  In addition, we have ensured that franchising authorities will have access to the information needed to demonstrate a lack of Competing Provider Effective Competition by implementing procedures pursuant to which a</w:t>
      </w:r>
      <w:r w:rsidR="005D2AB6" w:rsidRPr="00D80C62">
        <w:t xml:space="preserve"> franchising authority may request directly from an</w:t>
      </w:r>
      <w:r w:rsidR="005D2AB6">
        <w:t xml:space="preserve"> </w:t>
      </w:r>
      <w:r w:rsidR="005D2AB6" w:rsidRPr="00D80C62">
        <w:t>MVPD information regarding the MVPD’s reach and number of subscribers in a particular franchise area</w:t>
      </w:r>
      <w:r w:rsidR="005D2AB6">
        <w:t>.</w:t>
      </w:r>
      <w:r w:rsidR="005D2AB6">
        <w:rPr>
          <w:rStyle w:val="FootnoteReference"/>
        </w:rPr>
        <w:footnoteReference w:id="125"/>
      </w:r>
      <w:r w:rsidR="009F1D70">
        <w:t xml:space="preserve"> </w:t>
      </w:r>
      <w:r w:rsidR="00EB6E53">
        <w:t xml:space="preserve"> </w:t>
      </w:r>
      <w:r w:rsidR="00F62352">
        <w:t xml:space="preserve">With regard to the burden on the </w:t>
      </w:r>
      <w:r w:rsidR="001E0DF0">
        <w:t>franchising authorities</w:t>
      </w:r>
      <w:r w:rsidR="00F62352">
        <w:t xml:space="preserve">, </w:t>
      </w:r>
      <w:r w:rsidR="009566BE">
        <w:t>ACA explains that u</w:t>
      </w:r>
      <w:r w:rsidR="00151572">
        <w:t>nlike cable operators,</w:t>
      </w:r>
      <w:r w:rsidR="00EB6E53">
        <w:t xml:space="preserve"> </w:t>
      </w:r>
      <w:r w:rsidR="00151572">
        <w:t>governmental entities can receive zip code data from the post office free of charge, and governmental entities likely know all of the zip codes within their jurisdiction in any event.</w:t>
      </w:r>
      <w:r w:rsidR="00151572">
        <w:rPr>
          <w:rStyle w:val="FootnoteReference"/>
        </w:rPr>
        <w:footnoteReference w:id="126"/>
      </w:r>
      <w:r w:rsidR="00151572">
        <w:t xml:space="preserve">  </w:t>
      </w:r>
      <w:r w:rsidR="005D2AB6">
        <w:t>Overall</w:t>
      </w:r>
      <w:r w:rsidR="007F37E9">
        <w:t>, the costs to franchis</w:t>
      </w:r>
      <w:r w:rsidR="00BB5FBA">
        <w:t>ing</w:t>
      </w:r>
      <w:r w:rsidR="007F37E9">
        <w:t xml:space="preserve"> authorities will be outweighed by the significant cost-saving benefits of a presumption that is consistent with </w:t>
      </w:r>
      <w:r w:rsidR="0009300E">
        <w:t xml:space="preserve">market data showing that the vast majority of communities </w:t>
      </w:r>
      <w:r w:rsidR="00A72C11">
        <w:t xml:space="preserve">would satisfy </w:t>
      </w:r>
      <w:r w:rsidR="009A7FA4">
        <w:t xml:space="preserve">the </w:t>
      </w:r>
      <w:r w:rsidR="001E0DF0">
        <w:t>C</w:t>
      </w:r>
      <w:r w:rsidR="0009300E">
        <w:t xml:space="preserve">ompeting </w:t>
      </w:r>
      <w:r w:rsidR="001E0DF0">
        <w:t>P</w:t>
      </w:r>
      <w:r w:rsidR="0009300E">
        <w:t xml:space="preserve">rovider </w:t>
      </w:r>
      <w:r w:rsidR="001E0DF0">
        <w:t>E</w:t>
      </w:r>
      <w:r w:rsidR="0009300E">
        <w:t xml:space="preserve">ffective </w:t>
      </w:r>
      <w:r w:rsidR="001E0DF0">
        <w:t>C</w:t>
      </w:r>
      <w:r w:rsidR="0009300E">
        <w:t>ompetition</w:t>
      </w:r>
      <w:r w:rsidR="009A7FA4">
        <w:t xml:space="preserve"> standard</w:t>
      </w:r>
      <w:r w:rsidR="007F37E9">
        <w:t xml:space="preserve">.  </w:t>
      </w:r>
      <w:bookmarkStart w:id="109" w:name="_Toc414969754"/>
      <w:bookmarkStart w:id="110" w:name="_Toc415493389"/>
      <w:r w:rsidR="00F62352">
        <w:t>W</w:t>
      </w:r>
      <w:r w:rsidR="00BC5058">
        <w:t xml:space="preserve">e will monitor the marketplace to determine whether the burdens of filing </w:t>
      </w:r>
      <w:r w:rsidR="00750C5C">
        <w:t xml:space="preserve">a </w:t>
      </w:r>
      <w:r w:rsidR="00BC5058">
        <w:t xml:space="preserve">revised Form 328 are dissuading franchising authorities from filing, and if so, we will </w:t>
      </w:r>
      <w:r w:rsidR="009566BE">
        <w:t>reconsider whether changes should be made to reduce their costs</w:t>
      </w:r>
      <w:r w:rsidR="00BC5058">
        <w:t>.</w:t>
      </w:r>
      <w:r w:rsidR="00EB6E53">
        <w:rPr>
          <w:rStyle w:val="FootnoteReference"/>
        </w:rPr>
        <w:footnoteReference w:id="127"/>
      </w:r>
    </w:p>
    <w:p w14:paraId="628410E3" w14:textId="22A23680" w:rsidR="00106625" w:rsidRPr="00227F0A" w:rsidRDefault="00106625" w:rsidP="00106625">
      <w:pPr>
        <w:pStyle w:val="Heading2"/>
      </w:pPr>
      <w:bookmarkStart w:id="111" w:name="_Toc418166674"/>
      <w:bookmarkStart w:id="112" w:name="_Toc418498901"/>
      <w:bookmarkStart w:id="113" w:name="_Toc418677552"/>
      <w:bookmarkStart w:id="114" w:name="_Toc418753397"/>
      <w:bookmarkStart w:id="115" w:name="_Toc419276612"/>
      <w:r w:rsidRPr="00227F0A">
        <w:t>Current Certifications</w:t>
      </w:r>
      <w:bookmarkEnd w:id="109"/>
      <w:bookmarkEnd w:id="110"/>
      <w:r w:rsidR="004352E9">
        <w:t xml:space="preserve"> and Pending Effective Competition P</w:t>
      </w:r>
      <w:r w:rsidR="008D7731">
        <w:t>roceedings</w:t>
      </w:r>
      <w:bookmarkEnd w:id="111"/>
      <w:bookmarkEnd w:id="112"/>
      <w:bookmarkEnd w:id="113"/>
      <w:bookmarkEnd w:id="114"/>
      <w:bookmarkEnd w:id="115"/>
    </w:p>
    <w:p w14:paraId="199314F5" w14:textId="678DED57" w:rsidR="0095449A" w:rsidRDefault="00CD0E69" w:rsidP="00106625">
      <w:pPr>
        <w:pStyle w:val="ParaNum"/>
        <w:widowControl/>
      </w:pPr>
      <w:r w:rsidRPr="00CD0E69">
        <w:t xml:space="preserve">Many franchising authorities </w:t>
      </w:r>
      <w:r w:rsidR="00CE504A">
        <w:t xml:space="preserve">were </w:t>
      </w:r>
      <w:r w:rsidRPr="00CD0E69">
        <w:t>certified</w:t>
      </w:r>
      <w:r w:rsidR="00750C5C">
        <w:t xml:space="preserve"> over 20 years ago</w:t>
      </w:r>
      <w:r w:rsidR="006E2A71">
        <w:t xml:space="preserve"> </w:t>
      </w:r>
      <w:r w:rsidRPr="00CD0E69">
        <w:t xml:space="preserve">to regulate the basic service tier rates and equipment based on the </w:t>
      </w:r>
      <w:r>
        <w:t xml:space="preserve">existing presumption of no </w:t>
      </w:r>
      <w:r w:rsidR="00DE5C65">
        <w:t>E</w:t>
      </w:r>
      <w:r>
        <w:t xml:space="preserve">ffective </w:t>
      </w:r>
      <w:r w:rsidR="00DE5C65">
        <w:t>C</w:t>
      </w:r>
      <w:r>
        <w:t xml:space="preserve">ompetition.  </w:t>
      </w:r>
      <w:r w:rsidR="00FE4AF8">
        <w:t xml:space="preserve">Based </w:t>
      </w:r>
      <w:r w:rsidR="00F24113">
        <w:t>o</w:t>
      </w:r>
      <w:r w:rsidR="00FE4AF8">
        <w:t>n the changes in the marketplace that have occurred in the last 20 years, discussed above, we believe that the factual foundation for those findings is no longer valid in most cases.  Therefore,</w:t>
      </w:r>
      <w:r w:rsidR="006C2E60">
        <w:t xml:space="preserve"> </w:t>
      </w:r>
      <w:r w:rsidR="00FE4AF8">
        <w:t>a</w:t>
      </w:r>
      <w:r w:rsidR="001B18FB" w:rsidRPr="00A133E5">
        <w:t>ll franchising authorities with existing certifications that wish to remain certified must file revised Form 328, including the attachment rebutting the presumption of Competing Provider Effective Compet</w:t>
      </w:r>
      <w:r w:rsidR="001B18FB" w:rsidRPr="007D1B2B">
        <w:t>ition, within 90 days of the effective date of the new rules</w:t>
      </w:r>
      <w:r w:rsidR="001B18FB" w:rsidRPr="00A133E5">
        <w:t>.</w:t>
      </w:r>
      <w:r w:rsidR="00362483">
        <w:rPr>
          <w:rStyle w:val="FootnoteReference"/>
        </w:rPr>
        <w:footnoteReference w:id="128"/>
      </w:r>
      <w:r w:rsidR="001B18FB">
        <w:t xml:space="preserve">  If a franchising authority with an existing certification does not file a new certification (Form 328) during the 90</w:t>
      </w:r>
      <w:r w:rsidR="009A3337">
        <w:t>-</w:t>
      </w:r>
      <w:r w:rsidR="001B18FB">
        <w:t xml:space="preserve">day timeframe, its existing certification will expire at the end of that timeframe as long as there is not </w:t>
      </w:r>
      <w:r w:rsidR="009D2682">
        <w:t xml:space="preserve">pending for the franchise area </w:t>
      </w:r>
      <w:r w:rsidR="001B18FB">
        <w:t>an opposed Effective Competition petition</w:t>
      </w:r>
      <w:r w:rsidR="009D2682">
        <w:t xml:space="preserve"> or an opposed or unopposed petition for reconsideration of certification, petition for reconsideration of an Effective Competition decision, or application for review of an Effective Competition decision.</w:t>
      </w:r>
      <w:r w:rsidR="00B00805">
        <w:rPr>
          <w:rStyle w:val="FootnoteReference"/>
        </w:rPr>
        <w:footnoteReference w:id="129"/>
      </w:r>
      <w:r w:rsidR="001B18FB">
        <w:t xml:space="preserve">  The Media Bureau will issue a public notice at the conclusion of the 90</w:t>
      </w:r>
      <w:r w:rsidR="009A3337">
        <w:t>-</w:t>
      </w:r>
      <w:r w:rsidR="001B18FB">
        <w:t>day timeframe</w:t>
      </w:r>
      <w:r w:rsidR="00C05AB8">
        <w:t xml:space="preserve"> identifying all franchis</w:t>
      </w:r>
      <w:r w:rsidR="00811C99">
        <w:t>ing</w:t>
      </w:r>
      <w:r w:rsidR="00C05AB8">
        <w:t xml:space="preserve"> authorities that filed a revised Form 328 as well as those franchis</w:t>
      </w:r>
      <w:r w:rsidR="00811C99">
        <w:t>ing</w:t>
      </w:r>
      <w:r w:rsidR="00C05AB8">
        <w:t xml:space="preserve"> authorities that are </w:t>
      </w:r>
      <w:r w:rsidR="000D6FD8">
        <w:t>party</w:t>
      </w:r>
      <w:r w:rsidR="00C05AB8">
        <w:t xml:space="preserve"> to </w:t>
      </w:r>
      <w:r w:rsidR="009D2682">
        <w:t>one of the above-listed</w:t>
      </w:r>
      <w:r w:rsidR="00C05AB8">
        <w:t xml:space="preserve"> pending </w:t>
      </w:r>
      <w:r w:rsidR="009D2682">
        <w:t>proceedings</w:t>
      </w:r>
      <w:r w:rsidR="00C05AB8">
        <w:t>, and</w:t>
      </w:r>
      <w:r w:rsidR="001B18FB">
        <w:t xml:space="preserve"> stating its finding of Competing Provider Effective Competition applicable to all </w:t>
      </w:r>
      <w:r w:rsidR="000D6FD8">
        <w:t xml:space="preserve">other </w:t>
      </w:r>
      <w:r w:rsidR="00C419DD">
        <w:t>currently</w:t>
      </w:r>
      <w:r w:rsidR="001B18FB">
        <w:t xml:space="preserve"> certified franchising authorities</w:t>
      </w:r>
      <w:r w:rsidR="003C2236">
        <w:t xml:space="preserve">.  This public notice will </w:t>
      </w:r>
      <w:r w:rsidR="00750C5C">
        <w:t>address</w:t>
      </w:r>
      <w:r w:rsidR="003C2236">
        <w:t xml:space="preserve"> commenters’ concerns that the </w:t>
      </w:r>
      <w:r w:rsidR="00861772">
        <w:t xml:space="preserve">Act requires the </w:t>
      </w:r>
      <w:r w:rsidR="003C2236">
        <w:t xml:space="preserve">Commission </w:t>
      </w:r>
      <w:r w:rsidR="00861772">
        <w:t>to</w:t>
      </w:r>
      <w:r w:rsidR="003C2236">
        <w:t xml:space="preserve"> mak</w:t>
      </w:r>
      <w:r w:rsidR="00861772">
        <w:t>e</w:t>
      </w:r>
      <w:r w:rsidR="003C2236">
        <w:t xml:space="preserve"> a </w:t>
      </w:r>
      <w:r w:rsidR="00861772">
        <w:t xml:space="preserve">franchise area-specific </w:t>
      </w:r>
      <w:r w:rsidR="003C2236">
        <w:t>finding of Effective Competition</w:t>
      </w:r>
      <w:r w:rsidR="00861772">
        <w:t xml:space="preserve"> before revoking existing certifications.</w:t>
      </w:r>
      <w:r w:rsidR="003C2236">
        <w:rPr>
          <w:rStyle w:val="FootnoteReference"/>
        </w:rPr>
        <w:footnoteReference w:id="130"/>
      </w:r>
      <w:r w:rsidR="003C2236">
        <w:t xml:space="preserve">  </w:t>
      </w:r>
      <w:r w:rsidR="00861772">
        <w:t>T</w:t>
      </w:r>
      <w:r w:rsidR="003C2236">
        <w:t xml:space="preserve">he Media Bureau’s finding of Competing Provider Effective Competition will be based on the new presumption coupled with the franchising authority’s failure to attempt </w:t>
      </w:r>
      <w:r w:rsidR="00536370">
        <w:t>to retain its certification by resubmitting Form 328 accompanied by the requisite showing of no</w:t>
      </w:r>
      <w:r w:rsidR="003C2236">
        <w:t xml:space="preserve"> Competing Provider Effective Competition.  </w:t>
      </w:r>
      <w:r w:rsidR="004E0C5C">
        <w:t>We thus find that the approach adopted herein, which the NPRM sought comment on in the alternative,</w:t>
      </w:r>
      <w:r w:rsidR="004E0C5C">
        <w:rPr>
          <w:rStyle w:val="FootnoteReference"/>
        </w:rPr>
        <w:footnoteReference w:id="131"/>
      </w:r>
      <w:r w:rsidR="004E0C5C">
        <w:t xml:space="preserve"> is preferable to administratively revoking </w:t>
      </w:r>
      <w:r w:rsidR="004E0C5C">
        <w:rPr>
          <w:i/>
        </w:rPr>
        <w:t xml:space="preserve">all </w:t>
      </w:r>
      <w:r w:rsidR="004E0C5C">
        <w:t>existing certifications</w:t>
      </w:r>
      <w:r w:rsidR="00722345">
        <w:t xml:space="preserve"> since it </w:t>
      </w:r>
      <w:r w:rsidR="00676318">
        <w:t xml:space="preserve">will afford franchising authorities an opportunity to rebut the new presumption while their existing certification is still in effect and requires a Commission finding of </w:t>
      </w:r>
      <w:r w:rsidR="00490A7F">
        <w:t>E</w:t>
      </w:r>
      <w:r w:rsidR="00676318">
        <w:t xml:space="preserve">ffective </w:t>
      </w:r>
      <w:r w:rsidR="00490A7F">
        <w:t>C</w:t>
      </w:r>
      <w:r w:rsidR="00676318">
        <w:t>ompetition for</w:t>
      </w:r>
      <w:r w:rsidR="00722345">
        <w:t xml:space="preserve"> each franchise area</w:t>
      </w:r>
      <w:r w:rsidR="00B302C3">
        <w:t xml:space="preserve">.  </w:t>
      </w:r>
    </w:p>
    <w:p w14:paraId="13328B19" w14:textId="096AF180" w:rsidR="001B18FB" w:rsidRDefault="003C2236" w:rsidP="00106625">
      <w:pPr>
        <w:pStyle w:val="ParaNum"/>
        <w:widowControl/>
      </w:pPr>
      <w:r>
        <w:t xml:space="preserve">Where </w:t>
      </w:r>
      <w:r w:rsidR="009D2682">
        <w:t>currently</w:t>
      </w:r>
      <w:r>
        <w:t xml:space="preserve"> certified franchising authorities file revised Form 328, their certifications will remain valid unless and until the Media Bureau issues a decision denying the new certification request.</w:t>
      </w:r>
      <w:r w:rsidR="004E0C5C">
        <w:rPr>
          <w:rStyle w:val="FootnoteReference"/>
        </w:rPr>
        <w:footnoteReference w:id="132"/>
      </w:r>
      <w:r>
        <w:t xml:space="preserve">  </w:t>
      </w:r>
      <w:r w:rsidR="00362483">
        <w:t>We will not automatically deny a Form 328 that we do not act on within a certain timeframe,</w:t>
      </w:r>
      <w:r w:rsidR="00362483">
        <w:rPr>
          <w:rStyle w:val="FootnoteReference"/>
        </w:rPr>
        <w:footnoteReference w:id="133"/>
      </w:r>
      <w:r w:rsidR="00362483">
        <w:t xml:space="preserve"> finding that </w:t>
      </w:r>
      <w:r w:rsidR="00352E7A">
        <w:t>doing so</w:t>
      </w:r>
      <w:r w:rsidR="00070998">
        <w:t xml:space="preserve"> would be inconsistent with the statutory requirement that franchising authority certifications become effective 30 days after the date filed and with the procedures adopted above.</w:t>
      </w:r>
      <w:r w:rsidR="00070998">
        <w:rPr>
          <w:rStyle w:val="FootnoteReference"/>
        </w:rPr>
        <w:footnoteReference w:id="134"/>
      </w:r>
      <w:r w:rsidR="00070998">
        <w:t xml:space="preserve">  </w:t>
      </w:r>
      <w:r>
        <w:t xml:space="preserve">If a </w:t>
      </w:r>
      <w:r w:rsidR="00C419DD">
        <w:t>currently</w:t>
      </w:r>
      <w:r>
        <w:t xml:space="preserve"> certified franchising authority files revised Form 328 and there is a pending cable operator Effective Competition petition</w:t>
      </w:r>
      <w:r w:rsidR="006D7CB5">
        <w:t xml:space="preserve">, petition for reconsideration of certification, </w:t>
      </w:r>
      <w:r w:rsidR="00C419DD">
        <w:t xml:space="preserve">petition for reconsideration of an Effective Competition decision, </w:t>
      </w:r>
      <w:r w:rsidR="006D7CB5">
        <w:t xml:space="preserve">or application for review of </w:t>
      </w:r>
      <w:r w:rsidR="00C419DD">
        <w:t>an Effective Competition decision</w:t>
      </w:r>
      <w:r>
        <w:t xml:space="preserve"> applicable to the franchise area, the Media Bureau will consider the record from that </w:t>
      </w:r>
      <w:r w:rsidR="006D7CB5">
        <w:t>filing</w:t>
      </w:r>
      <w:r>
        <w:t xml:space="preserve"> along with the new certification in making its determination</w:t>
      </w:r>
      <w:r w:rsidR="00536370">
        <w:t xml:space="preserve"> regarding whether the franchising authority has overcome the presumption of Competing Provider Effective Competition</w:t>
      </w:r>
      <w:r>
        <w:t>.</w:t>
      </w:r>
      <w:r w:rsidR="00783892">
        <w:rPr>
          <w:rStyle w:val="FootnoteReference"/>
        </w:rPr>
        <w:footnoteReference w:id="135"/>
      </w:r>
      <w:r w:rsidR="00AD4268">
        <w:t xml:space="preserve">  </w:t>
      </w:r>
      <w:r w:rsidR="006D7CB5">
        <w:t xml:space="preserve">If a </w:t>
      </w:r>
      <w:r w:rsidR="00C419DD">
        <w:t>currently</w:t>
      </w:r>
      <w:r w:rsidR="006D7CB5">
        <w:t xml:space="preserve"> certified franchising authority files revised</w:t>
      </w:r>
      <w:r w:rsidR="00AD4268">
        <w:t xml:space="preserve"> Form 328 but </w:t>
      </w:r>
      <w:r w:rsidR="006D7CB5">
        <w:t xml:space="preserve">there is </w:t>
      </w:r>
      <w:r w:rsidR="00AD4268">
        <w:t xml:space="preserve">no </w:t>
      </w:r>
      <w:r w:rsidR="006D7CB5">
        <w:t xml:space="preserve">applicable </w:t>
      </w:r>
      <w:r w:rsidR="00AD4268">
        <w:t>pending</w:t>
      </w:r>
      <w:r w:rsidR="001563C0">
        <w:t xml:space="preserve"> </w:t>
      </w:r>
      <w:r w:rsidR="006D7CB5">
        <w:t>proceeding, the Media Bureau may consider the form itself as well as other relevant data available to the Bureau</w:t>
      </w:r>
      <w:r w:rsidR="00915211">
        <w:t xml:space="preserve"> in making its determination</w:t>
      </w:r>
      <w:r w:rsidR="006D7CB5">
        <w:t>.</w:t>
      </w:r>
    </w:p>
    <w:p w14:paraId="5D8A89AE" w14:textId="02F1BE61" w:rsidR="00CD0E69" w:rsidRDefault="006D7CB5" w:rsidP="00106625">
      <w:pPr>
        <w:pStyle w:val="ParaNum"/>
        <w:widowControl/>
      </w:pPr>
      <w:r>
        <w:t>Where existing franchising authority certifications expire pursuant to the procedures discussed above, the Commission itself will not regulate rates</w:t>
      </w:r>
      <w:r w:rsidR="00AD4268">
        <w:t xml:space="preserve">. </w:t>
      </w:r>
      <w:r>
        <w:t xml:space="preserve"> </w:t>
      </w:r>
      <w:r w:rsidR="00CD0E69">
        <w:t>Section 76.913(a) of the Commission’s rules, which generally directs the Commission to regulate rates upon revocation of a franchising authority’s certification, w</w:t>
      </w:r>
      <w:r w:rsidR="003C2236">
        <w:t>ill</w:t>
      </w:r>
      <w:r w:rsidR="00CD0E69">
        <w:t xml:space="preserve"> not apply </w:t>
      </w:r>
      <w:r w:rsidR="00530F74">
        <w:t xml:space="preserve">upon </w:t>
      </w:r>
      <w:r w:rsidR="00987618">
        <w:t xml:space="preserve">the </w:t>
      </w:r>
      <w:r w:rsidR="007B7B55">
        <w:t>expiration</w:t>
      </w:r>
      <w:r w:rsidR="00987618">
        <w:t xml:space="preserve"> of existing certifications</w:t>
      </w:r>
      <w:r w:rsidR="003C2236">
        <w:t xml:space="preserve"> discussed above</w:t>
      </w:r>
      <w:r w:rsidR="00CD0E69">
        <w:t>.</w:t>
      </w:r>
      <w:r w:rsidR="00CD0E69">
        <w:rPr>
          <w:rStyle w:val="FootnoteReference"/>
        </w:rPr>
        <w:footnoteReference w:id="136"/>
      </w:r>
      <w:r w:rsidR="00CD0E69">
        <w:t xml:space="preserve">  The Act precludes a franchising authority or the Commission from regulating rates where </w:t>
      </w:r>
      <w:r w:rsidR="00DE5C65">
        <w:t>E</w:t>
      </w:r>
      <w:r w:rsidR="00CD0E69">
        <w:t xml:space="preserve">ffective </w:t>
      </w:r>
      <w:r w:rsidR="00DE5C65">
        <w:t>C</w:t>
      </w:r>
      <w:r w:rsidR="00CD0E69">
        <w:t>ompetition is present,</w:t>
      </w:r>
      <w:r w:rsidR="00CD0E69">
        <w:rPr>
          <w:rStyle w:val="FootnoteReference"/>
        </w:rPr>
        <w:footnoteReference w:id="137"/>
      </w:r>
      <w:r w:rsidR="00CD0E69">
        <w:t xml:space="preserve"> </w:t>
      </w:r>
      <w:r w:rsidR="00F93472">
        <w:t xml:space="preserve">and the </w:t>
      </w:r>
      <w:r w:rsidR="001B212E">
        <w:t>expirations</w:t>
      </w:r>
      <w:r w:rsidR="003C2236">
        <w:t xml:space="preserve"> will be based on </w:t>
      </w:r>
      <w:r w:rsidR="00536370">
        <w:t xml:space="preserve">just such </w:t>
      </w:r>
      <w:r w:rsidR="003C2236">
        <w:t>a finding</w:t>
      </w:r>
      <w:r w:rsidR="00F93472">
        <w:t xml:space="preserve">.  </w:t>
      </w:r>
      <w:r w:rsidR="001B212E">
        <w:t>S</w:t>
      </w:r>
      <w:r w:rsidR="00F93472">
        <w:t>ection 623(a)(6) of the Act</w:t>
      </w:r>
      <w:r w:rsidR="001B212E">
        <w:t xml:space="preserve"> does not apply to this situation because it</w:t>
      </w:r>
      <w:r w:rsidR="00F93472">
        <w:t xml:space="preserve"> requires the Commission to “exercise the franchising authority’s regulatory jurisdiction” over </w:t>
      </w:r>
      <w:r w:rsidR="00401E25">
        <w:t>cable basic service tier</w:t>
      </w:r>
      <w:r w:rsidR="00F93472">
        <w:t xml:space="preserve"> rates if the Commission either </w:t>
      </w:r>
      <w:r w:rsidR="001B212E">
        <w:t xml:space="preserve">(1) </w:t>
      </w:r>
      <w:r w:rsidR="00F93472">
        <w:t>“disapproves a franchising authority</w:t>
      </w:r>
      <w:r w:rsidR="001B212E">
        <w:t>” due to specified legal or procedural infirmities</w:t>
      </w:r>
      <w:r w:rsidR="00F93472">
        <w:t xml:space="preserve">, or </w:t>
      </w:r>
      <w:r w:rsidR="001B212E">
        <w:t xml:space="preserve">(2) </w:t>
      </w:r>
      <w:r w:rsidR="00F93472">
        <w:t xml:space="preserve">revokes </w:t>
      </w:r>
      <w:r w:rsidR="001B212E">
        <w:t>the franchising</w:t>
      </w:r>
      <w:r w:rsidR="00F93472">
        <w:t xml:space="preserve"> authority’s jurisdiction </w:t>
      </w:r>
      <w:r w:rsidR="00401E25">
        <w:t xml:space="preserve">to regulate rates following petition by a cable operator or other interested party based upon a finding </w:t>
      </w:r>
      <w:r w:rsidR="00280857">
        <w:t>“</w:t>
      </w:r>
      <w:r w:rsidR="00401E25">
        <w:t xml:space="preserve">that the </w:t>
      </w:r>
      <w:r w:rsidR="00280857">
        <w:t xml:space="preserve">State and local laws and regulations are not in conformance with” the Commission’s </w:t>
      </w:r>
      <w:r w:rsidR="00401E25">
        <w:t xml:space="preserve">basic service tier </w:t>
      </w:r>
      <w:r w:rsidR="00280857">
        <w:t>rate regulations</w:t>
      </w:r>
      <w:r w:rsidR="002B5A50">
        <w:t>.</w:t>
      </w:r>
      <w:r w:rsidR="002B5A50">
        <w:rPr>
          <w:rStyle w:val="FootnoteReference"/>
        </w:rPr>
        <w:footnoteReference w:id="138"/>
      </w:r>
      <w:r w:rsidR="002B5A50">
        <w:t xml:space="preserve">  The </w:t>
      </w:r>
      <w:r w:rsidR="001B212E">
        <w:t>expiration</w:t>
      </w:r>
      <w:r w:rsidR="002B5A50">
        <w:t xml:space="preserve"> of existing franchising authority certifications </w:t>
      </w:r>
      <w:r w:rsidR="007945FE">
        <w:t xml:space="preserve">based on a rebuttable presumption of </w:t>
      </w:r>
      <w:r w:rsidR="00DE5C65">
        <w:t>C</w:t>
      </w:r>
      <w:r w:rsidR="007945FE">
        <w:t xml:space="preserve">ompeting </w:t>
      </w:r>
      <w:r w:rsidR="00DE5C65">
        <w:t>P</w:t>
      </w:r>
      <w:r w:rsidR="007945FE">
        <w:t xml:space="preserve">rovider </w:t>
      </w:r>
      <w:r w:rsidR="00DE5C65">
        <w:t>E</w:t>
      </w:r>
      <w:r w:rsidR="007945FE">
        <w:t xml:space="preserve">ffective </w:t>
      </w:r>
      <w:r w:rsidR="00DE5C65">
        <w:t>C</w:t>
      </w:r>
      <w:r w:rsidR="007945FE">
        <w:t xml:space="preserve">ompetition </w:t>
      </w:r>
      <w:r w:rsidR="00277674">
        <w:t xml:space="preserve">combined with the franchising authority’s subsequent failure to attempt to retain its certification </w:t>
      </w:r>
      <w:r w:rsidR="002B5A50">
        <w:t xml:space="preserve">is </w:t>
      </w:r>
      <w:r w:rsidR="007945FE">
        <w:t>distinguishable</w:t>
      </w:r>
      <w:r w:rsidR="002B5A50">
        <w:t xml:space="preserve"> from a Commission finding </w:t>
      </w:r>
      <w:r w:rsidR="00401E25">
        <w:t xml:space="preserve">of legal or procedural infirmities </w:t>
      </w:r>
      <w:r w:rsidR="00987618">
        <w:t>following</w:t>
      </w:r>
      <w:r w:rsidR="002B5A50">
        <w:t xml:space="preserve"> </w:t>
      </w:r>
      <w:r w:rsidR="007945FE">
        <w:t>an</w:t>
      </w:r>
      <w:r w:rsidR="002B5A50">
        <w:t xml:space="preserve"> initial certification </w:t>
      </w:r>
      <w:r w:rsidR="00987618">
        <w:t>submission</w:t>
      </w:r>
      <w:r w:rsidR="00401E25">
        <w:t xml:space="preserve">.  </w:t>
      </w:r>
      <w:r w:rsidR="00641A03">
        <w:t xml:space="preserve">Contrary to NAB’s suggestions, </w:t>
      </w:r>
      <w:r w:rsidR="00E4604E">
        <w:t xml:space="preserve">the expiration of </w:t>
      </w:r>
      <w:r w:rsidR="009F61F4">
        <w:t>existing franchising authority certifications is justified for the reasons discussed above, and it does not matter that the</w:t>
      </w:r>
      <w:r w:rsidR="002B5A50">
        <w:t xml:space="preserve"> </w:t>
      </w:r>
      <w:r w:rsidR="001B212E">
        <w:t>expiration</w:t>
      </w:r>
      <w:r w:rsidR="009F61F4">
        <w:t>s</w:t>
      </w:r>
      <w:r w:rsidR="00401E25">
        <w:t xml:space="preserve"> </w:t>
      </w:r>
      <w:r w:rsidR="009F61F4">
        <w:t>will be</w:t>
      </w:r>
      <w:r w:rsidR="00D31932">
        <w:t xml:space="preserve"> unrelated to</w:t>
      </w:r>
      <w:r w:rsidR="002B5A50">
        <w:t xml:space="preserve"> a petition</w:t>
      </w:r>
      <w:r w:rsidR="00401E25">
        <w:t xml:space="preserve"> by a cable operator or other interested party</w:t>
      </w:r>
      <w:r w:rsidR="002B5A50">
        <w:t>.</w:t>
      </w:r>
      <w:r w:rsidR="00641A03">
        <w:rPr>
          <w:rStyle w:val="FootnoteReference"/>
        </w:rPr>
        <w:footnoteReference w:id="139"/>
      </w:r>
    </w:p>
    <w:p w14:paraId="42957773" w14:textId="071DD9C8" w:rsidR="00181B6A" w:rsidRDefault="00401E25" w:rsidP="00BD5943">
      <w:pPr>
        <w:pStyle w:val="ParaNum"/>
      </w:pPr>
      <w:r>
        <w:t>T</w:t>
      </w:r>
      <w:r w:rsidR="00C33636" w:rsidRPr="00AD2CC1">
        <w:t xml:space="preserve">here are currently </w:t>
      </w:r>
      <w:r w:rsidR="00071CE5">
        <w:t>5</w:t>
      </w:r>
      <w:r w:rsidR="003549B7">
        <w:t>8</w:t>
      </w:r>
      <w:r w:rsidR="00C33636" w:rsidRPr="00181B6A">
        <w:rPr>
          <w:b/>
        </w:rPr>
        <w:t xml:space="preserve"> </w:t>
      </w:r>
      <w:r w:rsidR="00C33636" w:rsidRPr="00AD2CC1">
        <w:t xml:space="preserve">pending cable operator petitions seeking a finding of </w:t>
      </w:r>
      <w:r w:rsidR="00DE5C65">
        <w:t>E</w:t>
      </w:r>
      <w:r w:rsidR="00C33636" w:rsidRPr="00AD2CC1">
        <w:t xml:space="preserve">ffective </w:t>
      </w:r>
      <w:r w:rsidR="00DE5C65">
        <w:t>C</w:t>
      </w:r>
      <w:r w:rsidR="00C33636" w:rsidRPr="00AD2CC1">
        <w:t>ompetition</w:t>
      </w:r>
      <w:r w:rsidR="00811C99">
        <w:t xml:space="preserve">, </w:t>
      </w:r>
      <w:r w:rsidR="00C419DD">
        <w:t xml:space="preserve">and a total of </w:t>
      </w:r>
      <w:r w:rsidR="00071CE5">
        <w:t>17</w:t>
      </w:r>
      <w:r w:rsidR="00811C99">
        <w:rPr>
          <w:b/>
        </w:rPr>
        <w:t xml:space="preserve"> </w:t>
      </w:r>
      <w:r w:rsidR="00811C99">
        <w:t xml:space="preserve">pending petitions for reconsideration of certification, </w:t>
      </w:r>
      <w:r w:rsidR="00C419DD">
        <w:t xml:space="preserve">petitions for reconsideration of an Effective Competition decision, </w:t>
      </w:r>
      <w:r w:rsidR="00811C99">
        <w:t xml:space="preserve">and applications for review of </w:t>
      </w:r>
      <w:r w:rsidR="00C419DD">
        <w:t>an Effective Competition decision</w:t>
      </w:r>
      <w:r w:rsidR="001563C0">
        <w:t>.</w:t>
      </w:r>
      <w:r w:rsidR="00C33636" w:rsidRPr="00AD2CC1">
        <w:t xml:space="preserve">  </w:t>
      </w:r>
      <w:r w:rsidR="00872401">
        <w:t xml:space="preserve">As explained above, if </w:t>
      </w:r>
      <w:r w:rsidR="006A1646">
        <w:t>one of these</w:t>
      </w:r>
      <w:r w:rsidR="00872401">
        <w:t xml:space="preserve"> pending </w:t>
      </w:r>
      <w:r w:rsidR="006A1646">
        <w:t>proceedings</w:t>
      </w:r>
      <w:r w:rsidR="006D7CB5">
        <w:t xml:space="preserve"> </w:t>
      </w:r>
      <w:r w:rsidR="00872401">
        <w:t>involve</w:t>
      </w:r>
      <w:r w:rsidR="00EB0AA4">
        <w:t>s</w:t>
      </w:r>
      <w:r w:rsidR="00872401">
        <w:t xml:space="preserve"> a currently certified franchising authority that files revised Form 328, the record from the </w:t>
      </w:r>
      <w:r w:rsidR="006A1646">
        <w:t>pending proceeding</w:t>
      </w:r>
      <w:r w:rsidR="001563C0">
        <w:t xml:space="preserve"> </w:t>
      </w:r>
      <w:r w:rsidR="00872401">
        <w:t xml:space="preserve">will be considered along with the revised Form 328 submission when the Media Bureau makes its </w:t>
      </w:r>
      <w:r w:rsidR="00277674">
        <w:t xml:space="preserve">certification </w:t>
      </w:r>
      <w:r w:rsidR="00872401">
        <w:t xml:space="preserve">determination.  If, however, the pending </w:t>
      </w:r>
      <w:r w:rsidR="006A1646">
        <w:t>proceeding</w:t>
      </w:r>
      <w:r w:rsidR="006D7CB5">
        <w:t xml:space="preserve"> </w:t>
      </w:r>
      <w:r w:rsidR="00872401">
        <w:t>involves a franchising authority that does not file revised Form 328 during the 90</w:t>
      </w:r>
      <w:r w:rsidR="00287292">
        <w:t>-</w:t>
      </w:r>
      <w:r w:rsidR="00872401">
        <w:t>day timeframe</w:t>
      </w:r>
      <w:r w:rsidR="007B7B55">
        <w:t xml:space="preserve"> but </w:t>
      </w:r>
      <w:r w:rsidR="00C419DD">
        <w:t xml:space="preserve">either (i) </w:t>
      </w:r>
      <w:r w:rsidR="007B7B55">
        <w:t>th</w:t>
      </w:r>
      <w:r w:rsidR="00BD5943">
        <w:t>e</w:t>
      </w:r>
      <w:r w:rsidR="001563C0">
        <w:t xml:space="preserve"> </w:t>
      </w:r>
      <w:r w:rsidR="00BD5943">
        <w:t>proceeding is a</w:t>
      </w:r>
      <w:r w:rsidR="005F0F1F">
        <w:t>n opposed</w:t>
      </w:r>
      <w:r w:rsidR="00BD5943">
        <w:t xml:space="preserve"> cable operator Effective Competition petition, or (ii)</w:t>
      </w:r>
      <w:r w:rsidR="00872401">
        <w:t xml:space="preserve"> </w:t>
      </w:r>
      <w:r w:rsidR="00BD5943">
        <w:t xml:space="preserve">the proceeding is a petition for reconsideration of certification, petition for reconsideration of an Effective Competition decision, or application for review of an Effective Competition decision, then </w:t>
      </w:r>
      <w:r w:rsidR="00181B6A">
        <w:t xml:space="preserve">the Media Bureau </w:t>
      </w:r>
      <w:r w:rsidR="00085973">
        <w:t xml:space="preserve">or the Commission </w:t>
      </w:r>
      <w:r w:rsidR="00181B6A">
        <w:t xml:space="preserve">will adjudicate </w:t>
      </w:r>
      <w:r w:rsidR="007B7B55">
        <w:t xml:space="preserve">the </w:t>
      </w:r>
      <w:r w:rsidR="00181B6A">
        <w:t xml:space="preserve">pending </w:t>
      </w:r>
      <w:r w:rsidR="00BD5943">
        <w:t>proceeding</w:t>
      </w:r>
      <w:r w:rsidR="006D7CB5">
        <w:t xml:space="preserve"> </w:t>
      </w:r>
      <w:r w:rsidR="00181B6A">
        <w:t>based on the record before it.</w:t>
      </w:r>
      <w:r w:rsidR="00EB0AA4">
        <w:rPr>
          <w:rStyle w:val="FootnoteReference"/>
        </w:rPr>
        <w:footnoteReference w:id="140"/>
      </w:r>
      <w:r w:rsidR="00181B6A">
        <w:t xml:space="preserve"> </w:t>
      </w:r>
      <w:r w:rsidR="00B34220">
        <w:t xml:space="preserve"> </w:t>
      </w:r>
      <w:r w:rsidR="00181B6A">
        <w:t>With regard to</w:t>
      </w:r>
      <w:r w:rsidR="00872401">
        <w:t xml:space="preserve"> pending </w:t>
      </w:r>
      <w:r w:rsidR="00872401" w:rsidRPr="00BD5943">
        <w:rPr>
          <w:i/>
        </w:rPr>
        <w:t>unopposed</w:t>
      </w:r>
      <w:r w:rsidR="00872401">
        <w:t xml:space="preserve"> </w:t>
      </w:r>
      <w:r w:rsidR="00BD5943">
        <w:t>c</w:t>
      </w:r>
      <w:r w:rsidR="00A954F7">
        <w:t xml:space="preserve">able </w:t>
      </w:r>
      <w:r w:rsidR="00BD5943">
        <w:t>o</w:t>
      </w:r>
      <w:r w:rsidR="00A954F7">
        <w:t xml:space="preserve">perator Effective Competition </w:t>
      </w:r>
      <w:r w:rsidR="00BD5943">
        <w:t>p</w:t>
      </w:r>
      <w:r w:rsidR="00A954F7">
        <w:t>etitions</w:t>
      </w:r>
      <w:r w:rsidR="001860B5">
        <w:t xml:space="preserve"> where the franchising authority </w:t>
      </w:r>
      <w:r w:rsidR="00C523C1">
        <w:t>does not file revised Form 328,</w:t>
      </w:r>
      <w:r w:rsidR="00462717">
        <w:t xml:space="preserve"> </w:t>
      </w:r>
      <w:r w:rsidR="00181B6A">
        <w:t xml:space="preserve">the Media Bureau will grant such </w:t>
      </w:r>
      <w:r w:rsidR="00BD5943">
        <w:t xml:space="preserve">petitions </w:t>
      </w:r>
      <w:r w:rsidR="00872401">
        <w:t>based on a finding that the new presumption of Competing Provider Effective Competition applies</w:t>
      </w:r>
      <w:r w:rsidR="00F20B45">
        <w:t xml:space="preserve"> and</w:t>
      </w:r>
      <w:r w:rsidR="00462717">
        <w:t xml:space="preserve"> the franchising </w:t>
      </w:r>
      <w:r w:rsidR="00F20B45">
        <w:t>authority has not attempted to rebut it</w:t>
      </w:r>
      <w:r w:rsidR="00181B6A">
        <w:t>.</w:t>
      </w:r>
      <w:r w:rsidR="00EB691B">
        <w:rPr>
          <w:rStyle w:val="FootnoteReference"/>
        </w:rPr>
        <w:footnoteReference w:id="141"/>
      </w:r>
      <w:r w:rsidR="00462717">
        <w:t xml:space="preserve">  </w:t>
      </w:r>
      <w:r w:rsidR="00181B6A">
        <w:t xml:space="preserve">The Media Bureau will issue a public notice at the conclusion of the </w:t>
      </w:r>
      <w:r w:rsidR="00BD5943">
        <w:t>9</w:t>
      </w:r>
      <w:r w:rsidR="00181B6A">
        <w:t>0</w:t>
      </w:r>
      <w:r w:rsidR="007B7B55">
        <w:t>-</w:t>
      </w:r>
      <w:r w:rsidR="00181B6A">
        <w:t>day timeframe</w:t>
      </w:r>
      <w:r w:rsidR="00BD5943">
        <w:t xml:space="preserve"> for filing revised Form 328</w:t>
      </w:r>
      <w:r w:rsidR="00181B6A">
        <w:t xml:space="preserve">, granting all pending unopposed </w:t>
      </w:r>
      <w:r w:rsidR="00BD5943">
        <w:t>c</w:t>
      </w:r>
      <w:r w:rsidR="006E5B85">
        <w:t xml:space="preserve">able </w:t>
      </w:r>
      <w:r w:rsidR="00BD5943">
        <w:t>o</w:t>
      </w:r>
      <w:r w:rsidR="006E5B85">
        <w:t xml:space="preserve">perator Effective Competition </w:t>
      </w:r>
      <w:r w:rsidR="00BD5943">
        <w:t>p</w:t>
      </w:r>
      <w:r w:rsidR="006E5B85">
        <w:t>etitions</w:t>
      </w:r>
      <w:r w:rsidR="00BD5943">
        <w:t xml:space="preserve"> </w:t>
      </w:r>
      <w:r w:rsidR="007B22C5">
        <w:t xml:space="preserve">where the franchising authority </w:t>
      </w:r>
      <w:r w:rsidR="00BD5943">
        <w:t>has</w:t>
      </w:r>
      <w:r w:rsidR="007B22C5">
        <w:t xml:space="preserve"> not file</w:t>
      </w:r>
      <w:r w:rsidR="00BD5943">
        <w:t>d</w:t>
      </w:r>
      <w:r w:rsidR="007B22C5">
        <w:t xml:space="preserve"> revised Form 328</w:t>
      </w:r>
      <w:r w:rsidR="00EE23E0">
        <w:t>, with the grant</w:t>
      </w:r>
      <w:r w:rsidR="00181B6A">
        <w:t xml:space="preserve"> based on a finding of Competing Provider Effective Competition.  That finding will be </w:t>
      </w:r>
      <w:r w:rsidR="00352E7A">
        <w:t>premised o</w:t>
      </w:r>
      <w:r w:rsidR="00181B6A">
        <w:t xml:space="preserve">n the new presumption of Competing Provider Effective Competition, as well as the franchising authority’s failure to oppose the </w:t>
      </w:r>
      <w:r w:rsidR="00690C55">
        <w:t>c</w:t>
      </w:r>
      <w:r w:rsidR="006E5B85">
        <w:t xml:space="preserve">able </w:t>
      </w:r>
      <w:r w:rsidR="00690C55">
        <w:t>o</w:t>
      </w:r>
      <w:r w:rsidR="006E5B85">
        <w:t xml:space="preserve">perator Effective Competition </w:t>
      </w:r>
      <w:r w:rsidR="00181B6A">
        <w:t>petition in the first instance.</w:t>
      </w:r>
    </w:p>
    <w:p w14:paraId="5B651369" w14:textId="77777777" w:rsidR="00B92DCC" w:rsidRPr="00567927" w:rsidRDefault="00B92DCC" w:rsidP="00B92DCC">
      <w:pPr>
        <w:pStyle w:val="Heading1"/>
      </w:pPr>
      <w:bookmarkStart w:id="116" w:name="_Toc395525824"/>
      <w:bookmarkStart w:id="117" w:name="_Toc395533574"/>
      <w:bookmarkStart w:id="118" w:name="_Toc395688822"/>
      <w:bookmarkStart w:id="119" w:name="_Toc396124445"/>
      <w:bookmarkStart w:id="120" w:name="_Toc396136523"/>
      <w:bookmarkStart w:id="121" w:name="_Toc396213555"/>
      <w:bookmarkStart w:id="122" w:name="_Toc396298473"/>
      <w:bookmarkStart w:id="123" w:name="_Toc402525576"/>
      <w:bookmarkStart w:id="124" w:name="_Toc404083771"/>
      <w:bookmarkStart w:id="125" w:name="_Toc404594693"/>
      <w:bookmarkStart w:id="126" w:name="_Toc407963505"/>
      <w:bookmarkStart w:id="127" w:name="_Toc408297250"/>
      <w:bookmarkStart w:id="128" w:name="_Toc411603974"/>
      <w:bookmarkStart w:id="129" w:name="_Toc414027007"/>
      <w:bookmarkStart w:id="130" w:name="_Toc414969755"/>
      <w:bookmarkStart w:id="131" w:name="_Toc415493391"/>
      <w:bookmarkStart w:id="132" w:name="_Toc418166675"/>
      <w:bookmarkStart w:id="133" w:name="_Toc418498902"/>
      <w:bookmarkStart w:id="134" w:name="_Toc418677553"/>
      <w:bookmarkStart w:id="135" w:name="_Toc418753398"/>
      <w:bookmarkStart w:id="136" w:name="_Toc419276613"/>
      <w:r w:rsidRPr="00567927">
        <w:t>Procedural Matters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FA67F4E" w14:textId="44637287" w:rsidR="00B92DCC" w:rsidRPr="008F7A9C" w:rsidRDefault="00567927" w:rsidP="00B92DCC">
      <w:pPr>
        <w:pStyle w:val="Heading2"/>
      </w:pPr>
      <w:bookmarkStart w:id="137" w:name="_Toc395525825"/>
      <w:bookmarkStart w:id="138" w:name="_Toc395533575"/>
      <w:bookmarkStart w:id="139" w:name="_Toc395688823"/>
      <w:bookmarkStart w:id="140" w:name="_Toc396124446"/>
      <w:bookmarkStart w:id="141" w:name="_Toc396136524"/>
      <w:bookmarkStart w:id="142" w:name="_Toc396213556"/>
      <w:bookmarkStart w:id="143" w:name="_Toc396298474"/>
      <w:bookmarkStart w:id="144" w:name="_Toc402525577"/>
      <w:bookmarkStart w:id="145" w:name="_Toc404083772"/>
      <w:bookmarkStart w:id="146" w:name="_Toc404594694"/>
      <w:bookmarkStart w:id="147" w:name="_Toc407963506"/>
      <w:bookmarkStart w:id="148" w:name="_Toc408297251"/>
      <w:bookmarkStart w:id="149" w:name="_Toc411603975"/>
      <w:bookmarkStart w:id="150" w:name="_Toc414027008"/>
      <w:bookmarkStart w:id="151" w:name="_Toc414969756"/>
      <w:bookmarkStart w:id="152" w:name="_Toc415493392"/>
      <w:bookmarkStart w:id="153" w:name="_Toc418166676"/>
      <w:bookmarkStart w:id="154" w:name="_Toc418498903"/>
      <w:bookmarkStart w:id="155" w:name="_Toc418677554"/>
      <w:bookmarkStart w:id="156" w:name="_Toc418753399"/>
      <w:bookmarkStart w:id="157" w:name="_Toc419276614"/>
      <w:r w:rsidRPr="008F7A9C">
        <w:t>Final</w:t>
      </w:r>
      <w:r w:rsidR="00B92DCC" w:rsidRPr="008F7A9C">
        <w:t xml:space="preserve"> Regulatory Flexibility Analysis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416EBD36" w14:textId="03721007" w:rsidR="00DB5698" w:rsidRPr="008F7A9C" w:rsidRDefault="00DB5698" w:rsidP="008607EB">
      <w:pPr>
        <w:pStyle w:val="ParaNum"/>
      </w:pPr>
      <w:r w:rsidRPr="008F7A9C">
        <w:rPr>
          <w:szCs w:val="22"/>
        </w:rPr>
        <w:t>As required by the Regulatory Flexibility Act of 1980, as amended (“RFA”),</w:t>
      </w:r>
      <w:r w:rsidRPr="008F7A9C">
        <w:rPr>
          <w:rStyle w:val="FootnoteReference"/>
          <w:color w:val="000000"/>
          <w:szCs w:val="22"/>
        </w:rPr>
        <w:footnoteReference w:id="142"/>
      </w:r>
      <w:r w:rsidR="00567927" w:rsidRPr="008F7A9C">
        <w:rPr>
          <w:szCs w:val="22"/>
        </w:rPr>
        <w:t xml:space="preserve"> the Commission has prepared a Final</w:t>
      </w:r>
      <w:r w:rsidRPr="008F7A9C">
        <w:rPr>
          <w:szCs w:val="22"/>
        </w:rPr>
        <w:t xml:space="preserve"> Regulatory Flexibility Analysis (“</w:t>
      </w:r>
      <w:r w:rsidR="008F7A9C" w:rsidRPr="008F7A9C">
        <w:rPr>
          <w:szCs w:val="22"/>
        </w:rPr>
        <w:t>F</w:t>
      </w:r>
      <w:r w:rsidRPr="008F7A9C">
        <w:rPr>
          <w:szCs w:val="22"/>
        </w:rPr>
        <w:t xml:space="preserve">RFA”) relating to this </w:t>
      </w:r>
      <w:r w:rsidR="008F7A9C" w:rsidRPr="008F7A9C">
        <w:rPr>
          <w:szCs w:val="22"/>
        </w:rPr>
        <w:t>Order.  The F</w:t>
      </w:r>
      <w:r w:rsidRPr="008F7A9C">
        <w:rPr>
          <w:szCs w:val="22"/>
        </w:rPr>
        <w:t>RFA is set forth in Appendix B.</w:t>
      </w:r>
    </w:p>
    <w:p w14:paraId="505D8D58" w14:textId="6C2F474E" w:rsidR="00B92DCC" w:rsidRPr="008F7A9C" w:rsidRDefault="008F7A9C" w:rsidP="00DB5698">
      <w:pPr>
        <w:pStyle w:val="Heading2"/>
      </w:pPr>
      <w:bookmarkStart w:id="158" w:name="_Toc290902732"/>
      <w:bookmarkStart w:id="159" w:name="_Toc290985334"/>
      <w:bookmarkStart w:id="160" w:name="_Toc396136525"/>
      <w:bookmarkStart w:id="161" w:name="_Toc396213557"/>
      <w:bookmarkStart w:id="162" w:name="_Toc396298475"/>
      <w:bookmarkStart w:id="163" w:name="_Toc402525578"/>
      <w:bookmarkStart w:id="164" w:name="_Toc404083773"/>
      <w:bookmarkStart w:id="165" w:name="_Toc404594695"/>
      <w:bookmarkStart w:id="166" w:name="_Toc407963507"/>
      <w:bookmarkStart w:id="167" w:name="_Toc408297252"/>
      <w:bookmarkStart w:id="168" w:name="_Toc411603976"/>
      <w:bookmarkStart w:id="169" w:name="_Toc414027009"/>
      <w:bookmarkStart w:id="170" w:name="_Toc414969757"/>
      <w:bookmarkStart w:id="171" w:name="_Toc415493393"/>
      <w:bookmarkStart w:id="172" w:name="_Toc418166677"/>
      <w:bookmarkStart w:id="173" w:name="_Toc418498904"/>
      <w:bookmarkStart w:id="174" w:name="_Toc418677555"/>
      <w:bookmarkStart w:id="175" w:name="_Toc418753400"/>
      <w:bookmarkStart w:id="176" w:name="_Toc419276615"/>
      <w:r w:rsidRPr="008F7A9C">
        <w:t>Final</w:t>
      </w:r>
      <w:r w:rsidR="00B92DCC" w:rsidRPr="008F7A9C">
        <w:t xml:space="preserve"> Paperwork Reduction Act </w:t>
      </w:r>
      <w:r w:rsidRPr="008F7A9C">
        <w:t xml:space="preserve">of 1995 </w:t>
      </w:r>
      <w:r w:rsidR="00B92DCC" w:rsidRPr="008F7A9C">
        <w:t>Analysis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300442CF" w14:textId="40D6EEA1" w:rsidR="005A6323" w:rsidRPr="008F7A9C" w:rsidRDefault="008F7A9C" w:rsidP="008607EB">
      <w:pPr>
        <w:pStyle w:val="ParaNum"/>
      </w:pPr>
      <w:r>
        <w:rPr>
          <w:szCs w:val="22"/>
        </w:rPr>
        <w:t>We analyzed this Order with respect to the Paperwork Reduction Act of 1995 (“PRA”),</w:t>
      </w:r>
      <w:r>
        <w:rPr>
          <w:rStyle w:val="FootnoteReference"/>
          <w:szCs w:val="22"/>
        </w:rPr>
        <w:footnoteReference w:id="143"/>
      </w:r>
      <w:r>
        <w:rPr>
          <w:szCs w:val="22"/>
        </w:rPr>
        <w:t xml:space="preserve"> and it contains modified information collection requirements.</w:t>
      </w:r>
      <w:r>
        <w:rPr>
          <w:rStyle w:val="FootnoteReference"/>
          <w:szCs w:val="22"/>
        </w:rPr>
        <w:footnoteReference w:id="144"/>
      </w:r>
      <w:r>
        <w:rPr>
          <w:szCs w:val="22"/>
        </w:rPr>
        <w:t xml:space="preserve">  It will be submitted to the Office of Management and Budget (“OMB”) for review under </w:t>
      </w:r>
      <w:r w:rsidR="00D021E5">
        <w:rPr>
          <w:szCs w:val="22"/>
        </w:rPr>
        <w:t>s</w:t>
      </w:r>
      <w:r>
        <w:rPr>
          <w:szCs w:val="22"/>
        </w:rPr>
        <w:t>ection 3507(d) of the PRA.</w:t>
      </w:r>
      <w:r>
        <w:rPr>
          <w:rStyle w:val="FootnoteReference"/>
          <w:szCs w:val="22"/>
        </w:rPr>
        <w:footnoteReference w:id="145"/>
      </w:r>
      <w:r>
        <w:rPr>
          <w:szCs w:val="22"/>
        </w:rPr>
        <w:t xml:space="preserve">  </w:t>
      </w:r>
      <w:r w:rsidR="001B450F" w:rsidRPr="008F7A9C">
        <w:rPr>
          <w:szCs w:val="22"/>
        </w:rPr>
        <w:t>T</w:t>
      </w:r>
      <w:r w:rsidR="005A6323" w:rsidRPr="008F7A9C">
        <w:rPr>
          <w:szCs w:val="22"/>
        </w:rPr>
        <w:t>he Commission</w:t>
      </w:r>
      <w:r w:rsidR="001B450F" w:rsidRPr="008F7A9C">
        <w:rPr>
          <w:szCs w:val="22"/>
        </w:rPr>
        <w:t>, as part of its continuing effort to reduce paperwork burdens,</w:t>
      </w:r>
      <w:r w:rsidR="005A6323" w:rsidRPr="008F7A9C">
        <w:rPr>
          <w:szCs w:val="22"/>
        </w:rPr>
        <w:t xml:space="preserve"> invit</w:t>
      </w:r>
      <w:r w:rsidR="001B450F" w:rsidRPr="008F7A9C">
        <w:rPr>
          <w:szCs w:val="22"/>
        </w:rPr>
        <w:t>es</w:t>
      </w:r>
      <w:r w:rsidR="005A6323" w:rsidRPr="008F7A9C">
        <w:rPr>
          <w:szCs w:val="22"/>
        </w:rPr>
        <w:t xml:space="preserve"> </w:t>
      </w:r>
      <w:r>
        <w:rPr>
          <w:szCs w:val="22"/>
        </w:rPr>
        <w:t xml:space="preserve">OMB, </w:t>
      </w:r>
      <w:r w:rsidR="005A6323" w:rsidRPr="008F7A9C">
        <w:rPr>
          <w:szCs w:val="22"/>
        </w:rPr>
        <w:t xml:space="preserve">the </w:t>
      </w:r>
      <w:r w:rsidR="001B450F" w:rsidRPr="008F7A9C">
        <w:rPr>
          <w:szCs w:val="22"/>
        </w:rPr>
        <w:t xml:space="preserve">general </w:t>
      </w:r>
      <w:r w:rsidR="005A6323" w:rsidRPr="008F7A9C">
        <w:rPr>
          <w:szCs w:val="22"/>
        </w:rPr>
        <w:t>public</w:t>
      </w:r>
      <w:r>
        <w:rPr>
          <w:szCs w:val="22"/>
        </w:rPr>
        <w:t>, and other interested parties</w:t>
      </w:r>
      <w:r w:rsidR="005A6323" w:rsidRPr="008F7A9C">
        <w:rPr>
          <w:szCs w:val="22"/>
        </w:rPr>
        <w:t xml:space="preserve"> to comment on the </w:t>
      </w:r>
      <w:r w:rsidR="001B450F" w:rsidRPr="008F7A9C">
        <w:rPr>
          <w:szCs w:val="22"/>
        </w:rPr>
        <w:t xml:space="preserve">information collection </w:t>
      </w:r>
      <w:r w:rsidR="005A6323" w:rsidRPr="008F7A9C">
        <w:rPr>
          <w:szCs w:val="22"/>
        </w:rPr>
        <w:t>requirement</w:t>
      </w:r>
      <w:r w:rsidR="001B450F" w:rsidRPr="008F7A9C">
        <w:rPr>
          <w:szCs w:val="22"/>
        </w:rPr>
        <w:t>s contained in this document</w:t>
      </w:r>
      <w:r w:rsidR="005A6323" w:rsidRPr="008F7A9C">
        <w:rPr>
          <w:szCs w:val="22"/>
        </w:rPr>
        <w:t xml:space="preserve">.  In addition, </w:t>
      </w:r>
      <w:r>
        <w:rPr>
          <w:szCs w:val="22"/>
        </w:rPr>
        <w:t xml:space="preserve">we note that </w:t>
      </w:r>
      <w:r w:rsidR="005A6323" w:rsidRPr="008F7A9C">
        <w:rPr>
          <w:szCs w:val="22"/>
        </w:rPr>
        <w:t>pursuant to the Small Business Paperwork Relief Act of 2002,</w:t>
      </w:r>
      <w:r>
        <w:rPr>
          <w:rStyle w:val="FootnoteReference"/>
          <w:szCs w:val="22"/>
        </w:rPr>
        <w:footnoteReference w:id="146"/>
      </w:r>
      <w:r w:rsidR="005A6323" w:rsidRPr="008F7A9C">
        <w:rPr>
          <w:szCs w:val="22"/>
        </w:rPr>
        <w:t xml:space="preserve"> </w:t>
      </w:r>
      <w:r>
        <w:rPr>
          <w:szCs w:val="22"/>
        </w:rPr>
        <w:t>we previously sought</w:t>
      </w:r>
      <w:r w:rsidR="005A6323" w:rsidRPr="008F7A9C">
        <w:rPr>
          <w:szCs w:val="22"/>
        </w:rPr>
        <w:t xml:space="preserve"> specific comment on how </w:t>
      </w:r>
      <w:r>
        <w:rPr>
          <w:szCs w:val="22"/>
        </w:rPr>
        <w:t>the Commission</w:t>
      </w:r>
      <w:r w:rsidR="005A6323" w:rsidRPr="008F7A9C">
        <w:rPr>
          <w:szCs w:val="22"/>
        </w:rPr>
        <w:t xml:space="preserve"> might “further reduce the information collection burden for small business concerns with fewer than 25 employees.”</w:t>
      </w:r>
      <w:r>
        <w:rPr>
          <w:rStyle w:val="FootnoteReference"/>
          <w:szCs w:val="22"/>
        </w:rPr>
        <w:footnoteReference w:id="147"/>
      </w:r>
    </w:p>
    <w:p w14:paraId="1DBEE190" w14:textId="7A282E7D" w:rsidR="006D1805" w:rsidRPr="006D1805" w:rsidRDefault="006D1805" w:rsidP="005A6323">
      <w:pPr>
        <w:pStyle w:val="Heading2"/>
      </w:pPr>
      <w:bookmarkStart w:id="177" w:name="_Toc414969758"/>
      <w:bookmarkStart w:id="178" w:name="_Toc415493394"/>
      <w:bookmarkStart w:id="179" w:name="_Toc418166678"/>
      <w:bookmarkStart w:id="180" w:name="_Toc418498905"/>
      <w:bookmarkStart w:id="181" w:name="_Toc418677556"/>
      <w:bookmarkStart w:id="182" w:name="_Toc418753401"/>
      <w:bookmarkStart w:id="183" w:name="_Toc419276616"/>
      <w:bookmarkStart w:id="184" w:name="_Toc390092102"/>
      <w:bookmarkStart w:id="185" w:name="_Toc390439618"/>
      <w:bookmarkStart w:id="186" w:name="_Toc390691266"/>
      <w:bookmarkStart w:id="187" w:name="_Toc391051494"/>
      <w:bookmarkStart w:id="188" w:name="_Toc391052909"/>
      <w:bookmarkStart w:id="189" w:name="_Toc392781421"/>
      <w:bookmarkStart w:id="190" w:name="_Toc396136528"/>
      <w:bookmarkStart w:id="191" w:name="_Toc396213560"/>
      <w:bookmarkStart w:id="192" w:name="_Toc396298478"/>
      <w:bookmarkStart w:id="193" w:name="_Toc402525581"/>
      <w:bookmarkStart w:id="194" w:name="_Toc404083776"/>
      <w:bookmarkStart w:id="195" w:name="_Toc404594698"/>
      <w:bookmarkStart w:id="196" w:name="_Toc407963510"/>
      <w:bookmarkStart w:id="197" w:name="_Toc408297255"/>
      <w:bookmarkStart w:id="198" w:name="_Toc411603979"/>
      <w:bookmarkStart w:id="199" w:name="_Toc414027012"/>
      <w:bookmarkStart w:id="200" w:name="_Toc395525829"/>
      <w:bookmarkStart w:id="201" w:name="_Toc395533579"/>
      <w:bookmarkStart w:id="202" w:name="_Toc395688827"/>
      <w:bookmarkStart w:id="203" w:name="_Toc396124450"/>
      <w:r w:rsidRPr="006D1805">
        <w:t>Congressional Review Act</w:t>
      </w:r>
      <w:bookmarkEnd w:id="177"/>
      <w:bookmarkEnd w:id="178"/>
      <w:bookmarkEnd w:id="179"/>
      <w:bookmarkEnd w:id="180"/>
      <w:bookmarkEnd w:id="181"/>
      <w:bookmarkEnd w:id="182"/>
      <w:bookmarkEnd w:id="183"/>
    </w:p>
    <w:p w14:paraId="3EE00BD5" w14:textId="3F65A1A1" w:rsidR="006D1805" w:rsidRPr="006D1805" w:rsidRDefault="006D1805" w:rsidP="006D1805">
      <w:pPr>
        <w:pStyle w:val="ParaNum"/>
      </w:pPr>
      <w:r w:rsidRPr="006D1805">
        <w:t xml:space="preserve">The Commission will send a copy of this Order in a report to be sent to Congress and the Government Accountability Office pursuant to the Congressional Review Act, </w:t>
      </w:r>
      <w:r w:rsidRPr="006D1805">
        <w:rPr>
          <w:i/>
        </w:rPr>
        <w:t xml:space="preserve">see </w:t>
      </w:r>
      <w:r w:rsidRPr="006D1805">
        <w:t>5 U.S.C. § 801(a)(1)(A).</w:t>
      </w:r>
    </w:p>
    <w:p w14:paraId="182ABD08" w14:textId="77777777" w:rsidR="005A6323" w:rsidRPr="006D1805" w:rsidRDefault="005A6323" w:rsidP="005A6323">
      <w:pPr>
        <w:pStyle w:val="Heading2"/>
      </w:pPr>
      <w:bookmarkStart w:id="204" w:name="_Toc414969759"/>
      <w:bookmarkStart w:id="205" w:name="_Toc415493395"/>
      <w:bookmarkStart w:id="206" w:name="_Toc418166679"/>
      <w:bookmarkStart w:id="207" w:name="_Toc418498906"/>
      <w:bookmarkStart w:id="208" w:name="_Toc418677557"/>
      <w:bookmarkStart w:id="209" w:name="_Toc418753402"/>
      <w:bookmarkStart w:id="210" w:name="_Toc419276617"/>
      <w:r w:rsidRPr="006D1805">
        <w:t>Additional Information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4"/>
      <w:bookmarkEnd w:id="205"/>
      <w:bookmarkEnd w:id="206"/>
      <w:bookmarkEnd w:id="207"/>
      <w:bookmarkEnd w:id="208"/>
      <w:bookmarkEnd w:id="209"/>
      <w:bookmarkEnd w:id="210"/>
    </w:p>
    <w:p w14:paraId="3AA2A796" w14:textId="1F37DACC" w:rsidR="005A6323" w:rsidRPr="006D1805" w:rsidRDefault="005A6323" w:rsidP="005A6323">
      <w:pPr>
        <w:pStyle w:val="ParaNum"/>
      </w:pPr>
      <w:r w:rsidRPr="006D1805">
        <w:t xml:space="preserve">For additional information on this proceeding, contact Diana Sokolow, </w:t>
      </w:r>
      <w:hyperlink r:id="rId8" w:history="1">
        <w:r w:rsidRPr="006D1805">
          <w:rPr>
            <w:rStyle w:val="Hyperlink"/>
          </w:rPr>
          <w:t>Diana.Sokolow@fcc.gov</w:t>
        </w:r>
      </w:hyperlink>
      <w:r w:rsidRPr="006D1805">
        <w:t>, of the Policy Division, Media Bureau, (202) 418-2120.</w:t>
      </w:r>
    </w:p>
    <w:p w14:paraId="0D03EA81" w14:textId="77777777" w:rsidR="00B92DCC" w:rsidRPr="00740F95" w:rsidRDefault="00B92DCC" w:rsidP="00B92DCC">
      <w:pPr>
        <w:pStyle w:val="Heading1"/>
      </w:pPr>
      <w:bookmarkStart w:id="211" w:name="_Toc395525830"/>
      <w:bookmarkStart w:id="212" w:name="_Toc395533580"/>
      <w:bookmarkStart w:id="213" w:name="_Toc395688828"/>
      <w:bookmarkStart w:id="214" w:name="_Toc396124451"/>
      <w:bookmarkStart w:id="215" w:name="_Toc396136529"/>
      <w:bookmarkStart w:id="216" w:name="_Toc396213561"/>
      <w:bookmarkStart w:id="217" w:name="_Toc396298479"/>
      <w:bookmarkStart w:id="218" w:name="_Toc402525582"/>
      <w:bookmarkStart w:id="219" w:name="_Toc404083777"/>
      <w:bookmarkStart w:id="220" w:name="_Toc404594699"/>
      <w:bookmarkStart w:id="221" w:name="_Toc407963511"/>
      <w:bookmarkStart w:id="222" w:name="_Toc408297256"/>
      <w:bookmarkStart w:id="223" w:name="_Toc411603980"/>
      <w:bookmarkStart w:id="224" w:name="_Toc414027013"/>
      <w:bookmarkStart w:id="225" w:name="_Toc414969760"/>
      <w:bookmarkStart w:id="226" w:name="_Toc415493396"/>
      <w:bookmarkStart w:id="227" w:name="_Toc418166680"/>
      <w:bookmarkStart w:id="228" w:name="_Toc418498907"/>
      <w:bookmarkStart w:id="229" w:name="_Toc418677558"/>
      <w:bookmarkStart w:id="230" w:name="_Toc418753403"/>
      <w:bookmarkStart w:id="231" w:name="_Toc419276618"/>
      <w:bookmarkEnd w:id="200"/>
      <w:bookmarkEnd w:id="201"/>
      <w:bookmarkEnd w:id="202"/>
      <w:bookmarkEnd w:id="203"/>
      <w:r w:rsidRPr="00740F95">
        <w:t>Ordering Clauses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6A481580" w14:textId="69BA908C" w:rsidR="00B92DCC" w:rsidRPr="00740F95" w:rsidRDefault="00B92DCC" w:rsidP="008607EB">
      <w:pPr>
        <w:pStyle w:val="ParaNum"/>
      </w:pPr>
      <w:r w:rsidRPr="00740F95">
        <w:rPr>
          <w:szCs w:val="22"/>
        </w:rPr>
        <w:t xml:space="preserve">Accordingly, </w:t>
      </w:r>
      <w:r w:rsidRPr="00740F95">
        <w:rPr>
          <w:b/>
          <w:szCs w:val="22"/>
        </w:rPr>
        <w:t>IT IS ORDERED</w:t>
      </w:r>
      <w:r w:rsidRPr="00740F95">
        <w:rPr>
          <w:szCs w:val="22"/>
        </w:rPr>
        <w:t xml:space="preserve"> </w:t>
      </w:r>
      <w:r w:rsidR="009B7DF5" w:rsidRPr="00740F95">
        <w:rPr>
          <w:szCs w:val="22"/>
        </w:rPr>
        <w:t xml:space="preserve">that, </w:t>
      </w:r>
      <w:r w:rsidRPr="00740F95">
        <w:rPr>
          <w:szCs w:val="22"/>
        </w:rPr>
        <w:t xml:space="preserve">pursuant to </w:t>
      </w:r>
      <w:r w:rsidR="009B7DF5" w:rsidRPr="00740F95">
        <w:rPr>
          <w:szCs w:val="22"/>
        </w:rPr>
        <w:t xml:space="preserve">the authority found in </w:t>
      </w:r>
      <w:r w:rsidR="00D021E5">
        <w:rPr>
          <w:szCs w:val="22"/>
        </w:rPr>
        <w:t>s</w:t>
      </w:r>
      <w:r w:rsidRPr="00740F95">
        <w:rPr>
          <w:szCs w:val="22"/>
        </w:rPr>
        <w:t>ections 4(i</w:t>
      </w:r>
      <w:r w:rsidR="009B7DF5" w:rsidRPr="00740F95">
        <w:rPr>
          <w:szCs w:val="22"/>
        </w:rPr>
        <w:t>), 4(</w:t>
      </w:r>
      <w:r w:rsidRPr="00740F95">
        <w:rPr>
          <w:szCs w:val="22"/>
        </w:rPr>
        <w:t xml:space="preserve">j), </w:t>
      </w:r>
      <w:r w:rsidR="00C83356" w:rsidRPr="00740F95">
        <w:rPr>
          <w:szCs w:val="22"/>
        </w:rPr>
        <w:t xml:space="preserve">303(r), </w:t>
      </w:r>
      <w:r w:rsidRPr="00740F95">
        <w:rPr>
          <w:szCs w:val="22"/>
        </w:rPr>
        <w:t xml:space="preserve">and 623 of the Communications Act of 1934, </w:t>
      </w:r>
      <w:r w:rsidR="009B7DF5" w:rsidRPr="00740F95">
        <w:rPr>
          <w:szCs w:val="22"/>
        </w:rPr>
        <w:t xml:space="preserve">as amended, </w:t>
      </w:r>
      <w:r w:rsidRPr="00740F95">
        <w:rPr>
          <w:szCs w:val="22"/>
        </w:rPr>
        <w:t>47 U.S.C. §§ 154(i</w:t>
      </w:r>
      <w:r w:rsidR="009B7DF5" w:rsidRPr="00740F95">
        <w:rPr>
          <w:szCs w:val="22"/>
        </w:rPr>
        <w:t>), 154(</w:t>
      </w:r>
      <w:r w:rsidRPr="00740F95">
        <w:rPr>
          <w:szCs w:val="22"/>
        </w:rPr>
        <w:t xml:space="preserve">j), </w:t>
      </w:r>
      <w:r w:rsidR="00C83356" w:rsidRPr="00740F95">
        <w:rPr>
          <w:szCs w:val="22"/>
        </w:rPr>
        <w:t xml:space="preserve">303(r), </w:t>
      </w:r>
      <w:r w:rsidR="009B7DF5" w:rsidRPr="00740F95">
        <w:rPr>
          <w:szCs w:val="22"/>
        </w:rPr>
        <w:t xml:space="preserve">and </w:t>
      </w:r>
      <w:r w:rsidRPr="00740F95">
        <w:rPr>
          <w:szCs w:val="22"/>
        </w:rPr>
        <w:t xml:space="preserve">543, </w:t>
      </w:r>
      <w:r w:rsidR="00D021E5">
        <w:rPr>
          <w:szCs w:val="22"/>
        </w:rPr>
        <w:t>and s</w:t>
      </w:r>
      <w:r w:rsidR="00C83356" w:rsidRPr="00740F95">
        <w:rPr>
          <w:szCs w:val="22"/>
        </w:rPr>
        <w:t xml:space="preserve">ection 111 of the </w:t>
      </w:r>
      <w:r w:rsidR="004C7230" w:rsidRPr="00740F95">
        <w:rPr>
          <w:szCs w:val="22"/>
        </w:rPr>
        <w:t>STEL</w:t>
      </w:r>
      <w:r w:rsidR="00A1139F" w:rsidRPr="00740F95">
        <w:rPr>
          <w:szCs w:val="22"/>
        </w:rPr>
        <w:t>A Reauthorization Act of 2014,</w:t>
      </w:r>
      <w:r w:rsidR="00740F95" w:rsidRPr="00740F95">
        <w:rPr>
          <w:szCs w:val="22"/>
        </w:rPr>
        <w:t xml:space="preserve"> </w:t>
      </w:r>
      <w:r w:rsidR="00740F95" w:rsidRPr="00740F95">
        <w:t>Pub. L. No. 113-200, § 111,</w:t>
      </w:r>
      <w:r w:rsidR="00A1139F" w:rsidRPr="00740F95">
        <w:rPr>
          <w:szCs w:val="22"/>
        </w:rPr>
        <w:t xml:space="preserve"> </w:t>
      </w:r>
      <w:r w:rsidRPr="00740F95">
        <w:rPr>
          <w:szCs w:val="22"/>
        </w:rPr>
        <w:t xml:space="preserve">this </w:t>
      </w:r>
      <w:r w:rsidR="00740F95" w:rsidRPr="00740F95">
        <w:rPr>
          <w:szCs w:val="22"/>
        </w:rPr>
        <w:t>Order</w:t>
      </w:r>
      <w:r w:rsidRPr="00740F95">
        <w:rPr>
          <w:szCs w:val="22"/>
        </w:rPr>
        <w:t xml:space="preserve"> </w:t>
      </w:r>
      <w:r w:rsidRPr="00740F95">
        <w:rPr>
          <w:b/>
          <w:szCs w:val="22"/>
        </w:rPr>
        <w:t>IS ADOPTED</w:t>
      </w:r>
      <w:r w:rsidR="00740F95">
        <w:rPr>
          <w:szCs w:val="22"/>
        </w:rPr>
        <w:t xml:space="preserve">, effective upon announcement in the </w:t>
      </w:r>
      <w:r w:rsidR="00740F95">
        <w:rPr>
          <w:i/>
          <w:szCs w:val="22"/>
        </w:rPr>
        <w:t xml:space="preserve">Federal Register </w:t>
      </w:r>
      <w:r w:rsidR="00740F95">
        <w:rPr>
          <w:szCs w:val="22"/>
        </w:rPr>
        <w:t xml:space="preserve">of OMB approval and </w:t>
      </w:r>
      <w:r w:rsidR="00315921">
        <w:rPr>
          <w:szCs w:val="22"/>
        </w:rPr>
        <w:t xml:space="preserve">the </w:t>
      </w:r>
      <w:r w:rsidR="00740F95">
        <w:rPr>
          <w:szCs w:val="22"/>
        </w:rPr>
        <w:t>effective date of the rules.</w:t>
      </w:r>
    </w:p>
    <w:p w14:paraId="3CF51933" w14:textId="746E1D5A" w:rsidR="00740F95" w:rsidRDefault="00740F95" w:rsidP="008607EB">
      <w:pPr>
        <w:pStyle w:val="ParaNum"/>
      </w:pPr>
      <w:r>
        <w:rPr>
          <w:b/>
          <w:szCs w:val="22"/>
        </w:rPr>
        <w:t xml:space="preserve">IT IS ORDERED </w:t>
      </w:r>
      <w:r>
        <w:rPr>
          <w:szCs w:val="22"/>
        </w:rPr>
        <w:t xml:space="preserve">that, </w:t>
      </w:r>
      <w:r w:rsidRPr="00740F95">
        <w:rPr>
          <w:szCs w:val="22"/>
        </w:rPr>
        <w:t xml:space="preserve">pursuant to the authority found in </w:t>
      </w:r>
      <w:r w:rsidR="00D021E5">
        <w:rPr>
          <w:szCs w:val="22"/>
        </w:rPr>
        <w:t>s</w:t>
      </w:r>
      <w:r w:rsidRPr="00740F95">
        <w:rPr>
          <w:szCs w:val="22"/>
        </w:rPr>
        <w:t xml:space="preserve">ections 4(i), 4(j), 303(r), and 623 of the Communications Act of 1934, as amended, 47 U.S.C. §§ 154(i), 154(j), 303(r), and 543, and </w:t>
      </w:r>
      <w:r w:rsidR="00D021E5">
        <w:rPr>
          <w:szCs w:val="22"/>
        </w:rPr>
        <w:t>s</w:t>
      </w:r>
      <w:r w:rsidRPr="00740F95">
        <w:rPr>
          <w:szCs w:val="22"/>
        </w:rPr>
        <w:t xml:space="preserve">ection 111 of the STELA Reauthorization Act of 2014, </w:t>
      </w:r>
      <w:r w:rsidRPr="00740F95">
        <w:t>Pub. L. No. 113-200, § 111,</w:t>
      </w:r>
      <w:r>
        <w:t xml:space="preserve"> the Commission’s rules </w:t>
      </w:r>
      <w:r>
        <w:rPr>
          <w:b/>
        </w:rPr>
        <w:t>ARE HEREBY AMENDED</w:t>
      </w:r>
      <w:r>
        <w:t xml:space="preserve"> as set forth in Appendix A.</w:t>
      </w:r>
    </w:p>
    <w:p w14:paraId="6A6DCA01" w14:textId="7703453D" w:rsidR="009B7DF5" w:rsidRDefault="00B92DCC" w:rsidP="00FF192C">
      <w:pPr>
        <w:pStyle w:val="ParaNum"/>
        <w:widowControl/>
      </w:pPr>
      <w:r w:rsidRPr="00740F95">
        <w:rPr>
          <w:b/>
          <w:szCs w:val="22"/>
        </w:rPr>
        <w:t>IT IS FURTHER ORDERED</w:t>
      </w:r>
      <w:r w:rsidRPr="00740F95">
        <w:rPr>
          <w:szCs w:val="22"/>
        </w:rPr>
        <w:t xml:space="preserve"> that the Commission</w:t>
      </w:r>
      <w:r w:rsidR="0009309E" w:rsidRPr="00740F95">
        <w:rPr>
          <w:szCs w:val="22"/>
        </w:rPr>
        <w:t>’</w:t>
      </w:r>
      <w:r w:rsidRPr="00740F95">
        <w:rPr>
          <w:szCs w:val="22"/>
        </w:rPr>
        <w:t xml:space="preserve">s Consumer </w:t>
      </w:r>
      <w:r w:rsidR="009B7DF5" w:rsidRPr="00740F95">
        <w:rPr>
          <w:szCs w:val="22"/>
        </w:rPr>
        <w:t>and</w:t>
      </w:r>
      <w:r w:rsidRPr="00740F95">
        <w:rPr>
          <w:szCs w:val="22"/>
        </w:rPr>
        <w:t xml:space="preserve"> Governmental Affairs Bureau, Reference Information Center, </w:t>
      </w:r>
      <w:r w:rsidRPr="00740F95">
        <w:rPr>
          <w:b/>
          <w:szCs w:val="22"/>
        </w:rPr>
        <w:t>SHALL SEND</w:t>
      </w:r>
      <w:r w:rsidRPr="00740F95">
        <w:rPr>
          <w:szCs w:val="22"/>
        </w:rPr>
        <w:t xml:space="preserve"> a copy of this </w:t>
      </w:r>
      <w:r w:rsidR="00740F95" w:rsidRPr="00740F95">
        <w:rPr>
          <w:szCs w:val="22"/>
        </w:rPr>
        <w:t>Order</w:t>
      </w:r>
      <w:r w:rsidRPr="00740F95">
        <w:rPr>
          <w:szCs w:val="22"/>
        </w:rPr>
        <w:t xml:space="preserve">, including the </w:t>
      </w:r>
      <w:r w:rsidR="00740F95" w:rsidRPr="00740F95">
        <w:rPr>
          <w:szCs w:val="22"/>
        </w:rPr>
        <w:t>Final</w:t>
      </w:r>
      <w:r w:rsidRPr="00740F95">
        <w:rPr>
          <w:szCs w:val="22"/>
        </w:rPr>
        <w:t xml:space="preserve"> Regulatory Flexibility Analysis, to the Chief Counsel for Advocacy of th</w:t>
      </w:r>
      <w:r w:rsidR="009B7DF5" w:rsidRPr="00740F95">
        <w:rPr>
          <w:szCs w:val="22"/>
        </w:rPr>
        <w:t>e Small Business Administration</w:t>
      </w:r>
      <w:r w:rsidR="009B7DF5" w:rsidRPr="00740F95">
        <w:t>.</w:t>
      </w:r>
    </w:p>
    <w:p w14:paraId="53842554" w14:textId="082F5700" w:rsidR="00740F95" w:rsidRPr="00740F95" w:rsidRDefault="00740F95" w:rsidP="009B7DF5">
      <w:pPr>
        <w:pStyle w:val="ParaNum"/>
      </w:pPr>
      <w:r>
        <w:rPr>
          <w:b/>
          <w:szCs w:val="22"/>
        </w:rPr>
        <w:t>IT IS FURTHER ORDERED</w:t>
      </w:r>
      <w:r>
        <w:rPr>
          <w:szCs w:val="22"/>
        </w:rPr>
        <w:t xml:space="preserve"> that </w:t>
      </w:r>
      <w:r w:rsidRPr="00740F95">
        <w:rPr>
          <w:szCs w:val="22"/>
        </w:rPr>
        <w:t xml:space="preserve">the Commission </w:t>
      </w:r>
      <w:r w:rsidR="00785AFE">
        <w:rPr>
          <w:b/>
          <w:szCs w:val="22"/>
        </w:rPr>
        <w:t>SHALL SEND</w:t>
      </w:r>
      <w:r w:rsidRPr="00740F95">
        <w:rPr>
          <w:szCs w:val="22"/>
        </w:rPr>
        <w:t xml:space="preserve"> a copy of this Order in a report to be sent to Congress and the Government Accountability Office pursuant to the Congressional Review Act, </w:t>
      </w:r>
      <w:r w:rsidRPr="00740F95">
        <w:rPr>
          <w:i/>
          <w:szCs w:val="22"/>
        </w:rPr>
        <w:t xml:space="preserve">see </w:t>
      </w:r>
      <w:r w:rsidRPr="00740F95">
        <w:rPr>
          <w:szCs w:val="22"/>
        </w:rPr>
        <w:t>5 U.S.C. § 801(a)(1)(A).</w:t>
      </w:r>
    </w:p>
    <w:p w14:paraId="5B25F0D4" w14:textId="77777777" w:rsidR="00754135" w:rsidRDefault="00754135" w:rsidP="003670E6">
      <w:r>
        <w:tab/>
      </w:r>
      <w:r>
        <w:tab/>
      </w:r>
      <w:r>
        <w:tab/>
      </w:r>
      <w:r>
        <w:tab/>
      </w:r>
      <w:r>
        <w:tab/>
      </w:r>
      <w:r>
        <w:tab/>
        <w:t>FEDERAL COMMUNICATIONS COMMISSION</w:t>
      </w:r>
    </w:p>
    <w:p w14:paraId="5994D66C" w14:textId="77777777" w:rsidR="00754135" w:rsidRDefault="00754135" w:rsidP="003670E6"/>
    <w:p w14:paraId="3DF2CC2B" w14:textId="77777777" w:rsidR="00754135" w:rsidRDefault="00754135" w:rsidP="003670E6"/>
    <w:p w14:paraId="268F6CC8" w14:textId="77777777" w:rsidR="00754135" w:rsidRDefault="00754135" w:rsidP="003670E6"/>
    <w:p w14:paraId="674D025B" w14:textId="77777777" w:rsidR="00754135" w:rsidRDefault="00754135" w:rsidP="003670E6"/>
    <w:p w14:paraId="106044C3" w14:textId="77777777" w:rsidR="00754135" w:rsidRDefault="00754135" w:rsidP="003670E6">
      <w:r>
        <w:tab/>
      </w:r>
      <w:r>
        <w:tab/>
      </w:r>
      <w:r>
        <w:tab/>
      </w:r>
      <w:r>
        <w:tab/>
      </w:r>
      <w:r>
        <w:tab/>
      </w:r>
      <w:r>
        <w:tab/>
        <w:t>Marlene H. Dortch</w:t>
      </w:r>
    </w:p>
    <w:p w14:paraId="583AAF4D" w14:textId="77777777" w:rsidR="00754135" w:rsidRDefault="00754135" w:rsidP="003670E6">
      <w:r>
        <w:tab/>
      </w:r>
      <w:r>
        <w:tab/>
      </w:r>
      <w:r>
        <w:tab/>
      </w:r>
      <w:r>
        <w:tab/>
      </w:r>
      <w:r>
        <w:tab/>
      </w:r>
      <w:r>
        <w:tab/>
        <w:t>Secretary</w:t>
      </w:r>
    </w:p>
    <w:p w14:paraId="7069F5BB" w14:textId="77777777" w:rsidR="009B7DF5" w:rsidRDefault="009B7DF5" w:rsidP="009B7DF5"/>
    <w:p w14:paraId="78A4CBDC" w14:textId="77777777" w:rsidR="00754135" w:rsidRPr="00740F95" w:rsidRDefault="00754135" w:rsidP="009B7DF5"/>
    <w:p w14:paraId="2C04EA24" w14:textId="77777777" w:rsidR="009B7DF5" w:rsidRPr="00833574" w:rsidRDefault="009B7DF5" w:rsidP="00B92DCC">
      <w:pPr>
        <w:pStyle w:val="ParaNum"/>
        <w:numPr>
          <w:ilvl w:val="0"/>
          <w:numId w:val="0"/>
        </w:numPr>
        <w:rPr>
          <w:highlight w:val="yellow"/>
        </w:rPr>
        <w:sectPr w:rsidR="009B7DF5" w:rsidRPr="00833574"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14:paraId="53972D6F" w14:textId="77777777" w:rsidR="007929F2" w:rsidRPr="008C5793" w:rsidRDefault="007929F2" w:rsidP="007929F2">
      <w:pPr>
        <w:pStyle w:val="ParaNum"/>
        <w:numPr>
          <w:ilvl w:val="0"/>
          <w:numId w:val="0"/>
        </w:numPr>
        <w:jc w:val="center"/>
        <w:rPr>
          <w:b/>
          <w:szCs w:val="22"/>
        </w:rPr>
      </w:pPr>
      <w:r w:rsidRPr="008C5793">
        <w:rPr>
          <w:b/>
          <w:szCs w:val="22"/>
        </w:rPr>
        <w:t>APPENDIX A</w:t>
      </w:r>
    </w:p>
    <w:p w14:paraId="69B6EAAA" w14:textId="3BF35E67" w:rsidR="00B92DCC" w:rsidRPr="008C5793" w:rsidRDefault="008C5793" w:rsidP="007929F2">
      <w:pPr>
        <w:pStyle w:val="ParaNum"/>
        <w:numPr>
          <w:ilvl w:val="0"/>
          <w:numId w:val="0"/>
        </w:numPr>
        <w:jc w:val="center"/>
        <w:rPr>
          <w:b/>
          <w:szCs w:val="22"/>
        </w:rPr>
      </w:pPr>
      <w:r w:rsidRPr="008C5793">
        <w:rPr>
          <w:b/>
          <w:szCs w:val="22"/>
        </w:rPr>
        <w:t>Final</w:t>
      </w:r>
      <w:r w:rsidR="007929F2" w:rsidRPr="008C5793">
        <w:rPr>
          <w:b/>
          <w:szCs w:val="22"/>
        </w:rPr>
        <w:t xml:space="preserve"> Rules</w:t>
      </w:r>
    </w:p>
    <w:p w14:paraId="295578D1" w14:textId="77777777" w:rsidR="00B92DCC" w:rsidRPr="008C5793" w:rsidRDefault="00B92DCC" w:rsidP="00B92DCC">
      <w:pPr>
        <w:rPr>
          <w:b/>
          <w:szCs w:val="22"/>
        </w:rPr>
      </w:pPr>
    </w:p>
    <w:p w14:paraId="4F08A378" w14:textId="32E341EB" w:rsidR="00510D43" w:rsidRPr="008C5793" w:rsidRDefault="00510D43" w:rsidP="00B92DCC">
      <w:pPr>
        <w:rPr>
          <w:szCs w:val="22"/>
        </w:rPr>
      </w:pPr>
      <w:r w:rsidRPr="008C5793">
        <w:rPr>
          <w:szCs w:val="22"/>
        </w:rPr>
        <w:t>The Federal Communications Commission amend</w:t>
      </w:r>
      <w:r w:rsidR="008C5793" w:rsidRPr="008C5793">
        <w:rPr>
          <w:szCs w:val="22"/>
        </w:rPr>
        <w:t>s</w:t>
      </w:r>
      <w:r w:rsidRPr="008C5793">
        <w:rPr>
          <w:szCs w:val="22"/>
        </w:rPr>
        <w:t xml:space="preserve"> 47 CFR part 76 to read as follows:</w:t>
      </w:r>
    </w:p>
    <w:p w14:paraId="19741F9E" w14:textId="77777777" w:rsidR="00510D43" w:rsidRPr="008C5793" w:rsidRDefault="00510D43" w:rsidP="00B92DCC">
      <w:pPr>
        <w:rPr>
          <w:szCs w:val="22"/>
        </w:rPr>
      </w:pPr>
    </w:p>
    <w:p w14:paraId="16EDAEE4" w14:textId="77777777" w:rsidR="00510D43" w:rsidRPr="008C5793" w:rsidRDefault="00510D43" w:rsidP="00B92DCC">
      <w:pPr>
        <w:rPr>
          <w:szCs w:val="22"/>
        </w:rPr>
      </w:pPr>
      <w:r w:rsidRPr="008C5793">
        <w:rPr>
          <w:szCs w:val="22"/>
        </w:rPr>
        <w:t xml:space="preserve">PART 76 – </w:t>
      </w:r>
      <w:r w:rsidRPr="008C5793">
        <w:rPr>
          <w:caps/>
          <w:szCs w:val="22"/>
        </w:rPr>
        <w:t>Multichannel Video and Cable Television Service</w:t>
      </w:r>
    </w:p>
    <w:p w14:paraId="375B2709" w14:textId="77777777" w:rsidR="00510D43" w:rsidRPr="008C5793" w:rsidRDefault="00510D43" w:rsidP="00B92DCC">
      <w:pPr>
        <w:rPr>
          <w:szCs w:val="22"/>
        </w:rPr>
      </w:pPr>
    </w:p>
    <w:p w14:paraId="3EF565AD" w14:textId="77777777" w:rsidR="00510D43" w:rsidRPr="008C5793" w:rsidRDefault="00510D43" w:rsidP="00B92DCC">
      <w:pPr>
        <w:rPr>
          <w:szCs w:val="22"/>
        </w:rPr>
      </w:pPr>
      <w:r w:rsidRPr="008C5793">
        <w:rPr>
          <w:szCs w:val="22"/>
        </w:rPr>
        <w:t>1.</w:t>
      </w:r>
      <w:r w:rsidRPr="008C5793">
        <w:rPr>
          <w:szCs w:val="22"/>
        </w:rPr>
        <w:tab/>
        <w:t>The authority citation for part 76 continues to read as follows:</w:t>
      </w:r>
    </w:p>
    <w:p w14:paraId="674A7CC8" w14:textId="77777777" w:rsidR="00510D43" w:rsidRPr="008C5793" w:rsidRDefault="00510D43" w:rsidP="00B92DCC">
      <w:pPr>
        <w:rPr>
          <w:szCs w:val="22"/>
        </w:rPr>
      </w:pPr>
    </w:p>
    <w:p w14:paraId="2FA1E3D1" w14:textId="721EF293" w:rsidR="00510D43" w:rsidRPr="008C5793" w:rsidRDefault="00510D43" w:rsidP="00B92DCC">
      <w:pPr>
        <w:rPr>
          <w:szCs w:val="22"/>
        </w:rPr>
      </w:pPr>
      <w:r w:rsidRPr="008C5793">
        <w:rPr>
          <w:szCs w:val="22"/>
        </w:rPr>
        <w:t xml:space="preserve">Authority:  47 U.S.C. 151, 152, 153, 154, 301, 302, 302a, </w:t>
      </w:r>
      <w:r w:rsidR="00E92B85" w:rsidRPr="008C5793">
        <w:rPr>
          <w:szCs w:val="22"/>
        </w:rPr>
        <w:t xml:space="preserve">303, 303a, </w:t>
      </w:r>
      <w:r w:rsidRPr="008C5793">
        <w:rPr>
          <w:szCs w:val="22"/>
        </w:rPr>
        <w:t xml:space="preserve">307, 308, 309, 312, 315, 317, 325, </w:t>
      </w:r>
      <w:r w:rsidR="00ED6AF4">
        <w:rPr>
          <w:szCs w:val="22"/>
        </w:rPr>
        <w:t xml:space="preserve">338, </w:t>
      </w:r>
      <w:r w:rsidRPr="008C5793">
        <w:rPr>
          <w:szCs w:val="22"/>
        </w:rPr>
        <w:t>339, 340, 341, 503, 521, 522, 531, 532, 534, 535, 536, 537, 543, 544, 544a</w:t>
      </w:r>
      <w:r w:rsidR="00E92B85" w:rsidRPr="008C5793">
        <w:rPr>
          <w:szCs w:val="22"/>
        </w:rPr>
        <w:t>,</w:t>
      </w:r>
      <w:r w:rsidRPr="008C5793">
        <w:rPr>
          <w:szCs w:val="22"/>
        </w:rPr>
        <w:t xml:space="preserve"> 545, 548, 549, 552, 554, 556, 558, 560, 561, 571, 572, 573.</w:t>
      </w:r>
    </w:p>
    <w:p w14:paraId="70AD96A0" w14:textId="77777777" w:rsidR="00E92B85" w:rsidRPr="008C5793" w:rsidRDefault="00E92B85" w:rsidP="00B92DCC">
      <w:pPr>
        <w:rPr>
          <w:szCs w:val="22"/>
        </w:rPr>
      </w:pPr>
    </w:p>
    <w:p w14:paraId="4E785FD3" w14:textId="77777777" w:rsidR="00773A48" w:rsidRPr="008C5793" w:rsidRDefault="00773A48" w:rsidP="00773A48">
      <w:pPr>
        <w:rPr>
          <w:szCs w:val="22"/>
        </w:rPr>
      </w:pPr>
      <w:r w:rsidRPr="008C5793">
        <w:rPr>
          <w:szCs w:val="22"/>
        </w:rPr>
        <w:t>2.</w:t>
      </w:r>
      <w:r w:rsidRPr="008C5793">
        <w:rPr>
          <w:szCs w:val="22"/>
        </w:rPr>
        <w:tab/>
        <w:t>Revise § 76.906 to read as follows:</w:t>
      </w:r>
    </w:p>
    <w:p w14:paraId="7B010A79" w14:textId="77777777" w:rsidR="00773A48" w:rsidRPr="008C5793" w:rsidRDefault="00773A48" w:rsidP="00773A48">
      <w:pPr>
        <w:rPr>
          <w:szCs w:val="22"/>
        </w:rPr>
      </w:pPr>
    </w:p>
    <w:p w14:paraId="71FBC894" w14:textId="77777777" w:rsidR="00773A48" w:rsidRPr="008C5793" w:rsidRDefault="00773A48" w:rsidP="00773A48">
      <w:pPr>
        <w:rPr>
          <w:b/>
          <w:szCs w:val="22"/>
        </w:rPr>
      </w:pPr>
      <w:r w:rsidRPr="008C5793">
        <w:rPr>
          <w:b/>
          <w:szCs w:val="22"/>
        </w:rPr>
        <w:t>§ 76.906 Presumption of effective competition.</w:t>
      </w:r>
    </w:p>
    <w:p w14:paraId="634AC316" w14:textId="77777777" w:rsidR="00773A48" w:rsidRPr="008C5793" w:rsidRDefault="00773A48" w:rsidP="00773A48">
      <w:pPr>
        <w:rPr>
          <w:b/>
          <w:szCs w:val="22"/>
        </w:rPr>
      </w:pPr>
    </w:p>
    <w:p w14:paraId="462AFD6E" w14:textId="03469645" w:rsidR="00773A48" w:rsidRPr="00227F0A" w:rsidRDefault="00773A48" w:rsidP="00773A48">
      <w:pPr>
        <w:rPr>
          <w:szCs w:val="22"/>
        </w:rPr>
      </w:pPr>
      <w:r w:rsidRPr="008C5793">
        <w:rPr>
          <w:szCs w:val="22"/>
        </w:rPr>
        <w:t xml:space="preserve">In the absence of </w:t>
      </w:r>
      <w:r w:rsidR="008C5793">
        <w:rPr>
          <w:szCs w:val="22"/>
        </w:rPr>
        <w:t>a demonstration to the contrary</w:t>
      </w:r>
      <w:r w:rsidRPr="008C5793">
        <w:rPr>
          <w:szCs w:val="22"/>
        </w:rPr>
        <w:t xml:space="preserve"> cable systems are presumed </w:t>
      </w:r>
      <w:r w:rsidR="008C5793">
        <w:rPr>
          <w:szCs w:val="22"/>
        </w:rPr>
        <w:t xml:space="preserve">(a) </w:t>
      </w:r>
      <w:r w:rsidRPr="008C5793">
        <w:rPr>
          <w:szCs w:val="22"/>
        </w:rPr>
        <w:t>to be subject to effective competition</w:t>
      </w:r>
      <w:r w:rsidR="00C57FF3" w:rsidRPr="008C5793">
        <w:rPr>
          <w:szCs w:val="22"/>
        </w:rPr>
        <w:t xml:space="preserve"> pursuant to </w:t>
      </w:r>
      <w:r w:rsidR="00C57FF3" w:rsidRPr="00227F0A">
        <w:rPr>
          <w:szCs w:val="22"/>
        </w:rPr>
        <w:t>§ 76.905(b)(2)</w:t>
      </w:r>
      <w:r w:rsidR="008C5793" w:rsidRPr="00227F0A">
        <w:rPr>
          <w:szCs w:val="22"/>
        </w:rPr>
        <w:t xml:space="preserve">; and (b) not to be subject to effective competition pursuant to § 76.905(b)(1), (3) or (4). </w:t>
      </w:r>
    </w:p>
    <w:p w14:paraId="7A494803" w14:textId="77777777" w:rsidR="00773A48" w:rsidRPr="00227F0A" w:rsidRDefault="00773A48" w:rsidP="00773A48">
      <w:pPr>
        <w:rPr>
          <w:b/>
          <w:szCs w:val="22"/>
        </w:rPr>
      </w:pPr>
    </w:p>
    <w:p w14:paraId="685CA03C" w14:textId="6E112537" w:rsidR="00773A48" w:rsidRPr="00227F0A" w:rsidRDefault="00773A48" w:rsidP="00773A48">
      <w:pPr>
        <w:rPr>
          <w:szCs w:val="22"/>
        </w:rPr>
      </w:pPr>
      <w:r w:rsidRPr="00227F0A">
        <w:rPr>
          <w:szCs w:val="22"/>
        </w:rPr>
        <w:t>3.</w:t>
      </w:r>
      <w:r w:rsidRPr="00227F0A">
        <w:rPr>
          <w:szCs w:val="22"/>
        </w:rPr>
        <w:tab/>
      </w:r>
      <w:r w:rsidR="0052004E" w:rsidRPr="00227F0A">
        <w:rPr>
          <w:szCs w:val="22"/>
        </w:rPr>
        <w:t>Amend</w:t>
      </w:r>
      <w:r w:rsidRPr="00227F0A">
        <w:rPr>
          <w:szCs w:val="22"/>
        </w:rPr>
        <w:t xml:space="preserve"> § 76.907</w:t>
      </w:r>
      <w:r w:rsidR="0052004E" w:rsidRPr="00227F0A">
        <w:rPr>
          <w:szCs w:val="22"/>
        </w:rPr>
        <w:t xml:space="preserve"> by revising paragraph (b) to read as follows:</w:t>
      </w:r>
    </w:p>
    <w:p w14:paraId="447C1575" w14:textId="77777777" w:rsidR="00773A48" w:rsidRPr="00227F0A" w:rsidRDefault="00773A48" w:rsidP="00773A48">
      <w:pPr>
        <w:rPr>
          <w:szCs w:val="22"/>
        </w:rPr>
      </w:pPr>
    </w:p>
    <w:p w14:paraId="6750066A" w14:textId="48D30708" w:rsidR="00773A48" w:rsidRPr="00227F0A" w:rsidRDefault="00773A48" w:rsidP="00773A48">
      <w:pPr>
        <w:rPr>
          <w:b/>
          <w:szCs w:val="22"/>
        </w:rPr>
      </w:pPr>
      <w:r w:rsidRPr="00227F0A">
        <w:rPr>
          <w:b/>
          <w:szCs w:val="22"/>
        </w:rPr>
        <w:t xml:space="preserve">§ 76.907 </w:t>
      </w:r>
      <w:r w:rsidR="0052004E" w:rsidRPr="00227F0A">
        <w:rPr>
          <w:b/>
          <w:szCs w:val="22"/>
        </w:rPr>
        <w:t>Petition for a determination of effective competition.</w:t>
      </w:r>
    </w:p>
    <w:p w14:paraId="21239F8B" w14:textId="77777777" w:rsidR="0052004E" w:rsidRPr="00227F0A" w:rsidRDefault="0052004E" w:rsidP="00773A48">
      <w:pPr>
        <w:rPr>
          <w:b/>
          <w:szCs w:val="22"/>
        </w:rPr>
      </w:pPr>
    </w:p>
    <w:p w14:paraId="65740538" w14:textId="0A188475" w:rsidR="0052004E" w:rsidRPr="00227F0A" w:rsidRDefault="0052004E" w:rsidP="00773A48">
      <w:pPr>
        <w:rPr>
          <w:szCs w:val="22"/>
        </w:rPr>
      </w:pPr>
      <w:r w:rsidRPr="00227F0A">
        <w:rPr>
          <w:szCs w:val="22"/>
        </w:rPr>
        <w:t>* * * * *</w:t>
      </w:r>
    </w:p>
    <w:p w14:paraId="022CC1EE" w14:textId="77777777" w:rsidR="0052004E" w:rsidRPr="00227F0A" w:rsidRDefault="0052004E" w:rsidP="00773A48">
      <w:pPr>
        <w:rPr>
          <w:szCs w:val="22"/>
        </w:rPr>
      </w:pPr>
    </w:p>
    <w:p w14:paraId="699E2A6F" w14:textId="1C77BBB1" w:rsidR="0052004E" w:rsidRPr="00227F0A" w:rsidRDefault="0052004E" w:rsidP="00773A48">
      <w:pPr>
        <w:rPr>
          <w:szCs w:val="22"/>
        </w:rPr>
      </w:pPr>
      <w:r w:rsidRPr="00227F0A">
        <w:rPr>
          <w:szCs w:val="22"/>
        </w:rPr>
        <w:t xml:space="preserve">(b) </w:t>
      </w:r>
      <w:r w:rsidR="00272777" w:rsidRPr="00227F0A">
        <w:rPr>
          <w:szCs w:val="22"/>
        </w:rPr>
        <w:t xml:space="preserve">If the cable operator seeks to demonstrate that effective competition as defined in § 76.905(b)(1), (3) or (4) exists in the franchise area, it bears the burden of demonstrating the presence of such effective competition.  </w:t>
      </w:r>
      <w:r w:rsidR="009F1060" w:rsidRPr="009F1060">
        <w:rPr>
          <w:szCs w:val="22"/>
        </w:rPr>
        <w:t>Effective competition as defined in § 76.905(b)(2) is governed by the presumption in § 76.906, except that where a franchising authority has rebutted the presumption of competing provider effective competition as defined in § 76.905(b)(2) and is certified, the cable operator must demonstrate that circumstances have changed and effective competition is</w:t>
      </w:r>
      <w:r w:rsidR="009F1060">
        <w:rPr>
          <w:szCs w:val="22"/>
        </w:rPr>
        <w:t xml:space="preserve"> present in the franchise area.</w:t>
      </w:r>
    </w:p>
    <w:p w14:paraId="22CDA12C" w14:textId="77777777" w:rsidR="00227F0A" w:rsidRPr="00227F0A" w:rsidRDefault="00227F0A" w:rsidP="00773A48">
      <w:pPr>
        <w:rPr>
          <w:szCs w:val="22"/>
        </w:rPr>
      </w:pPr>
    </w:p>
    <w:p w14:paraId="45ACE7EE" w14:textId="40ACC803" w:rsidR="00227F0A" w:rsidRPr="00227F0A" w:rsidRDefault="00227F0A" w:rsidP="00773A48">
      <w:pPr>
        <w:rPr>
          <w:szCs w:val="22"/>
        </w:rPr>
      </w:pPr>
      <w:r w:rsidRPr="00227F0A">
        <w:rPr>
          <w:szCs w:val="22"/>
        </w:rPr>
        <w:t xml:space="preserve">Note to paragraph (b):  </w:t>
      </w:r>
      <w:r>
        <w:rPr>
          <w:szCs w:val="22"/>
        </w:rPr>
        <w:t>The criteria for determining effective competition pursuant to §76.905(b)(4) are described in Implementation of Cable Act Reform Provisions of the Telecommunications Act of 1996, Report and Order in CS Docket No. 96-85, FCC 99-57 (released March 29, 1999).</w:t>
      </w:r>
    </w:p>
    <w:p w14:paraId="24E2439E" w14:textId="77777777" w:rsidR="00272777" w:rsidRPr="00227F0A" w:rsidRDefault="00272777" w:rsidP="00773A48">
      <w:pPr>
        <w:rPr>
          <w:szCs w:val="22"/>
        </w:rPr>
      </w:pPr>
    </w:p>
    <w:p w14:paraId="1748C8BC" w14:textId="12F37DFE" w:rsidR="00272777" w:rsidRPr="00FD33F6" w:rsidRDefault="00272777" w:rsidP="00773A48">
      <w:pPr>
        <w:rPr>
          <w:szCs w:val="22"/>
        </w:rPr>
      </w:pPr>
      <w:r w:rsidRPr="00227F0A">
        <w:rPr>
          <w:szCs w:val="22"/>
        </w:rPr>
        <w:t>* * * * *</w:t>
      </w:r>
    </w:p>
    <w:p w14:paraId="0412F358" w14:textId="77777777" w:rsidR="00773A48" w:rsidRPr="00FD33F6" w:rsidRDefault="00773A48" w:rsidP="00773A48">
      <w:pPr>
        <w:rPr>
          <w:b/>
          <w:szCs w:val="22"/>
        </w:rPr>
      </w:pPr>
    </w:p>
    <w:p w14:paraId="660E1A7C" w14:textId="31984870" w:rsidR="00773A48" w:rsidRPr="00FD33F6" w:rsidRDefault="00773A48" w:rsidP="00773A48">
      <w:pPr>
        <w:rPr>
          <w:szCs w:val="22"/>
        </w:rPr>
      </w:pPr>
      <w:r w:rsidRPr="00FD33F6">
        <w:rPr>
          <w:szCs w:val="22"/>
        </w:rPr>
        <w:t>4.</w:t>
      </w:r>
      <w:r w:rsidRPr="00FD33F6">
        <w:rPr>
          <w:szCs w:val="22"/>
        </w:rPr>
        <w:tab/>
        <w:t>Amend § 76.910 by revising paragraph (b)</w:t>
      </w:r>
      <w:r w:rsidR="00953405" w:rsidRPr="00FD33F6">
        <w:rPr>
          <w:szCs w:val="22"/>
        </w:rPr>
        <w:t>(4)</w:t>
      </w:r>
      <w:r w:rsidRPr="00FD33F6">
        <w:rPr>
          <w:szCs w:val="22"/>
        </w:rPr>
        <w:t xml:space="preserve"> to read as follows:</w:t>
      </w:r>
    </w:p>
    <w:p w14:paraId="461AE4A2" w14:textId="77777777" w:rsidR="00773A48" w:rsidRPr="00FD33F6" w:rsidRDefault="00773A48" w:rsidP="00773A48">
      <w:pPr>
        <w:rPr>
          <w:szCs w:val="22"/>
        </w:rPr>
      </w:pPr>
    </w:p>
    <w:p w14:paraId="10C1EFAC" w14:textId="77777777" w:rsidR="00773A48" w:rsidRPr="00FD33F6" w:rsidRDefault="00773A48" w:rsidP="00773A48">
      <w:pPr>
        <w:rPr>
          <w:b/>
          <w:szCs w:val="22"/>
        </w:rPr>
      </w:pPr>
      <w:r w:rsidRPr="00FD33F6">
        <w:rPr>
          <w:b/>
          <w:szCs w:val="22"/>
        </w:rPr>
        <w:t>§ 76.910 Franchising authority certification.</w:t>
      </w:r>
    </w:p>
    <w:p w14:paraId="7B1464A2" w14:textId="77777777" w:rsidR="00773A48" w:rsidRPr="00FD33F6" w:rsidRDefault="00773A48" w:rsidP="00773A48">
      <w:pPr>
        <w:rPr>
          <w:b/>
          <w:szCs w:val="22"/>
        </w:rPr>
      </w:pPr>
    </w:p>
    <w:p w14:paraId="5865A22C" w14:textId="77777777" w:rsidR="00773A48" w:rsidRPr="00FD33F6" w:rsidRDefault="00773A48" w:rsidP="00773A48">
      <w:pPr>
        <w:rPr>
          <w:szCs w:val="22"/>
        </w:rPr>
      </w:pPr>
      <w:r w:rsidRPr="00FD33F6">
        <w:rPr>
          <w:szCs w:val="22"/>
        </w:rPr>
        <w:t>* * * * *</w:t>
      </w:r>
    </w:p>
    <w:p w14:paraId="4E0B4D9F" w14:textId="77777777" w:rsidR="00773A48" w:rsidRPr="00FD33F6" w:rsidRDefault="00773A48" w:rsidP="00773A48">
      <w:pPr>
        <w:rPr>
          <w:szCs w:val="22"/>
        </w:rPr>
      </w:pPr>
    </w:p>
    <w:p w14:paraId="22ADAC39" w14:textId="77777777" w:rsidR="00773A48" w:rsidRPr="00FD33F6" w:rsidRDefault="00773A48" w:rsidP="00773A48">
      <w:pPr>
        <w:rPr>
          <w:szCs w:val="22"/>
        </w:rPr>
      </w:pPr>
      <w:r w:rsidRPr="00FD33F6">
        <w:rPr>
          <w:szCs w:val="22"/>
        </w:rPr>
        <w:t>(b) * * *</w:t>
      </w:r>
    </w:p>
    <w:p w14:paraId="7BB4C9EA" w14:textId="77777777" w:rsidR="00773A48" w:rsidRPr="00FD33F6" w:rsidRDefault="00773A48" w:rsidP="00773A48">
      <w:pPr>
        <w:rPr>
          <w:szCs w:val="22"/>
        </w:rPr>
      </w:pPr>
    </w:p>
    <w:p w14:paraId="61B31396" w14:textId="36B5ABBB" w:rsidR="00773A48" w:rsidRPr="00D80C62" w:rsidRDefault="00773A48" w:rsidP="00773A48">
      <w:pPr>
        <w:rPr>
          <w:szCs w:val="22"/>
        </w:rPr>
      </w:pPr>
      <w:r w:rsidRPr="00FD33F6">
        <w:rPr>
          <w:szCs w:val="22"/>
        </w:rPr>
        <w:t xml:space="preserve">(4) The cable system in question </w:t>
      </w:r>
      <w:r w:rsidRPr="00D80C62">
        <w:rPr>
          <w:szCs w:val="22"/>
        </w:rPr>
        <w:t xml:space="preserve">is not subject to effective competition.  The franchising authority must submit </w:t>
      </w:r>
      <w:r w:rsidR="00C1391A" w:rsidRPr="00D80C62">
        <w:rPr>
          <w:szCs w:val="22"/>
        </w:rPr>
        <w:t>specific evidence</w:t>
      </w:r>
      <w:r w:rsidRPr="00D80C62">
        <w:rPr>
          <w:szCs w:val="22"/>
        </w:rPr>
        <w:t xml:space="preserve"> demonstrating its rebuttal of the presumption in § 76.906 that the cable operator is subject to effective competition</w:t>
      </w:r>
      <w:r w:rsidR="00F0756F" w:rsidRPr="00D80C62">
        <w:rPr>
          <w:szCs w:val="22"/>
        </w:rPr>
        <w:t xml:space="preserve"> pursuant to § 76.905(b)(2)</w:t>
      </w:r>
      <w:r w:rsidRPr="00D80C62">
        <w:rPr>
          <w:szCs w:val="22"/>
        </w:rPr>
        <w:t>.</w:t>
      </w:r>
      <w:r w:rsidR="00DB1B7C" w:rsidRPr="00D80C62">
        <w:rPr>
          <w:szCs w:val="22"/>
        </w:rPr>
        <w:t xml:space="preserve">  </w:t>
      </w:r>
      <w:r w:rsidR="00183E57" w:rsidRPr="00D80C62">
        <w:rPr>
          <w:szCs w:val="22"/>
        </w:rPr>
        <w:t xml:space="preserve">Unless a franchising authority has actual knowledge to the contrary, the franchising authority may </w:t>
      </w:r>
      <w:r w:rsidR="00FD33F6" w:rsidRPr="00D80C62">
        <w:rPr>
          <w:szCs w:val="22"/>
        </w:rPr>
        <w:t xml:space="preserve">rely on the </w:t>
      </w:r>
      <w:r w:rsidR="00183E57" w:rsidRPr="00D80C62">
        <w:rPr>
          <w:szCs w:val="22"/>
        </w:rPr>
        <w:t>presum</w:t>
      </w:r>
      <w:r w:rsidR="00FD33F6" w:rsidRPr="00D80C62">
        <w:rPr>
          <w:szCs w:val="22"/>
        </w:rPr>
        <w:t>ption in</w:t>
      </w:r>
      <w:r w:rsidR="00183E57" w:rsidRPr="00D80C62">
        <w:rPr>
          <w:szCs w:val="22"/>
        </w:rPr>
        <w:t xml:space="preserve"> </w:t>
      </w:r>
      <w:r w:rsidR="00FD33F6" w:rsidRPr="00D80C62">
        <w:rPr>
          <w:szCs w:val="22"/>
        </w:rPr>
        <w:t xml:space="preserve">§ 76.906 </w:t>
      </w:r>
      <w:r w:rsidR="00183E57" w:rsidRPr="00D80C62">
        <w:rPr>
          <w:szCs w:val="22"/>
        </w:rPr>
        <w:t>that the cable operator is not subject to effective competition pursuant to § 76.905(b)(1), (3) or (4).</w:t>
      </w:r>
    </w:p>
    <w:p w14:paraId="2E034BD1" w14:textId="77777777" w:rsidR="00773A48" w:rsidRPr="00D80C62" w:rsidRDefault="00773A48" w:rsidP="00773A48">
      <w:pPr>
        <w:rPr>
          <w:szCs w:val="22"/>
        </w:rPr>
      </w:pPr>
    </w:p>
    <w:p w14:paraId="4F806119" w14:textId="0FA643D2" w:rsidR="00773A48" w:rsidRPr="00D80C62" w:rsidRDefault="00773A48" w:rsidP="002A1D01">
      <w:pPr>
        <w:rPr>
          <w:szCs w:val="22"/>
        </w:rPr>
      </w:pPr>
      <w:r w:rsidRPr="00D80C62">
        <w:rPr>
          <w:szCs w:val="22"/>
        </w:rPr>
        <w:t xml:space="preserve">Note to paragraph (b)(4):  The franchising authority bears the burden of </w:t>
      </w:r>
      <w:r w:rsidR="00D80C62" w:rsidRPr="00D80C62">
        <w:rPr>
          <w:szCs w:val="22"/>
        </w:rPr>
        <w:t xml:space="preserve">submitting evidence </w:t>
      </w:r>
      <w:r w:rsidRPr="00D80C62">
        <w:rPr>
          <w:szCs w:val="22"/>
        </w:rPr>
        <w:t xml:space="preserve">rebutting the presumption that </w:t>
      </w:r>
      <w:r w:rsidR="00D80C62" w:rsidRPr="00D80C62">
        <w:rPr>
          <w:szCs w:val="22"/>
        </w:rPr>
        <w:t xml:space="preserve">competing provider </w:t>
      </w:r>
      <w:r w:rsidRPr="00D80C62">
        <w:rPr>
          <w:szCs w:val="22"/>
        </w:rPr>
        <w:t>effective competition</w:t>
      </w:r>
      <w:r w:rsidR="00D80C62" w:rsidRPr="00D80C62">
        <w:rPr>
          <w:szCs w:val="22"/>
        </w:rPr>
        <w:t xml:space="preserve">, as defined in § 76.905(b)(2), </w:t>
      </w:r>
      <w:r w:rsidRPr="00D80C62">
        <w:rPr>
          <w:szCs w:val="22"/>
        </w:rPr>
        <w:t>exist</w:t>
      </w:r>
      <w:r w:rsidR="00743EB2">
        <w:rPr>
          <w:szCs w:val="22"/>
        </w:rPr>
        <w:t>s</w:t>
      </w:r>
      <w:r w:rsidR="00D80C62" w:rsidRPr="00D80C62">
        <w:rPr>
          <w:szCs w:val="22"/>
        </w:rPr>
        <w:t xml:space="preserve"> in the franchise area</w:t>
      </w:r>
      <w:r w:rsidRPr="00D80C62">
        <w:rPr>
          <w:szCs w:val="22"/>
        </w:rPr>
        <w:t>.  If the evidence establishing the lack of effective competition is not otherwise available, franchising authorit</w:t>
      </w:r>
      <w:r w:rsidR="00D7418F" w:rsidRPr="00D80C62">
        <w:rPr>
          <w:szCs w:val="22"/>
        </w:rPr>
        <w:t>ies</w:t>
      </w:r>
      <w:r w:rsidRPr="00D80C62">
        <w:rPr>
          <w:szCs w:val="22"/>
        </w:rPr>
        <w:t xml:space="preserve"> may request from a multichannel video programming distributor information regarding </w:t>
      </w:r>
      <w:r w:rsidR="00634620" w:rsidRPr="00D80C62">
        <w:rPr>
          <w:szCs w:val="22"/>
        </w:rPr>
        <w:t>the multichannel video programming distributor’s</w:t>
      </w:r>
      <w:r w:rsidRPr="00D80C62">
        <w:rPr>
          <w:szCs w:val="22"/>
        </w:rPr>
        <w:t xml:space="preserve"> reach and number of subscribers.  A multichannel video programming distributor must respond to such request within 15 days.  Such responses may be limited to numerical totals.</w:t>
      </w:r>
    </w:p>
    <w:p w14:paraId="0B19E390" w14:textId="77777777" w:rsidR="00773A48" w:rsidRPr="00D80C62" w:rsidRDefault="00773A48" w:rsidP="003B3D34">
      <w:pPr>
        <w:rPr>
          <w:szCs w:val="22"/>
        </w:rPr>
      </w:pPr>
    </w:p>
    <w:p w14:paraId="6D1CBB8F" w14:textId="6293B1ED" w:rsidR="00BD74C9" w:rsidRPr="00D80C62" w:rsidRDefault="00773A48" w:rsidP="009D08E0">
      <w:pPr>
        <w:rPr>
          <w:szCs w:val="22"/>
        </w:rPr>
      </w:pPr>
      <w:r w:rsidRPr="00D80C62">
        <w:rPr>
          <w:szCs w:val="22"/>
        </w:rPr>
        <w:t>* * * * *</w:t>
      </w:r>
    </w:p>
    <w:p w14:paraId="47465E52" w14:textId="77777777" w:rsidR="00953405" w:rsidRPr="00D80C62" w:rsidRDefault="00953405">
      <w:pPr>
        <w:rPr>
          <w:szCs w:val="22"/>
        </w:rPr>
      </w:pPr>
    </w:p>
    <w:p w14:paraId="00C7AC91" w14:textId="3D083F26" w:rsidR="00DF3F32" w:rsidRPr="00D80C62" w:rsidRDefault="00AE2B91" w:rsidP="003A48DE">
      <w:pPr>
        <w:pStyle w:val="ParaNum"/>
        <w:numPr>
          <w:ilvl w:val="0"/>
          <w:numId w:val="0"/>
        </w:numPr>
        <w:spacing w:after="0"/>
        <w:rPr>
          <w:szCs w:val="22"/>
        </w:rPr>
        <w:sectPr w:rsidR="00DF3F32" w:rsidRPr="00D80C62" w:rsidSect="00C0425E">
          <w:endnotePr>
            <w:numFmt w:val="decimal"/>
          </w:endnotePr>
          <w:pgSz w:w="12240" w:h="15840"/>
          <w:pgMar w:top="1440" w:right="1440" w:bottom="720" w:left="1440" w:header="720" w:footer="720" w:gutter="0"/>
          <w:cols w:space="720"/>
          <w:noEndnote/>
          <w:docGrid w:linePitch="299"/>
        </w:sectPr>
      </w:pPr>
      <w:r w:rsidRPr="00D80C62" w:rsidDel="00AE2B91">
        <w:rPr>
          <w:szCs w:val="22"/>
        </w:rPr>
        <w:t xml:space="preserve"> </w:t>
      </w:r>
    </w:p>
    <w:p w14:paraId="0733E164" w14:textId="77777777" w:rsidR="00B92DCC" w:rsidRPr="00740F95" w:rsidRDefault="00870D4B" w:rsidP="00B92DCC">
      <w:pPr>
        <w:jc w:val="center"/>
        <w:rPr>
          <w:b/>
          <w:szCs w:val="22"/>
        </w:rPr>
      </w:pPr>
      <w:r w:rsidRPr="00740F95">
        <w:rPr>
          <w:b/>
          <w:szCs w:val="22"/>
        </w:rPr>
        <w:t>APPENDIX B</w:t>
      </w:r>
    </w:p>
    <w:p w14:paraId="6C5A5AF8" w14:textId="77777777" w:rsidR="00B92DCC" w:rsidRPr="00740F95" w:rsidRDefault="00B92DCC" w:rsidP="00B92DCC">
      <w:pPr>
        <w:jc w:val="center"/>
        <w:rPr>
          <w:b/>
          <w:szCs w:val="22"/>
        </w:rPr>
      </w:pPr>
    </w:p>
    <w:p w14:paraId="6160D6CA" w14:textId="3720DEAC" w:rsidR="00B92DCC" w:rsidRPr="00740F95" w:rsidRDefault="00740F95" w:rsidP="00B92DCC">
      <w:pPr>
        <w:jc w:val="center"/>
        <w:rPr>
          <w:b/>
          <w:szCs w:val="22"/>
        </w:rPr>
      </w:pPr>
      <w:r w:rsidRPr="00740F95">
        <w:rPr>
          <w:b/>
          <w:szCs w:val="22"/>
        </w:rPr>
        <w:t>Final</w:t>
      </w:r>
      <w:r w:rsidR="00870D4B" w:rsidRPr="00740F95">
        <w:rPr>
          <w:b/>
          <w:szCs w:val="22"/>
        </w:rPr>
        <w:t xml:space="preserve"> Regulatory Flexibility Analysis</w:t>
      </w:r>
    </w:p>
    <w:p w14:paraId="5B1CDAD3" w14:textId="77777777" w:rsidR="00B92DCC" w:rsidRPr="00740F95" w:rsidRDefault="00B92DCC" w:rsidP="00B92DCC">
      <w:pPr>
        <w:rPr>
          <w:b/>
          <w:szCs w:val="22"/>
        </w:rPr>
      </w:pPr>
    </w:p>
    <w:p w14:paraId="0ED808D7" w14:textId="1565B821" w:rsidR="00FF77AA" w:rsidRPr="00FF77AA" w:rsidRDefault="00B92DCC" w:rsidP="00B92DCC">
      <w:pPr>
        <w:pStyle w:val="ParaNum"/>
        <w:numPr>
          <w:ilvl w:val="0"/>
          <w:numId w:val="11"/>
        </w:numPr>
        <w:tabs>
          <w:tab w:val="clear" w:pos="1080"/>
        </w:tabs>
      </w:pPr>
      <w:r w:rsidRPr="00FF77AA">
        <w:t>As required by the Regulatory Flexibility Act of 1980, as amended (“RFA”),</w:t>
      </w:r>
      <w:r w:rsidRPr="00FF77AA">
        <w:rPr>
          <w:rStyle w:val="FootnoteReference"/>
          <w:szCs w:val="22"/>
        </w:rPr>
        <w:footnoteReference w:id="148"/>
      </w:r>
      <w:r w:rsidRPr="00FF77AA">
        <w:t xml:space="preserve"> </w:t>
      </w:r>
      <w:r w:rsidR="00FF77AA" w:rsidRPr="00FF77AA">
        <w:t>an Initial Regulatory Flexibility Analysis (“IRFA”) was incorporated in the Notice of Proposed Rulemaking in this proceeding.</w:t>
      </w:r>
      <w:r w:rsidR="00FF77AA" w:rsidRPr="00FF77AA">
        <w:rPr>
          <w:rStyle w:val="FootnoteReference"/>
        </w:rPr>
        <w:footnoteReference w:id="149"/>
      </w:r>
      <w:r w:rsidR="00FF77AA" w:rsidRPr="00FF77AA">
        <w:t xml:space="preserve">  The Federal Communications Commission (“Commission”) sought written public comment on the proposals in the NPRM, including comment on the IRFA.</w:t>
      </w:r>
      <w:r w:rsidR="00FF77AA">
        <w:t xml:space="preserve">  The Commission received no comments on the IRFA, although some commenters discussed the effect of the proposals on smaller entities, as discussed below.  This present Final Regulatory Flexibility Analysis (“FRFA”) conforms to the RFA.</w:t>
      </w:r>
      <w:r w:rsidR="00FF77AA">
        <w:rPr>
          <w:rStyle w:val="FootnoteReference"/>
        </w:rPr>
        <w:footnoteReference w:id="150"/>
      </w:r>
    </w:p>
    <w:p w14:paraId="108B1721" w14:textId="1191FD38" w:rsidR="00B92DCC" w:rsidRPr="00FF77AA" w:rsidRDefault="00B92DCC" w:rsidP="00B92DCC">
      <w:pPr>
        <w:pStyle w:val="Heading2"/>
      </w:pPr>
      <w:bookmarkStart w:id="232" w:name="_Toc290902738"/>
      <w:bookmarkStart w:id="233" w:name="_Toc290985340"/>
      <w:bookmarkStart w:id="234" w:name="_Toc395525831"/>
      <w:bookmarkStart w:id="235" w:name="_Toc395533581"/>
      <w:bookmarkStart w:id="236" w:name="_Toc395688829"/>
      <w:bookmarkStart w:id="237" w:name="_Toc396124452"/>
      <w:bookmarkStart w:id="238" w:name="_Toc396136530"/>
      <w:bookmarkStart w:id="239" w:name="_Toc396213562"/>
      <w:bookmarkStart w:id="240" w:name="_Toc396298480"/>
      <w:bookmarkStart w:id="241" w:name="_Toc402525583"/>
      <w:bookmarkStart w:id="242" w:name="_Toc404083778"/>
      <w:bookmarkStart w:id="243" w:name="_Toc404594700"/>
      <w:bookmarkStart w:id="244" w:name="_Toc407963512"/>
      <w:bookmarkStart w:id="245" w:name="_Toc408297257"/>
      <w:bookmarkStart w:id="246" w:name="_Toc411603981"/>
      <w:bookmarkStart w:id="247" w:name="_Toc414027014"/>
      <w:bookmarkStart w:id="248" w:name="_Toc414969761"/>
      <w:bookmarkStart w:id="249" w:name="_Toc415493397"/>
      <w:bookmarkStart w:id="250" w:name="_Toc418166681"/>
      <w:bookmarkStart w:id="251" w:name="_Toc418498908"/>
      <w:bookmarkStart w:id="252" w:name="_Toc418677559"/>
      <w:bookmarkStart w:id="253" w:name="_Toc418753404"/>
      <w:bookmarkStart w:id="254" w:name="_Toc419276619"/>
      <w:r w:rsidRPr="00FF77AA">
        <w:t xml:space="preserve">Need for, and Objectives of, the </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00FF77AA" w:rsidRPr="00FF77AA">
        <w:t>Report and Order</w:t>
      </w:r>
      <w:bookmarkEnd w:id="249"/>
      <w:bookmarkEnd w:id="250"/>
      <w:bookmarkEnd w:id="251"/>
      <w:bookmarkEnd w:id="252"/>
      <w:bookmarkEnd w:id="253"/>
      <w:bookmarkEnd w:id="254"/>
    </w:p>
    <w:p w14:paraId="2F901388" w14:textId="3AEEF32F" w:rsidR="00921C9F" w:rsidRPr="009D182F" w:rsidRDefault="00FF77AA" w:rsidP="00926324">
      <w:pPr>
        <w:pStyle w:val="ParaNum"/>
        <w:widowControl/>
      </w:pPr>
      <w:bookmarkStart w:id="255" w:name="_Toc290902739"/>
      <w:bookmarkStart w:id="256" w:name="_Toc290985341"/>
      <w:bookmarkStart w:id="257" w:name="_Toc395525832"/>
      <w:bookmarkStart w:id="258" w:name="_Toc395533582"/>
      <w:bookmarkStart w:id="259" w:name="_Toc395688830"/>
      <w:bookmarkStart w:id="260" w:name="_Toc396124453"/>
      <w:bookmarkStart w:id="261" w:name="_Toc396136531"/>
      <w:bookmarkStart w:id="262" w:name="_Toc396213563"/>
      <w:bookmarkStart w:id="263" w:name="_Toc396298481"/>
      <w:r w:rsidRPr="00833574">
        <w:t>In th</w:t>
      </w:r>
      <w:r>
        <w:t>e</w:t>
      </w:r>
      <w:r w:rsidRPr="00833574">
        <w:t xml:space="preserve"> Report and Order (“Order”), </w:t>
      </w:r>
      <w:r>
        <w:t xml:space="preserve">the Commission </w:t>
      </w:r>
      <w:r w:rsidRPr="00833574">
        <w:t>improve</w:t>
      </w:r>
      <w:r>
        <w:t>s</w:t>
      </w:r>
      <w:r w:rsidRPr="00833574">
        <w:t xml:space="preserve"> </w:t>
      </w:r>
      <w:r w:rsidR="00DF3AD0">
        <w:t xml:space="preserve">and expedites </w:t>
      </w:r>
      <w:r w:rsidRPr="00833574">
        <w:t>the effective competition process by adopting a rebuttable presumption that cable operators are subject to</w:t>
      </w:r>
      <w:r>
        <w:t xml:space="preserve"> </w:t>
      </w:r>
      <w:r w:rsidR="00DE5C65">
        <w:t>“E</w:t>
      </w:r>
      <w:r w:rsidRPr="00833574">
        <w:t xml:space="preserve">ffective </w:t>
      </w:r>
      <w:r w:rsidR="00DE5C65">
        <w:t>C</w:t>
      </w:r>
      <w:r w:rsidRPr="00833574">
        <w:t>ompetition</w:t>
      </w:r>
      <w:r w:rsidR="00DF3AD0">
        <w:t>.</w:t>
      </w:r>
      <w:r w:rsidR="00DE5C65">
        <w:t>”</w:t>
      </w:r>
      <w:r w:rsidR="00521E89">
        <w:rPr>
          <w:rStyle w:val="FootnoteReference"/>
        </w:rPr>
        <w:footnoteReference w:id="151"/>
      </w:r>
      <w:r w:rsidR="00DF3AD0">
        <w:t xml:space="preserve">  Specifically</w:t>
      </w:r>
      <w:r>
        <w:t xml:space="preserve">, </w:t>
      </w:r>
      <w:r w:rsidR="00DF3AD0">
        <w:t>we presume that cable operators are subject to what is commonly</w:t>
      </w:r>
      <w:r>
        <w:t xml:space="preserve"> referred to as </w:t>
      </w:r>
      <w:r w:rsidR="00627A6C">
        <w:t>“</w:t>
      </w:r>
      <w:r w:rsidR="00DE5C65">
        <w:t>C</w:t>
      </w:r>
      <w:r w:rsidRPr="00833574">
        <w:t xml:space="preserve">ompeting </w:t>
      </w:r>
      <w:r w:rsidR="00DE5C65">
        <w:t>P</w:t>
      </w:r>
      <w:r w:rsidRPr="00833574">
        <w:t>rovider</w:t>
      </w:r>
      <w:r>
        <w:t xml:space="preserve"> </w:t>
      </w:r>
      <w:r w:rsidR="00DE5C65">
        <w:t>E</w:t>
      </w:r>
      <w:r>
        <w:t xml:space="preserve">ffective </w:t>
      </w:r>
      <w:r w:rsidR="00DE5C65">
        <w:t>C</w:t>
      </w:r>
      <w:r>
        <w:t>ompetition</w:t>
      </w:r>
      <w:r w:rsidRPr="00833574">
        <w:t>.</w:t>
      </w:r>
      <w:r w:rsidR="00627A6C">
        <w:t>”</w:t>
      </w:r>
      <w:r>
        <w:rPr>
          <w:rStyle w:val="FootnoteReference"/>
        </w:rPr>
        <w:footnoteReference w:id="152"/>
      </w:r>
      <w:r w:rsidRPr="00833574">
        <w:t xml:space="preserve">  </w:t>
      </w:r>
      <w:r>
        <w:t>As a result,</w:t>
      </w:r>
      <w:r w:rsidRPr="00833574">
        <w:t xml:space="preserve"> </w:t>
      </w:r>
      <w:r>
        <w:t xml:space="preserve">each </w:t>
      </w:r>
      <w:r w:rsidRPr="00833574">
        <w:t>franchising authorit</w:t>
      </w:r>
      <w:r>
        <w:t>y</w:t>
      </w:r>
      <w:r w:rsidRPr="00833574">
        <w:rPr>
          <w:rStyle w:val="FootnoteReference"/>
        </w:rPr>
        <w:footnoteReference w:id="153"/>
      </w:r>
      <w:r>
        <w:t xml:space="preserve"> will be prohibited</w:t>
      </w:r>
      <w:r w:rsidRPr="00833574">
        <w:t xml:space="preserve"> from regulating basic cable rates</w:t>
      </w:r>
      <w:r>
        <w:rPr>
          <w:rStyle w:val="FootnoteReference"/>
        </w:rPr>
        <w:footnoteReference w:id="154"/>
      </w:r>
      <w:r w:rsidRPr="00833574">
        <w:t xml:space="preserve"> unless </w:t>
      </w:r>
      <w:r>
        <w:t xml:space="preserve">it </w:t>
      </w:r>
      <w:r w:rsidRPr="00833574">
        <w:t>successfully demonstrates that the cable system is not</w:t>
      </w:r>
      <w:r w:rsidRPr="008C2309">
        <w:rPr>
          <w:i/>
        </w:rPr>
        <w:t xml:space="preserve"> </w:t>
      </w:r>
      <w:r w:rsidRPr="00833574">
        <w:t xml:space="preserve">subject to </w:t>
      </w:r>
      <w:r w:rsidR="00DE5C65">
        <w:t>C</w:t>
      </w:r>
      <w:r>
        <w:t xml:space="preserve">ompeting </w:t>
      </w:r>
      <w:r w:rsidR="00DE5C65">
        <w:t>P</w:t>
      </w:r>
      <w:r>
        <w:t xml:space="preserve">rovider </w:t>
      </w:r>
      <w:r w:rsidR="00DE5C65">
        <w:t>E</w:t>
      </w:r>
      <w:r w:rsidRPr="00833574">
        <w:t xml:space="preserve">ffective </w:t>
      </w:r>
      <w:r w:rsidR="00DE5C65">
        <w:t>C</w:t>
      </w:r>
      <w:r w:rsidRPr="00833574">
        <w:t xml:space="preserve">ompetition.  </w:t>
      </w:r>
      <w:r w:rsidRPr="008C2309">
        <w:t xml:space="preserve">This change is justified by </w:t>
      </w:r>
      <w:r w:rsidR="00B0603D">
        <w:t>the fact that</w:t>
      </w:r>
      <w:r w:rsidRPr="008C2309">
        <w:t xml:space="preserve"> Direct Broadcast Satellite (“DBS”) service is </w:t>
      </w:r>
      <w:r w:rsidR="00B94CAC">
        <w:t>ubiquitous</w:t>
      </w:r>
      <w:r w:rsidRPr="008C2309">
        <w:t xml:space="preserve"> today and </w:t>
      </w:r>
      <w:r w:rsidR="00B94CAC">
        <w:t xml:space="preserve">that DBS providers have captured almost 34 percent of </w:t>
      </w:r>
      <w:r w:rsidR="00B605A4">
        <w:t>multichannel video programming distributor (“</w:t>
      </w:r>
      <w:r w:rsidR="00B94CAC">
        <w:t>MVPD</w:t>
      </w:r>
      <w:r w:rsidR="00B605A4">
        <w:t>”)</w:t>
      </w:r>
      <w:r w:rsidR="00B94CAC">
        <w:t xml:space="preserve"> subscribers</w:t>
      </w:r>
      <w:r w:rsidRPr="008C2309">
        <w:t>.</w:t>
      </w:r>
      <w:r w:rsidRPr="008C2309">
        <w:rPr>
          <w:rStyle w:val="FootnoteReference"/>
        </w:rPr>
        <w:footnoteReference w:id="155"/>
      </w:r>
      <w:r w:rsidRPr="008C2309">
        <w:t xml:space="preserve">  </w:t>
      </w:r>
      <w:r>
        <w:t xml:space="preserve">The Order also </w:t>
      </w:r>
      <w:r w:rsidRPr="008C2309">
        <w:t>implement</w:t>
      </w:r>
      <w:r>
        <w:t>s</w:t>
      </w:r>
      <w:r w:rsidRPr="008C2309">
        <w:t xml:space="preserve"> </w:t>
      </w:r>
      <w:r>
        <w:t>s</w:t>
      </w:r>
      <w:r w:rsidRPr="008C2309">
        <w:t>ection 111 of the STELA Reauthorization Act of 2014 (“STELAR”)</w:t>
      </w:r>
      <w:r>
        <w:t xml:space="preserve">, which directs the Commission to adopt a streamlined </w:t>
      </w:r>
      <w:r w:rsidR="00DE5C65">
        <w:t>E</w:t>
      </w:r>
      <w:r>
        <w:t xml:space="preserve">ffective </w:t>
      </w:r>
      <w:r w:rsidR="00DE5C65">
        <w:t>C</w:t>
      </w:r>
      <w:r>
        <w:t xml:space="preserve">ompetition process for small cable </w:t>
      </w:r>
      <w:r w:rsidRPr="008C2309">
        <w:t>operators.</w:t>
      </w:r>
      <w:r w:rsidRPr="008C2309">
        <w:rPr>
          <w:rStyle w:val="FootnoteReference"/>
        </w:rPr>
        <w:footnoteReference w:id="156"/>
      </w:r>
      <w:r w:rsidRPr="008C2309">
        <w:t xml:space="preserve">  </w:t>
      </w:r>
      <w:r w:rsidR="00921C9F">
        <w:t>By a</w:t>
      </w:r>
      <w:r>
        <w:t xml:space="preserve">dopting a </w:t>
      </w:r>
      <w:r w:rsidR="00F72E14">
        <w:t xml:space="preserve">rebuttable </w:t>
      </w:r>
      <w:r>
        <w:t xml:space="preserve">presumption of </w:t>
      </w:r>
      <w:r w:rsidR="00DE5C65">
        <w:t>C</w:t>
      </w:r>
      <w:r>
        <w:t xml:space="preserve">ompeting </w:t>
      </w:r>
      <w:r w:rsidR="00DE5C65">
        <w:t>P</w:t>
      </w:r>
      <w:r>
        <w:t xml:space="preserve">rovider </w:t>
      </w:r>
      <w:r w:rsidR="00DE5C65">
        <w:t>E</w:t>
      </w:r>
      <w:r>
        <w:t xml:space="preserve">ffective </w:t>
      </w:r>
      <w:r w:rsidR="00DE5C65">
        <w:t>C</w:t>
      </w:r>
      <w:r>
        <w:t>ompetition</w:t>
      </w:r>
      <w:r w:rsidR="00E81C30">
        <w:t>,</w:t>
      </w:r>
      <w:r>
        <w:t xml:space="preserve"> </w:t>
      </w:r>
      <w:r w:rsidR="00921C9F">
        <w:t>we update our</w:t>
      </w:r>
      <w:r>
        <w:t xml:space="preserve"> </w:t>
      </w:r>
      <w:r w:rsidR="00DE5C65">
        <w:t>E</w:t>
      </w:r>
      <w:r>
        <w:t xml:space="preserve">ffective </w:t>
      </w:r>
      <w:r w:rsidR="00DE5C65">
        <w:t>C</w:t>
      </w:r>
      <w:r>
        <w:t xml:space="preserve">ompetition </w:t>
      </w:r>
      <w:r w:rsidR="00921C9F">
        <w:t>rules, for the first time in over 20 years, to</w:t>
      </w:r>
      <w:r w:rsidR="00B94CAC">
        <w:t xml:space="preserve"> </w:t>
      </w:r>
      <w:r w:rsidRPr="001F687E">
        <w:t>reflect the current MVPD marketplace,</w:t>
      </w:r>
      <w:r w:rsidR="00921C9F">
        <w:rPr>
          <w:rStyle w:val="FootnoteReference"/>
        </w:rPr>
        <w:footnoteReference w:id="157"/>
      </w:r>
      <w:r w:rsidRPr="001F687E">
        <w:t xml:space="preserve"> reduce </w:t>
      </w:r>
      <w:r w:rsidR="006D6B12">
        <w:t xml:space="preserve">the </w:t>
      </w:r>
      <w:r w:rsidRPr="009D182F">
        <w:t>regulatory burdens on all cable operators</w:t>
      </w:r>
      <w:r w:rsidR="000271D9">
        <w:t>,</w:t>
      </w:r>
      <w:r w:rsidR="00921C9F">
        <w:t xml:space="preserve"> </w:t>
      </w:r>
      <w:r w:rsidR="009A14AF">
        <w:t>especially</w:t>
      </w:r>
      <w:r w:rsidR="004E407B">
        <w:t xml:space="preserve"> </w:t>
      </w:r>
      <w:r w:rsidR="00921C9F">
        <w:t>small operators</w:t>
      </w:r>
      <w:r w:rsidRPr="009D182F">
        <w:t>,</w:t>
      </w:r>
      <w:r w:rsidR="00921C9F">
        <w:rPr>
          <w:rStyle w:val="FootnoteReference"/>
        </w:rPr>
        <w:footnoteReference w:id="158"/>
      </w:r>
      <w:r w:rsidRPr="009D182F">
        <w:t xml:space="preserve"> </w:t>
      </w:r>
      <w:r w:rsidR="00921C9F">
        <w:t xml:space="preserve">and </w:t>
      </w:r>
      <w:r w:rsidRPr="009D182F">
        <w:t>more efficiently allocate the Commission’s resources.</w:t>
      </w:r>
    </w:p>
    <w:p w14:paraId="0D52DCC7" w14:textId="1319DE9C" w:rsidR="00FF77AA" w:rsidRPr="00FF77AA" w:rsidRDefault="00FF77AA" w:rsidP="00B92DCC">
      <w:pPr>
        <w:pStyle w:val="Heading2"/>
      </w:pPr>
      <w:bookmarkStart w:id="264" w:name="_Toc415493399"/>
      <w:bookmarkStart w:id="265" w:name="_Toc418166683"/>
      <w:bookmarkStart w:id="266" w:name="_Toc418498910"/>
      <w:bookmarkStart w:id="267" w:name="_Toc418677561"/>
      <w:bookmarkStart w:id="268" w:name="_Toc418753406"/>
      <w:bookmarkStart w:id="269" w:name="_Toc419276621"/>
      <w:bookmarkStart w:id="270" w:name="_Toc290902740"/>
      <w:bookmarkStart w:id="271" w:name="_Toc290985342"/>
      <w:bookmarkStart w:id="272" w:name="_Toc395525833"/>
      <w:bookmarkStart w:id="273" w:name="_Toc395533583"/>
      <w:bookmarkStart w:id="274" w:name="_Toc395688831"/>
      <w:bookmarkStart w:id="275" w:name="_Toc396124454"/>
      <w:bookmarkStart w:id="276" w:name="_Toc396136532"/>
      <w:bookmarkStart w:id="277" w:name="_Toc396213564"/>
      <w:bookmarkStart w:id="278" w:name="_Toc396298482"/>
      <w:bookmarkStart w:id="279" w:name="_Toc402525585"/>
      <w:bookmarkStart w:id="280" w:name="_Toc404083780"/>
      <w:bookmarkStart w:id="281" w:name="_Toc404594702"/>
      <w:bookmarkStart w:id="282" w:name="_Toc407963514"/>
      <w:bookmarkStart w:id="283" w:name="_Toc408297259"/>
      <w:bookmarkStart w:id="284" w:name="_Toc411603983"/>
      <w:bookmarkStart w:id="285" w:name="_Toc414027016"/>
      <w:bookmarkStart w:id="286" w:name="_Toc414969763"/>
      <w:bookmarkEnd w:id="255"/>
      <w:bookmarkEnd w:id="256"/>
      <w:bookmarkEnd w:id="257"/>
      <w:bookmarkEnd w:id="258"/>
      <w:bookmarkEnd w:id="259"/>
      <w:bookmarkEnd w:id="260"/>
      <w:bookmarkEnd w:id="261"/>
      <w:bookmarkEnd w:id="262"/>
      <w:bookmarkEnd w:id="263"/>
      <w:r w:rsidRPr="00FF77AA">
        <w:t>Summary of Significant Issues Raised by Public Comments in Response to the IRFA</w:t>
      </w:r>
      <w:bookmarkEnd w:id="264"/>
      <w:bookmarkEnd w:id="265"/>
      <w:bookmarkEnd w:id="266"/>
      <w:bookmarkEnd w:id="267"/>
      <w:bookmarkEnd w:id="268"/>
      <w:bookmarkEnd w:id="269"/>
    </w:p>
    <w:p w14:paraId="3EEC8793" w14:textId="5C8D232C" w:rsidR="00FF77AA" w:rsidRPr="00FF77AA" w:rsidRDefault="00FF77AA" w:rsidP="00FF77AA">
      <w:pPr>
        <w:pStyle w:val="ParaNum"/>
      </w:pPr>
      <w:r w:rsidRPr="00FF77AA">
        <w:t>No comments were filed in response to the IRFA.  In response to the NPRM,</w:t>
      </w:r>
      <w:r w:rsidR="002E1E35">
        <w:t xml:space="preserve"> some commenters discussed the effect of the proposals on smaller entities.  Specifically, while some commenters advocated the benefits that a presumption of Competing Provider Effective Competition would have on cable operators, including small cable operators, other commenters expressed concern about the burdens that would be imposed on franchising authorities, including small franchising authorities.</w:t>
      </w:r>
      <w:r w:rsidR="002E1E35">
        <w:rPr>
          <w:rStyle w:val="FootnoteReference"/>
        </w:rPr>
        <w:footnoteReference w:id="159"/>
      </w:r>
      <w:r w:rsidR="002E1E35">
        <w:t xml:space="preserve">  In addition, as explained above, section 111 of STELAR directs the Commission to adopt a streamlined Effective Competition process for small cable </w:t>
      </w:r>
      <w:r w:rsidR="002E1E35" w:rsidRPr="008C2309">
        <w:t>operators.</w:t>
      </w:r>
      <w:r w:rsidR="002E1E35" w:rsidRPr="008C2309">
        <w:rPr>
          <w:rStyle w:val="FootnoteReference"/>
        </w:rPr>
        <w:footnoteReference w:id="160"/>
      </w:r>
      <w:r w:rsidR="002E1E35">
        <w:t xml:space="preserve">  While some commenters expressed their view that adopting a presumption of Competing Provider Effective Competition would best fulfill section 111, others advocated alternate ways to reform the Effective Competition process for small cable operators.</w:t>
      </w:r>
      <w:r w:rsidR="002E1E35">
        <w:rPr>
          <w:rStyle w:val="FootnoteReference"/>
        </w:rPr>
        <w:footnoteReference w:id="161"/>
      </w:r>
    </w:p>
    <w:p w14:paraId="1DBE23EA" w14:textId="65F01455" w:rsidR="00B92DCC" w:rsidRPr="0035697D" w:rsidRDefault="00B92DCC" w:rsidP="00B92DCC">
      <w:pPr>
        <w:pStyle w:val="Heading2"/>
      </w:pPr>
      <w:bookmarkStart w:id="287" w:name="_Toc415493400"/>
      <w:bookmarkStart w:id="288" w:name="_Toc418166684"/>
      <w:bookmarkStart w:id="289" w:name="_Toc418498911"/>
      <w:bookmarkStart w:id="290" w:name="_Toc418677562"/>
      <w:bookmarkStart w:id="291" w:name="_Toc418753407"/>
      <w:bookmarkStart w:id="292" w:name="_Toc419276622"/>
      <w:r w:rsidRPr="00FF77AA">
        <w:t xml:space="preserve">Description and Estimate of the Number of Small Entities </w:t>
      </w:r>
      <w:r w:rsidR="00FF77AA" w:rsidRPr="00FF77AA">
        <w:t>t</w:t>
      </w:r>
      <w:r w:rsidRPr="00FF77AA">
        <w:t xml:space="preserve">o Which the Rules Will </w:t>
      </w:r>
      <w:r w:rsidRPr="0035697D">
        <w:t>Apply</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227486A7" w14:textId="1505567F" w:rsidR="00032800" w:rsidRPr="0035697D" w:rsidRDefault="00032800" w:rsidP="00032800">
      <w:pPr>
        <w:widowControl/>
        <w:numPr>
          <w:ilvl w:val="0"/>
          <w:numId w:val="2"/>
        </w:numPr>
        <w:tabs>
          <w:tab w:val="clear" w:pos="1080"/>
          <w:tab w:val="num" w:pos="360"/>
          <w:tab w:val="num" w:pos="1440"/>
        </w:tabs>
        <w:spacing w:after="120"/>
        <w:rPr>
          <w:snapToGrid/>
        </w:rPr>
      </w:pPr>
      <w:r w:rsidRPr="0035697D">
        <w:rPr>
          <w:snapToGrid/>
        </w:rPr>
        <w:t xml:space="preserve">The RFA directs </w:t>
      </w:r>
      <w:r w:rsidR="00FF77AA" w:rsidRPr="0035697D">
        <w:rPr>
          <w:snapToGrid/>
        </w:rPr>
        <w:t xml:space="preserve">the Commission </w:t>
      </w:r>
      <w:r w:rsidRPr="0035697D">
        <w:rPr>
          <w:snapToGrid/>
        </w:rPr>
        <w:t>to provide a description of, and where feasible, an estimate of the number of small entities that may be affected by the rules adopted</w:t>
      </w:r>
      <w:r w:rsidR="00FF77AA" w:rsidRPr="0035697D">
        <w:rPr>
          <w:snapToGrid/>
        </w:rPr>
        <w:t xml:space="preserve"> in the Order</w:t>
      </w:r>
      <w:r w:rsidRPr="0035697D">
        <w:rPr>
          <w:snapToGrid/>
        </w:rPr>
        <w:t>.</w:t>
      </w:r>
      <w:r w:rsidRPr="0035697D">
        <w:rPr>
          <w:snapToGrid/>
          <w:sz w:val="20"/>
          <w:vertAlign w:val="superscript"/>
        </w:rPr>
        <w:footnoteReference w:id="162"/>
      </w:r>
      <w:r w:rsidRPr="0035697D">
        <w:rPr>
          <w:snapToGrid/>
        </w:rPr>
        <w:t xml:space="preserve">  The RFA generally defines the term “small entity” as having the same meaning as the terms “small business,” “small organization,” and “small governmental jurisdiction.”</w:t>
      </w:r>
      <w:r w:rsidRPr="0035697D">
        <w:rPr>
          <w:snapToGrid/>
          <w:sz w:val="20"/>
          <w:vertAlign w:val="superscript"/>
        </w:rPr>
        <w:footnoteReference w:id="163"/>
      </w:r>
      <w:r w:rsidRPr="0035697D">
        <w:rPr>
          <w:snapToGrid/>
        </w:rPr>
        <w:t xml:space="preserve">  In addition, the term “small business” has the same meaning as the term “small business concern” under the Small Business Act.</w:t>
      </w:r>
      <w:r w:rsidRPr="0035697D">
        <w:rPr>
          <w:snapToGrid/>
          <w:sz w:val="20"/>
          <w:vertAlign w:val="superscript"/>
        </w:rPr>
        <w:footnoteReference w:id="164"/>
      </w:r>
      <w:r w:rsidRPr="0035697D">
        <w:rPr>
          <w:snapToGrid/>
        </w:rPr>
        <w:t xml:space="preserve">  A small business concern is one which:  (1) is independently owned and operated; (2) is not dominant in its field of operation; and (3) satisfies any additional criteria established by the SBA.</w:t>
      </w:r>
      <w:r w:rsidRPr="0035697D">
        <w:rPr>
          <w:snapToGrid/>
          <w:sz w:val="20"/>
          <w:vertAlign w:val="superscript"/>
        </w:rPr>
        <w:footnoteReference w:id="165"/>
      </w:r>
      <w:r w:rsidRPr="0035697D">
        <w:rPr>
          <w:snapToGrid/>
        </w:rPr>
        <w:t xml:space="preserve">  Below, we provide a description of such small entities, as well as an estimate of the number of such small entities, where feasible.</w:t>
      </w:r>
    </w:p>
    <w:p w14:paraId="6B5E6DF3" w14:textId="423B0BBD" w:rsidR="0006622B" w:rsidRPr="0035697D" w:rsidRDefault="0006622B" w:rsidP="00AB0846">
      <w:pPr>
        <w:pStyle w:val="ParaNum"/>
      </w:pPr>
      <w:r w:rsidRPr="0035697D">
        <w:rPr>
          <w:i/>
          <w:snapToGrid/>
        </w:rPr>
        <w:t xml:space="preserve">Small Governmental Jurisdictions.  </w:t>
      </w:r>
      <w:r w:rsidRPr="0035697D">
        <w:rPr>
          <w:iCs/>
        </w:rPr>
        <w:t>The term “small governmenta</w:t>
      </w:r>
      <w:r w:rsidRPr="0035697D">
        <w:t>l</w:t>
      </w:r>
      <w:r w:rsidRPr="0035697D">
        <w:rPr>
          <w:iCs/>
        </w:rPr>
        <w:t xml:space="preserve"> jurisdiction” is defined generally as “governments of cities, </w:t>
      </w:r>
      <w:r w:rsidR="009C5D59" w:rsidRPr="0035697D">
        <w:rPr>
          <w:iCs/>
        </w:rPr>
        <w:t xml:space="preserve">counties, </w:t>
      </w:r>
      <w:r w:rsidRPr="0035697D">
        <w:rPr>
          <w:iCs/>
        </w:rPr>
        <w:t>towns, townships, villages, school districts, or special districts, with a population of less than fifty thousand.”</w:t>
      </w:r>
      <w:r w:rsidRPr="0035697D">
        <w:rPr>
          <w:rStyle w:val="FootnoteReference"/>
        </w:rPr>
        <w:footnoteReference w:id="166"/>
      </w:r>
      <w:r w:rsidRPr="0035697D">
        <w:rPr>
          <w:iCs/>
        </w:rPr>
        <w:t xml:space="preserve">  Census Bureau data for 2011 indicate that there</w:t>
      </w:r>
      <w:r w:rsidRPr="0035697D">
        <w:t xml:space="preserve"> were 89,476 local governmental jurisdictions in the United States.</w:t>
      </w:r>
      <w:r w:rsidRPr="0035697D">
        <w:rPr>
          <w:rStyle w:val="FootnoteReference"/>
        </w:rPr>
        <w:footnoteReference w:id="167"/>
      </w:r>
      <w:r w:rsidRPr="0035697D">
        <w:t xml:space="preserve">  We estimate that, of this total, a substantial majority may qualify as “small governmental jurisdictions.”</w:t>
      </w:r>
      <w:r w:rsidRPr="0035697D">
        <w:rPr>
          <w:rStyle w:val="FootnoteReference"/>
        </w:rPr>
        <w:footnoteReference w:id="168"/>
      </w:r>
      <w:r w:rsidRPr="0035697D">
        <w:t xml:space="preserve">  Thus, we estimate that most governmental jurisdictions are small.</w:t>
      </w:r>
    </w:p>
    <w:p w14:paraId="20ACEB18" w14:textId="00B5A763" w:rsidR="00930299" w:rsidRPr="0035697D" w:rsidRDefault="00930299" w:rsidP="00930299">
      <w:pPr>
        <w:pStyle w:val="ParaNum"/>
      </w:pPr>
      <w:r w:rsidRPr="0035697D">
        <w:rPr>
          <w:i/>
        </w:rPr>
        <w:t>Wired Telecommunications Carriers</w:t>
      </w:r>
      <w:r w:rsidRPr="0035697D">
        <w:t>.  The 2007 North American Industry Classification System (“NAICS”) defines “Wired Telecommunications Carriers”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35697D">
        <w:rPr>
          <w:sz w:val="20"/>
          <w:szCs w:val="22"/>
          <w:vertAlign w:val="superscript"/>
        </w:rPr>
        <w:footnoteReference w:id="169"/>
      </w:r>
      <w:r w:rsidRPr="0035697D">
        <w:t xml:space="preserve">  The SBA has developed a small business size standard for wireline firms within the broad economic census category, “Wired Telecommunications Carriers.”</w:t>
      </w:r>
      <w:r w:rsidRPr="0035697D">
        <w:rPr>
          <w:sz w:val="20"/>
          <w:szCs w:val="22"/>
          <w:vertAlign w:val="superscript"/>
        </w:rPr>
        <w:footnoteReference w:id="170"/>
      </w:r>
      <w:r w:rsidRPr="0035697D">
        <w:t xml:space="preserve">  Under this category, the SBA deems a wireline business to be small if it has 1,500 or fewer employees.  Census data for 2007 shows that there were </w:t>
      </w:r>
      <w:r w:rsidR="00215F7B" w:rsidRPr="0035697D">
        <w:t>3,188 firms</w:t>
      </w:r>
      <w:r w:rsidR="00215F7B" w:rsidRPr="0035697D" w:rsidDel="00215F7B">
        <w:t xml:space="preserve"> </w:t>
      </w:r>
      <w:r w:rsidRPr="0035697D">
        <w:t xml:space="preserve">that operated </w:t>
      </w:r>
      <w:r w:rsidR="00215F7B" w:rsidRPr="0035697D">
        <w:t>for the entire</w:t>
      </w:r>
      <w:r w:rsidRPr="0035697D">
        <w:t xml:space="preserve"> year.</w:t>
      </w:r>
      <w:r w:rsidRPr="0035697D">
        <w:rPr>
          <w:sz w:val="20"/>
          <w:vertAlign w:val="superscript"/>
        </w:rPr>
        <w:footnoteReference w:id="171"/>
      </w:r>
      <w:r w:rsidRPr="0035697D">
        <w:t xml:space="preserve">  Of this total, </w:t>
      </w:r>
      <w:r w:rsidR="00215F7B" w:rsidRPr="0035697D">
        <w:t>2,940 firms</w:t>
      </w:r>
      <w:r w:rsidR="00215F7B" w:rsidRPr="0035697D" w:rsidDel="00215F7B">
        <w:t xml:space="preserve"> </w:t>
      </w:r>
      <w:r w:rsidRPr="0035697D">
        <w:t xml:space="preserve">had fewer than 100 employees, and </w:t>
      </w:r>
      <w:r w:rsidR="00215F7B" w:rsidRPr="0035697D">
        <w:t xml:space="preserve">248 firms </w:t>
      </w:r>
      <w:r w:rsidRPr="0035697D">
        <w:t>had 100 or more employees.</w:t>
      </w:r>
      <w:r w:rsidRPr="0035697D">
        <w:rPr>
          <w:sz w:val="20"/>
          <w:vertAlign w:val="superscript"/>
        </w:rPr>
        <w:footnoteReference w:id="172"/>
      </w:r>
      <w:r w:rsidRPr="0035697D">
        <w:t xml:space="preserve">  Therefore, under this size standard, we estimate that the majority of businesses can be considered small entities.</w:t>
      </w:r>
    </w:p>
    <w:p w14:paraId="24C3B17E" w14:textId="77777777" w:rsidR="0006622B" w:rsidRPr="0035697D" w:rsidRDefault="0006622B" w:rsidP="008F2D0E">
      <w:pPr>
        <w:pStyle w:val="ParaNum"/>
      </w:pPr>
      <w:r w:rsidRPr="0035697D">
        <w:rPr>
          <w:i/>
        </w:rPr>
        <w:t>Cable Companies and Systems.</w:t>
      </w:r>
      <w:r w:rsidR="008F2D0E" w:rsidRPr="0035697D">
        <w:t xml:space="preserve">  The Commission has </w:t>
      </w:r>
      <w:r w:rsidRPr="0035697D">
        <w:t>developed its own small business size standards, for the purpose of cable rate regulation.  Under the Commission’s rate regulation rules, a “small cable company” is one serving 400,000 or fewer subscribers, nationwide.</w:t>
      </w:r>
      <w:r w:rsidRPr="0035697D">
        <w:rPr>
          <w:sz w:val="20"/>
          <w:vertAlign w:val="superscript"/>
        </w:rPr>
        <w:footnoteReference w:id="173"/>
      </w:r>
      <w:r w:rsidRPr="0035697D">
        <w:t xml:space="preserve">  According to SNL Kagan, there are 1,258 cable operators.</w:t>
      </w:r>
      <w:r w:rsidRPr="0035697D">
        <w:rPr>
          <w:sz w:val="20"/>
          <w:vertAlign w:val="superscript"/>
        </w:rPr>
        <w:footnoteReference w:id="174"/>
      </w:r>
      <w:r w:rsidRPr="0035697D">
        <w:t xml:space="preserve">  Of this total, all but 10 incumbent cable companies are small under this size standard.</w:t>
      </w:r>
      <w:r w:rsidRPr="0035697D">
        <w:rPr>
          <w:sz w:val="20"/>
          <w:vertAlign w:val="superscript"/>
        </w:rPr>
        <w:footnoteReference w:id="175"/>
      </w:r>
      <w:r w:rsidRPr="0035697D">
        <w:t xml:space="preserve">  In addition, under the Commission’s rules, a “small system” is a cable system serving 15,000 or fewer subscribers.</w:t>
      </w:r>
      <w:r w:rsidRPr="0035697D">
        <w:rPr>
          <w:sz w:val="20"/>
          <w:vertAlign w:val="superscript"/>
        </w:rPr>
        <w:footnoteReference w:id="176"/>
      </w:r>
      <w:r w:rsidRPr="0035697D">
        <w:t xml:space="preserve">  Current Commission records show 4,584 cable systems nationwide.</w:t>
      </w:r>
      <w:r w:rsidRPr="0035697D">
        <w:rPr>
          <w:rStyle w:val="FootnoteReference"/>
        </w:rPr>
        <w:footnoteReference w:id="177"/>
      </w:r>
      <w:r w:rsidRPr="0035697D">
        <w:t xml:space="preserve">  Of this total, 4,012 cable systems have fewer than 20,000 subscribers, and 572 systems have 20,000 subscribers or more, based on the same records.  Thus, under this standard, we estimate that most cable systems are small.</w:t>
      </w:r>
    </w:p>
    <w:p w14:paraId="027CE3FA" w14:textId="05848164" w:rsidR="00930299" w:rsidRPr="0035697D" w:rsidRDefault="00930299" w:rsidP="00930299">
      <w:pPr>
        <w:pStyle w:val="ParaNum"/>
        <w:rPr>
          <w:szCs w:val="22"/>
        </w:rPr>
      </w:pPr>
      <w:r w:rsidRPr="0035697D">
        <w:rPr>
          <w:i/>
          <w:szCs w:val="22"/>
        </w:rPr>
        <w:t>Direct Broadcast Satellite (“DBS”) Service.</w:t>
      </w:r>
      <w:r w:rsidRPr="0035697D">
        <w:rPr>
          <w:szCs w:val="22"/>
        </w:rPr>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sidRPr="0035697D">
        <w:rPr>
          <w:sz w:val="20"/>
          <w:szCs w:val="22"/>
          <w:vertAlign w:val="superscript"/>
        </w:rPr>
        <w:footnoteReference w:id="178"/>
      </w:r>
      <w:r w:rsidRPr="0035697D">
        <w:rPr>
          <w:szCs w:val="22"/>
        </w:rPr>
        <w:t xml:space="preserve"> which was developed for small wireline firms.  Under this category, the SBA deems a wireline business to be small if it has 1,500 or fewer employees.</w:t>
      </w:r>
      <w:r w:rsidRPr="0035697D">
        <w:rPr>
          <w:sz w:val="20"/>
          <w:szCs w:val="22"/>
          <w:vertAlign w:val="superscript"/>
        </w:rPr>
        <w:footnoteReference w:id="179"/>
      </w:r>
      <w:r w:rsidRPr="0035697D">
        <w:rPr>
          <w:szCs w:val="22"/>
        </w:rPr>
        <w:t xml:space="preserve">  </w:t>
      </w:r>
      <w:r w:rsidR="00215F7B" w:rsidRPr="0035697D">
        <w:t>Census data for 2007 shows that there were 3,188 firms that operated for the entire year.</w:t>
      </w:r>
      <w:r w:rsidR="00215F7B" w:rsidRPr="0035697D">
        <w:rPr>
          <w:sz w:val="20"/>
          <w:vertAlign w:val="superscript"/>
        </w:rPr>
        <w:footnoteReference w:id="180"/>
      </w:r>
      <w:r w:rsidR="00215F7B" w:rsidRPr="0035697D">
        <w:t xml:space="preserve">  Of this total, 2,940 firms had fewer than 100 employees, and 248 firms had 100 or more employees.</w:t>
      </w:r>
      <w:r w:rsidR="00215F7B" w:rsidRPr="0035697D">
        <w:rPr>
          <w:sz w:val="20"/>
          <w:vertAlign w:val="superscript"/>
        </w:rPr>
        <w:footnoteReference w:id="181"/>
      </w:r>
      <w:r w:rsidR="00215F7B" w:rsidRPr="0035697D">
        <w:t xml:space="preserve">  </w:t>
      </w:r>
      <w:r w:rsidRPr="0035697D">
        <w:t xml:space="preserve">Therefore, under this size standard, the majority of such businesses can be considered small.  </w:t>
      </w:r>
      <w:r w:rsidRPr="0035697D">
        <w:rPr>
          <w:szCs w:val="22"/>
        </w:rPr>
        <w:t xml:space="preserve">However, the data we have available as a basis for estimating the number of such small entities were gathered under a superseded SBA small business size standard formerly titled “Cable and Other Program Distribution.”  The </w:t>
      </w:r>
      <w:r w:rsidR="00215F7B" w:rsidRPr="0035697D">
        <w:rPr>
          <w:szCs w:val="22"/>
        </w:rPr>
        <w:t xml:space="preserve">2002 </w:t>
      </w:r>
      <w:r w:rsidRPr="0035697D">
        <w:rPr>
          <w:szCs w:val="22"/>
        </w:rPr>
        <w:t>definition of Cable and Other Program Distribution provided that a small entity is one with $12.5 million or less in annual receipts.</w:t>
      </w:r>
      <w:r w:rsidRPr="0035697D">
        <w:rPr>
          <w:sz w:val="20"/>
          <w:szCs w:val="22"/>
          <w:vertAlign w:val="superscript"/>
        </w:rPr>
        <w:footnoteReference w:id="182"/>
      </w:r>
      <w:r w:rsidRPr="0035697D">
        <w:rPr>
          <w:szCs w:val="22"/>
        </w:rPr>
        <w:t xml:space="preserve">  Currently, only two entities provide DBS service, which requires a great investment of capital for operation:  DIRECTV and DISH Network.</w:t>
      </w:r>
      <w:r w:rsidRPr="0035697D">
        <w:rPr>
          <w:sz w:val="20"/>
          <w:szCs w:val="22"/>
          <w:vertAlign w:val="superscript"/>
        </w:rPr>
        <w:footnoteReference w:id="183"/>
      </w:r>
      <w:r w:rsidRPr="0035697D">
        <w:rPr>
          <w:szCs w:val="22"/>
        </w:rPr>
        <w:t xml:space="preserve">  Each currently offer</w:t>
      </w:r>
      <w:r w:rsidR="000C5945" w:rsidRPr="0035697D">
        <w:rPr>
          <w:szCs w:val="22"/>
        </w:rPr>
        <w:t>s</w:t>
      </w:r>
      <w:r w:rsidRPr="0035697D">
        <w:rPr>
          <w:szCs w:val="22"/>
        </w:rPr>
        <w:t xml:space="preserve"> subscription services.  DIRECTV and DISH Network each report annual revenues that are in excess of the threshold for a small business.  Because DBS service requires significant capital, we believe it is unlikely that a small entity as defined by the SBA would have the financial wherewithal to become a DBS service provider.  </w:t>
      </w:r>
    </w:p>
    <w:p w14:paraId="0C429FF3" w14:textId="3B3B2295" w:rsidR="00930299" w:rsidRPr="0035697D" w:rsidRDefault="00930299" w:rsidP="00930299">
      <w:pPr>
        <w:pStyle w:val="ParaNum"/>
      </w:pPr>
      <w:r w:rsidRPr="0035697D">
        <w:rPr>
          <w:i/>
          <w:iCs/>
          <w:snapToGrid/>
          <w:kern w:val="0"/>
        </w:rPr>
        <w:t>Open Video Systems.</w:t>
      </w:r>
      <w:r w:rsidRPr="0035697D">
        <w:rPr>
          <w:snapToGrid/>
          <w:kern w:val="0"/>
        </w:rPr>
        <w:t>  The open video system (“OVS”) framework was established in 1996, and is one of four statutorily recognized options for the provision of video programming services by local exchange carriers.</w:t>
      </w:r>
      <w:r w:rsidRPr="0035697D">
        <w:rPr>
          <w:kern w:val="0"/>
          <w:sz w:val="20"/>
          <w:vertAlign w:val="superscript"/>
        </w:rPr>
        <w:footnoteReference w:id="184"/>
      </w:r>
      <w:r w:rsidRPr="0035697D">
        <w:rPr>
          <w:snapToGrid/>
          <w:kern w:val="0"/>
        </w:rPr>
        <w:t>  The OVS framework provides opportunities for the distribution of video programming other than through cable systems.  Because OVS operators provide subscription services,</w:t>
      </w:r>
      <w:r w:rsidRPr="0035697D">
        <w:rPr>
          <w:kern w:val="0"/>
          <w:sz w:val="20"/>
          <w:vertAlign w:val="superscript"/>
        </w:rPr>
        <w:footnoteReference w:id="185"/>
      </w:r>
      <w:r w:rsidRPr="0035697D">
        <w:rPr>
          <w:snapToGrid/>
          <w:kern w:val="0"/>
        </w:rPr>
        <w:t xml:space="preserve"> OVS falls within the SBA small business size standard covering cable services, which is “Wired Telecommunications Carriers.”</w:t>
      </w:r>
      <w:r w:rsidRPr="0035697D">
        <w:rPr>
          <w:kern w:val="0"/>
          <w:sz w:val="20"/>
          <w:vertAlign w:val="superscript"/>
        </w:rPr>
        <w:footnoteReference w:id="186"/>
      </w:r>
      <w:r w:rsidRPr="0035697D">
        <w:rPr>
          <w:snapToGrid/>
          <w:kern w:val="0"/>
        </w:rPr>
        <w:t>  The SBA has developed a small business size standard for this category, which is:  all such firms having 1,500 or fewer employees.  </w:t>
      </w:r>
      <w:r w:rsidR="00215F7B" w:rsidRPr="0035697D">
        <w:t>Census data for 2007 shows that there were 3,188 firms that operated for the entire year.</w:t>
      </w:r>
      <w:r w:rsidR="00215F7B" w:rsidRPr="0035697D">
        <w:rPr>
          <w:sz w:val="20"/>
          <w:vertAlign w:val="superscript"/>
        </w:rPr>
        <w:footnoteReference w:id="187"/>
      </w:r>
      <w:r w:rsidR="00215F7B" w:rsidRPr="0035697D">
        <w:t xml:space="preserve">  Of this total, 2,940 firms had fewer than 100 employees, and 248 firms had 100 or more employees.</w:t>
      </w:r>
      <w:r w:rsidR="00215F7B" w:rsidRPr="0035697D">
        <w:rPr>
          <w:sz w:val="20"/>
          <w:vertAlign w:val="superscript"/>
        </w:rPr>
        <w:footnoteReference w:id="188"/>
      </w:r>
      <w:r w:rsidR="00215F7B" w:rsidRPr="0035697D">
        <w:t xml:space="preserve">  </w:t>
      </w:r>
      <w:r w:rsidRPr="0035697D">
        <w:t>Therefore, under this size standard, the majority of such businesses can be considered small.</w:t>
      </w:r>
      <w:r w:rsidRPr="0035697D">
        <w:rPr>
          <w:snapToGrid/>
          <w:kern w:val="0"/>
        </w:rPr>
        <w:t xml:space="preserve">  In addition, we note that the Commission has certified some OVS operators, with some now providing service.</w:t>
      </w:r>
      <w:r w:rsidRPr="0035697D">
        <w:rPr>
          <w:kern w:val="0"/>
          <w:sz w:val="20"/>
          <w:vertAlign w:val="superscript"/>
        </w:rPr>
        <w:footnoteReference w:id="189"/>
      </w:r>
      <w:r w:rsidRPr="0035697D">
        <w:rPr>
          <w:snapToGrid/>
          <w:kern w:val="0"/>
        </w:rPr>
        <w:t>  Broadband service providers (“BSPs”) are currently the only significant holders of OVS certifications or local OVS franchises.</w:t>
      </w:r>
      <w:r w:rsidRPr="0035697D">
        <w:rPr>
          <w:kern w:val="0"/>
          <w:sz w:val="20"/>
          <w:vertAlign w:val="superscript"/>
        </w:rPr>
        <w:footnoteReference w:id="190"/>
      </w:r>
      <w:r w:rsidRPr="0035697D">
        <w:rPr>
          <w:snapToGrid/>
          <w:kern w:val="0"/>
        </w:rPr>
        <w:t>  The Commission does not have financial or employment information regarding the entities authorized to provide OVS, some of which may not yet be operational.  Thus, at least some of the OVS operators may qualify as small entities.</w:t>
      </w:r>
    </w:p>
    <w:p w14:paraId="72FEF49C" w14:textId="77777777" w:rsidR="00930299" w:rsidRPr="0035697D" w:rsidRDefault="00930299" w:rsidP="00930299">
      <w:pPr>
        <w:pStyle w:val="ParaNum"/>
      </w:pPr>
      <w:r w:rsidRPr="0035697D">
        <w:rPr>
          <w:i/>
        </w:rPr>
        <w:t>Small Incumbent Local Exchange Carriers</w:t>
      </w:r>
      <w:r w:rsidRPr="0035697D">
        <w:t xml:space="preserve">.  We have included small incumbent local exchange carriers in this present RFA analysis.  A “small business” under the RFA is one that, </w:t>
      </w:r>
      <w:r w:rsidRPr="0035697D">
        <w:rPr>
          <w:i/>
        </w:rPr>
        <w:t>inter alia</w:t>
      </w:r>
      <w:r w:rsidRPr="0035697D">
        <w:t>, meets the pertinent small business size standard (</w:t>
      </w:r>
      <w:r w:rsidRPr="0035697D">
        <w:rPr>
          <w:i/>
        </w:rPr>
        <w:t>e.g.</w:t>
      </w:r>
      <w:r w:rsidRPr="0035697D">
        <w:t>, a telephone communications business having 1,500 or fewer employees), and “is not dominant in its field of operation.”</w:t>
      </w:r>
      <w:r w:rsidRPr="0035697D">
        <w:rPr>
          <w:sz w:val="20"/>
          <w:szCs w:val="22"/>
          <w:vertAlign w:val="superscript"/>
        </w:rPr>
        <w:footnoteReference w:id="191"/>
      </w:r>
      <w:r w:rsidRPr="0035697D">
        <w:t xml:space="preserve">  The SBA’s Office of Advocacy contends that, for RFA purposes, small incumbent local exchange carriers are not dominant in their field of operation because any such dominance is not “national” in scope.</w:t>
      </w:r>
      <w:r w:rsidRPr="0035697D">
        <w:rPr>
          <w:sz w:val="20"/>
          <w:szCs w:val="22"/>
          <w:vertAlign w:val="superscript"/>
        </w:rPr>
        <w:footnoteReference w:id="192"/>
      </w:r>
      <w:r w:rsidRPr="0035697D">
        <w:t xml:space="preserve">  We have therefore included small incumbent local exchange carriers in this RFA analysis, although we emphasize that this RFA action has no effect on Commission analyses and determinations in other, non-RFA contexts.</w:t>
      </w:r>
    </w:p>
    <w:p w14:paraId="39FAF282" w14:textId="2CF09C08" w:rsidR="00930299" w:rsidRPr="0035697D" w:rsidRDefault="00930299">
      <w:pPr>
        <w:pStyle w:val="ParaNum"/>
      </w:pPr>
      <w:r w:rsidRPr="0035697D">
        <w:rPr>
          <w:i/>
        </w:rPr>
        <w:t>Incumbent Local Exchange Carriers (“ILECs”)</w:t>
      </w:r>
      <w:r w:rsidRPr="0035697D">
        <w:t>.  Neither the Commission nor the SBA has developed a small business size standard specifically for incumbent local exchange services.  The appropriate size standard under SBA rules is for the category Wired Telecommunications Carriers.  Under that size standard, such a business is small if it has 1,500 or fewer employees.</w:t>
      </w:r>
      <w:r w:rsidRPr="0035697D">
        <w:rPr>
          <w:sz w:val="20"/>
          <w:szCs w:val="22"/>
          <w:vertAlign w:val="superscript"/>
        </w:rPr>
        <w:footnoteReference w:id="193"/>
      </w:r>
      <w:r w:rsidRPr="0035697D">
        <w:t xml:space="preserve">  </w:t>
      </w:r>
      <w:r w:rsidR="00385FA5" w:rsidRPr="0035697D">
        <w:t>Census data for 2007 shows that there were 3,188 firms that operated for the entire year.</w:t>
      </w:r>
      <w:r w:rsidR="00385FA5" w:rsidRPr="0035697D">
        <w:rPr>
          <w:sz w:val="20"/>
          <w:vertAlign w:val="superscript"/>
        </w:rPr>
        <w:footnoteReference w:id="194"/>
      </w:r>
      <w:r w:rsidR="00385FA5" w:rsidRPr="0035697D">
        <w:t xml:space="preserve">  Of this total, 2,940 firms had fewer than 100 employees, and 248 firms had 100 or more employees.</w:t>
      </w:r>
      <w:r w:rsidR="00385FA5" w:rsidRPr="0035697D">
        <w:rPr>
          <w:sz w:val="20"/>
          <w:vertAlign w:val="superscript"/>
        </w:rPr>
        <w:footnoteReference w:id="195"/>
      </w:r>
      <w:r w:rsidR="00385FA5" w:rsidRPr="0035697D">
        <w:t xml:space="preserve">  </w:t>
      </w:r>
      <w:r w:rsidRPr="0035697D">
        <w:t>Therefore, under this size standard, the majority of such businesses can be considered small entities.</w:t>
      </w:r>
    </w:p>
    <w:p w14:paraId="6B363ADE" w14:textId="77777777" w:rsidR="00B92DCC" w:rsidRPr="00E9477F" w:rsidRDefault="00B92DCC" w:rsidP="00B92DCC">
      <w:pPr>
        <w:pStyle w:val="Heading2"/>
      </w:pPr>
      <w:bookmarkStart w:id="293" w:name="_Toc290902741"/>
      <w:bookmarkStart w:id="294" w:name="_Toc290985343"/>
      <w:bookmarkStart w:id="295" w:name="_Toc395525834"/>
      <w:bookmarkStart w:id="296" w:name="_Toc395533584"/>
      <w:bookmarkStart w:id="297" w:name="_Toc395688832"/>
      <w:bookmarkStart w:id="298" w:name="_Toc396124455"/>
      <w:bookmarkStart w:id="299" w:name="_Toc396136533"/>
      <w:bookmarkStart w:id="300" w:name="_Toc396213565"/>
      <w:bookmarkStart w:id="301" w:name="_Toc396298483"/>
      <w:bookmarkStart w:id="302" w:name="_Toc402525586"/>
      <w:bookmarkStart w:id="303" w:name="_Toc404083781"/>
      <w:bookmarkStart w:id="304" w:name="_Toc404594703"/>
      <w:bookmarkStart w:id="305" w:name="_Toc407963515"/>
      <w:bookmarkStart w:id="306" w:name="_Toc408297260"/>
      <w:bookmarkStart w:id="307" w:name="_Toc411603984"/>
      <w:bookmarkStart w:id="308" w:name="_Toc414027017"/>
      <w:bookmarkStart w:id="309" w:name="_Toc414969764"/>
      <w:bookmarkStart w:id="310" w:name="_Toc415493401"/>
      <w:bookmarkStart w:id="311" w:name="_Toc418166685"/>
      <w:bookmarkStart w:id="312" w:name="_Toc418498912"/>
      <w:bookmarkStart w:id="313" w:name="_Toc418677563"/>
      <w:bookmarkStart w:id="314" w:name="_Toc418753408"/>
      <w:bookmarkStart w:id="315" w:name="_Toc419276623"/>
      <w:r w:rsidRPr="00E9477F">
        <w:t>Description of Projected Reporting, Recordkeeping, and Other Compliance Requirements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1A7D4818" w14:textId="58E937CA" w:rsidR="005C20A5" w:rsidRPr="00E9477F" w:rsidRDefault="00E9477F" w:rsidP="00E9477F">
      <w:pPr>
        <w:pStyle w:val="ParaNum"/>
      </w:pPr>
      <w:bookmarkStart w:id="316" w:name="_Toc290902742"/>
      <w:bookmarkStart w:id="317" w:name="_Toc290985344"/>
      <w:bookmarkStart w:id="318" w:name="_Toc395525835"/>
      <w:bookmarkStart w:id="319" w:name="_Toc395533585"/>
      <w:bookmarkStart w:id="320" w:name="_Toc395688833"/>
      <w:bookmarkStart w:id="321" w:name="_Toc396124456"/>
      <w:bookmarkStart w:id="322" w:name="_Toc396136534"/>
      <w:bookmarkStart w:id="323" w:name="_Toc396213566"/>
      <w:r w:rsidRPr="00E9477F">
        <w:t xml:space="preserve">Certain rule changes adopted in the Order will affect reporting, recordkeeping, or other compliance requirements.  Pursuant to the rules and policies adopted in the Order, the Commission will presume </w:t>
      </w:r>
      <w:r w:rsidR="005C20A5" w:rsidRPr="00E9477F">
        <w:t xml:space="preserve">that cable operators are subject to </w:t>
      </w:r>
      <w:r w:rsidR="00DE5C65">
        <w:t>C</w:t>
      </w:r>
      <w:r w:rsidR="009F2711" w:rsidRPr="00E9477F">
        <w:t xml:space="preserve">ompeting </w:t>
      </w:r>
      <w:r w:rsidR="00DE5C65">
        <w:t>P</w:t>
      </w:r>
      <w:r w:rsidR="009F2711" w:rsidRPr="00E9477F">
        <w:t xml:space="preserve">rovider </w:t>
      </w:r>
      <w:r w:rsidR="00DE5C65">
        <w:t>E</w:t>
      </w:r>
      <w:r w:rsidR="005C20A5" w:rsidRPr="00E9477F">
        <w:t xml:space="preserve">ffective </w:t>
      </w:r>
      <w:r w:rsidR="00DE5C65">
        <w:t>C</w:t>
      </w:r>
      <w:r w:rsidR="005C20A5" w:rsidRPr="00E9477F">
        <w:t xml:space="preserve">ompetition, </w:t>
      </w:r>
      <w:r w:rsidR="000B244F" w:rsidRPr="00E9477F">
        <w:t xml:space="preserve">with </w:t>
      </w:r>
      <w:r w:rsidR="005C20A5" w:rsidRPr="00E9477F">
        <w:t>the burden of rebutting this presumption fall</w:t>
      </w:r>
      <w:r w:rsidR="000B244F" w:rsidRPr="00E9477F">
        <w:t>ing</w:t>
      </w:r>
      <w:r w:rsidR="005C20A5" w:rsidRPr="00E9477F">
        <w:t xml:space="preserve"> on the </w:t>
      </w:r>
      <w:r w:rsidR="002D2736" w:rsidRPr="00E9477F">
        <w:t>franchising authority</w:t>
      </w:r>
      <w:r w:rsidR="005C20A5" w:rsidRPr="00E9477F">
        <w:t xml:space="preserve">.  </w:t>
      </w:r>
      <w:r w:rsidRPr="00E9477F">
        <w:t>A</w:t>
      </w:r>
      <w:r w:rsidR="005C20A5" w:rsidRPr="00E9477F">
        <w:t xml:space="preserve"> </w:t>
      </w:r>
      <w:r w:rsidR="002D2736" w:rsidRPr="00E9477F">
        <w:t>franchising authority</w:t>
      </w:r>
      <w:r w:rsidR="005C20A5" w:rsidRPr="00E9477F">
        <w:t xml:space="preserve"> seeking certification to regulate a cable </w:t>
      </w:r>
      <w:r w:rsidR="00697C12">
        <w:t>operator</w:t>
      </w:r>
      <w:r w:rsidR="005C20A5" w:rsidRPr="00E9477F">
        <w:t xml:space="preserve">’s basic service </w:t>
      </w:r>
      <w:r w:rsidR="005924E1">
        <w:t xml:space="preserve">tier </w:t>
      </w:r>
      <w:r w:rsidR="00697C12">
        <w:t>and associated equipment</w:t>
      </w:r>
      <w:r w:rsidR="005924E1">
        <w:t xml:space="preserve"> </w:t>
      </w:r>
      <w:r w:rsidR="005C20A5" w:rsidRPr="00E9477F">
        <w:t>w</w:t>
      </w:r>
      <w:r w:rsidRPr="00E9477F">
        <w:t>ill</w:t>
      </w:r>
      <w:r w:rsidR="005C20A5" w:rsidRPr="00E9477F">
        <w:t xml:space="preserve"> file </w:t>
      </w:r>
      <w:r w:rsidRPr="00E9477F">
        <w:t xml:space="preserve">revised </w:t>
      </w:r>
      <w:r w:rsidR="000C0E39" w:rsidRPr="00E9477F">
        <w:t>FCC F</w:t>
      </w:r>
      <w:r w:rsidR="005C20A5" w:rsidRPr="00E9477F">
        <w:t>orm 328, including a</w:t>
      </w:r>
      <w:r w:rsidR="00697C12">
        <w:t>n attachment containing evidence adequate to satisfy</w:t>
      </w:r>
      <w:r w:rsidR="005C20A5" w:rsidRPr="00E9477F">
        <w:t xml:space="preserve"> its burden</w:t>
      </w:r>
      <w:r w:rsidR="00697C12">
        <w:t xml:space="preserve"> of rebutting the presumption with specific evidence</w:t>
      </w:r>
      <w:r w:rsidR="005C20A5" w:rsidRPr="00E9477F">
        <w:t xml:space="preserve">.  </w:t>
      </w:r>
      <w:r w:rsidR="00385FA5" w:rsidRPr="00E9477F">
        <w:t>Franchising authorities are already required to file Form 328 to obtain certification to regulate a cable system’s basic service</w:t>
      </w:r>
      <w:r w:rsidR="00697C12">
        <w:t xml:space="preserve"> tier</w:t>
      </w:r>
      <w:r w:rsidR="00385FA5" w:rsidRPr="00E9477F">
        <w:t xml:space="preserve">, but the </w:t>
      </w:r>
      <w:r w:rsidR="00697C12">
        <w:t>attachment</w:t>
      </w:r>
      <w:r w:rsidR="00697C12" w:rsidRPr="00E9477F">
        <w:t xml:space="preserve"> </w:t>
      </w:r>
      <w:r w:rsidR="00385FA5" w:rsidRPr="00E9477F">
        <w:t xml:space="preserve">rebutting </w:t>
      </w:r>
      <w:r w:rsidR="007D569C">
        <w:t>the</w:t>
      </w:r>
      <w:r w:rsidR="00385FA5" w:rsidRPr="00E9477F">
        <w:t xml:space="preserve"> presumption of </w:t>
      </w:r>
      <w:r w:rsidR="00DE5C65">
        <w:t>C</w:t>
      </w:r>
      <w:r w:rsidR="00385FA5" w:rsidRPr="00E9477F">
        <w:t xml:space="preserve">ompeting </w:t>
      </w:r>
      <w:r w:rsidR="00DE5C65">
        <w:t>P</w:t>
      </w:r>
      <w:r w:rsidR="00385FA5" w:rsidRPr="00E9477F">
        <w:t xml:space="preserve">rovider </w:t>
      </w:r>
      <w:r w:rsidR="00D91FC9">
        <w:t>E</w:t>
      </w:r>
      <w:r w:rsidR="00385FA5" w:rsidRPr="00E9477F">
        <w:t xml:space="preserve">ffective </w:t>
      </w:r>
      <w:r w:rsidR="00D91FC9">
        <w:t>C</w:t>
      </w:r>
      <w:r w:rsidR="00385FA5" w:rsidRPr="00E9477F">
        <w:t>ompetition w</w:t>
      </w:r>
      <w:r w:rsidRPr="00E9477F">
        <w:t>ill</w:t>
      </w:r>
      <w:r w:rsidR="00385FA5" w:rsidRPr="00E9477F">
        <w:t xml:space="preserve"> be a new requirement.  Cable operators, including small cable operators, w</w:t>
      </w:r>
      <w:r w:rsidRPr="00E9477F">
        <w:t>ill</w:t>
      </w:r>
      <w:r w:rsidR="00385FA5" w:rsidRPr="00E9477F">
        <w:t xml:space="preserve"> retain the burden of demonstrating the presence of any other type of </w:t>
      </w:r>
      <w:r w:rsidR="00D91FC9">
        <w:t>E</w:t>
      </w:r>
      <w:r w:rsidR="00385FA5" w:rsidRPr="00E9477F">
        <w:t xml:space="preserve">ffective </w:t>
      </w:r>
      <w:r w:rsidR="00D91FC9">
        <w:t>C</w:t>
      </w:r>
      <w:r w:rsidR="00385FA5" w:rsidRPr="00E9477F">
        <w:t xml:space="preserve">ompetition, which a cable operator may seek to demonstrate if a franchising authority rebuts the presumption of </w:t>
      </w:r>
      <w:r w:rsidR="00D91FC9">
        <w:t>C</w:t>
      </w:r>
      <w:r w:rsidR="00385FA5" w:rsidRPr="00E9477F">
        <w:t xml:space="preserve">ompeting </w:t>
      </w:r>
      <w:r w:rsidR="00D91FC9">
        <w:t>P</w:t>
      </w:r>
      <w:r w:rsidR="00385FA5" w:rsidRPr="00E9477F">
        <w:t xml:space="preserve">rovider </w:t>
      </w:r>
      <w:r w:rsidR="00D91FC9">
        <w:t>E</w:t>
      </w:r>
      <w:r w:rsidR="00385FA5" w:rsidRPr="00E9477F">
        <w:t xml:space="preserve">ffective </w:t>
      </w:r>
      <w:r w:rsidR="00D91FC9">
        <w:t>C</w:t>
      </w:r>
      <w:r w:rsidR="00385FA5" w:rsidRPr="00E9477F">
        <w:t xml:space="preserve">ompetition.  </w:t>
      </w:r>
      <w:r w:rsidR="00B61379" w:rsidRPr="00E9477F">
        <w:t>A cable operator opposing a certification w</w:t>
      </w:r>
      <w:r w:rsidRPr="00E9477F">
        <w:t>ill</w:t>
      </w:r>
      <w:r w:rsidR="00B61379" w:rsidRPr="00E9477F">
        <w:t xml:space="preserve"> be permitted to file a petition for reconsideration pursuant to </w:t>
      </w:r>
      <w:r w:rsidRPr="00E9477F">
        <w:t>s</w:t>
      </w:r>
      <w:r w:rsidR="00B61379" w:rsidRPr="00E9477F">
        <w:t xml:space="preserve">ection 76.911 of our rules, </w:t>
      </w:r>
      <w:r w:rsidR="00385FA5" w:rsidRPr="00E9477F">
        <w:t xml:space="preserve">as is currently the case, </w:t>
      </w:r>
      <w:r w:rsidR="00B61379" w:rsidRPr="00E9477F">
        <w:t xml:space="preserve">demonstrating that it satisfies any of the four tests for </w:t>
      </w:r>
      <w:r w:rsidR="00D91FC9">
        <w:t>E</w:t>
      </w:r>
      <w:r w:rsidR="00B61379" w:rsidRPr="00E9477F">
        <w:t xml:space="preserve">ffective </w:t>
      </w:r>
      <w:r w:rsidR="00D91FC9">
        <w:t>C</w:t>
      </w:r>
      <w:r w:rsidR="00B61379" w:rsidRPr="00E9477F">
        <w:t>ompetition</w:t>
      </w:r>
      <w:r w:rsidR="005C20A5" w:rsidRPr="00E9477F">
        <w:t xml:space="preserve">.  </w:t>
      </w:r>
      <w:r w:rsidR="00B61379" w:rsidRPr="00E9477F">
        <w:t xml:space="preserve">The procedures set forth in </w:t>
      </w:r>
      <w:r w:rsidR="00D021E5">
        <w:t>s</w:t>
      </w:r>
      <w:r w:rsidR="00B61379" w:rsidRPr="00E9477F">
        <w:t xml:space="preserve">ection 1.106 of our rules </w:t>
      </w:r>
      <w:r w:rsidR="007D569C">
        <w:t xml:space="preserve">for the filing of petitions for reconsideration </w:t>
      </w:r>
      <w:r w:rsidR="00B61379" w:rsidRPr="00E9477F">
        <w:t>w</w:t>
      </w:r>
      <w:r w:rsidRPr="00E9477F">
        <w:t>ill</w:t>
      </w:r>
      <w:r w:rsidR="00B61379" w:rsidRPr="00E9477F">
        <w:t xml:space="preserve"> continue to govern </w:t>
      </w:r>
      <w:r w:rsidR="007D569C">
        <w:t xml:space="preserve">petitions for reconsideration of Form 328 and </w:t>
      </w:r>
      <w:r w:rsidR="00B61379" w:rsidRPr="00E9477F">
        <w:t>responsive pleadings.  While a certification w</w:t>
      </w:r>
      <w:r w:rsidRPr="00E9477F">
        <w:t>ill</w:t>
      </w:r>
      <w:r w:rsidR="00B61379" w:rsidRPr="00E9477F">
        <w:t xml:space="preserve"> become </w:t>
      </w:r>
      <w:r w:rsidR="000B244F" w:rsidRPr="00E9477F">
        <w:t>effective</w:t>
      </w:r>
      <w:r w:rsidR="00B61379" w:rsidRPr="00E9477F">
        <w:t xml:space="preserve"> 30 days after the date filed unless the Commission notifies the franchising authority otherwise, the filing of a petition for reconsideration based on the presence of </w:t>
      </w:r>
      <w:r w:rsidR="00D91FC9">
        <w:t>E</w:t>
      </w:r>
      <w:r w:rsidR="00B61379" w:rsidRPr="00E9477F">
        <w:t xml:space="preserve">ffective </w:t>
      </w:r>
      <w:r w:rsidR="00D91FC9">
        <w:t>C</w:t>
      </w:r>
      <w:r w:rsidR="00B61379" w:rsidRPr="00E9477F">
        <w:t>ompetition w</w:t>
      </w:r>
      <w:r w:rsidRPr="00E9477F">
        <w:t>ill</w:t>
      </w:r>
      <w:r w:rsidR="00B61379" w:rsidRPr="00E9477F">
        <w:t xml:space="preserve"> automatically stay the imposition of rate regulation pending the outcome of the reconsideration proceeding.</w:t>
      </w:r>
      <w:r w:rsidR="005643A9">
        <w:t xml:space="preserve">  All of the new rules and procedures </w:t>
      </w:r>
      <w:r w:rsidR="005643A9" w:rsidRPr="007C44B4">
        <w:t>will go into effect once the Commission announces approval by the Office of Management and Budget (“OMB”) of the rules that require such approval</w:t>
      </w:r>
      <w:r w:rsidR="005643A9">
        <w:t xml:space="preserve"> and of </w:t>
      </w:r>
      <w:r w:rsidR="005C4D74">
        <w:t xml:space="preserve">revised </w:t>
      </w:r>
      <w:r w:rsidR="005643A9">
        <w:t>Form 328.</w:t>
      </w:r>
    </w:p>
    <w:p w14:paraId="26AFC044" w14:textId="78848B3B" w:rsidR="0075508F" w:rsidRDefault="005643A9" w:rsidP="005C20A5">
      <w:pPr>
        <w:pStyle w:val="ParaNum"/>
      </w:pPr>
      <w:r>
        <w:t>All franchising authorities with existing certifications that wish to remain certified must file revised Form 328, including the attachment rebutting the presumption of Competing Provider Effective Competition, within 90 days of the effective date of the new rules.  At the conclusion of the 90</w:t>
      </w:r>
      <w:r w:rsidR="00BC5B9E">
        <w:t>-</w:t>
      </w:r>
      <w:r>
        <w:t xml:space="preserve">day timeframe, the Media Bureau will issue a public notice </w:t>
      </w:r>
      <w:r w:rsidR="005924E1">
        <w:t>identifying all franchising authorities that filed a revised Form 328 as well as those franchising authorities that are party to a pending opposed Effective Competition</w:t>
      </w:r>
      <w:r w:rsidR="003C228C">
        <w:t xml:space="preserve"> petition</w:t>
      </w:r>
      <w:r w:rsidR="0075508F">
        <w:t xml:space="preserve"> or a pending opposed or unopposed petition for reconsideration of certification, petition for reconsideration of an Effective Competition decision, or application for review of an Effective Competition decision</w:t>
      </w:r>
      <w:r w:rsidR="003C228C">
        <w:t>.</w:t>
      </w:r>
      <w:r w:rsidR="005924E1">
        <w:t xml:space="preserve">  </w:t>
      </w:r>
      <w:r w:rsidR="003C228C">
        <w:t xml:space="preserve">The public notice will </w:t>
      </w:r>
      <w:r>
        <w:t>stat</w:t>
      </w:r>
      <w:r w:rsidR="003C228C">
        <w:t>e the Media Bureau’s</w:t>
      </w:r>
      <w:r>
        <w:t xml:space="preserve"> finding of Competing Provider Effective Competition applicable to all </w:t>
      </w:r>
      <w:r w:rsidR="005924E1">
        <w:t xml:space="preserve">other </w:t>
      </w:r>
      <w:r w:rsidR="003C228C">
        <w:t xml:space="preserve">currently </w:t>
      </w:r>
      <w:r>
        <w:t xml:space="preserve">certified franchising authorities.  Where </w:t>
      </w:r>
      <w:r w:rsidR="003C228C">
        <w:t>currently</w:t>
      </w:r>
      <w:r>
        <w:t xml:space="preserve"> certified franchising authorities file revised Form 328, their certifications will remain valid unless and until the Media Bureau issues a decision denying the new certification request.  If a </w:t>
      </w:r>
      <w:r w:rsidR="003C228C">
        <w:t>currently</w:t>
      </w:r>
      <w:r>
        <w:t xml:space="preserve"> certified franchising authority files revised Form 328 and there is a pending cable operator Effective Competition petition</w:t>
      </w:r>
      <w:r w:rsidR="005924E1">
        <w:t>, petition for reconsideration of certification,</w:t>
      </w:r>
      <w:r w:rsidR="0075508F">
        <w:t xml:space="preserve"> petition for reconsideration of an Effective Competition decision,</w:t>
      </w:r>
      <w:r w:rsidR="005924E1">
        <w:t xml:space="preserve"> or application for review of </w:t>
      </w:r>
      <w:r w:rsidR="0075508F">
        <w:t>an Effective Competition decision</w:t>
      </w:r>
      <w:r w:rsidR="003C228C">
        <w:t xml:space="preserve"> applicable to the franchise area</w:t>
      </w:r>
      <w:r>
        <w:t xml:space="preserve">, the Media Bureau will consider the record from that </w:t>
      </w:r>
      <w:r w:rsidR="003C228C">
        <w:t>filing</w:t>
      </w:r>
      <w:r>
        <w:t xml:space="preserve"> along with the new certification in making its determination</w:t>
      </w:r>
      <w:r w:rsidR="005924E1">
        <w:t xml:space="preserve"> regarding whether the franchising authority has overcome the presumption of Competing Provider Effective Competition</w:t>
      </w:r>
      <w:r>
        <w:t>.</w:t>
      </w:r>
      <w:r w:rsidR="00085973">
        <w:rPr>
          <w:rStyle w:val="FootnoteReference"/>
        </w:rPr>
        <w:footnoteReference w:id="196"/>
      </w:r>
      <w:r>
        <w:t xml:space="preserve">  If a pending </w:t>
      </w:r>
      <w:r w:rsidR="00075C40">
        <w:t>proceeding</w:t>
      </w:r>
      <w:r>
        <w:t xml:space="preserve"> involves a franchising authority that does not file revised Form 328 during the 90</w:t>
      </w:r>
      <w:r w:rsidR="00BC5B9E">
        <w:t>-</w:t>
      </w:r>
      <w:r>
        <w:t>day timeframe</w:t>
      </w:r>
      <w:r w:rsidR="00BC5B9E">
        <w:t xml:space="preserve"> but </w:t>
      </w:r>
      <w:r w:rsidR="00075C40">
        <w:t>either (i) the proceeding is a</w:t>
      </w:r>
      <w:r w:rsidR="008A793C">
        <w:t>n opposed</w:t>
      </w:r>
      <w:r w:rsidR="00075C40">
        <w:t xml:space="preserve"> cable operator Effective Competition petition, or (ii) the proceeding is a petition for reconsideration of certification, petition for reconsideration of an Effective Competition decision, or application for review of an Effective Competition decision, then</w:t>
      </w:r>
      <w:r>
        <w:t xml:space="preserve"> the Media Bureau </w:t>
      </w:r>
      <w:r w:rsidR="00085973">
        <w:t xml:space="preserve">or the Commission </w:t>
      </w:r>
      <w:r>
        <w:t xml:space="preserve">will adjudicate </w:t>
      </w:r>
      <w:r w:rsidR="00085973">
        <w:t xml:space="preserve">the </w:t>
      </w:r>
      <w:r>
        <w:t>pending p</w:t>
      </w:r>
      <w:r w:rsidR="003C228C">
        <w:t>roceeding</w:t>
      </w:r>
      <w:r>
        <w:t xml:space="preserve"> based on the record before it.  With regard to pending </w:t>
      </w:r>
      <w:r w:rsidRPr="00DB5A7E">
        <w:rPr>
          <w:i/>
        </w:rPr>
        <w:t>unopposed</w:t>
      </w:r>
      <w:r>
        <w:t xml:space="preserve"> </w:t>
      </w:r>
      <w:r w:rsidR="00075C40">
        <w:t xml:space="preserve">cable operator Effective Competition </w:t>
      </w:r>
      <w:r>
        <w:t>petitions</w:t>
      </w:r>
      <w:r w:rsidR="003C228C">
        <w:t xml:space="preserve"> </w:t>
      </w:r>
      <w:r w:rsidR="00A42D75">
        <w:t>where the franchising authority does not file revised Form 328</w:t>
      </w:r>
      <w:r>
        <w:t xml:space="preserve">, the Media Bureau will </w:t>
      </w:r>
      <w:r w:rsidR="00634D46">
        <w:t xml:space="preserve">issue a public notice granting </w:t>
      </w:r>
      <w:r w:rsidR="00075C40">
        <w:t>the</w:t>
      </w:r>
      <w:r w:rsidR="00634D46">
        <w:t xml:space="preserve"> petitions</w:t>
      </w:r>
      <w:r w:rsidR="00BC5B9E">
        <w:t xml:space="preserve"> based on a finding of Competing Provider Effective Competition</w:t>
      </w:r>
      <w:r w:rsidR="00634D46">
        <w:t>.</w:t>
      </w:r>
    </w:p>
    <w:p w14:paraId="5DD8F351" w14:textId="77777777" w:rsidR="00B92DCC" w:rsidRPr="003A40E2" w:rsidRDefault="00B92DCC" w:rsidP="00B92DCC">
      <w:pPr>
        <w:pStyle w:val="Heading2"/>
      </w:pPr>
      <w:bookmarkStart w:id="324" w:name="_Toc396298484"/>
      <w:bookmarkStart w:id="325" w:name="_Toc402525587"/>
      <w:bookmarkStart w:id="326" w:name="_Toc404083782"/>
      <w:bookmarkStart w:id="327" w:name="_Toc404594704"/>
      <w:bookmarkStart w:id="328" w:name="_Toc407963516"/>
      <w:bookmarkStart w:id="329" w:name="_Toc408297261"/>
      <w:bookmarkStart w:id="330" w:name="_Toc411603985"/>
      <w:bookmarkStart w:id="331" w:name="_Toc414027018"/>
      <w:bookmarkStart w:id="332" w:name="_Toc414969765"/>
      <w:bookmarkStart w:id="333" w:name="_Toc415493402"/>
      <w:bookmarkStart w:id="334" w:name="_Toc418166686"/>
      <w:bookmarkStart w:id="335" w:name="_Toc418498913"/>
      <w:bookmarkStart w:id="336" w:name="_Toc418677564"/>
      <w:bookmarkStart w:id="337" w:name="_Toc418753409"/>
      <w:bookmarkStart w:id="338" w:name="_Toc419276624"/>
      <w:r w:rsidRPr="003A40E2">
        <w:t>Steps Taken to Minimize Significant Ec</w:t>
      </w:r>
      <w:r w:rsidR="003E227C" w:rsidRPr="003A40E2">
        <w:t>onomic Impact on Small Entities</w:t>
      </w:r>
      <w:r w:rsidRPr="003A40E2">
        <w:t xml:space="preserve"> and Significant Alternatives Considered</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66FB59B1" w14:textId="34E4A96B" w:rsidR="00B92DCC" w:rsidRPr="003A40E2" w:rsidRDefault="00B92DCC" w:rsidP="00B92DCC">
      <w:pPr>
        <w:pStyle w:val="ParaNum"/>
      </w:pPr>
      <w:r w:rsidRPr="003A40E2">
        <w:t>The RFA requires an agen</w:t>
      </w:r>
      <w:r w:rsidR="00716220" w:rsidRPr="003A40E2">
        <w:t xml:space="preserve">cy to describe any significant </w:t>
      </w:r>
      <w:r w:rsidRPr="003A40E2">
        <w:t>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sidRPr="003A40E2">
        <w:rPr>
          <w:rStyle w:val="FootnoteReference"/>
          <w:szCs w:val="22"/>
        </w:rPr>
        <w:footnoteReference w:id="197"/>
      </w:r>
      <w:r w:rsidR="003A40E2" w:rsidRPr="003A40E2">
        <w:t xml:space="preserve">  The NPRM invited comment on </w:t>
      </w:r>
      <w:r w:rsidR="003A40E2">
        <w:t>the benefits and burdens of the approach we adopt herein on all entities, including small entities.</w:t>
      </w:r>
      <w:r w:rsidR="003A40E2">
        <w:rPr>
          <w:rStyle w:val="FootnoteReference"/>
        </w:rPr>
        <w:footnoteReference w:id="198"/>
      </w:r>
    </w:p>
    <w:p w14:paraId="4B25AA5E" w14:textId="0FDE3C44" w:rsidR="003A40E2" w:rsidRDefault="00716220" w:rsidP="002010C5">
      <w:pPr>
        <w:pStyle w:val="ParaNum"/>
      </w:pPr>
      <w:r w:rsidRPr="003A40E2">
        <w:t xml:space="preserve">Overall, </w:t>
      </w:r>
      <w:r w:rsidR="00C523C1">
        <w:t xml:space="preserve">we expect that </w:t>
      </w:r>
      <w:r w:rsidR="00EE17F0" w:rsidRPr="003A40E2">
        <w:t xml:space="preserve">the </w:t>
      </w:r>
      <w:r w:rsidR="003A40E2" w:rsidRPr="003A40E2">
        <w:t xml:space="preserve">approach the </w:t>
      </w:r>
      <w:r w:rsidR="00EE17F0" w:rsidRPr="003A40E2">
        <w:t xml:space="preserve">Commission </w:t>
      </w:r>
      <w:r w:rsidR="002010C5" w:rsidRPr="003A40E2">
        <w:t>adopt</w:t>
      </w:r>
      <w:r w:rsidR="003A40E2" w:rsidRPr="003A40E2">
        <w:t>s today</w:t>
      </w:r>
      <w:r w:rsidR="00EE17F0" w:rsidRPr="003A40E2">
        <w:t xml:space="preserve"> will</w:t>
      </w:r>
      <w:r w:rsidRPr="003A40E2">
        <w:t xml:space="preserve"> lessen the number of </w:t>
      </w:r>
      <w:r w:rsidR="00D91FC9">
        <w:t>E</w:t>
      </w:r>
      <w:r w:rsidRPr="003A40E2">
        <w:t xml:space="preserve">ffective </w:t>
      </w:r>
      <w:r w:rsidR="00D91FC9">
        <w:t>C</w:t>
      </w:r>
      <w:r w:rsidRPr="003A40E2">
        <w:t xml:space="preserve">ompetition determinations addressed by the Commission and thus </w:t>
      </w:r>
      <w:r w:rsidR="008C3A99">
        <w:t>will</w:t>
      </w:r>
      <w:r w:rsidRPr="003A40E2">
        <w:t xml:space="preserve"> reduce regulatory burdens</w:t>
      </w:r>
      <w:r w:rsidR="007262D8" w:rsidRPr="003A40E2">
        <w:t xml:space="preserve"> on cable operators, and </w:t>
      </w:r>
      <w:r w:rsidR="003A40E2" w:rsidRPr="003A40E2">
        <w:t>will</w:t>
      </w:r>
      <w:r w:rsidR="007262D8" w:rsidRPr="003A40E2">
        <w:t xml:space="preserve"> more efficiently allocate the Commission’s resources</w:t>
      </w:r>
      <w:r w:rsidRPr="003A40E2">
        <w:t>.</w:t>
      </w:r>
      <w:r w:rsidR="002010C5" w:rsidRPr="003A40E2">
        <w:t xml:space="preserve">  </w:t>
      </w:r>
      <w:r w:rsidR="003A40E2">
        <w:t>In paragraph 2</w:t>
      </w:r>
      <w:r w:rsidR="00807F32">
        <w:t>5</w:t>
      </w:r>
      <w:r w:rsidR="003A40E2">
        <w:t xml:space="preserve"> of the Order, the Commission finds that the new rules and procedures will create an </w:t>
      </w:r>
      <w:r w:rsidR="00D91FC9">
        <w:t>E</w:t>
      </w:r>
      <w:r w:rsidR="003A40E2">
        <w:t xml:space="preserve">ffective </w:t>
      </w:r>
      <w:r w:rsidR="00D91FC9">
        <w:t>C</w:t>
      </w:r>
      <w:r w:rsidR="003A40E2">
        <w:t xml:space="preserve">ompetition process that is </w:t>
      </w:r>
      <w:r w:rsidR="008C3A99">
        <w:t>more efficient</w:t>
      </w:r>
      <w:r w:rsidR="003A40E2">
        <w:t xml:space="preserve"> for cable operators, </w:t>
      </w:r>
      <w:r w:rsidR="008229ED">
        <w:t xml:space="preserve">especially small cable operators, </w:t>
      </w:r>
      <w:r w:rsidR="008C3A99">
        <w:t>since they will not be required to file petitions for a determination of Effective Competition in the first instance</w:t>
      </w:r>
      <w:r w:rsidR="003A40E2">
        <w:t>.</w:t>
      </w:r>
      <w:r w:rsidR="008229ED">
        <w:t xml:space="preserve">  The Commission explains the significant costs imposed on cable operators by the current Effective Competition process, and it explains how the new presumption will alleviate those costs.</w:t>
      </w:r>
    </w:p>
    <w:p w14:paraId="6A225DB1" w14:textId="5DC0277B" w:rsidR="003A40E2" w:rsidRDefault="003A40E2" w:rsidP="003A40E2">
      <w:pPr>
        <w:pStyle w:val="ParaNum"/>
      </w:pPr>
      <w:r>
        <w:t>In paragraph 2</w:t>
      </w:r>
      <w:r w:rsidR="00807F32">
        <w:t>6</w:t>
      </w:r>
      <w:r>
        <w:t xml:space="preserve"> of the Order, the Commission discusses the </w:t>
      </w:r>
      <w:r w:rsidR="008C3A99">
        <w:t>impact of the new rules and procedures</w:t>
      </w:r>
      <w:r>
        <w:t xml:space="preserve"> on franchising authorities, including small franchising authorities.  The Commission concludes that the burdens of filing revised Form 328 are justified</w:t>
      </w:r>
      <w:r w:rsidR="008C3A99">
        <w:t xml:space="preserve"> by the efficiency gained by conforming the presumption to </w:t>
      </w:r>
      <w:r w:rsidR="00C523C1">
        <w:t>marketplace</w:t>
      </w:r>
      <w:r w:rsidR="008C3A99">
        <w:t xml:space="preserve"> realit</w:t>
      </w:r>
      <w:r w:rsidR="00C523C1">
        <w:t>ies</w:t>
      </w:r>
      <w:r>
        <w:t xml:space="preserve">.  </w:t>
      </w:r>
      <w:r w:rsidR="004409B9">
        <w:t xml:space="preserve">The Commission also </w:t>
      </w:r>
      <w:r w:rsidR="00C523C1">
        <w:t>anticipates</w:t>
      </w:r>
      <w:r w:rsidR="004409B9">
        <w:t xml:space="preserve"> that few franchising authorities will </w:t>
      </w:r>
      <w:r w:rsidR="00C523C1">
        <w:t xml:space="preserve">have a basis for </w:t>
      </w:r>
      <w:r w:rsidR="004409B9">
        <w:t>fil</w:t>
      </w:r>
      <w:r w:rsidR="00C523C1">
        <w:t>ing a</w:t>
      </w:r>
      <w:r w:rsidR="004409B9">
        <w:t xml:space="preserve"> revised </w:t>
      </w:r>
      <w:r w:rsidR="00C523C1">
        <w:t>F</w:t>
      </w:r>
      <w:r w:rsidR="004409B9">
        <w:t xml:space="preserve">orm </w:t>
      </w:r>
      <w:r w:rsidR="00C523C1">
        <w:t xml:space="preserve">328 demonstrating a lack of Competing Provider Effective Competition </w:t>
      </w:r>
      <w:r w:rsidR="004409B9">
        <w:t>as a result of the pre</w:t>
      </w:r>
      <w:r w:rsidR="00C523C1">
        <w:t>sence</w:t>
      </w:r>
      <w:r w:rsidR="004409B9">
        <w:t xml:space="preserve"> of Effective Competition</w:t>
      </w:r>
      <w:r w:rsidR="00C523C1">
        <w:t xml:space="preserve"> in the vast majority of franchise areas</w:t>
      </w:r>
      <w:r w:rsidR="004409B9">
        <w:t>.  In addition, the Commission states that it has ensured that franchising authorities will have access to the information needed to demonstrate a lack of Competing Provider Effective Competition.</w:t>
      </w:r>
      <w:r w:rsidR="00807F32">
        <w:rPr>
          <w:rStyle w:val="FootnoteReference"/>
        </w:rPr>
        <w:footnoteReference w:id="199"/>
      </w:r>
      <w:r w:rsidR="004409B9">
        <w:t xml:space="preserve">  Overall</w:t>
      </w:r>
      <w:r w:rsidRPr="003A40E2">
        <w:t xml:space="preserve">, the costs to franchising authorities will be outweighed by the significant cost-saving benefits of a presumption that is consistent with </w:t>
      </w:r>
      <w:r w:rsidR="00C523C1">
        <w:t>market data showing that</w:t>
      </w:r>
      <w:r w:rsidR="008C3A99">
        <w:t xml:space="preserve"> the vast majority of </w:t>
      </w:r>
      <w:r w:rsidR="00C523C1">
        <w:t xml:space="preserve">communities </w:t>
      </w:r>
      <w:r w:rsidR="00A72C11">
        <w:t>would satisfy</w:t>
      </w:r>
      <w:r w:rsidR="006C7255">
        <w:t xml:space="preserve"> the </w:t>
      </w:r>
      <w:r w:rsidR="00C523C1">
        <w:t xml:space="preserve">Competing Provider </w:t>
      </w:r>
      <w:r w:rsidR="008C3A99">
        <w:t>Effective Competition</w:t>
      </w:r>
      <w:r w:rsidR="006C7255">
        <w:t xml:space="preserve"> standard</w:t>
      </w:r>
      <w:r w:rsidRPr="003A40E2">
        <w:t xml:space="preserve">.  </w:t>
      </w:r>
      <w:r w:rsidR="00C523C1">
        <w:t>Th</w:t>
      </w:r>
      <w:r w:rsidR="007C4F00">
        <w:t xml:space="preserve">e Commission states that it will monitor the marketplace to determine whether the burdens of filing </w:t>
      </w:r>
      <w:r w:rsidR="00C523C1">
        <w:t xml:space="preserve">a </w:t>
      </w:r>
      <w:r w:rsidR="007C4F00">
        <w:t xml:space="preserve">revised Form 328 are dissuading franchising authorities from filing, and if so, it will </w:t>
      </w:r>
      <w:r w:rsidR="008E03D5">
        <w:t>reconsider whether changes should be made to reduce their costs</w:t>
      </w:r>
      <w:r w:rsidR="007C4F00">
        <w:t>.</w:t>
      </w:r>
    </w:p>
    <w:p w14:paraId="1B17EE8F" w14:textId="5BBAAA7C" w:rsidR="007C4F00" w:rsidRPr="003A40E2" w:rsidRDefault="007C4F00" w:rsidP="003A40E2">
      <w:pPr>
        <w:pStyle w:val="ParaNum"/>
      </w:pPr>
      <w:r>
        <w:t xml:space="preserve">Finally, we note that the Commission considered alternate means to implement section 111 of STELAR.  After evaluating all of the alternate proposals set forth in the record, </w:t>
      </w:r>
      <w:r w:rsidR="004F3A76">
        <w:t xml:space="preserve">in paragraph 16 </w:t>
      </w:r>
      <w:r>
        <w:t>the Commission conclude</w:t>
      </w:r>
      <w:r w:rsidR="00452F64">
        <w:t>s</w:t>
      </w:r>
      <w:r>
        <w:t xml:space="preserve"> that while some </w:t>
      </w:r>
      <w:r w:rsidR="004F3A76">
        <w:t xml:space="preserve">proposals </w:t>
      </w:r>
      <w:r>
        <w:t>are already implemented, others would not have a sufficient impact on the costs that burden cable operators</w:t>
      </w:r>
      <w:r w:rsidR="004F3A76">
        <w:t>, particularly small cable operators,</w:t>
      </w:r>
      <w:r>
        <w:t xml:space="preserve"> under the existing Effective Competition regime.  Accordingly, the Commission has concluded that adopting a rebuttable presumption of Competing Provider Effective Competition is the best approach to streamline the process for small cable operators.</w:t>
      </w:r>
    </w:p>
    <w:p w14:paraId="27E9A6FF" w14:textId="77777777" w:rsidR="00B92DCC" w:rsidRPr="003A40E2" w:rsidRDefault="00B92DCC" w:rsidP="00B92DCC">
      <w:pPr>
        <w:pStyle w:val="Heading2"/>
      </w:pPr>
      <w:bookmarkStart w:id="339" w:name="_Toc290902743"/>
      <w:bookmarkStart w:id="340" w:name="_Toc290985345"/>
      <w:bookmarkStart w:id="341" w:name="_Toc395525836"/>
      <w:bookmarkStart w:id="342" w:name="_Toc395533586"/>
      <w:bookmarkStart w:id="343" w:name="_Toc395688834"/>
      <w:bookmarkStart w:id="344" w:name="_Toc396124457"/>
      <w:bookmarkStart w:id="345" w:name="_Toc396136535"/>
      <w:bookmarkStart w:id="346" w:name="_Toc396213567"/>
      <w:bookmarkStart w:id="347" w:name="_Toc396298485"/>
      <w:bookmarkStart w:id="348" w:name="_Toc402525588"/>
      <w:bookmarkStart w:id="349" w:name="_Toc404083783"/>
      <w:bookmarkStart w:id="350" w:name="_Toc404594705"/>
      <w:bookmarkStart w:id="351" w:name="_Toc407963517"/>
      <w:bookmarkStart w:id="352" w:name="_Toc408297262"/>
      <w:bookmarkStart w:id="353" w:name="_Toc411603986"/>
      <w:bookmarkStart w:id="354" w:name="_Toc414027019"/>
      <w:bookmarkStart w:id="355" w:name="_Toc414969766"/>
      <w:bookmarkStart w:id="356" w:name="_Toc415493403"/>
      <w:bookmarkStart w:id="357" w:name="_Toc418166687"/>
      <w:bookmarkStart w:id="358" w:name="_Toc418498914"/>
      <w:bookmarkStart w:id="359" w:name="_Toc418677565"/>
      <w:bookmarkStart w:id="360" w:name="_Toc418753410"/>
      <w:bookmarkStart w:id="361" w:name="_Toc419276625"/>
      <w:r w:rsidRPr="003A40E2">
        <w:t>Federal Rules that May Duplicate, Overlap, or Conflict With the Proposed Rule</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49B84AEB" w14:textId="77777777" w:rsidR="00B92DCC" w:rsidRDefault="00B92DCC" w:rsidP="002B2095">
      <w:pPr>
        <w:pStyle w:val="ParaNum"/>
      </w:pPr>
      <w:r w:rsidRPr="003A40E2">
        <w:t xml:space="preserve"> None.</w:t>
      </w:r>
    </w:p>
    <w:p w14:paraId="4A6A6A55" w14:textId="531141D1" w:rsidR="003A40E2" w:rsidRDefault="003A40E2" w:rsidP="003A40E2">
      <w:pPr>
        <w:pStyle w:val="Heading2"/>
      </w:pPr>
      <w:bookmarkStart w:id="362" w:name="_Toc415493404"/>
      <w:bookmarkStart w:id="363" w:name="_Toc418166688"/>
      <w:bookmarkStart w:id="364" w:name="_Toc418498915"/>
      <w:bookmarkStart w:id="365" w:name="_Toc418677566"/>
      <w:bookmarkStart w:id="366" w:name="_Toc418753411"/>
      <w:bookmarkStart w:id="367" w:name="_Toc419276626"/>
      <w:r>
        <w:t>Report to Congress</w:t>
      </w:r>
      <w:bookmarkEnd w:id="362"/>
      <w:bookmarkEnd w:id="363"/>
      <w:bookmarkEnd w:id="364"/>
      <w:bookmarkEnd w:id="365"/>
      <w:bookmarkEnd w:id="366"/>
      <w:bookmarkEnd w:id="367"/>
    </w:p>
    <w:p w14:paraId="6F7E15A5" w14:textId="79EF09E0" w:rsidR="00F46996" w:rsidRDefault="003A40E2" w:rsidP="003A40E2">
      <w:pPr>
        <w:pStyle w:val="ParaNum"/>
      </w:pPr>
      <w:r>
        <w:t>The Commission will send a copy of the Order, including this FRFA, in a report to be sent to Congress pursuant to the Congressional Review Act.</w:t>
      </w:r>
      <w:r w:rsidR="00194CB2">
        <w:rPr>
          <w:rStyle w:val="FootnoteReference"/>
        </w:rPr>
        <w:footnoteReference w:id="200"/>
      </w:r>
      <w:r>
        <w:t xml:space="preserve"> </w:t>
      </w:r>
      <w:r w:rsidR="00194CB2">
        <w:t xml:space="preserve"> </w:t>
      </w:r>
      <w:r>
        <w:t xml:space="preserve">In addition, the Commission will send a copy of the Order, including this FRFA, to the Chief Counsel for Advocacy of the SBA. </w:t>
      </w:r>
      <w:r w:rsidR="00194CB2">
        <w:t xml:space="preserve"> Th</w:t>
      </w:r>
      <w:r>
        <w:t>e Order and FRFA (or summaries thereof) will also be publi</w:t>
      </w:r>
      <w:r w:rsidR="00194CB2">
        <w:t>shed in the Federal Register.</w:t>
      </w:r>
      <w:r w:rsidR="00194CB2">
        <w:rPr>
          <w:rStyle w:val="FootnoteReference"/>
        </w:rPr>
        <w:footnoteReference w:id="201"/>
      </w:r>
    </w:p>
    <w:p w14:paraId="625ACC16" w14:textId="77777777" w:rsidR="00F46996" w:rsidRDefault="00F46996">
      <w:pPr>
        <w:widowControl/>
      </w:pPr>
      <w:r>
        <w:br w:type="page"/>
      </w:r>
    </w:p>
    <w:p w14:paraId="08FB2540" w14:textId="77777777" w:rsidR="00E51A65" w:rsidRPr="001C6D3A" w:rsidRDefault="00E51A65" w:rsidP="00E51A65">
      <w:pPr>
        <w:autoSpaceDE w:val="0"/>
        <w:autoSpaceDN w:val="0"/>
        <w:adjustRightInd w:val="0"/>
        <w:jc w:val="center"/>
        <w:rPr>
          <w:b/>
          <w:bCs/>
        </w:rPr>
      </w:pPr>
      <w:r w:rsidRPr="001C6D3A">
        <w:rPr>
          <w:b/>
          <w:bCs/>
        </w:rPr>
        <w:t>STATEMENT OF</w:t>
      </w:r>
    </w:p>
    <w:p w14:paraId="25D0B668" w14:textId="77777777" w:rsidR="00E51A65" w:rsidRDefault="00E51A65" w:rsidP="00E51A65">
      <w:pPr>
        <w:jc w:val="center"/>
        <w:rPr>
          <w:b/>
          <w:bCs/>
        </w:rPr>
      </w:pPr>
      <w:r w:rsidRPr="001C6D3A">
        <w:rPr>
          <w:b/>
          <w:bCs/>
        </w:rPr>
        <w:t>CHAIRMAN TOM WHEELER</w:t>
      </w:r>
    </w:p>
    <w:p w14:paraId="52F2896C" w14:textId="77777777" w:rsidR="00E51A65" w:rsidRDefault="00E51A65" w:rsidP="00E51A65">
      <w:pPr>
        <w:jc w:val="center"/>
        <w:rPr>
          <w:b/>
          <w:bCs/>
        </w:rPr>
      </w:pPr>
    </w:p>
    <w:p w14:paraId="3D8EE5AD" w14:textId="77777777" w:rsidR="00E51A65" w:rsidRPr="00DF7D0C" w:rsidRDefault="00E51A65" w:rsidP="00E51A65">
      <w:pPr>
        <w:ind w:left="720" w:hanging="720"/>
      </w:pPr>
      <w:r w:rsidRPr="00DF7D0C">
        <w:t>Re:</w:t>
      </w:r>
      <w:r w:rsidRPr="00DF7D0C">
        <w:tab/>
      </w:r>
      <w:r w:rsidRPr="00DF7D0C">
        <w:rPr>
          <w:i/>
        </w:rPr>
        <w:t>Amendment to the Commission’s Rules Concerning Effective Competition; Implementation of Section 111 of the STELA Reauthorization Act</w:t>
      </w:r>
      <w:r w:rsidRPr="00DF7D0C">
        <w:t>, MB Docket No. 15-53.</w:t>
      </w:r>
    </w:p>
    <w:p w14:paraId="2E0DF7D7" w14:textId="77777777" w:rsidR="00E51A65" w:rsidRPr="001C6D3A" w:rsidRDefault="00E51A65" w:rsidP="00E51A65">
      <w:pPr>
        <w:jc w:val="center"/>
        <w:rPr>
          <w:rFonts w:eastAsia="Calibri"/>
          <w:b/>
          <w:bCs/>
        </w:rPr>
      </w:pPr>
    </w:p>
    <w:p w14:paraId="68E9AC59" w14:textId="77777777" w:rsidR="00E51A65" w:rsidRPr="001C6D3A" w:rsidRDefault="00E51A65" w:rsidP="00E51A65">
      <w:pPr>
        <w:jc w:val="center"/>
        <w:rPr>
          <w:rFonts w:eastAsia="Calibri"/>
          <w:color w:val="1F497D"/>
        </w:rPr>
      </w:pPr>
      <w:r w:rsidRPr="001C6D3A">
        <w:rPr>
          <w:rFonts w:eastAsia="Calibri"/>
          <w:b/>
          <w:bCs/>
        </w:rPr>
        <w:t>Where There is “Competition, Competition, Competition,” the Need for Cable Rate Regulation is Diminished</w:t>
      </w:r>
    </w:p>
    <w:p w14:paraId="6785C9D7" w14:textId="77777777" w:rsidR="00E51A65" w:rsidRDefault="00E51A65" w:rsidP="00E51A65">
      <w:pPr>
        <w:ind w:firstLine="720"/>
      </w:pPr>
    </w:p>
    <w:p w14:paraId="129D3272" w14:textId="39C74A86" w:rsidR="00E51A65" w:rsidRDefault="00E51A65" w:rsidP="00E51A65">
      <w:pPr>
        <w:ind w:firstLine="720"/>
      </w:pPr>
      <w:r w:rsidRPr="001C6D3A">
        <w:t>In the Cable Television Consumer Protection and Compe</w:t>
      </w:r>
      <w:r w:rsidR="005162EC">
        <w:t>ti</w:t>
      </w:r>
      <w:r w:rsidRPr="001C6D3A">
        <w:t xml:space="preserve">tion Act of 1992, Congress instructed that where “Effective Competition” existed among pay-TV providers, such competition was preferable to using local rate regulation to protect consumers.  Congress determined that Effective Competition existed in communities where there are more than one pay-tv provider in the market serving more than 15 percent of the community. </w:t>
      </w:r>
    </w:p>
    <w:p w14:paraId="6381D26C" w14:textId="77777777" w:rsidR="00E51A65" w:rsidRPr="001C6D3A" w:rsidRDefault="00E51A65" w:rsidP="00E51A65">
      <w:pPr>
        <w:ind w:firstLine="720"/>
      </w:pPr>
    </w:p>
    <w:p w14:paraId="33A50420" w14:textId="77777777" w:rsidR="00E51A65" w:rsidRDefault="00E51A65" w:rsidP="00E51A65">
      <w:pPr>
        <w:ind w:firstLine="720"/>
      </w:pPr>
      <w:r w:rsidRPr="001C6D3A">
        <w:t>Under the Act, pay-tv providers may petition the FCC to determine if Effective C</w:t>
      </w:r>
      <w:r>
        <w:t>ompetition exists</w:t>
      </w:r>
      <w:r w:rsidRPr="001C6D3A">
        <w:t xml:space="preserve">, relieving them from basic service tier rate regulation. This is a costly process for small and large operators, and resource-intensive for the Commission. Since 1992, the Commission has found that “Effective Competition” exists in more than 10,000 communities under Congress’s standard. Recently, the FCC has confirmed the presence of Effective Competition in more than 99.5 percent of the communities evaluated. These include the majority of communities served by cable systems with over 5,000 subscribers. </w:t>
      </w:r>
    </w:p>
    <w:p w14:paraId="06725B52" w14:textId="77777777" w:rsidR="00E51A65" w:rsidRPr="001C6D3A" w:rsidRDefault="00E51A65" w:rsidP="00E51A65">
      <w:pPr>
        <w:ind w:firstLine="720"/>
      </w:pPr>
    </w:p>
    <w:p w14:paraId="5C9C08C1" w14:textId="77777777" w:rsidR="00E51A65" w:rsidRDefault="00E51A65" w:rsidP="00E51A65">
      <w:pPr>
        <w:ind w:firstLine="720"/>
      </w:pPr>
      <w:r w:rsidRPr="001C6D3A">
        <w:t>In the more than twenty years since Congress’s 1992 instructions, competition in the video marketplace has increased dramatically. Direct broadcast satellite (DBS) providers, like DIRECTV and DISH Network, now have a ubiquitous nationwide presence providing competition in virtually all markets. This is in addition to the competition increasingly being provided by other pay –TV providers.  It should, therefore, come as no surprise that the Commission found, in almost all cases, that Effective Competition did exist and that most cable operators who petitioned the FCC met the statutory test. Where there is “Competition, Competition, Competition,” the need for basic service tier rate regulation is diminished.</w:t>
      </w:r>
    </w:p>
    <w:p w14:paraId="6C260359" w14:textId="77777777" w:rsidR="00E51A65" w:rsidRPr="001C6D3A" w:rsidRDefault="00E51A65" w:rsidP="00E51A65">
      <w:pPr>
        <w:ind w:firstLine="720"/>
      </w:pPr>
    </w:p>
    <w:p w14:paraId="6908B8BD" w14:textId="77777777" w:rsidR="00E51A65" w:rsidRDefault="00E51A65" w:rsidP="00E51A65">
      <w:pPr>
        <w:ind w:firstLine="720"/>
      </w:pPr>
      <w:r w:rsidRPr="001C6D3A">
        <w:t xml:space="preserve">Last year, the STELA Reauthorization Act further instructed the Commission to make it easier for small cable operators to petition the FCC to determine Effective Competition in their markets.  The size of the cable system, however, bears little relationship to whether it has Effective Competition. Thus, it is only appropriate for the Commission to adopt a process that reflects the reality that Effective Competition exists throughout the nation, and provides relief to operators both large and small. </w:t>
      </w:r>
    </w:p>
    <w:p w14:paraId="095B4DC5" w14:textId="77777777" w:rsidR="00E51A65" w:rsidRPr="001C6D3A" w:rsidRDefault="00E51A65" w:rsidP="00E51A65">
      <w:pPr>
        <w:ind w:firstLine="720"/>
      </w:pPr>
    </w:p>
    <w:p w14:paraId="0EA428B1" w14:textId="77777777" w:rsidR="00E51A65" w:rsidRDefault="00E51A65" w:rsidP="00E51A65">
      <w:pPr>
        <w:ind w:firstLine="720"/>
      </w:pPr>
      <w:r w:rsidRPr="001C6D3A">
        <w:t xml:space="preserve">For the last several years, we have been able to watch real world examples of what happens when cable rate regulation is removed.  In the thousands of cable systems subject to Effective Competition, we have a sizable cohort of real life examples, not hypotheses. Significantly, our most recent report on cable industry prices concludes that the average rate for basic service is lower in communities with a finding of Effective Competition than in those without such a finding.  This is not surprising since competitive choice is the most efficient market regulator. </w:t>
      </w:r>
    </w:p>
    <w:p w14:paraId="0EC3295B" w14:textId="77777777" w:rsidR="00E51A65" w:rsidRPr="001C6D3A" w:rsidRDefault="00E51A65" w:rsidP="00E51A65">
      <w:pPr>
        <w:ind w:firstLine="720"/>
      </w:pPr>
    </w:p>
    <w:p w14:paraId="4AB9D5B5" w14:textId="77777777" w:rsidR="00E51A65" w:rsidRDefault="00E51A65" w:rsidP="00E51A65">
      <w:pPr>
        <w:ind w:firstLine="720"/>
      </w:pPr>
      <w:r w:rsidRPr="001C6D3A">
        <w:t xml:space="preserve">Similarly, there has been no evidence in this proceeding to suggest that our previous findings of Effective Competition in thousands of communities led to any changes in the tier placement of local broadcast stations. </w:t>
      </w:r>
    </w:p>
    <w:p w14:paraId="701630AB" w14:textId="77777777" w:rsidR="00E51A65" w:rsidRPr="001C6D3A" w:rsidRDefault="00E51A65" w:rsidP="00E51A65">
      <w:pPr>
        <w:ind w:firstLine="720"/>
      </w:pPr>
    </w:p>
    <w:p w14:paraId="56485E90" w14:textId="77777777" w:rsidR="00E51A65" w:rsidRPr="001C6D3A" w:rsidRDefault="00E51A65" w:rsidP="00E51A65">
      <w:pPr>
        <w:widowControl/>
        <w:ind w:firstLine="720"/>
      </w:pPr>
      <w:r w:rsidRPr="001C6D3A">
        <w:t xml:space="preserve">This is our presumption: competition results in lower prices for consumers. However, any local franchising authority is free to come to the FCC and rebut this new presumption for its service area, and, where successful, regulate basic tier cable rates.  In addition, nothing in this Order affects other franchising authority responsibilities including the collection of franchise fees, provisions relating to PEG channels and I-Nets, and the creation and enforcement of customer service standards. </w:t>
      </w:r>
    </w:p>
    <w:p w14:paraId="3160A40A" w14:textId="77777777" w:rsidR="00E51A65" w:rsidRPr="001C6D3A" w:rsidRDefault="00E51A65" w:rsidP="00E51A65"/>
    <w:p w14:paraId="50544F9E" w14:textId="77777777" w:rsidR="00F46996" w:rsidRDefault="00F46996" w:rsidP="00F46996">
      <w:pPr>
        <w:pStyle w:val="ParaNum"/>
        <w:numPr>
          <w:ilvl w:val="0"/>
          <w:numId w:val="0"/>
        </w:numPr>
      </w:pPr>
    </w:p>
    <w:p w14:paraId="4D7F4241" w14:textId="77777777" w:rsidR="00F46996" w:rsidRDefault="00F46996" w:rsidP="00F46996">
      <w:pPr>
        <w:pStyle w:val="ParaNum"/>
        <w:numPr>
          <w:ilvl w:val="0"/>
          <w:numId w:val="0"/>
        </w:numPr>
      </w:pPr>
    </w:p>
    <w:p w14:paraId="261D99FF" w14:textId="77777777" w:rsidR="00F46996" w:rsidRDefault="00F46996" w:rsidP="00F46996">
      <w:pPr>
        <w:pStyle w:val="ParaNum"/>
        <w:numPr>
          <w:ilvl w:val="0"/>
          <w:numId w:val="0"/>
        </w:numPr>
      </w:pPr>
    </w:p>
    <w:p w14:paraId="58A99211" w14:textId="77777777" w:rsidR="00F46996" w:rsidRDefault="00F46996" w:rsidP="00F46996">
      <w:pPr>
        <w:pStyle w:val="ParaNum"/>
        <w:numPr>
          <w:ilvl w:val="0"/>
          <w:numId w:val="0"/>
        </w:numPr>
      </w:pPr>
    </w:p>
    <w:p w14:paraId="7C558C7C" w14:textId="77777777" w:rsidR="00F46996" w:rsidRDefault="00F46996" w:rsidP="00F46996">
      <w:pPr>
        <w:pStyle w:val="ParaNum"/>
        <w:numPr>
          <w:ilvl w:val="0"/>
          <w:numId w:val="0"/>
        </w:numPr>
      </w:pPr>
    </w:p>
    <w:p w14:paraId="78FB69FA" w14:textId="77777777" w:rsidR="00F46996" w:rsidRDefault="00F46996" w:rsidP="00F46996">
      <w:pPr>
        <w:pStyle w:val="ParaNum"/>
        <w:numPr>
          <w:ilvl w:val="0"/>
          <w:numId w:val="0"/>
        </w:numPr>
      </w:pPr>
    </w:p>
    <w:p w14:paraId="601DA29D" w14:textId="77777777" w:rsidR="00F46996" w:rsidRDefault="00F46996" w:rsidP="00F46996">
      <w:pPr>
        <w:pStyle w:val="ParaNum"/>
        <w:numPr>
          <w:ilvl w:val="0"/>
          <w:numId w:val="0"/>
        </w:numPr>
      </w:pPr>
    </w:p>
    <w:p w14:paraId="6BF4588B" w14:textId="17F5C1D6" w:rsidR="00F46996" w:rsidRDefault="00F46996">
      <w:pPr>
        <w:widowControl/>
      </w:pPr>
      <w:r>
        <w:br w:type="page"/>
      </w:r>
    </w:p>
    <w:p w14:paraId="77652853" w14:textId="77777777" w:rsidR="00DD0038" w:rsidRPr="00356450" w:rsidRDefault="00DD0038" w:rsidP="00DD0038">
      <w:pPr>
        <w:pStyle w:val="NoSpacing"/>
        <w:jc w:val="center"/>
        <w:rPr>
          <w:rFonts w:ascii="Times New Roman" w:hAnsi="Times New Roman" w:cs="Times New Roman"/>
          <w:b/>
        </w:rPr>
      </w:pPr>
      <w:r w:rsidRPr="00356450">
        <w:rPr>
          <w:rFonts w:ascii="Times New Roman" w:hAnsi="Times New Roman" w:cs="Times New Roman"/>
          <w:b/>
        </w:rPr>
        <w:t>STATEMENT OF</w:t>
      </w:r>
      <w:r w:rsidRPr="00356450">
        <w:rPr>
          <w:rFonts w:ascii="Times New Roman" w:hAnsi="Times New Roman" w:cs="Times New Roman"/>
          <w:b/>
        </w:rPr>
        <w:br/>
        <w:t>COMMISSIONER MIGNON L. CLYBURN</w:t>
      </w:r>
    </w:p>
    <w:p w14:paraId="7EC8F534" w14:textId="77777777" w:rsidR="00DD0038" w:rsidRPr="00356450" w:rsidRDefault="00DD0038" w:rsidP="00DD0038">
      <w:pPr>
        <w:pStyle w:val="NoSpacing"/>
        <w:jc w:val="center"/>
        <w:rPr>
          <w:rFonts w:ascii="Times New Roman" w:hAnsi="Times New Roman" w:cs="Times New Roman"/>
          <w:b/>
        </w:rPr>
      </w:pPr>
      <w:r w:rsidRPr="00356450">
        <w:rPr>
          <w:rFonts w:ascii="Times New Roman" w:hAnsi="Times New Roman" w:cs="Times New Roman"/>
          <w:b/>
        </w:rPr>
        <w:t>APPROVING IN PART, DISSENTING IN PART</w:t>
      </w:r>
    </w:p>
    <w:p w14:paraId="19276CB2" w14:textId="77777777" w:rsidR="00BB7817" w:rsidRPr="00146299" w:rsidRDefault="00BB7817" w:rsidP="00BB7817"/>
    <w:p w14:paraId="7358EEA8" w14:textId="77777777" w:rsidR="00E426EF" w:rsidRDefault="00E426EF" w:rsidP="00E426EF">
      <w:pPr>
        <w:ind w:left="720" w:hanging="720"/>
      </w:pPr>
      <w:r w:rsidRPr="00300878">
        <w:t>Re:</w:t>
      </w:r>
      <w:r w:rsidRPr="00300878">
        <w:tab/>
      </w:r>
      <w:r w:rsidRPr="00300878">
        <w:rPr>
          <w:i/>
        </w:rPr>
        <w:t>Amendment to the Commission’s Rules Concerning Effective Competition; Implementation of Section 111 of the STELA Reauthorization Act</w:t>
      </w:r>
      <w:r>
        <w:t>, MB Docket No. 15-53</w:t>
      </w:r>
      <w:r w:rsidRPr="00300878">
        <w:t>.</w:t>
      </w:r>
    </w:p>
    <w:p w14:paraId="6B2FD3E8" w14:textId="77777777" w:rsidR="00E426EF" w:rsidRDefault="00E426EF" w:rsidP="00BB7817"/>
    <w:p w14:paraId="1881B95D" w14:textId="77777777" w:rsidR="00BB7817" w:rsidRDefault="00BB7817" w:rsidP="00BB7817">
      <w:r w:rsidRPr="00146299">
        <w:t>In the STELA Reauthorization Act of 2014, Congress issued a clear mandate to provide administrative relief for small cable operators.  Today, while I approve steps to reduce burdens on smaller providers, I cannot support the broader relief proposed because it is not in line with Congress’s intent, it may harm consumers with increased prices and it unnecessarily burdens local franchising authorities.</w:t>
      </w:r>
    </w:p>
    <w:p w14:paraId="577F5E25" w14:textId="77777777" w:rsidR="00BB7817" w:rsidRPr="00146299" w:rsidRDefault="00BB7817" w:rsidP="00BB7817"/>
    <w:p w14:paraId="43B0F050" w14:textId="77777777" w:rsidR="00BB7817" w:rsidRDefault="00BB7817" w:rsidP="00BB7817">
      <w:r w:rsidRPr="00146299">
        <w:t>Currently, cable providers must overcome a presumption that local franchise areas lack effective competition.  However, rather than tailoring the relief to reduce the burden on smaller providers as Congress directed us to do, the Report and Order completely flips the presumption for all cable providers and the justification for this shift is STELA.  Based on the plain reading of the statute, however, such broad relief goes beyond what is necessary to effectuate Congress’ intent.  Moreover, the record raises significant questions as to the possibility of unintended consequences based on the solution proposed here (i.e. that a universal presumption of effective competition could lead to an increase in cable rates).  I cannot support relief to larger providers particularly when doing so could harm consumers and unnecessarily increases the burdens on our local franchising authorities.</w:t>
      </w:r>
    </w:p>
    <w:p w14:paraId="4C4B9FA9" w14:textId="77777777" w:rsidR="00BB7817" w:rsidRPr="00146299" w:rsidRDefault="00BB7817" w:rsidP="00BB7817"/>
    <w:p w14:paraId="14AC5851" w14:textId="2E4EE78A" w:rsidR="00F46996" w:rsidRDefault="00BB7817" w:rsidP="0071372E">
      <w:r w:rsidRPr="00146299">
        <w:t>As a result, I vote to approve the Report and Order insofar as it provides relief to small cable operators, but dissent as to its proposal to go beyond that group of providers.</w:t>
      </w:r>
      <w:r w:rsidR="00F46996">
        <w:br w:type="page"/>
      </w:r>
    </w:p>
    <w:p w14:paraId="3D69755E" w14:textId="77777777" w:rsidR="008A55BD" w:rsidRPr="007E4661" w:rsidRDefault="008A55BD" w:rsidP="008A55BD">
      <w:pPr>
        <w:jc w:val="center"/>
        <w:rPr>
          <w:b/>
          <w:szCs w:val="22"/>
        </w:rPr>
      </w:pPr>
      <w:r w:rsidRPr="007E4661">
        <w:rPr>
          <w:b/>
          <w:szCs w:val="22"/>
        </w:rPr>
        <w:t>STATEMENT OF</w:t>
      </w:r>
      <w:r w:rsidRPr="007E4661">
        <w:rPr>
          <w:b/>
          <w:szCs w:val="22"/>
        </w:rPr>
        <w:br/>
        <w:t>COMMISSIONER JESSICA ROSENWORCEL</w:t>
      </w:r>
    </w:p>
    <w:p w14:paraId="11C85E2F" w14:textId="77777777" w:rsidR="008A55BD" w:rsidRPr="007E4661" w:rsidRDefault="008A55BD" w:rsidP="008A55BD">
      <w:pPr>
        <w:jc w:val="center"/>
        <w:rPr>
          <w:b/>
          <w:szCs w:val="22"/>
        </w:rPr>
      </w:pPr>
      <w:r w:rsidRPr="007E4661">
        <w:rPr>
          <w:b/>
          <w:szCs w:val="22"/>
        </w:rPr>
        <w:t>APPROVING IN PART, DISSENTING IN PART</w:t>
      </w:r>
    </w:p>
    <w:p w14:paraId="4ED1EC0B" w14:textId="77777777" w:rsidR="008A55BD" w:rsidRPr="007E4661" w:rsidRDefault="008A55BD" w:rsidP="008A55BD">
      <w:pPr>
        <w:jc w:val="center"/>
        <w:rPr>
          <w:b/>
          <w:szCs w:val="22"/>
        </w:rPr>
      </w:pPr>
    </w:p>
    <w:p w14:paraId="665939F6" w14:textId="77777777" w:rsidR="008A55BD" w:rsidRPr="007E4661" w:rsidRDefault="008A55BD" w:rsidP="008A55BD">
      <w:pPr>
        <w:ind w:left="720" w:hanging="720"/>
        <w:rPr>
          <w:szCs w:val="22"/>
        </w:rPr>
      </w:pPr>
      <w:r w:rsidRPr="007E4661">
        <w:rPr>
          <w:szCs w:val="22"/>
        </w:rPr>
        <w:t>Re:</w:t>
      </w:r>
      <w:r w:rsidRPr="007E4661">
        <w:rPr>
          <w:szCs w:val="22"/>
        </w:rPr>
        <w:tab/>
      </w:r>
      <w:r w:rsidRPr="007E4661">
        <w:rPr>
          <w:i/>
          <w:szCs w:val="22"/>
        </w:rPr>
        <w:t>Amendment to the Commission’s Rules Concerning Effective Competition; Implementation of Section 111 of the STELA Reauthorization Act</w:t>
      </w:r>
      <w:r w:rsidRPr="007E4661">
        <w:rPr>
          <w:szCs w:val="22"/>
        </w:rPr>
        <w:t>, MB Docket No. 15-53.</w:t>
      </w:r>
    </w:p>
    <w:p w14:paraId="081175A7" w14:textId="77777777" w:rsidR="008A55BD" w:rsidRPr="007E4661" w:rsidRDefault="008A55BD" w:rsidP="008A55BD">
      <w:pPr>
        <w:ind w:firstLine="720"/>
        <w:rPr>
          <w:szCs w:val="22"/>
        </w:rPr>
      </w:pPr>
    </w:p>
    <w:p w14:paraId="20DB2EA2" w14:textId="77777777" w:rsidR="008A55BD" w:rsidRPr="007E4661" w:rsidRDefault="008A55BD" w:rsidP="008A55BD">
      <w:pPr>
        <w:ind w:firstLine="720"/>
        <w:rPr>
          <w:szCs w:val="22"/>
        </w:rPr>
      </w:pPr>
      <w:r w:rsidRPr="007E4661">
        <w:rPr>
          <w:szCs w:val="22"/>
        </w:rPr>
        <w:t>The title of the Satellite Television Extension and Localism Act Reauthorization Act of 2014 may be complicated, but the direction Congress provided in this legislation is clear.  In Section 111 Congress charged the Commission with establishing “a streamlined process for filing . . . effective competition petition[s] for small cable operators[.]”  To the extent that we do so here, this Order has my support.</w:t>
      </w:r>
    </w:p>
    <w:p w14:paraId="1398C1B7" w14:textId="77777777" w:rsidR="008A55BD" w:rsidRPr="007E4661" w:rsidRDefault="008A55BD" w:rsidP="008A55BD">
      <w:pPr>
        <w:ind w:firstLine="720"/>
        <w:rPr>
          <w:szCs w:val="22"/>
        </w:rPr>
      </w:pPr>
    </w:p>
    <w:p w14:paraId="304D7C11" w14:textId="51259771" w:rsidR="00F46996" w:rsidRPr="00617171" w:rsidRDefault="008A55BD" w:rsidP="00617171">
      <w:pPr>
        <w:ind w:firstLine="720"/>
        <w:rPr>
          <w:szCs w:val="22"/>
        </w:rPr>
      </w:pPr>
      <w:r w:rsidRPr="007E4661">
        <w:rPr>
          <w:szCs w:val="22"/>
        </w:rPr>
        <w:t>However, the Commission inexplicably races past this straightforward statutory directive and instead provides all cable operators—from the biggest to the smallest—with an expedited process to avoid oversight.  This is contrary to what Congress asked us to do, at odds with the recommendation of the Commission’s own Intergovernmental Advisory Committee, and provides no clear benefit to consumers.  Consequently, to the extent that the Commission acts beyond the direction of Congress in Section 111, I dissent.</w:t>
      </w:r>
      <w:r w:rsidR="00F46996">
        <w:rPr>
          <w:b/>
        </w:rPr>
        <w:br w:type="page"/>
      </w:r>
    </w:p>
    <w:p w14:paraId="5C7205E0" w14:textId="77777777" w:rsidR="00723814" w:rsidRDefault="00723814" w:rsidP="002C0EEE">
      <w:pPr>
        <w:spacing w:after="240"/>
        <w:jc w:val="center"/>
        <w:rPr>
          <w:b/>
        </w:rPr>
        <w:sectPr w:rsidR="00723814" w:rsidSect="00C0425E">
          <w:footnotePr>
            <w:numRestart w:val="eachSect"/>
          </w:footnotePr>
          <w:endnotePr>
            <w:numFmt w:val="decimal"/>
          </w:endnotePr>
          <w:pgSz w:w="12240" w:h="15840"/>
          <w:pgMar w:top="1440" w:right="1440" w:bottom="720" w:left="1440" w:header="720" w:footer="720" w:gutter="0"/>
          <w:cols w:space="720"/>
          <w:noEndnote/>
          <w:docGrid w:linePitch="299"/>
        </w:sectPr>
      </w:pPr>
    </w:p>
    <w:p w14:paraId="592DCA9E" w14:textId="233FAA39" w:rsidR="002C0EEE" w:rsidRPr="00300878" w:rsidRDefault="002C0EEE" w:rsidP="002C0EEE">
      <w:pPr>
        <w:spacing w:after="240"/>
        <w:jc w:val="center"/>
        <w:rPr>
          <w:b/>
        </w:rPr>
      </w:pPr>
      <w:r w:rsidRPr="00300878">
        <w:rPr>
          <w:b/>
        </w:rPr>
        <w:t>STATEMENT OF</w:t>
      </w:r>
      <w:r w:rsidRPr="00300878">
        <w:rPr>
          <w:b/>
        </w:rPr>
        <w:br/>
        <w:t>COMMISSIONER AJIT PAI</w:t>
      </w:r>
    </w:p>
    <w:p w14:paraId="4CC302B6" w14:textId="77777777" w:rsidR="002C0EEE" w:rsidRDefault="002C0EEE" w:rsidP="002C0EEE">
      <w:pPr>
        <w:ind w:left="720" w:hanging="720"/>
      </w:pPr>
      <w:r w:rsidRPr="00300878">
        <w:t>Re:</w:t>
      </w:r>
      <w:r w:rsidRPr="00300878">
        <w:tab/>
      </w:r>
      <w:r w:rsidRPr="00300878">
        <w:rPr>
          <w:i/>
        </w:rPr>
        <w:t>Amendment to the Commission’s Rules Concerning Effective Competition; Implementation of Section 111 of the STELA Reauthorization Act</w:t>
      </w:r>
      <w:r>
        <w:t>, MB Docket No. 15-53</w:t>
      </w:r>
      <w:r w:rsidRPr="00300878">
        <w:t>.</w:t>
      </w:r>
    </w:p>
    <w:p w14:paraId="18B238AF" w14:textId="77777777" w:rsidR="002C0EEE" w:rsidRPr="00300878" w:rsidRDefault="002C0EEE" w:rsidP="002C0EEE">
      <w:pPr>
        <w:ind w:left="720" w:hanging="720"/>
      </w:pPr>
    </w:p>
    <w:p w14:paraId="704BEEDC" w14:textId="77777777" w:rsidR="002C0EEE" w:rsidRDefault="002C0EEE" w:rsidP="002C0EEE">
      <w:pPr>
        <w:ind w:firstLine="720"/>
      </w:pPr>
      <w:r>
        <w:t>A bedrock principle of good government is that regulations should reflect the marketplace to which they apply.  Accordingly, throughout my tenure at the Commission</w:t>
      </w:r>
      <w:r w:rsidRPr="00300878">
        <w:t>, I</w:t>
      </w:r>
      <w:r>
        <w:t xml:space="preserve">’ve </w:t>
      </w:r>
      <w:r w:rsidRPr="00300878">
        <w:t xml:space="preserve">emphasized the importance of updating </w:t>
      </w:r>
      <w:r>
        <w:t xml:space="preserve">our rules </w:t>
      </w:r>
      <w:r w:rsidRPr="00300878">
        <w:t>to reflect the modern video marketplace.</w:t>
      </w:r>
      <w:r w:rsidRPr="00300878">
        <w:rPr>
          <w:rStyle w:val="FootnoteReference"/>
        </w:rPr>
        <w:footnoteReference w:id="202"/>
      </w:r>
      <w:r w:rsidRPr="00300878">
        <w:t xml:space="preserve">  </w:t>
      </w:r>
      <w:r>
        <w:t>This</w:t>
      </w:r>
      <w:r w:rsidRPr="00300878">
        <w:t xml:space="preserve"> Report and Order </w:t>
      </w:r>
      <w:r>
        <w:t>does precisely that</w:t>
      </w:r>
      <w:r w:rsidRPr="00300878">
        <w:t>.</w:t>
      </w:r>
    </w:p>
    <w:p w14:paraId="0835595C" w14:textId="77777777" w:rsidR="002C0EEE" w:rsidRPr="00300878" w:rsidRDefault="002C0EEE" w:rsidP="002C0EEE">
      <w:pPr>
        <w:ind w:firstLine="720"/>
      </w:pPr>
    </w:p>
    <w:p w14:paraId="2C175998" w14:textId="77777777" w:rsidR="002C0EEE" w:rsidRDefault="002C0EEE" w:rsidP="002C0EEE">
      <w:pPr>
        <w:ind w:firstLine="720"/>
      </w:pPr>
      <w:r>
        <w:t xml:space="preserve">More than twenty years ago, </w:t>
      </w:r>
      <w:r w:rsidRPr="00300878">
        <w:t xml:space="preserve">the </w:t>
      </w:r>
      <w:r>
        <w:t xml:space="preserve">FCC adopted </w:t>
      </w:r>
      <w:r w:rsidRPr="00300878">
        <w:t xml:space="preserve">a presumption </w:t>
      </w:r>
      <w:r>
        <w:t xml:space="preserve">that cable operators were not subject to </w:t>
      </w:r>
      <w:r w:rsidRPr="00300878">
        <w:t>effective competition</w:t>
      </w:r>
      <w:r>
        <w:t>.  This meant that local franchising authorities could regulate the rates charged by an incumbent cable operator for basic-tier service unless the operator overcame the presumption by demonstrating that it was in fact subject to effective competition</w:t>
      </w:r>
      <w:r w:rsidRPr="00300878">
        <w:t>.</w:t>
      </w:r>
    </w:p>
    <w:p w14:paraId="1DDF7574" w14:textId="77777777" w:rsidR="002C0EEE" w:rsidRDefault="002C0EEE" w:rsidP="002C0EEE">
      <w:pPr>
        <w:ind w:firstLine="720"/>
      </w:pPr>
    </w:p>
    <w:p w14:paraId="16D4F6CF" w14:textId="77777777" w:rsidR="002C0EEE" w:rsidRDefault="002C0EEE" w:rsidP="002C0EEE">
      <w:pPr>
        <w:ind w:firstLine="720"/>
      </w:pPr>
      <w:r>
        <w:t>This approach made sense in 1993.  At the time,</w:t>
      </w:r>
      <w:r w:rsidRPr="00300878">
        <w:t xml:space="preserve"> consumers </w:t>
      </w:r>
      <w:r>
        <w:t xml:space="preserve">had no </w:t>
      </w:r>
      <w:r w:rsidRPr="00300878">
        <w:t>meaningful choice</w:t>
      </w:r>
      <w:r>
        <w:t xml:space="preserve"> when it came to multichannel video programming distributors (MVPDs)</w:t>
      </w:r>
      <w:r w:rsidRPr="00300878">
        <w:t xml:space="preserve">.  Incumbent cable operators </w:t>
      </w:r>
      <w:r>
        <w:t xml:space="preserve">held </w:t>
      </w:r>
      <w:r w:rsidRPr="00300878">
        <w:t>a 95% share of</w:t>
      </w:r>
      <w:r>
        <w:t xml:space="preserve"> video subscribers, and in t</w:t>
      </w:r>
      <w:r w:rsidRPr="00300878">
        <w:t xml:space="preserve">he vast majority of </w:t>
      </w:r>
      <w:r>
        <w:t>the country, Americans had only one MVPD option.  Thus, the FCC’s presumption that there was no effective competition accurately reflected then-prevailing market conditions.</w:t>
      </w:r>
    </w:p>
    <w:p w14:paraId="01B1D25A" w14:textId="77777777" w:rsidR="002C0EEE" w:rsidRPr="00300878" w:rsidRDefault="002C0EEE" w:rsidP="002C0EEE">
      <w:pPr>
        <w:ind w:firstLine="720"/>
      </w:pPr>
    </w:p>
    <w:p w14:paraId="030D2DD5" w14:textId="77777777" w:rsidR="002C0EEE" w:rsidRDefault="002C0EEE" w:rsidP="002C0EEE">
      <w:pPr>
        <w:ind w:firstLine="720"/>
      </w:pPr>
      <w:r>
        <w:t xml:space="preserve">Over the past two decades, however, the industry has changed dramatically.  New entrants have made major competitive splashes into the MVPD market—satellite providers </w:t>
      </w:r>
      <w:r w:rsidRPr="00300878">
        <w:t xml:space="preserve">and </w:t>
      </w:r>
      <w:r>
        <w:t xml:space="preserve">telephone companies are the most notable examples.  At the end of 2013, satellite providers held 33.9% of the market, while telephone companies held 11.2%.  A granular market analysis reveals that competing MVPDs currently have more than 15% penetration in each and every one of the 210 Designated Market Areas in the United States.  Moreover, </w:t>
      </w:r>
      <w:r w:rsidRPr="00300878">
        <w:t>approximately 99.7</w:t>
      </w:r>
      <w:r>
        <w:t>%</w:t>
      </w:r>
      <w:r w:rsidRPr="00300878">
        <w:t xml:space="preserve"> of homes in the United States have access to </w:t>
      </w:r>
      <w:r w:rsidRPr="00272466">
        <w:t xml:space="preserve">at least three </w:t>
      </w:r>
      <w:r>
        <w:t>competing video providers, and nearly 35% have access to at least four providers.  These market developments have literally and figuratively changed the picture for millions of American consumers.</w:t>
      </w:r>
    </w:p>
    <w:p w14:paraId="20A9A3CF" w14:textId="77777777" w:rsidR="002C0EEE" w:rsidRDefault="002C0EEE" w:rsidP="002C0EEE">
      <w:pPr>
        <w:ind w:firstLine="720"/>
      </w:pPr>
    </w:p>
    <w:p w14:paraId="2BA3F48F" w14:textId="77777777" w:rsidR="002C0EEE" w:rsidRDefault="002C0EEE" w:rsidP="002C0EEE">
      <w:pPr>
        <w:ind w:firstLine="720"/>
      </w:pPr>
      <w:r>
        <w:t>Given this profound transformation, we can’t keep living in the past.</w:t>
      </w:r>
      <w:r>
        <w:rPr>
          <w:rStyle w:val="FootnoteReference"/>
        </w:rPr>
        <w:footnoteReference w:id="203"/>
      </w:r>
      <w:r>
        <w:t xml:space="preserve">  I therefore support our decision to adopt a presumption that there is effective competition among competing providers.  This presumption far more accurately reflects the current state of the video marketplace than did its predecessor.</w:t>
      </w:r>
    </w:p>
    <w:p w14:paraId="26FDFD50" w14:textId="77777777" w:rsidR="002C0EEE" w:rsidRDefault="002C0EEE" w:rsidP="002C0EEE">
      <w:pPr>
        <w:ind w:firstLine="720"/>
      </w:pPr>
    </w:p>
    <w:p w14:paraId="258A2337" w14:textId="467DAC19" w:rsidR="00C21480" w:rsidRDefault="002C0EEE" w:rsidP="000F08DD">
      <w:pPr>
        <w:ind w:firstLine="720"/>
      </w:pPr>
      <w:r>
        <w:t>I hope in the months to come we will continue to modernize our media rules.  Whether we are regulating MVPDs, broadcasters, or other media entities like newspapers, our rules should reflect the competitive and technological conditions of today, not those of twenty or forty years ago.</w:t>
      </w:r>
      <w:r w:rsidR="00C21480">
        <w:br w:type="page"/>
      </w:r>
    </w:p>
    <w:p w14:paraId="474F16EB" w14:textId="77777777" w:rsidR="00C21480" w:rsidRPr="000B19BA" w:rsidRDefault="00C21480" w:rsidP="00C21480">
      <w:pPr>
        <w:jc w:val="center"/>
        <w:rPr>
          <w:b/>
        </w:rPr>
      </w:pPr>
      <w:r w:rsidRPr="000B19BA">
        <w:rPr>
          <w:b/>
        </w:rPr>
        <w:t>STATEMENT OF</w:t>
      </w:r>
    </w:p>
    <w:p w14:paraId="402F0BEA" w14:textId="77777777" w:rsidR="00C21480" w:rsidRPr="000B19BA" w:rsidRDefault="00C21480" w:rsidP="00C21480">
      <w:pPr>
        <w:jc w:val="center"/>
        <w:rPr>
          <w:b/>
        </w:rPr>
      </w:pPr>
      <w:r w:rsidRPr="000B19BA">
        <w:rPr>
          <w:b/>
        </w:rPr>
        <w:t>COMMISSIONER MICHAEL O’RIELLY</w:t>
      </w:r>
    </w:p>
    <w:p w14:paraId="67E8E1FA" w14:textId="77777777" w:rsidR="00C21480" w:rsidRPr="000B19BA" w:rsidRDefault="00C21480" w:rsidP="00C21480"/>
    <w:p w14:paraId="0B90D629" w14:textId="77777777" w:rsidR="00524706" w:rsidRPr="00300878" w:rsidRDefault="00524706" w:rsidP="00524706">
      <w:pPr>
        <w:ind w:left="720" w:hanging="720"/>
      </w:pPr>
      <w:r w:rsidRPr="00300878">
        <w:t>Re:</w:t>
      </w:r>
      <w:r w:rsidRPr="00300878">
        <w:tab/>
      </w:r>
      <w:r w:rsidRPr="00300878">
        <w:rPr>
          <w:i/>
        </w:rPr>
        <w:t>Amendment to the Commission’s Rules Concerning Effective Competition; Implementation of Section 111 of the STELA Reauthorization Act</w:t>
      </w:r>
      <w:r>
        <w:t>, MB Docket No. 15-53</w:t>
      </w:r>
      <w:r w:rsidRPr="00300878">
        <w:t>.</w:t>
      </w:r>
    </w:p>
    <w:p w14:paraId="5B5EEEBB" w14:textId="77777777" w:rsidR="00C21480" w:rsidRPr="000B19BA" w:rsidRDefault="00C21480" w:rsidP="00C21480"/>
    <w:p w14:paraId="63F96F8C" w14:textId="77777777" w:rsidR="00C21480" w:rsidRDefault="00C21480" w:rsidP="00C21480">
      <w:pPr>
        <w:ind w:firstLine="720"/>
      </w:pPr>
      <w:r w:rsidRPr="000B19BA">
        <w:t xml:space="preserve">I </w:t>
      </w:r>
      <w:r>
        <w:t xml:space="preserve">am pleased to </w:t>
      </w:r>
      <w:r w:rsidRPr="000B19BA">
        <w:t xml:space="preserve">approve this </w:t>
      </w:r>
      <w:r>
        <w:t xml:space="preserve">Report and Order streamlining the effective competition process to reflect current realities in the video marketplace.  With a track record of 99.5% of the communities the Commission has evaluated having been found to have effective competition since the start of 2013, adopting a rebuttable presumption of Competing Provider Effective Competition is an idea whose time has come.  </w:t>
      </w:r>
    </w:p>
    <w:p w14:paraId="5074F6F6" w14:textId="77777777" w:rsidR="00C21480" w:rsidRDefault="00C21480" w:rsidP="00C21480">
      <w:pPr>
        <w:ind w:firstLine="720"/>
      </w:pPr>
    </w:p>
    <w:p w14:paraId="7339321C" w14:textId="77777777" w:rsidR="00C21480" w:rsidRDefault="00C21480" w:rsidP="00C21480">
      <w:pPr>
        <w:ind w:firstLine="720"/>
      </w:pPr>
      <w:r>
        <w:t xml:space="preserve">The simple reality in the marketplace is that cable providers meet the standard for relief outlined in the statute, which the Commission is obligated to follow.  In fact, subscriber rates for direct broadcast satellite providers, Dish and DirecTV, far exceed the threshold in the law for multichannel video competitive providers under the definition of effective competition.  Accordingly, shifting the Commission’s presumption, which is not contained in the law and remains within our purview to alter, is both appropriate and needed.  Today’s item prevents unnecessary staff efforts under the previous presumption standard on applications that would have been approved in any event.      </w:t>
      </w:r>
    </w:p>
    <w:p w14:paraId="323317AE" w14:textId="77777777" w:rsidR="00C21480" w:rsidRDefault="00C21480" w:rsidP="00C21480">
      <w:pPr>
        <w:ind w:firstLine="720"/>
      </w:pPr>
    </w:p>
    <w:p w14:paraId="74445DB8" w14:textId="77777777" w:rsidR="00C21480" w:rsidRDefault="00C21480" w:rsidP="00C21480">
      <w:pPr>
        <w:ind w:firstLine="720"/>
      </w:pPr>
      <w:r>
        <w:t xml:space="preserve">The fact that the scope of this item is broader than just the smaller cable system relief identified in the STELA Reauthorization Act of 2014 does not preclude the Commission from moving forward at this time to address the presumption standard for all cable systems at once.  Just the opposite: we have an affirmative obligation to streamline our procedures when appropriate, and certainly when it meets the statutory requirement.  In fact, we should have done this long ago.   </w:t>
      </w:r>
    </w:p>
    <w:p w14:paraId="6D203FA8" w14:textId="77777777" w:rsidR="00C21480" w:rsidRDefault="00C21480" w:rsidP="00C21480">
      <w:pPr>
        <w:ind w:firstLine="720"/>
      </w:pPr>
    </w:p>
    <w:p w14:paraId="7DCC5E4A" w14:textId="77777777" w:rsidR="00C21480" w:rsidRDefault="00C21480" w:rsidP="00C21480">
      <w:pPr>
        <w:ind w:firstLine="720"/>
      </w:pPr>
      <w:r>
        <w:t xml:space="preserve">At the same time, I do not believe that this item and the reasoning articulated within will impact the continued existence of the basic service tier.  It is certainly not my intent to do so in this item and those reading the statute in such an extended way seem misguided.  That is not to say it is not a logical consideration for Congress to explore and assess given the changing video marketplace.    </w:t>
      </w:r>
    </w:p>
    <w:p w14:paraId="0936FAE2" w14:textId="77777777" w:rsidR="00C21480" w:rsidRDefault="00C21480" w:rsidP="00C21480">
      <w:pPr>
        <w:ind w:firstLine="720"/>
      </w:pPr>
    </w:p>
    <w:p w14:paraId="2258E4D2" w14:textId="19532A63" w:rsidR="003140B0" w:rsidRDefault="00C21480" w:rsidP="00336CA3">
      <w:pPr>
        <w:ind w:firstLine="720"/>
      </w:pPr>
      <w:r>
        <w:t>I commend the Chairman for working with me to provide this relief to cable operators and hope to identify even more areas where we can reduce or eliminate legacy regulatory burdens in response to the rapid evolution of the communications landscape.</w:t>
      </w:r>
    </w:p>
    <w:sectPr w:rsidR="003140B0" w:rsidSect="00C0425E">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FC103" w14:textId="77777777" w:rsidR="000B2212" w:rsidRDefault="000B2212">
      <w:pPr>
        <w:spacing w:line="20" w:lineRule="exact"/>
      </w:pPr>
    </w:p>
  </w:endnote>
  <w:endnote w:type="continuationSeparator" w:id="0">
    <w:p w14:paraId="36ECCAA2" w14:textId="77777777" w:rsidR="000B2212" w:rsidRDefault="000B2212">
      <w:r>
        <w:t xml:space="preserve"> </w:t>
      </w:r>
    </w:p>
  </w:endnote>
  <w:endnote w:type="continuationNotice" w:id="1">
    <w:p w14:paraId="1D65C088" w14:textId="77777777" w:rsidR="000B2212" w:rsidRDefault="000B22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7EA94" w14:textId="77777777" w:rsidR="00B605A4" w:rsidRDefault="00B605A4" w:rsidP="0055614C">
    <w:pPr>
      <w:pStyle w:val="Footer"/>
      <w:framePr w:wrap="around" w:vAnchor="text" w:hAnchor="margin" w:xAlign="center" w:y="1"/>
    </w:pPr>
    <w:r>
      <w:fldChar w:fldCharType="begin"/>
    </w:r>
    <w:r>
      <w:instrText xml:space="preserve">PAGE  </w:instrText>
    </w:r>
    <w:r>
      <w:fldChar w:fldCharType="end"/>
    </w:r>
  </w:p>
  <w:p w14:paraId="53AF166B" w14:textId="77777777" w:rsidR="00B605A4" w:rsidRDefault="00B60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841E1" w14:textId="77777777" w:rsidR="00B605A4" w:rsidRDefault="00B605A4" w:rsidP="00BD15D9">
    <w:pPr>
      <w:pStyle w:val="Footer"/>
      <w:framePr w:w="287" w:wrap="around" w:vAnchor="text" w:hAnchor="margin" w:xAlign="center" w:y="1"/>
      <w:ind w:right="-56"/>
    </w:pPr>
    <w:r>
      <w:fldChar w:fldCharType="begin"/>
    </w:r>
    <w:r>
      <w:instrText xml:space="preserve">PAGE  </w:instrText>
    </w:r>
    <w:r>
      <w:fldChar w:fldCharType="separate"/>
    </w:r>
    <w:r w:rsidR="0061245A">
      <w:rPr>
        <w:noProof/>
      </w:rPr>
      <w:t>2</w:t>
    </w:r>
    <w:r>
      <w:fldChar w:fldCharType="end"/>
    </w:r>
  </w:p>
  <w:p w14:paraId="1AD4164E" w14:textId="77777777" w:rsidR="00B605A4" w:rsidRDefault="00B605A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B1656" w14:textId="63766C0A" w:rsidR="00B605A4" w:rsidRDefault="00B605A4" w:rsidP="00BD15D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9E2CD" w14:textId="77777777" w:rsidR="000B2212" w:rsidRDefault="000B2212">
      <w:r>
        <w:separator/>
      </w:r>
    </w:p>
  </w:footnote>
  <w:footnote w:type="continuationSeparator" w:id="0">
    <w:p w14:paraId="311E7748" w14:textId="77777777" w:rsidR="000B2212" w:rsidRDefault="000B2212" w:rsidP="00C721AC">
      <w:pPr>
        <w:spacing w:before="120"/>
        <w:rPr>
          <w:sz w:val="20"/>
        </w:rPr>
      </w:pPr>
      <w:r>
        <w:rPr>
          <w:sz w:val="20"/>
        </w:rPr>
        <w:t xml:space="preserve">(Continued from previous page)  </w:t>
      </w:r>
      <w:r>
        <w:rPr>
          <w:sz w:val="20"/>
        </w:rPr>
        <w:separator/>
      </w:r>
    </w:p>
  </w:footnote>
  <w:footnote w:type="continuationNotice" w:id="1">
    <w:p w14:paraId="495AB57E" w14:textId="77777777" w:rsidR="000B2212" w:rsidRDefault="000B2212" w:rsidP="00C721AC">
      <w:pPr>
        <w:jc w:val="right"/>
        <w:rPr>
          <w:sz w:val="20"/>
        </w:rPr>
      </w:pPr>
      <w:r>
        <w:rPr>
          <w:sz w:val="20"/>
        </w:rPr>
        <w:t>(continued….)</w:t>
      </w:r>
    </w:p>
  </w:footnote>
  <w:footnote w:id="2">
    <w:p w14:paraId="1255CF0B" w14:textId="6FBD9690" w:rsidR="00B605A4" w:rsidRDefault="00B605A4">
      <w:pPr>
        <w:pStyle w:val="FootnoteText"/>
      </w:pPr>
      <w:r>
        <w:rPr>
          <w:rStyle w:val="FootnoteReference"/>
        </w:rPr>
        <w:footnoteRef/>
      </w:r>
      <w:r>
        <w:t xml:space="preserve"> Effective Competition is a term of art that the statute defines by application of specific tests.</w:t>
      </w:r>
    </w:p>
  </w:footnote>
  <w:footnote w:id="3">
    <w:p w14:paraId="6BF138B8" w14:textId="5332E91D" w:rsidR="00B605A4" w:rsidRDefault="00B605A4">
      <w:pPr>
        <w:pStyle w:val="FootnoteText"/>
      </w:pPr>
      <w:r>
        <w:rPr>
          <w:rStyle w:val="FootnoteReference"/>
        </w:rPr>
        <w:footnoteRef/>
      </w:r>
      <w:r>
        <w:t xml:space="preserve"> </w:t>
      </w:r>
      <w:r w:rsidRPr="00833574">
        <w:rPr>
          <w:i/>
        </w:rPr>
        <w:t xml:space="preserve">See </w:t>
      </w:r>
      <w:r w:rsidRPr="00833574">
        <w:t>47 U.S.C. §§ 543(a)(2)</w:t>
      </w:r>
      <w:r>
        <w:t xml:space="preserve">, (l)(1)(B); </w:t>
      </w:r>
      <w:r>
        <w:rPr>
          <w:i/>
        </w:rPr>
        <w:t>infra</w:t>
      </w:r>
      <w:r>
        <w:t xml:space="preserve"> ¶ 2.</w:t>
      </w:r>
    </w:p>
  </w:footnote>
  <w:footnote w:id="4">
    <w:p w14:paraId="3E1F01BF" w14:textId="6325F1E6" w:rsidR="00B605A4" w:rsidRPr="00833574" w:rsidRDefault="00B605A4">
      <w:pPr>
        <w:pStyle w:val="FootnoteText"/>
        <w:rPr>
          <w:highlight w:val="yellow"/>
        </w:rPr>
      </w:pPr>
      <w:r w:rsidRPr="00833574">
        <w:rPr>
          <w:rStyle w:val="FootnoteReference"/>
        </w:rPr>
        <w:footnoteRef/>
      </w:r>
      <w:r w:rsidRPr="00833574">
        <w:t xml:space="preserve"> A “franchising authority” is “any governmental entity empowered by Federal, State, or local law to grant a franchise.”  </w:t>
      </w:r>
      <w:r w:rsidRPr="00833574">
        <w:rPr>
          <w:i/>
        </w:rPr>
        <w:t>See</w:t>
      </w:r>
      <w:r w:rsidRPr="00833574">
        <w:t xml:space="preserve"> </w:t>
      </w:r>
      <w:r>
        <w:t>47 U.S.C.</w:t>
      </w:r>
      <w:r w:rsidRPr="00833574">
        <w:t xml:space="preserve"> § 522(10).</w:t>
      </w:r>
    </w:p>
  </w:footnote>
  <w:footnote w:id="5">
    <w:p w14:paraId="2E894E21" w14:textId="2848884A" w:rsidR="00B605A4" w:rsidRDefault="00B605A4">
      <w:pPr>
        <w:pStyle w:val="FootnoteText"/>
      </w:pPr>
      <w:r>
        <w:rPr>
          <w:rStyle w:val="FootnoteReference"/>
        </w:rPr>
        <w:footnoteRef/>
      </w:r>
      <w:r>
        <w:t xml:space="preserve">  </w:t>
      </w:r>
      <w:r w:rsidRPr="009D182F">
        <w:rPr>
          <w:i/>
        </w:rPr>
        <w:t xml:space="preserve">See id. </w:t>
      </w:r>
      <w:r w:rsidRPr="009D182F">
        <w:t>§ 543(b)(7)(A).</w:t>
      </w:r>
    </w:p>
  </w:footnote>
  <w:footnote w:id="6">
    <w:p w14:paraId="3820F2FE" w14:textId="094B78B2" w:rsidR="00B605A4" w:rsidRPr="00833574" w:rsidRDefault="00B605A4">
      <w:pPr>
        <w:pStyle w:val="FootnoteText"/>
        <w:rPr>
          <w:i/>
          <w:highlight w:val="yellow"/>
        </w:rPr>
      </w:pPr>
      <w:r w:rsidRPr="008C2309">
        <w:rPr>
          <w:rStyle w:val="FootnoteReference"/>
        </w:rPr>
        <w:footnoteRef/>
      </w:r>
      <w:r w:rsidRPr="008C2309">
        <w:t xml:space="preserve"> </w:t>
      </w:r>
      <w:r w:rsidRPr="008C2309">
        <w:rPr>
          <w:i/>
        </w:rPr>
        <w:t xml:space="preserve">See </w:t>
      </w:r>
      <w:r>
        <w:rPr>
          <w:i/>
        </w:rPr>
        <w:t xml:space="preserve">infra </w:t>
      </w:r>
      <w:r>
        <w:t>Section II</w:t>
      </w:r>
      <w:r w:rsidR="0086788C">
        <w:t>.</w:t>
      </w:r>
    </w:p>
  </w:footnote>
  <w:footnote w:id="7">
    <w:p w14:paraId="6316CD5E" w14:textId="4AE5674D" w:rsidR="00B605A4" w:rsidRPr="00833574" w:rsidRDefault="00B605A4" w:rsidP="005F08D8">
      <w:pPr>
        <w:pStyle w:val="FootnoteText"/>
        <w:rPr>
          <w:highlight w:val="yellow"/>
        </w:rPr>
      </w:pPr>
      <w:r w:rsidRPr="008C2309">
        <w:rPr>
          <w:rStyle w:val="FootnoteReference"/>
        </w:rPr>
        <w:footnoteRef/>
      </w:r>
      <w:r w:rsidRPr="008C2309">
        <w:t xml:space="preserve"> </w:t>
      </w:r>
      <w:r w:rsidRPr="008C2309">
        <w:rPr>
          <w:i/>
        </w:rPr>
        <w:t xml:space="preserve">See </w:t>
      </w:r>
      <w:r w:rsidRPr="008C2309">
        <w:t xml:space="preserve">Pub. L. No. 113-200, § 111, 128 Stat. 2059 (2014); 47 U.S.C. § 543(o)(1) (“Not later than 180 days after </w:t>
      </w:r>
      <w:r>
        <w:t>December 4, 2014</w:t>
      </w:r>
      <w:r w:rsidRPr="008C2309">
        <w:t xml:space="preserve">, the Commission shall complete a rulemaking to establish a streamlined process for filing of an effective competition petition pursuant to this section for small cable operators, particularly those who serve primarily rural areas.”).  </w:t>
      </w:r>
      <w:r>
        <w:t>Accordingly, this rulemaking must be completed by June 2, 2015.</w:t>
      </w:r>
    </w:p>
  </w:footnote>
  <w:footnote w:id="8">
    <w:p w14:paraId="67B0574D" w14:textId="77777777" w:rsidR="00B605A4" w:rsidRPr="009D182F" w:rsidRDefault="00B605A4" w:rsidP="00861478">
      <w:pPr>
        <w:pStyle w:val="FootnoteText"/>
      </w:pPr>
      <w:r w:rsidRPr="001F687E">
        <w:rPr>
          <w:rStyle w:val="FootnoteReference"/>
        </w:rPr>
        <w:footnoteRef/>
      </w:r>
      <w:r w:rsidRPr="001F687E">
        <w:t xml:space="preserve"> </w:t>
      </w:r>
      <w:r w:rsidRPr="001F687E">
        <w:rPr>
          <w:i/>
        </w:rPr>
        <w:t xml:space="preserve">See </w:t>
      </w:r>
      <w:r w:rsidRPr="001F687E">
        <w:t>Exec. Order No. 13,579, § 2, 76 Fed. Reg. 41,587 (July 14, 2011) (</w:t>
      </w:r>
      <w:r>
        <w:t>“T</w:t>
      </w:r>
      <w:r w:rsidRPr="001F687E">
        <w:t xml:space="preserve">o facilitate the periodic review of existing significant regulations, independent regulatory agencies should consider how best to promote retrospective analysis of rules that may be outmoded, ineffective, insufficient, or excessively burdensome, and to modify, streamline, expand, or repeal them in accordance with what has been learned”); </w:t>
      </w:r>
      <w:r w:rsidRPr="001F687E">
        <w:rPr>
          <w:i/>
        </w:rPr>
        <w:t xml:space="preserve">Final Plan for Retrospective </w:t>
      </w:r>
      <w:r w:rsidRPr="009D182F">
        <w:rPr>
          <w:i/>
        </w:rPr>
        <w:t>Analysis of Existing Rules,</w:t>
      </w:r>
      <w:r w:rsidRPr="009D182F">
        <w:t xml:space="preserve"> 2012 WL 1851335 (May 18, 2012).</w:t>
      </w:r>
    </w:p>
  </w:footnote>
  <w:footnote w:id="9">
    <w:p w14:paraId="7CD179D8" w14:textId="485B492E" w:rsidR="00B605A4" w:rsidRPr="00833574" w:rsidRDefault="00B605A4" w:rsidP="005F08D8">
      <w:pPr>
        <w:pStyle w:val="FootnoteText"/>
        <w:rPr>
          <w:highlight w:val="yellow"/>
        </w:rPr>
      </w:pPr>
      <w:r w:rsidRPr="001F687E">
        <w:rPr>
          <w:rStyle w:val="FootnoteReference"/>
        </w:rPr>
        <w:footnoteRef/>
      </w:r>
      <w:r w:rsidRPr="001F687E">
        <w:t xml:space="preserve"> Congress applied the definition of “small cable operator” as set forth in </w:t>
      </w:r>
      <w:r>
        <w:t>s</w:t>
      </w:r>
      <w:r w:rsidRPr="001F687E">
        <w:t xml:space="preserve">ection 623(m)(2) of the </w:t>
      </w:r>
      <w:r>
        <w:t xml:space="preserve">Communications </w:t>
      </w:r>
      <w:r w:rsidRPr="001F687E">
        <w:t>Act</w:t>
      </w:r>
      <w:r>
        <w:t xml:space="preserve"> of 1934, as amended (the “Act”),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1F687E">
        <w:t>.</w:t>
      </w:r>
      <w:r>
        <w:t>”</w:t>
      </w:r>
      <w:r w:rsidRPr="001F687E">
        <w:t xml:space="preserve">  </w:t>
      </w:r>
      <w:r w:rsidRPr="001F687E">
        <w:rPr>
          <w:i/>
        </w:rPr>
        <w:t xml:space="preserve">See </w:t>
      </w:r>
      <w:r>
        <w:t>47 U.S.C</w:t>
      </w:r>
      <w:r w:rsidRPr="001F687E">
        <w:rPr>
          <w:i/>
        </w:rPr>
        <w:t xml:space="preserve">. </w:t>
      </w:r>
      <w:r w:rsidRPr="001F687E">
        <w:t>§ 543</w:t>
      </w:r>
      <w:r>
        <w:t xml:space="preserve">(m)(2), </w:t>
      </w:r>
      <w:r w:rsidRPr="001F687E">
        <w:t>(o)(3).</w:t>
      </w:r>
    </w:p>
  </w:footnote>
  <w:footnote w:id="10">
    <w:p w14:paraId="2268D5FF" w14:textId="6BBF81D8" w:rsidR="00B605A4" w:rsidRPr="009D182F" w:rsidRDefault="00B605A4" w:rsidP="00B92DCC">
      <w:pPr>
        <w:pStyle w:val="FootnoteText"/>
      </w:pPr>
      <w:r w:rsidRPr="009D182F">
        <w:rPr>
          <w:rStyle w:val="FootnoteReference"/>
        </w:rPr>
        <w:footnoteRef/>
      </w:r>
      <w:r w:rsidRPr="009D182F">
        <w:t xml:space="preserve"> </w:t>
      </w:r>
      <w:r w:rsidRPr="009D182F">
        <w:rPr>
          <w:color w:val="000000"/>
        </w:rPr>
        <w:t xml:space="preserve">Cable Television Consumer Protection and Competition Act of 1992, </w:t>
      </w:r>
      <w:r w:rsidRPr="009D182F">
        <w:t xml:space="preserve">Pub. L. No. 102-385, </w:t>
      </w:r>
      <w:r w:rsidRPr="009D182F">
        <w:rPr>
          <w:color w:val="000000"/>
        </w:rPr>
        <w:t xml:space="preserve">106 Stat. 1460 (1992); 47 U.S.C. </w:t>
      </w:r>
      <w:r w:rsidRPr="009D182F">
        <w:t>§ 543</w:t>
      </w:r>
      <w:r w:rsidRPr="009D182F">
        <w:rPr>
          <w:color w:val="000000"/>
        </w:rPr>
        <w:t>(a)(2)(A).</w:t>
      </w:r>
      <w:r>
        <w:rPr>
          <w:color w:val="000000"/>
        </w:rPr>
        <w:t xml:space="preserve">  </w:t>
      </w:r>
      <w:r w:rsidRPr="00F734A3">
        <w:t xml:space="preserve">This Order contains references to the Commission’s role in the franchising authority certification process.  Although our rules refer to the Commission as having these responsibilities, the Media Bureau has delegated authority to act on certification matters </w:t>
      </w:r>
      <w:r>
        <w:t>pursuant to the rules established by the Commission</w:t>
      </w:r>
      <w:r w:rsidRPr="00F734A3">
        <w:t>, and in practice the Media Bureau evaluates certifications and related pleadings on behalf of the Commission.</w:t>
      </w:r>
      <w:r>
        <w:t xml:space="preserve">  </w:t>
      </w:r>
      <w:r w:rsidRPr="00E4657D">
        <w:rPr>
          <w:i/>
        </w:rPr>
        <w:t>See</w:t>
      </w:r>
      <w:r>
        <w:t xml:space="preserve"> </w:t>
      </w:r>
      <w:r w:rsidRPr="00F734A3">
        <w:t>47 C.F.R. § 0.61</w:t>
      </w:r>
      <w:r>
        <w:t>.</w:t>
      </w:r>
    </w:p>
  </w:footnote>
  <w:footnote w:id="11">
    <w:p w14:paraId="72771160" w14:textId="3CC773A6" w:rsidR="00B605A4" w:rsidRPr="00833574" w:rsidRDefault="00B605A4" w:rsidP="00B92DCC">
      <w:pPr>
        <w:pStyle w:val="FootnoteText"/>
        <w:rPr>
          <w:highlight w:val="yellow"/>
        </w:rPr>
      </w:pPr>
      <w:r w:rsidRPr="00991AC2">
        <w:rPr>
          <w:rStyle w:val="FootnoteReference"/>
        </w:rPr>
        <w:footnoteRef/>
      </w:r>
      <w:r w:rsidRPr="00991AC2">
        <w:t xml:space="preserve"> 47 U.S.C. § 543(l)(1)(A); 47 C.F.R. § 76.905(b)(1).</w:t>
      </w:r>
    </w:p>
  </w:footnote>
  <w:footnote w:id="12">
    <w:p w14:paraId="5CE29313" w14:textId="66955F91" w:rsidR="00B605A4" w:rsidRPr="00991AC2" w:rsidRDefault="00B605A4" w:rsidP="00B92DCC">
      <w:pPr>
        <w:pStyle w:val="FootnoteText"/>
      </w:pPr>
      <w:r w:rsidRPr="00991AC2">
        <w:rPr>
          <w:rStyle w:val="FootnoteReference"/>
        </w:rPr>
        <w:footnoteRef/>
      </w:r>
      <w:r w:rsidRPr="00991AC2">
        <w:t xml:space="preserve"> 47 U.S.C. § 543(l)(1)(B); 47 C.F.R. § 76.905(b)(2).</w:t>
      </w:r>
    </w:p>
  </w:footnote>
  <w:footnote w:id="13">
    <w:p w14:paraId="7B311BD6" w14:textId="2A1F1298" w:rsidR="00B605A4" w:rsidRPr="00991AC2" w:rsidRDefault="00B605A4" w:rsidP="00B92DCC">
      <w:pPr>
        <w:pStyle w:val="FootnoteText"/>
      </w:pPr>
      <w:r w:rsidRPr="00991AC2">
        <w:rPr>
          <w:rStyle w:val="FootnoteReference"/>
        </w:rPr>
        <w:footnoteRef/>
      </w:r>
      <w:r w:rsidRPr="00991AC2">
        <w:t xml:space="preserve"> 47 U.S.C. § 543(l)(1)(C); 47 C.F.R. § 76.905(b)(3).</w:t>
      </w:r>
    </w:p>
  </w:footnote>
  <w:footnote w:id="14">
    <w:p w14:paraId="2605DC13" w14:textId="3F8C51DA" w:rsidR="00B605A4" w:rsidRPr="00833574" w:rsidRDefault="00B605A4" w:rsidP="00B92DCC">
      <w:pPr>
        <w:pStyle w:val="FootnoteText"/>
        <w:rPr>
          <w:highlight w:val="yellow"/>
        </w:rPr>
      </w:pPr>
      <w:r w:rsidRPr="00991AC2">
        <w:rPr>
          <w:rStyle w:val="FootnoteReference"/>
        </w:rPr>
        <w:footnoteRef/>
      </w:r>
      <w:r w:rsidRPr="00991AC2">
        <w:t xml:space="preserve"> 47 U.S.C. § 543(l)(1)(D); 47 C.F.R. § 76.905(b)(4).  In 1996 Congress added LEC </w:t>
      </w:r>
      <w:r>
        <w:t>E</w:t>
      </w:r>
      <w:r w:rsidRPr="00991AC2">
        <w:t xml:space="preserve">ffective </w:t>
      </w:r>
      <w:r>
        <w:t>C</w:t>
      </w:r>
      <w:r w:rsidRPr="00991AC2">
        <w:t xml:space="preserve">ompetition to the statute.  </w:t>
      </w:r>
      <w:r w:rsidRPr="00991AC2">
        <w:rPr>
          <w:i/>
        </w:rPr>
        <w:t xml:space="preserve">See </w:t>
      </w:r>
      <w:r w:rsidRPr="00991AC2">
        <w:t xml:space="preserve">Telecommunications Act of 1996, Pub. L. No. 104-104, 110 Stat. 56, 115, § 301(b)(3) (1996).  </w:t>
      </w:r>
    </w:p>
  </w:footnote>
  <w:footnote w:id="15">
    <w:p w14:paraId="49D89E24" w14:textId="77777777" w:rsidR="00B605A4" w:rsidRPr="00396AED" w:rsidRDefault="00B605A4">
      <w:pPr>
        <w:pStyle w:val="FootnoteText"/>
      </w:pPr>
      <w:r w:rsidRPr="00396AED">
        <w:rPr>
          <w:rStyle w:val="FootnoteReference"/>
        </w:rPr>
        <w:footnoteRef/>
      </w:r>
      <w:r w:rsidRPr="00396AED">
        <w:t xml:space="preserve"> </w:t>
      </w:r>
      <w:r w:rsidRPr="00396AED">
        <w:rPr>
          <w:i/>
        </w:rPr>
        <w:t xml:space="preserve">See </w:t>
      </w:r>
      <w:r w:rsidRPr="00396AED">
        <w:t xml:space="preserve">47 U.S.C. § 543.  </w:t>
      </w:r>
      <w:r w:rsidRPr="00396AED">
        <w:rPr>
          <w:i/>
        </w:rPr>
        <w:t xml:space="preserve">See also id. </w:t>
      </w:r>
      <w:r w:rsidRPr="00396AED">
        <w:t>§ 543(c)(4) (sunsetting upper tier rate regulation for cable programming services provided after March 31, 1999).</w:t>
      </w:r>
    </w:p>
  </w:footnote>
  <w:footnote w:id="16">
    <w:p w14:paraId="39A5A2C2" w14:textId="5DB8CD16" w:rsidR="00B605A4" w:rsidRPr="00833574" w:rsidRDefault="00B605A4" w:rsidP="004B540C">
      <w:pPr>
        <w:pStyle w:val="FootnoteText"/>
        <w:rPr>
          <w:highlight w:val="yellow"/>
        </w:rPr>
      </w:pPr>
      <w:r w:rsidRPr="004B540C">
        <w:rPr>
          <w:rStyle w:val="FootnoteReference"/>
        </w:rPr>
        <w:footnoteRef/>
      </w:r>
      <w:r w:rsidRPr="004B540C">
        <w:t xml:space="preserve"> </w:t>
      </w:r>
      <w:r>
        <w:rPr>
          <w:i/>
        </w:rPr>
        <w:t>Annual Assessment of the Status of Competition in the Market for the Delivery of Video Programming</w:t>
      </w:r>
      <w:r w:rsidRPr="004B540C">
        <w:t>, Third Annual Report, 12 FCC Rcd 4358, 4495 (App. F) (1997).</w:t>
      </w:r>
    </w:p>
  </w:footnote>
  <w:footnote w:id="17">
    <w:p w14:paraId="2261B070" w14:textId="77777777" w:rsidR="00B605A4" w:rsidRPr="004B540C" w:rsidRDefault="00B605A4" w:rsidP="004B540C">
      <w:pPr>
        <w:pStyle w:val="FootnoteText"/>
      </w:pPr>
      <w:r w:rsidRPr="004B540C">
        <w:rPr>
          <w:rStyle w:val="FootnoteReference"/>
        </w:rPr>
        <w:footnoteRef/>
      </w:r>
      <w:r w:rsidRPr="004B540C">
        <w:t xml:space="preserve"> </w:t>
      </w:r>
      <w:r w:rsidRPr="004B540C">
        <w:rPr>
          <w:i/>
        </w:rPr>
        <w:t xml:space="preserve">Implementation of Section 19 of the Cable Television Consumer Protection &amp; Competition Act of 1992, </w:t>
      </w:r>
      <w:r w:rsidRPr="004B540C">
        <w:t>First Report, 9 FCC Rcd 7442, 7449, ¶ 15 (1994).</w:t>
      </w:r>
    </w:p>
  </w:footnote>
  <w:footnote w:id="18">
    <w:p w14:paraId="18BA88DD" w14:textId="77777777" w:rsidR="00B605A4" w:rsidRPr="00833574" w:rsidRDefault="00B605A4" w:rsidP="004B540C">
      <w:pPr>
        <w:pStyle w:val="FootnoteText"/>
        <w:rPr>
          <w:i/>
          <w:highlight w:val="yellow"/>
        </w:rPr>
      </w:pPr>
      <w:r w:rsidRPr="004B540C">
        <w:rPr>
          <w:rStyle w:val="FootnoteReference"/>
        </w:rPr>
        <w:footnoteRef/>
      </w:r>
      <w:r w:rsidRPr="004B540C">
        <w:rPr>
          <w:i/>
        </w:rPr>
        <w:t xml:space="preserve"> Id.</w:t>
      </w:r>
      <w:r w:rsidRPr="004B540C">
        <w:t xml:space="preserve"> at 7449, ¶ 13.</w:t>
      </w:r>
      <w:r w:rsidRPr="004B540C">
        <w:rPr>
          <w:i/>
        </w:rPr>
        <w:t xml:space="preserve">  </w:t>
      </w:r>
    </w:p>
  </w:footnote>
  <w:footnote w:id="19">
    <w:p w14:paraId="47214766" w14:textId="77777777" w:rsidR="00B605A4" w:rsidRPr="004B540C" w:rsidRDefault="00B605A4" w:rsidP="004B540C">
      <w:pPr>
        <w:pStyle w:val="FootnoteText"/>
      </w:pPr>
      <w:r w:rsidRPr="004B540C">
        <w:rPr>
          <w:rStyle w:val="FootnoteReference"/>
        </w:rPr>
        <w:footnoteRef/>
      </w:r>
      <w:r w:rsidRPr="004B540C">
        <w:t xml:space="preserve"> DIRECTV, the first DBS entrant, began offering service in 1994.  </w:t>
      </w:r>
      <w:r w:rsidRPr="004B540C">
        <w:rPr>
          <w:i/>
        </w:rPr>
        <w:t>Id.</w:t>
      </w:r>
      <w:r w:rsidRPr="004B540C">
        <w:t xml:space="preserve"> at 7474, ¶ 63.</w:t>
      </w:r>
    </w:p>
  </w:footnote>
  <w:footnote w:id="20">
    <w:p w14:paraId="62BCE7F9" w14:textId="77777777" w:rsidR="00B605A4" w:rsidRPr="00833574" w:rsidRDefault="00B605A4" w:rsidP="004B540C">
      <w:pPr>
        <w:pStyle w:val="FootnoteText"/>
        <w:rPr>
          <w:highlight w:val="yellow"/>
        </w:rPr>
      </w:pPr>
      <w:r w:rsidRPr="004B540C">
        <w:rPr>
          <w:rStyle w:val="FootnoteReference"/>
        </w:rPr>
        <w:footnoteRef/>
      </w:r>
      <w:r w:rsidRPr="004B540C">
        <w:t xml:space="preserve"> </w:t>
      </w:r>
      <w:r w:rsidRPr="004B540C">
        <w:rPr>
          <w:i/>
        </w:rPr>
        <w:t>Id.</w:t>
      </w:r>
      <w:r w:rsidRPr="004B540C">
        <w:t xml:space="preserve"> at 7495, ¶¶ 103-04.</w:t>
      </w:r>
    </w:p>
  </w:footnote>
  <w:footnote w:id="21">
    <w:p w14:paraId="71AA26ED" w14:textId="7A239E76" w:rsidR="00B605A4" w:rsidRPr="004B540C" w:rsidRDefault="00B605A4" w:rsidP="00B92DCC">
      <w:pPr>
        <w:pStyle w:val="FootnoteText"/>
      </w:pPr>
      <w:r w:rsidRPr="004B540C">
        <w:rPr>
          <w:rStyle w:val="FootnoteReference"/>
        </w:rPr>
        <w:footnoteRef/>
      </w:r>
      <w:r w:rsidRPr="004B540C">
        <w:t xml:space="preserve"> </w:t>
      </w:r>
      <w:r w:rsidRPr="004B540C">
        <w:rPr>
          <w:i/>
        </w:rPr>
        <w:t xml:space="preserve">See </w:t>
      </w:r>
      <w:r w:rsidRPr="004B540C">
        <w:rPr>
          <w:i/>
          <w:iCs/>
        </w:rPr>
        <w:t>Implementation of Section</w:t>
      </w:r>
      <w:r>
        <w:rPr>
          <w:i/>
          <w:iCs/>
        </w:rPr>
        <w:t>s</w:t>
      </w:r>
      <w:r w:rsidRPr="004B540C">
        <w:rPr>
          <w:i/>
          <w:iCs/>
        </w:rPr>
        <w:t xml:space="preserve"> of the Cable Television Consumer Protection and Competition Act of 1992:  Rate Regulation</w:t>
      </w:r>
      <w:r w:rsidRPr="004B540C">
        <w:rPr>
          <w:i/>
        </w:rPr>
        <w:t xml:space="preserve">, </w:t>
      </w:r>
      <w:r w:rsidRPr="004B540C">
        <w:t>Report and Order and Further Notice of Proposed Rulemaking, 8 FCC Rcd 5631, 5669-70, ¶ 42 (1993) (“</w:t>
      </w:r>
      <w:r w:rsidRPr="004B540C">
        <w:rPr>
          <w:i/>
        </w:rPr>
        <w:t>1993 Rate Order</w:t>
      </w:r>
      <w:r w:rsidRPr="004B540C">
        <w:t>”); 47 C.F.R. § 76.906 (“In the absence of a demonstration to the contrary, cable systems are presumed not to be subject to effective competition</w:t>
      </w:r>
      <w:r w:rsidR="0086788C">
        <w:t>.</w:t>
      </w:r>
      <w:r w:rsidRPr="004B540C">
        <w:t>”).</w:t>
      </w:r>
    </w:p>
  </w:footnote>
  <w:footnote w:id="22">
    <w:p w14:paraId="27A443B1" w14:textId="392FF2BD" w:rsidR="00B605A4" w:rsidRPr="00833574" w:rsidRDefault="00B605A4" w:rsidP="00B92DCC">
      <w:pPr>
        <w:pStyle w:val="FootnoteText"/>
        <w:rPr>
          <w:highlight w:val="yellow"/>
        </w:rPr>
      </w:pPr>
      <w:r w:rsidRPr="004B540C">
        <w:rPr>
          <w:rStyle w:val="FootnoteReference"/>
        </w:rPr>
        <w:footnoteRef/>
      </w:r>
      <w:r w:rsidRPr="004B540C">
        <w:t xml:space="preserve"> </w:t>
      </w:r>
      <w:r w:rsidRPr="004B540C">
        <w:rPr>
          <w:i/>
        </w:rPr>
        <w:t>See</w:t>
      </w:r>
      <w:r w:rsidRPr="004B540C">
        <w:t xml:space="preserve"> 47 C.F.R. § 76.</w:t>
      </w:r>
      <w:r w:rsidRPr="00321FC5">
        <w:t xml:space="preserve">910.  Form 328 is available at </w:t>
      </w:r>
      <w:hyperlink r:id="rId1" w:history="1">
        <w:r w:rsidRPr="00321FC5">
          <w:rPr>
            <w:rStyle w:val="Hyperlink"/>
          </w:rPr>
          <w:t>http://www.fcc.gov/Forms/Form328/328.pdf</w:t>
        </w:r>
      </w:hyperlink>
      <w:r w:rsidRPr="00321FC5">
        <w:t xml:space="preserve">.  </w:t>
      </w:r>
    </w:p>
  </w:footnote>
  <w:footnote w:id="23">
    <w:p w14:paraId="6B04E790" w14:textId="62DCAC07" w:rsidR="00B605A4" w:rsidRPr="00E64875" w:rsidRDefault="00B605A4">
      <w:pPr>
        <w:pStyle w:val="FootnoteText"/>
      </w:pPr>
      <w:r w:rsidRPr="00E64875">
        <w:rPr>
          <w:rStyle w:val="FootnoteReference"/>
        </w:rPr>
        <w:footnoteRef/>
      </w:r>
      <w:r w:rsidRPr="00E64875">
        <w:t xml:space="preserve"> </w:t>
      </w:r>
      <w:r w:rsidRPr="00E64875">
        <w:rPr>
          <w:i/>
        </w:rPr>
        <w:t xml:space="preserve">See </w:t>
      </w:r>
      <w:r>
        <w:t xml:space="preserve">47 C.F.R. §§ </w:t>
      </w:r>
      <w:r w:rsidRPr="00E64875">
        <w:t>76.907</w:t>
      </w:r>
      <w:r>
        <w:t>, 76.911</w:t>
      </w:r>
      <w:r w:rsidRPr="00E64875">
        <w:t>.</w:t>
      </w:r>
    </w:p>
  </w:footnote>
  <w:footnote w:id="24">
    <w:p w14:paraId="78459BD5" w14:textId="0B82CB3E" w:rsidR="00B605A4" w:rsidRPr="00E64875" w:rsidRDefault="00B605A4">
      <w:pPr>
        <w:pStyle w:val="FootnoteText"/>
      </w:pPr>
      <w:r>
        <w:rPr>
          <w:rStyle w:val="FootnoteReference"/>
        </w:rPr>
        <w:footnoteRef/>
      </w:r>
      <w:r>
        <w:t xml:space="preserve"> </w:t>
      </w:r>
      <w:r>
        <w:rPr>
          <w:i/>
        </w:rPr>
        <w:t xml:space="preserve">Amendment to the Commission’s Rules Concerning Effective Competition; </w:t>
      </w:r>
      <w:r w:rsidRPr="0017410B">
        <w:rPr>
          <w:i/>
        </w:rPr>
        <w:t>Implementation of Section 111 of the STELA Reauthorization Act</w:t>
      </w:r>
      <w:r w:rsidRPr="0017410B">
        <w:t xml:space="preserve">, Notice of Proposed Rulemaking, </w:t>
      </w:r>
      <w:r>
        <w:t>30 FCC Rcd 2561, 2565-67</w:t>
      </w:r>
      <w:r w:rsidRPr="0017410B">
        <w:t>, ¶¶ 6-7 (2015) (</w:t>
      </w:r>
      <w:r>
        <w:t>“</w:t>
      </w:r>
      <w:r w:rsidRPr="0017410B">
        <w:t>NPRM</w:t>
      </w:r>
      <w:r>
        <w:t>”).</w:t>
      </w:r>
    </w:p>
  </w:footnote>
  <w:footnote w:id="25">
    <w:p w14:paraId="037B2B69" w14:textId="2FA28F02" w:rsidR="00B605A4" w:rsidRDefault="00B605A4">
      <w:pPr>
        <w:pStyle w:val="FootnoteText"/>
      </w:pPr>
      <w:r>
        <w:rPr>
          <w:rStyle w:val="FootnoteReference"/>
        </w:rPr>
        <w:footnoteRef/>
      </w:r>
      <w:r>
        <w:t xml:space="preserve"> </w:t>
      </w:r>
      <w:r>
        <w:rPr>
          <w:i/>
        </w:rPr>
        <w:t>Annual Assessment of the Status of Competition in the Market for the Delivery of Video Programming</w:t>
      </w:r>
      <w:r>
        <w:t>, Sixteenth Report, 30 FCC Rcd 3253, 3256, ¶ 2 (2015) (“</w:t>
      </w:r>
      <w:r>
        <w:rPr>
          <w:i/>
        </w:rPr>
        <w:t>16</w:t>
      </w:r>
      <w:r w:rsidRPr="00E84742">
        <w:rPr>
          <w:i/>
          <w:vertAlign w:val="superscript"/>
        </w:rPr>
        <w:t>th</w:t>
      </w:r>
      <w:r>
        <w:rPr>
          <w:i/>
        </w:rPr>
        <w:t xml:space="preserve"> Annual Video Competition Report</w:t>
      </w:r>
      <w:r>
        <w:t>”).</w:t>
      </w:r>
    </w:p>
  </w:footnote>
  <w:footnote w:id="26">
    <w:p w14:paraId="669AA00A" w14:textId="6A202497" w:rsidR="00B605A4" w:rsidRDefault="00B605A4">
      <w:pPr>
        <w:pStyle w:val="FootnoteText"/>
      </w:pPr>
      <w:r>
        <w:rPr>
          <w:rStyle w:val="FootnoteReference"/>
        </w:rPr>
        <w:footnoteRef/>
      </w:r>
      <w:r>
        <w:t xml:space="preserve"> </w:t>
      </w:r>
      <w:r>
        <w:rPr>
          <w:i/>
        </w:rPr>
        <w:t>Id.</w:t>
      </w:r>
    </w:p>
  </w:footnote>
  <w:footnote w:id="27">
    <w:p w14:paraId="1F4E38EE" w14:textId="5C49491E" w:rsidR="00B605A4" w:rsidRPr="006B27B2" w:rsidRDefault="00B605A4">
      <w:pPr>
        <w:pStyle w:val="FootnoteText"/>
      </w:pPr>
      <w:r>
        <w:rPr>
          <w:rStyle w:val="FootnoteReference"/>
        </w:rPr>
        <w:footnoteRef/>
      </w:r>
      <w:r>
        <w:t xml:space="preserve"> </w:t>
      </w:r>
      <w:r>
        <w:rPr>
          <w:i/>
        </w:rPr>
        <w:t>Id.</w:t>
      </w:r>
      <w:r>
        <w:t xml:space="preserve"> at 3300-01, ¶¶ 112-113.</w:t>
      </w:r>
    </w:p>
  </w:footnote>
  <w:footnote w:id="28">
    <w:p w14:paraId="5860CAB7" w14:textId="190E3161" w:rsidR="00B605A4" w:rsidRPr="0055168A" w:rsidRDefault="00B605A4" w:rsidP="0055168A">
      <w:pPr>
        <w:pStyle w:val="FootnoteText"/>
      </w:pPr>
      <w:r>
        <w:rPr>
          <w:rStyle w:val="FootnoteReference"/>
        </w:rPr>
        <w:footnoteRef/>
      </w:r>
      <w:r>
        <w:t xml:space="preserve"> </w:t>
      </w:r>
      <w:r>
        <w:rPr>
          <w:i/>
        </w:rPr>
        <w:t>Id.</w:t>
      </w:r>
      <w:r>
        <w:t xml:space="preserve"> at 3267, ¶ 31.</w:t>
      </w:r>
    </w:p>
  </w:footnote>
  <w:footnote w:id="29">
    <w:p w14:paraId="2B7F1A66" w14:textId="5089224A" w:rsidR="00B605A4" w:rsidRPr="00AD1383" w:rsidRDefault="00B605A4">
      <w:pPr>
        <w:pStyle w:val="FootnoteText"/>
      </w:pPr>
      <w:r>
        <w:rPr>
          <w:rStyle w:val="FootnoteReference"/>
        </w:rPr>
        <w:footnoteRef/>
      </w:r>
      <w:r>
        <w:t xml:space="preserve"> NPRM, 30 FCC Rcd at 2567</w:t>
      </w:r>
      <w:r w:rsidRPr="00736410">
        <w:t>, ¶ 7</w:t>
      </w:r>
      <w:r>
        <w:t>.</w:t>
      </w:r>
    </w:p>
  </w:footnote>
  <w:footnote w:id="30">
    <w:p w14:paraId="7E0B41E3" w14:textId="37F558BC" w:rsidR="00B605A4" w:rsidRPr="00736410" w:rsidRDefault="00B605A4" w:rsidP="00B92DCC">
      <w:pPr>
        <w:pStyle w:val="FootnoteText"/>
      </w:pPr>
      <w:r w:rsidRPr="00726346">
        <w:rPr>
          <w:rStyle w:val="FootnoteReference"/>
        </w:rPr>
        <w:footnoteRef/>
      </w:r>
      <w:r w:rsidRPr="00726346">
        <w:t xml:space="preserve"> </w:t>
      </w:r>
      <w:r>
        <w:rPr>
          <w:i/>
        </w:rPr>
        <w:t>Id.</w:t>
      </w:r>
      <w:r>
        <w:t xml:space="preserve"> at 2566-67, ¶ 7.</w:t>
      </w:r>
    </w:p>
  </w:footnote>
  <w:footnote w:id="31">
    <w:p w14:paraId="7BA5FBDA" w14:textId="53D9190D" w:rsidR="00B605A4" w:rsidRPr="00602DFC" w:rsidRDefault="00B605A4">
      <w:pPr>
        <w:pStyle w:val="FootnoteText"/>
      </w:pPr>
      <w:r>
        <w:rPr>
          <w:rStyle w:val="FootnoteReference"/>
        </w:rPr>
        <w:footnoteRef/>
      </w:r>
      <w:r>
        <w:t xml:space="preserve"> </w:t>
      </w:r>
      <w:r>
        <w:rPr>
          <w:i/>
        </w:rPr>
        <w:t>Id.</w:t>
      </w:r>
      <w:r>
        <w:t xml:space="preserve"> at 2567, ¶ 7.</w:t>
      </w:r>
    </w:p>
  </w:footnote>
  <w:footnote w:id="32">
    <w:p w14:paraId="135B4549" w14:textId="0F08B133" w:rsidR="00B605A4" w:rsidRPr="007B02BE" w:rsidRDefault="00B605A4">
      <w:pPr>
        <w:pStyle w:val="FootnoteText"/>
      </w:pPr>
      <w:r>
        <w:rPr>
          <w:rStyle w:val="FootnoteReference"/>
        </w:rPr>
        <w:footnoteRef/>
      </w:r>
      <w:r>
        <w:t xml:space="preserve"> </w:t>
      </w:r>
      <w:r>
        <w:rPr>
          <w:i/>
        </w:rPr>
        <w:t xml:space="preserve">See, e.g., </w:t>
      </w:r>
      <w:r>
        <w:t xml:space="preserve">Comments of the American Cable Association at 3-5, 8-9 (“ACA Comments”); Comments of ITTA – The Voice of Mid-Size Communications Companies at 1-5 (“ITTA Comments”); Comments of the National Cable &amp; Telecommunications Association at 1, 4-6 (“NCTA Comments”); Reply Comments of the American Cable Association at 1-2 (“ACA Reply”); Reply Comments of Cablevision Systems Corporation at 1, 5-6 (“Cablevision Reply”); Reply Comments of the Free State Foundation at 1-4 and Appendix (“FSF Reply”); Reply Comments of the National Cable &amp; Telecommunications Association at 1-4 (“NCTA Reply”); Letter from Seth A. Davidson, Counsel for American Cable Association, to Marlene H. Dortch, Secretary, FCC, at 1 (Apr. 22, 2015) (“ACA Apr. 22 </w:t>
      </w:r>
      <w:r>
        <w:rPr>
          <w:i/>
        </w:rPr>
        <w:t xml:space="preserve">Ex Parte </w:t>
      </w:r>
      <w:r>
        <w:t xml:space="preserve">Letter”); Letter from Samuel L. Feder, Counsel for Charter Communications, Inc., to Marlene H. Dortch, Secretary, FCC, at 1 (Apr. 23, 2015); Letter from Samuel L. Feder, Counsel for Cablevision Systems Corporation, to Marlene H. Dortch, Secretary, FCC, at 2 (Apr. 23, 2015); Letter from Rick Chessen, Senior Vice President, Law and Regulatory Policy, NCTA, to Marlene H. Dortch, Secretary, FCC, at 1 (May 14, 2015) (“NCTA May 14 </w:t>
      </w:r>
      <w:r>
        <w:rPr>
          <w:i/>
        </w:rPr>
        <w:t xml:space="preserve">Ex Parte </w:t>
      </w:r>
      <w:r>
        <w:t>Letter”).</w:t>
      </w:r>
    </w:p>
  </w:footnote>
  <w:footnote w:id="33">
    <w:p w14:paraId="148A0CD7" w14:textId="51A2DF69" w:rsidR="00B605A4" w:rsidRPr="002D7B62" w:rsidRDefault="00B605A4">
      <w:pPr>
        <w:pStyle w:val="FootnoteText"/>
      </w:pPr>
      <w:r>
        <w:rPr>
          <w:rStyle w:val="FootnoteReference"/>
        </w:rPr>
        <w:footnoteRef/>
      </w:r>
      <w:r>
        <w:t xml:space="preserve"> </w:t>
      </w:r>
      <w:r>
        <w:rPr>
          <w:i/>
        </w:rPr>
        <w:t xml:space="preserve">See supra </w:t>
      </w:r>
      <w:r>
        <w:t>Section II.</w:t>
      </w:r>
    </w:p>
  </w:footnote>
  <w:footnote w:id="34">
    <w:p w14:paraId="2640FFC8" w14:textId="3A3F2392" w:rsidR="00B605A4" w:rsidRPr="005D5E64" w:rsidRDefault="00B605A4">
      <w:pPr>
        <w:pStyle w:val="FootnoteText"/>
        <w:rPr>
          <w:highlight w:val="yellow"/>
        </w:rPr>
      </w:pPr>
      <w:r w:rsidRPr="003E4B62">
        <w:rPr>
          <w:rStyle w:val="FootnoteReference"/>
        </w:rPr>
        <w:footnoteRef/>
      </w:r>
      <w:r w:rsidRPr="003E4B62">
        <w:t xml:space="preserve"> 47 U.S.C. § 543(l)(1)(B).</w:t>
      </w:r>
      <w:r>
        <w:t xml:space="preserve">  The statute establishes the applicable test for each type of Effective Competition, and we thus cannot modify the tests, as some commenters request, nor can we base an Effective Competition decision on vague allegations of large cable operators’ dominance.  </w:t>
      </w:r>
      <w:r>
        <w:rPr>
          <w:i/>
        </w:rPr>
        <w:t xml:space="preserve">See </w:t>
      </w:r>
      <w:r>
        <w:t xml:space="preserve">Comments of the New Jersey Division of Rate Counsel at 7-10 (“NJ Rate Counsel Comments”); Comments of Public Knowledge at 1-2 and 5, n. 10 (“Public Knowledge Comments”); Reply Comments of the Massachusetts Department of Telecommunications and Cable at 4 (“MDTC Reply”); Letter from Cheryl A. Leanza, Policy Advisory, United Church of Christ, Office of Communication Inc., to Marlene H. Dortch, Secretary, FCC, at 1 (May 8, 2015) (“UCC OC May 8 </w:t>
      </w:r>
      <w:r>
        <w:rPr>
          <w:i/>
        </w:rPr>
        <w:t xml:space="preserve">Ex Parte </w:t>
      </w:r>
      <w:r>
        <w:t xml:space="preserve">Letter”) (claiming that the Commission should consider the cost of broadband as part of its analysis); Intergovernmental Advisory Committee to the FCC, Advisory Recommendation No. 2015-7, at 4-5 (filed May 15, 2015) (“IAC Recommendation”); Letter from Public Knowledge </w:t>
      </w:r>
      <w:r>
        <w:rPr>
          <w:i/>
        </w:rPr>
        <w:t xml:space="preserve">et al. </w:t>
      </w:r>
      <w:r>
        <w:t xml:space="preserve">to The Honorable Tom Wheeler </w:t>
      </w:r>
      <w:r>
        <w:rPr>
          <w:i/>
        </w:rPr>
        <w:t>et al.</w:t>
      </w:r>
      <w:r>
        <w:t xml:space="preserve">, at 6 (May 26, 2015) (“Public Knowledge </w:t>
      </w:r>
      <w:r>
        <w:rPr>
          <w:i/>
        </w:rPr>
        <w:t xml:space="preserve">et al. </w:t>
      </w:r>
      <w:r>
        <w:t xml:space="preserve">May 26 </w:t>
      </w:r>
      <w:r>
        <w:rPr>
          <w:i/>
        </w:rPr>
        <w:t xml:space="preserve">Ex Parte </w:t>
      </w:r>
      <w:r>
        <w:t xml:space="preserve">Letter”) (questioning “how the availability of high-speed broadband has altered the competitive equation”).  In addition, while some commenters state that the basic service tier rate increases more rapidly in communities with a finding of Effective Competition than in those without such a finding, we emphasize that the average rate for basic service is actually lower in communities with a finding of Effective Competition than in those without a finding, demonstrating that basic service tier rates remain reasonable where there is a Commission finding of Effective Competition.  </w:t>
      </w:r>
      <w:r>
        <w:rPr>
          <w:i/>
        </w:rPr>
        <w:t xml:space="preserve">See Implementation of Section 3 of the Cable Television Consumer Protection and Competition Act of 1992:  Statistical Report on Average Rates for Basic Service, Cable Programming Service, and Equipment, </w:t>
      </w:r>
      <w:r>
        <w:t>Report on Cable Industry Prices, 29 FCC Rcd 14895, 14902, ¶ 15 (2014) (“</w:t>
      </w:r>
      <w:r>
        <w:rPr>
          <w:i/>
        </w:rPr>
        <w:t>2014 Cable Price Report</w:t>
      </w:r>
      <w:r>
        <w:t xml:space="preserve">”); Comments of the Massachusetts Department of Telecommunications and Cable at 2, 13-14 (“MDTC Comments”); NJ Rate Counsel Comments at 3, 6; Reply Comments of the National Association of Telecommunications Officers and Advisors at 6 (“NATOA Reply”); Reply Comments of the Staff of the Office of Cable Television for the New Jersey Board of Public Utilities at 7-8 (“NJ OCTV Reply”).  </w:t>
      </w:r>
      <w:r>
        <w:rPr>
          <w:i/>
        </w:rPr>
        <w:t xml:space="preserve">See also </w:t>
      </w:r>
      <w:r>
        <w:t xml:space="preserve">47 U.S.C. § 543(b)(1) (“The Commission shall, by regulation, ensure that the rates for the basic service tier are reasonable.”); Public Knowledge Comments at 3 (expressing concern about the impact of a presumption of Effective Competition on cable rates); Letter from Gus K. West, President, The Hispanic Institute, to Marlene H. Dortch, Secretary, FCC, at 1-2 (Apr. 30, 2015) (same); Letter from Michael J. Scurato, Policy Director, National Hispanic Media Coalition, to Marlene H. Dortch, Secretary, FCC, at 1 (May 12, 2015) (same) (“NHMC May 12 </w:t>
      </w:r>
      <w:r>
        <w:rPr>
          <w:i/>
        </w:rPr>
        <w:t xml:space="preserve">Ex Parte </w:t>
      </w:r>
      <w:r>
        <w:t xml:space="preserve">Letter”); Letter from Rev. Sheldon Williams, President, National Black Religious Broadcasters, to Marlene H. Dortch, Secretary, FCC, at 1-2 (May 21, 2015) (same); Public Knowledge </w:t>
      </w:r>
      <w:r>
        <w:rPr>
          <w:i/>
        </w:rPr>
        <w:t xml:space="preserve">et al. </w:t>
      </w:r>
      <w:r>
        <w:t xml:space="preserve">May 26 </w:t>
      </w:r>
      <w:r>
        <w:rPr>
          <w:i/>
        </w:rPr>
        <w:t xml:space="preserve">Ex Parte </w:t>
      </w:r>
      <w:r>
        <w:t xml:space="preserve">Letter at 4, 6 (same); Letter from Jennifer Johnson, Counsel for NBC Television Affiliates and CBS Television Network Affiliates Association, to Marlene H. Dortch, Secretary, FCC, at 1 (May 27, 2015) (same) (“Affiliates May 27 </w:t>
      </w:r>
      <w:r>
        <w:rPr>
          <w:i/>
        </w:rPr>
        <w:t xml:space="preserve">Ex Parte </w:t>
      </w:r>
      <w:r>
        <w:t xml:space="preserve">Letter”); Letter from Gerald J. Waldron, Counsel to Univision Communications Inc., to Marlene H. Dortch, </w:t>
      </w:r>
      <w:r w:rsidR="00233592">
        <w:t xml:space="preserve">Secretary, FCC, at 1 (May 29, 2015) (same) (“Univision May 29 </w:t>
      </w:r>
      <w:r w:rsidR="00233592">
        <w:rPr>
          <w:i/>
        </w:rPr>
        <w:t xml:space="preserve">Ex Parte </w:t>
      </w:r>
      <w:r w:rsidR="00233592">
        <w:t xml:space="preserve">Letter”); </w:t>
      </w:r>
      <w:r>
        <w:t xml:space="preserve">Letter from Delara Derakhshani, Policy Counsel, Consumers Union, to </w:t>
      </w:r>
      <w:r w:rsidR="007612B1">
        <w:t xml:space="preserve">The Honorable Tom Wheeler </w:t>
      </w:r>
      <w:r w:rsidR="007612B1">
        <w:rPr>
          <w:i/>
        </w:rPr>
        <w:t>et al.</w:t>
      </w:r>
      <w:r>
        <w:t xml:space="preserve"> at 1-2 (June 1, 2015) (same).  In addition, contrary to NAB’s assertion, there is no evidence in the record that a finding of Effective Competition causes cable operators to increase their other fees or equipment rental charges.  </w:t>
      </w:r>
      <w:r>
        <w:rPr>
          <w:i/>
        </w:rPr>
        <w:t xml:space="preserve">See </w:t>
      </w:r>
      <w:r>
        <w:t xml:space="preserve">Letter from Rick Kaplan, Executive Vice President and General Counsel, Legal and Regulatory Affairs, NAB, to Marlene H. Dortch, Secretary, FCC, at 1 (May 22, 2015) (“NAB May 22 </w:t>
      </w:r>
      <w:r>
        <w:rPr>
          <w:i/>
        </w:rPr>
        <w:t xml:space="preserve">Ex Parte </w:t>
      </w:r>
      <w:r>
        <w:t xml:space="preserve">Letter”).  We also clarify that while commenters characterize their statistics as a comparison between communities with Effective Competition and communities without Effective Competition, the statistics in fact involve communities where the Commission has made a finding of Effective Competition and communities where the Commission has yet to make such a finding even though Effective Competition may be present.  </w:t>
      </w:r>
      <w:r>
        <w:rPr>
          <w:i/>
        </w:rPr>
        <w:t>See 2014 Cable Price Report</w:t>
      </w:r>
      <w:r>
        <w:t>, 29 FCC Rcd at 14897, ¶ 2 (“For purposes of this survey, we have defined all cable operators that do not have an FCC finding of effective competition as ‘noncompetitive’.  In many such communities, the incumbent cable operator could possibly meet the test yet for various reasons has not petitioned the Commission for an effective competition finding . . . .”).</w:t>
      </w:r>
    </w:p>
  </w:footnote>
  <w:footnote w:id="35">
    <w:p w14:paraId="1150856F" w14:textId="38BF6582" w:rsidR="00B605A4" w:rsidRPr="003F1FA7" w:rsidRDefault="00B605A4">
      <w:pPr>
        <w:pStyle w:val="FootnoteText"/>
      </w:pPr>
      <w:r>
        <w:rPr>
          <w:rStyle w:val="FootnoteReference"/>
        </w:rPr>
        <w:footnoteRef/>
      </w:r>
      <w:r>
        <w:t xml:space="preserve"> </w:t>
      </w:r>
      <w:r w:rsidRPr="0097673F">
        <w:t>A CUID is a unique identification code that the Commission assigns a single cable operator within a community to represent an area that the cable operator services.  A CUID often includes a single franchise area, but it sometimes includes a larger or smaller area.  CUID data is the available data that most closely approximates franchise areas.</w:t>
      </w:r>
      <w:r>
        <w:t xml:space="preserve">  </w:t>
      </w:r>
    </w:p>
  </w:footnote>
  <w:footnote w:id="36">
    <w:p w14:paraId="622754FF" w14:textId="15C30133" w:rsidR="00B605A4" w:rsidRPr="00C92EE1" w:rsidRDefault="00B605A4">
      <w:pPr>
        <w:pStyle w:val="FootnoteText"/>
      </w:pPr>
      <w:r>
        <w:rPr>
          <w:rStyle w:val="FootnoteReference"/>
        </w:rPr>
        <w:footnoteRef/>
      </w:r>
      <w:r>
        <w:t xml:space="preserve"> </w:t>
      </w:r>
      <w:r w:rsidRPr="00726346">
        <w:t xml:space="preserve">NPRM, 30 FCC Rcd at </w:t>
      </w:r>
      <w:r>
        <w:t>2566</w:t>
      </w:r>
      <w:r w:rsidRPr="00726346">
        <w:t>, ¶ 7.</w:t>
      </w:r>
      <w:r>
        <w:t xml:space="preserve">  The IAC’s suggestion that the Commission has made incorrect Effective Competition findings is unsubstantiated.  IAC Recommendation at 2-3.  We clarify that any Commission grant of an Effective Competition petition, including an unopposed petition, is based on satisfaction of the statutory Effective Competition tests.  </w:t>
      </w:r>
      <w:r>
        <w:rPr>
          <w:i/>
        </w:rPr>
        <w:t>Id.</w:t>
      </w:r>
      <w:r>
        <w:t xml:space="preserve"> at 3.</w:t>
      </w:r>
    </w:p>
  </w:footnote>
  <w:footnote w:id="37">
    <w:p w14:paraId="0E26C8B0" w14:textId="033DD6F2" w:rsidR="00B605A4" w:rsidRPr="00EE765E" w:rsidRDefault="00B605A4">
      <w:pPr>
        <w:pStyle w:val="FootnoteText"/>
        <w:rPr>
          <w:i/>
        </w:rPr>
      </w:pPr>
      <w:r>
        <w:rPr>
          <w:rStyle w:val="FootnoteReference"/>
        </w:rPr>
        <w:footnoteRef/>
      </w:r>
      <w:r>
        <w:t xml:space="preserve"> </w:t>
      </w:r>
      <w:r w:rsidRPr="00726346">
        <w:t xml:space="preserve">NPRM, 30 FCC Rcd at </w:t>
      </w:r>
      <w:r>
        <w:t>2566</w:t>
      </w:r>
      <w:r w:rsidRPr="00726346">
        <w:t>, ¶ 7.</w:t>
      </w:r>
      <w:r>
        <w:rPr>
          <w:i/>
        </w:rPr>
        <w:t xml:space="preserve">  </w:t>
      </w:r>
      <w:r w:rsidRPr="0097673F">
        <w:t xml:space="preserve">Of the total number of CUIDs in which the Commission granted a request for a finding of </w:t>
      </w:r>
      <w:r>
        <w:t>E</w:t>
      </w:r>
      <w:r w:rsidRPr="0097673F">
        <w:t xml:space="preserve">ffective </w:t>
      </w:r>
      <w:r>
        <w:t>C</w:t>
      </w:r>
      <w:r w:rsidRPr="0097673F">
        <w:t xml:space="preserve">ompetition during this timeframe, </w:t>
      </w:r>
      <w:r>
        <w:t>229</w:t>
      </w:r>
      <w:r w:rsidRPr="0097673F">
        <w:t xml:space="preserve"> (</w:t>
      </w:r>
      <w:r>
        <w:t>nearly 16</w:t>
      </w:r>
      <w:r w:rsidRPr="0097673F">
        <w:t xml:space="preserve"> percent) were granted due to </w:t>
      </w:r>
      <w:r>
        <w:t>L</w:t>
      </w:r>
      <w:r w:rsidRPr="0097673F">
        <w:t xml:space="preserve">ow </w:t>
      </w:r>
      <w:r>
        <w:t>P</w:t>
      </w:r>
      <w:r w:rsidRPr="0097673F">
        <w:t xml:space="preserve">enetration </w:t>
      </w:r>
      <w:r>
        <w:t>E</w:t>
      </w:r>
      <w:r w:rsidRPr="0097673F">
        <w:t xml:space="preserve">ffective </w:t>
      </w:r>
      <w:r>
        <w:t>C</w:t>
      </w:r>
      <w:r w:rsidRPr="0097673F">
        <w:t xml:space="preserve">ompetition, and </w:t>
      </w:r>
      <w:r>
        <w:t>54</w:t>
      </w:r>
      <w:r w:rsidRPr="0097673F">
        <w:t xml:space="preserve"> (</w:t>
      </w:r>
      <w:r>
        <w:t>nearly 4</w:t>
      </w:r>
      <w:r w:rsidRPr="0097673F">
        <w:t xml:space="preserve"> percent) were granted due to LEC </w:t>
      </w:r>
      <w:r>
        <w:t>E</w:t>
      </w:r>
      <w:r w:rsidRPr="0097673F">
        <w:t xml:space="preserve">ffective </w:t>
      </w:r>
      <w:r>
        <w:t>C</w:t>
      </w:r>
      <w:r w:rsidRPr="0097673F">
        <w:t xml:space="preserve">ompetition.  None of the requests granted during this timeframe </w:t>
      </w:r>
      <w:r>
        <w:t>was</w:t>
      </w:r>
      <w:r w:rsidRPr="0097673F">
        <w:t xml:space="preserve"> based on </w:t>
      </w:r>
      <w:r>
        <w:t>M</w:t>
      </w:r>
      <w:r w:rsidRPr="0097673F">
        <w:t xml:space="preserve">unicipal </w:t>
      </w:r>
      <w:r>
        <w:t>P</w:t>
      </w:r>
      <w:r w:rsidRPr="0097673F">
        <w:t xml:space="preserve">rovider </w:t>
      </w:r>
      <w:r>
        <w:t>E</w:t>
      </w:r>
      <w:r w:rsidRPr="0097673F">
        <w:t xml:space="preserve">ffective </w:t>
      </w:r>
      <w:r>
        <w:t>C</w:t>
      </w:r>
      <w:r w:rsidRPr="0097673F">
        <w:t xml:space="preserve">ompetition.  Where a finding of </w:t>
      </w:r>
      <w:r>
        <w:t>E</w:t>
      </w:r>
      <w:r w:rsidRPr="0097673F">
        <w:t xml:space="preserve">ffective </w:t>
      </w:r>
      <w:r>
        <w:t>C</w:t>
      </w:r>
      <w:r w:rsidRPr="0097673F">
        <w:t xml:space="preserve">ompetition was based on one of the other types of </w:t>
      </w:r>
      <w:r>
        <w:t>E</w:t>
      </w:r>
      <w:r w:rsidRPr="0097673F">
        <w:t xml:space="preserve">ffective </w:t>
      </w:r>
      <w:r>
        <w:t>C</w:t>
      </w:r>
      <w:r w:rsidRPr="0097673F">
        <w:t xml:space="preserve">ompetition besides </w:t>
      </w:r>
      <w:r>
        <w:t>C</w:t>
      </w:r>
      <w:r w:rsidRPr="0097673F">
        <w:t xml:space="preserve">ompeting </w:t>
      </w:r>
      <w:r>
        <w:t>P</w:t>
      </w:r>
      <w:r w:rsidRPr="0097673F">
        <w:t xml:space="preserve">rovider </w:t>
      </w:r>
      <w:r>
        <w:t>E</w:t>
      </w:r>
      <w:r w:rsidRPr="0097673F">
        <w:t xml:space="preserve">ffective </w:t>
      </w:r>
      <w:r>
        <w:t>C</w:t>
      </w:r>
      <w:r w:rsidRPr="0097673F">
        <w:t xml:space="preserve">ompetition, it does not </w:t>
      </w:r>
      <w:r>
        <w:t xml:space="preserve">necessarily </w:t>
      </w:r>
      <w:r w:rsidRPr="0097673F">
        <w:t xml:space="preserve">mean that </w:t>
      </w:r>
      <w:r>
        <w:t>C</w:t>
      </w:r>
      <w:r w:rsidRPr="0097673F">
        <w:t xml:space="preserve">ompeting </w:t>
      </w:r>
      <w:r>
        <w:t>P</w:t>
      </w:r>
      <w:r w:rsidRPr="0097673F">
        <w:t xml:space="preserve">rovider </w:t>
      </w:r>
      <w:r>
        <w:t>E</w:t>
      </w:r>
      <w:r w:rsidRPr="0097673F">
        <w:t xml:space="preserve">ffective </w:t>
      </w:r>
      <w:r>
        <w:t>C</w:t>
      </w:r>
      <w:r w:rsidRPr="0097673F">
        <w:t xml:space="preserve">ompetition was not present.  Rather, it means that the pleadings raised one of the other types of </w:t>
      </w:r>
      <w:r>
        <w:t>E</w:t>
      </w:r>
      <w:r w:rsidRPr="0097673F">
        <w:t xml:space="preserve">ffective </w:t>
      </w:r>
      <w:r>
        <w:t>C</w:t>
      </w:r>
      <w:r w:rsidRPr="0097673F">
        <w:t xml:space="preserve">ompetition, and the Commission thus evaluated </w:t>
      </w:r>
      <w:r>
        <w:t>E</w:t>
      </w:r>
      <w:r w:rsidRPr="0097673F">
        <w:t xml:space="preserve">ffective </w:t>
      </w:r>
      <w:r>
        <w:t>C</w:t>
      </w:r>
      <w:r w:rsidRPr="0097673F">
        <w:t>ompetition in th</w:t>
      </w:r>
      <w:r>
        <w:t>at</w:t>
      </w:r>
      <w:r w:rsidRPr="0097673F">
        <w:t xml:space="preserve"> context.</w:t>
      </w:r>
      <w:r>
        <w:t xml:space="preserve">  </w:t>
      </w:r>
      <w:r>
        <w:rPr>
          <w:i/>
        </w:rPr>
        <w:t xml:space="preserve">But see </w:t>
      </w:r>
      <w:r>
        <w:t xml:space="preserve">Comments of the National Association of Broadcasters at 16, n. 8 (“NAB Comments”) (stating NAB’s expectation that a cable operator who files an Effective Competition petition based on one of the other tests also would allege the presence of Competing Provider Effective Competition if supported by the facts).  </w:t>
      </w:r>
      <w:r w:rsidRPr="00660107">
        <w:t>In fact, cable operators often file Effective Competition petitions arguing that they are subject to more than one type of Effective Compet</w:t>
      </w:r>
      <w:r w:rsidRPr="00370728">
        <w:t xml:space="preserve">ition within a </w:t>
      </w:r>
      <w:r w:rsidRPr="00A73CC8">
        <w:t xml:space="preserve">single franchise area.  In </w:t>
      </w:r>
      <w:r w:rsidRPr="00E43818">
        <w:t xml:space="preserve">such cases, if the </w:t>
      </w:r>
      <w:r w:rsidRPr="00DA0146">
        <w:t>Bureau finds that a cable operator has met its burden under one of the statutory tests, it forgoes making a finding under the alternate test</w:t>
      </w:r>
      <w:r>
        <w:t>s</w:t>
      </w:r>
      <w:r w:rsidRPr="00DA0146">
        <w:t xml:space="preserve"> for Effective Competition.  </w:t>
      </w:r>
      <w:r w:rsidRPr="00E4657D">
        <w:rPr>
          <w:i/>
        </w:rPr>
        <w:t>See</w:t>
      </w:r>
      <w:r>
        <w:rPr>
          <w:i/>
        </w:rPr>
        <w:t>,</w:t>
      </w:r>
      <w:r w:rsidRPr="00E4657D">
        <w:rPr>
          <w:i/>
        </w:rPr>
        <w:t xml:space="preserve"> e.g., Time Warner Cable Inc.</w:t>
      </w:r>
      <w:r w:rsidRPr="00660107">
        <w:t xml:space="preserve">, </w:t>
      </w:r>
      <w:r>
        <w:t xml:space="preserve">Memorandum Opinion and Order, </w:t>
      </w:r>
      <w:r w:rsidRPr="00660107">
        <w:t>28 FCC Rcd 16299, 16304,</w:t>
      </w:r>
      <w:r w:rsidRPr="00370728">
        <w:t xml:space="preserve"> n.</w:t>
      </w:r>
      <w:r>
        <w:t xml:space="preserve"> </w:t>
      </w:r>
      <w:r w:rsidRPr="00370728">
        <w:t xml:space="preserve">45 </w:t>
      </w:r>
      <w:r w:rsidRPr="00A73CC8">
        <w:t>(MB</w:t>
      </w:r>
      <w:r>
        <w:t>,</w:t>
      </w:r>
      <w:r w:rsidRPr="00A73CC8">
        <w:t xml:space="preserve"> 2013) (</w:t>
      </w:r>
      <w:r>
        <w:t>“</w:t>
      </w:r>
      <w:r w:rsidRPr="00660107">
        <w:rPr>
          <w:color w:val="000000"/>
        </w:rPr>
        <w:t xml:space="preserve">Because we find that Time Warner is subject to competing provider </w:t>
      </w:r>
      <w:r w:rsidRPr="00E4657D">
        <w:rPr>
          <w:bCs/>
          <w:color w:val="000000"/>
        </w:rPr>
        <w:t>effective</w:t>
      </w:r>
      <w:r w:rsidRPr="00660107">
        <w:rPr>
          <w:color w:val="000000"/>
        </w:rPr>
        <w:t xml:space="preserve"> </w:t>
      </w:r>
      <w:r w:rsidRPr="00E4657D">
        <w:rPr>
          <w:bCs/>
          <w:color w:val="000000"/>
        </w:rPr>
        <w:t>competition</w:t>
      </w:r>
      <w:r w:rsidRPr="00660107">
        <w:rPr>
          <w:color w:val="000000"/>
        </w:rPr>
        <w:t xml:space="preserve"> in El Cenizo and Rio Bravo, we </w:t>
      </w:r>
      <w:r w:rsidRPr="00E4657D">
        <w:rPr>
          <w:bCs/>
          <w:color w:val="000000"/>
        </w:rPr>
        <w:t>need</w:t>
      </w:r>
      <w:r w:rsidRPr="00660107">
        <w:rPr>
          <w:color w:val="000000"/>
        </w:rPr>
        <w:t xml:space="preserve"> </w:t>
      </w:r>
      <w:r w:rsidRPr="00E4657D">
        <w:rPr>
          <w:bCs/>
          <w:color w:val="000000"/>
        </w:rPr>
        <w:t>not</w:t>
      </w:r>
      <w:r w:rsidRPr="00660107">
        <w:rPr>
          <w:color w:val="000000"/>
        </w:rPr>
        <w:t xml:space="preserve"> address its claim that it is also subject to </w:t>
      </w:r>
      <w:r>
        <w:rPr>
          <w:color w:val="000000"/>
        </w:rPr>
        <w:t>‘</w:t>
      </w:r>
      <w:r w:rsidRPr="00660107">
        <w:rPr>
          <w:color w:val="000000"/>
        </w:rPr>
        <w:t>low penetration</w:t>
      </w:r>
      <w:r>
        <w:rPr>
          <w:color w:val="000000"/>
        </w:rPr>
        <w:t>’</w:t>
      </w:r>
      <w:r w:rsidRPr="00660107">
        <w:rPr>
          <w:color w:val="000000"/>
        </w:rPr>
        <w:t xml:space="preserve"> </w:t>
      </w:r>
      <w:r w:rsidRPr="00E4657D">
        <w:rPr>
          <w:bCs/>
          <w:color w:val="000000"/>
        </w:rPr>
        <w:t>effective</w:t>
      </w:r>
      <w:r w:rsidRPr="00660107">
        <w:rPr>
          <w:color w:val="000000"/>
        </w:rPr>
        <w:t xml:space="preserve"> </w:t>
      </w:r>
      <w:r w:rsidRPr="00E4657D">
        <w:rPr>
          <w:bCs/>
          <w:color w:val="000000"/>
        </w:rPr>
        <w:t>competition</w:t>
      </w:r>
      <w:r w:rsidRPr="00660107">
        <w:rPr>
          <w:color w:val="000000"/>
        </w:rPr>
        <w:t xml:space="preserve"> there.</w:t>
      </w:r>
      <w:r>
        <w:rPr>
          <w:color w:val="000000"/>
        </w:rPr>
        <w:t>”</w:t>
      </w:r>
      <w:r w:rsidRPr="00660107">
        <w:rPr>
          <w:color w:val="000000"/>
        </w:rPr>
        <w:t xml:space="preserve">); </w:t>
      </w:r>
      <w:r w:rsidRPr="00E4657D">
        <w:rPr>
          <w:i/>
          <w:color w:val="000000"/>
        </w:rPr>
        <w:t>Comcast Cable Communications, LLC</w:t>
      </w:r>
      <w:r w:rsidRPr="00660107">
        <w:rPr>
          <w:color w:val="000000"/>
        </w:rPr>
        <w:t xml:space="preserve">, </w:t>
      </w:r>
      <w:r>
        <w:rPr>
          <w:color w:val="000000"/>
        </w:rPr>
        <w:t xml:space="preserve">Memorandum Opinion and Order, </w:t>
      </w:r>
      <w:r w:rsidRPr="00660107">
        <w:rPr>
          <w:color w:val="000000"/>
        </w:rPr>
        <w:t>26 FCC Rcd 4901, 4905, n. 34 (MB</w:t>
      </w:r>
      <w:r>
        <w:rPr>
          <w:color w:val="000000"/>
        </w:rPr>
        <w:t>,</w:t>
      </w:r>
      <w:r w:rsidRPr="00660107">
        <w:rPr>
          <w:color w:val="000000"/>
        </w:rPr>
        <w:t xml:space="preserve"> 2011) (</w:t>
      </w:r>
      <w:r w:rsidRPr="00370728">
        <w:rPr>
          <w:color w:val="000000"/>
        </w:rPr>
        <w:t xml:space="preserve">“Comcast also claims to be subject to low penetration </w:t>
      </w:r>
      <w:r w:rsidRPr="00E4657D">
        <w:rPr>
          <w:bCs/>
          <w:color w:val="000000"/>
        </w:rPr>
        <w:t>effective</w:t>
      </w:r>
      <w:r w:rsidRPr="00660107">
        <w:rPr>
          <w:color w:val="000000"/>
        </w:rPr>
        <w:t xml:space="preserve"> </w:t>
      </w:r>
      <w:r w:rsidRPr="00E4657D">
        <w:rPr>
          <w:bCs/>
          <w:color w:val="000000"/>
        </w:rPr>
        <w:t>competition</w:t>
      </w:r>
      <w:r w:rsidRPr="00660107">
        <w:rPr>
          <w:color w:val="000000"/>
        </w:rPr>
        <w:t xml:space="preserve"> in 3 Attachment A Communities, Bolton Town, Edwards Town, and Hinds County. </w:t>
      </w:r>
      <w:r>
        <w:rPr>
          <w:color w:val="000000"/>
        </w:rPr>
        <w:t xml:space="preserve"> </w:t>
      </w:r>
      <w:r w:rsidRPr="00660107">
        <w:rPr>
          <w:color w:val="000000"/>
        </w:rPr>
        <w:t xml:space="preserve">We </w:t>
      </w:r>
      <w:r w:rsidRPr="00E4657D">
        <w:rPr>
          <w:bCs/>
          <w:color w:val="000000"/>
        </w:rPr>
        <w:t>need</w:t>
      </w:r>
      <w:r w:rsidRPr="00660107">
        <w:rPr>
          <w:color w:val="000000"/>
        </w:rPr>
        <w:t xml:space="preserve"> </w:t>
      </w:r>
      <w:r w:rsidRPr="00E4657D">
        <w:rPr>
          <w:bCs/>
          <w:color w:val="000000"/>
        </w:rPr>
        <w:t>not</w:t>
      </w:r>
      <w:r w:rsidRPr="00660107">
        <w:rPr>
          <w:color w:val="000000"/>
        </w:rPr>
        <w:t xml:space="preserve"> rule on these claims because we have found that Comcast is subject to competing provider </w:t>
      </w:r>
      <w:r w:rsidRPr="00E4657D">
        <w:rPr>
          <w:bCs/>
          <w:color w:val="000000"/>
        </w:rPr>
        <w:t>effective</w:t>
      </w:r>
      <w:r w:rsidRPr="00660107">
        <w:rPr>
          <w:color w:val="000000"/>
        </w:rPr>
        <w:t xml:space="preserve"> </w:t>
      </w:r>
      <w:r w:rsidRPr="00E4657D">
        <w:rPr>
          <w:bCs/>
          <w:color w:val="000000"/>
        </w:rPr>
        <w:t>competition</w:t>
      </w:r>
      <w:r w:rsidRPr="00660107">
        <w:rPr>
          <w:color w:val="000000"/>
        </w:rPr>
        <w:t xml:space="preserve"> in them.”)</w:t>
      </w:r>
      <w:r>
        <w:rPr>
          <w:color w:val="000000"/>
        </w:rPr>
        <w:t xml:space="preserve"> (citation omitted)</w:t>
      </w:r>
      <w:r w:rsidRPr="00660107">
        <w:rPr>
          <w:color w:val="000000"/>
        </w:rPr>
        <w:t xml:space="preserve">; </w:t>
      </w:r>
      <w:r w:rsidRPr="00E4657D">
        <w:rPr>
          <w:i/>
          <w:color w:val="000000"/>
        </w:rPr>
        <w:t>Cox Communications Hampton Roads, LLC</w:t>
      </w:r>
      <w:r w:rsidRPr="00660107">
        <w:rPr>
          <w:color w:val="000000"/>
        </w:rPr>
        <w:t xml:space="preserve">, </w:t>
      </w:r>
      <w:r>
        <w:rPr>
          <w:color w:val="000000"/>
        </w:rPr>
        <w:t xml:space="preserve">Memorandum Opinion and Order, </w:t>
      </w:r>
      <w:r w:rsidRPr="00660107">
        <w:rPr>
          <w:color w:val="000000"/>
        </w:rPr>
        <w:t>26 FCC Rcd 3910, 3915,</w:t>
      </w:r>
      <w:r w:rsidRPr="00370728">
        <w:rPr>
          <w:color w:val="000000"/>
        </w:rPr>
        <w:t xml:space="preserve"> n. 43 (MB</w:t>
      </w:r>
      <w:r>
        <w:rPr>
          <w:color w:val="000000"/>
        </w:rPr>
        <w:t>,</w:t>
      </w:r>
      <w:r w:rsidRPr="00370728">
        <w:rPr>
          <w:color w:val="000000"/>
        </w:rPr>
        <w:t xml:space="preserve"> 2011) (</w:t>
      </w:r>
      <w:r w:rsidRPr="00A73CC8">
        <w:rPr>
          <w:color w:val="000000"/>
        </w:rPr>
        <w:t xml:space="preserve">“Cox claims that it is subject to LEC </w:t>
      </w:r>
      <w:r w:rsidRPr="00E4657D">
        <w:rPr>
          <w:bCs/>
          <w:color w:val="000000"/>
        </w:rPr>
        <w:t>effective</w:t>
      </w:r>
      <w:r w:rsidRPr="00660107">
        <w:rPr>
          <w:color w:val="000000"/>
        </w:rPr>
        <w:t xml:space="preserve"> </w:t>
      </w:r>
      <w:r w:rsidRPr="00E4657D">
        <w:rPr>
          <w:bCs/>
          <w:color w:val="000000"/>
        </w:rPr>
        <w:t>competition</w:t>
      </w:r>
      <w:r w:rsidRPr="00660107">
        <w:rPr>
          <w:color w:val="000000"/>
        </w:rPr>
        <w:t xml:space="preserve"> in the Communities of Chesapeake, Hampton, Langley Air Force Base, and Portsmouth. We </w:t>
      </w:r>
      <w:r w:rsidRPr="00E4657D">
        <w:rPr>
          <w:bCs/>
          <w:color w:val="000000"/>
        </w:rPr>
        <w:t>need</w:t>
      </w:r>
      <w:r w:rsidRPr="00660107">
        <w:rPr>
          <w:color w:val="000000"/>
        </w:rPr>
        <w:t xml:space="preserve"> </w:t>
      </w:r>
      <w:r w:rsidRPr="00E4657D">
        <w:rPr>
          <w:bCs/>
          <w:color w:val="000000"/>
        </w:rPr>
        <w:t>not</w:t>
      </w:r>
      <w:r w:rsidRPr="00660107">
        <w:rPr>
          <w:color w:val="000000"/>
        </w:rPr>
        <w:t xml:space="preserve"> adjudicate these claims because Cox has satisfied the competing provider test in those Communities.</w:t>
      </w:r>
      <w:r w:rsidRPr="00370728">
        <w:rPr>
          <w:color w:val="000000"/>
        </w:rPr>
        <w:t>”)</w:t>
      </w:r>
      <w:r>
        <w:rPr>
          <w:color w:val="000000"/>
        </w:rPr>
        <w:t xml:space="preserve"> (citation omitted)</w:t>
      </w:r>
      <w:r w:rsidRPr="00370728">
        <w:rPr>
          <w:color w:val="000000"/>
        </w:rPr>
        <w:t>.</w:t>
      </w:r>
    </w:p>
  </w:footnote>
  <w:footnote w:id="38">
    <w:p w14:paraId="1897A644" w14:textId="766BAD98" w:rsidR="00B605A4" w:rsidRPr="00757452" w:rsidRDefault="00B605A4">
      <w:pPr>
        <w:pStyle w:val="FootnoteText"/>
      </w:pPr>
      <w:r>
        <w:rPr>
          <w:rStyle w:val="FootnoteReference"/>
        </w:rPr>
        <w:footnoteRef/>
      </w:r>
      <w:r>
        <w:t xml:space="preserve"> </w:t>
      </w:r>
      <w:r w:rsidRPr="00726346">
        <w:t xml:space="preserve">NPRM, 30 FCC Rcd at </w:t>
      </w:r>
      <w:r>
        <w:t>2566</w:t>
      </w:r>
      <w:r w:rsidRPr="00726346">
        <w:t>, ¶ 7.</w:t>
      </w:r>
      <w:r>
        <w:t xml:space="preserve">  The IAC argues that a franchising authority may not oppose an Effective Competition petition for various reasons, including administrative delays.  </w:t>
      </w:r>
      <w:r>
        <w:rPr>
          <w:i/>
        </w:rPr>
        <w:t xml:space="preserve">See </w:t>
      </w:r>
      <w:r>
        <w:t xml:space="preserve">IAC Recommendation at 2; Public Knowledge </w:t>
      </w:r>
      <w:r>
        <w:rPr>
          <w:i/>
        </w:rPr>
        <w:t xml:space="preserve">et al. </w:t>
      </w:r>
      <w:r>
        <w:t xml:space="preserve">May 26 </w:t>
      </w:r>
      <w:r>
        <w:rPr>
          <w:i/>
        </w:rPr>
        <w:t xml:space="preserve">Ex Parte </w:t>
      </w:r>
      <w:r>
        <w:t>Letter at 4.  We emphasize, however, that the exceedingly small number of opposed petitions is just one of many factors that support a rebuttable presumption of Competing Provider Effective Competition, as detailed above.</w:t>
      </w:r>
    </w:p>
  </w:footnote>
  <w:footnote w:id="39">
    <w:p w14:paraId="61003A68" w14:textId="25AF4F5C" w:rsidR="00B605A4" w:rsidRPr="007F613E" w:rsidRDefault="00B605A4">
      <w:pPr>
        <w:pStyle w:val="FootnoteText"/>
      </w:pPr>
      <w:r>
        <w:rPr>
          <w:rStyle w:val="FootnoteReference"/>
        </w:rPr>
        <w:footnoteRef/>
      </w:r>
      <w:r>
        <w:t xml:space="preserve"> </w:t>
      </w:r>
      <w:r>
        <w:rPr>
          <w:i/>
        </w:rPr>
        <w:t xml:space="preserve">See </w:t>
      </w:r>
      <w:r>
        <w:t>MDTC Comments at 3, 5, 7; NAB Comments at 15-16; NJ Rate Counsel Comments at 6-7; Reply Comments of the New Jersey Division of Rate Counsel and the National Association of State Utility Consumer Advocates at 6 (“Consumer Advocates Reply”); Reply Comments of the National Association of Broadcasters at 13 (“NAB Reply”); NATOA Reply at 3; NJ OCTV Reply at 5.</w:t>
      </w:r>
    </w:p>
  </w:footnote>
  <w:footnote w:id="40">
    <w:p w14:paraId="0D10EFEE" w14:textId="2122BEA7" w:rsidR="00B605A4" w:rsidRPr="00EA2C6B" w:rsidRDefault="00B605A4">
      <w:pPr>
        <w:pStyle w:val="FootnoteText"/>
      </w:pPr>
      <w:r>
        <w:rPr>
          <w:rStyle w:val="FootnoteReference"/>
        </w:rPr>
        <w:footnoteRef/>
      </w:r>
      <w:r>
        <w:t xml:space="preserve"> </w:t>
      </w:r>
      <w:r>
        <w:rPr>
          <w:i/>
        </w:rPr>
        <w:t>See supra</w:t>
      </w:r>
      <w:r>
        <w:t xml:space="preserve"> ¶ 4 (explaining that </w:t>
      </w:r>
      <w:r w:rsidRPr="0017410B">
        <w:rPr>
          <w:szCs w:val="22"/>
        </w:rPr>
        <w:t xml:space="preserve">the MVPD marketplace </w:t>
      </w:r>
      <w:r>
        <w:rPr>
          <w:szCs w:val="22"/>
        </w:rPr>
        <w:t>has changed in ways that substantially impact the test for Competing Provider Effective Competition).</w:t>
      </w:r>
    </w:p>
  </w:footnote>
  <w:footnote w:id="41">
    <w:p w14:paraId="21B512E3" w14:textId="1BEF9C74" w:rsidR="00B605A4" w:rsidRPr="00737EFA" w:rsidRDefault="00B605A4">
      <w:pPr>
        <w:pStyle w:val="FootnoteText"/>
      </w:pPr>
      <w:r>
        <w:rPr>
          <w:rStyle w:val="FootnoteReference"/>
        </w:rPr>
        <w:footnoteRef/>
      </w:r>
      <w:r>
        <w:t xml:space="preserve"> </w:t>
      </w:r>
      <w:r>
        <w:rPr>
          <w:i/>
        </w:rPr>
        <w:t xml:space="preserve">See supra </w:t>
      </w:r>
      <w:r>
        <w:t xml:space="preserve">Section II; </w:t>
      </w:r>
      <w:r>
        <w:rPr>
          <w:i/>
        </w:rPr>
        <w:t>2014 Cable Price Report</w:t>
      </w:r>
      <w:r>
        <w:t xml:space="preserve">, 29 FCC Rcd at 14897, ¶ 2 (“[I]n the communities without an effective competition finding, only 13 percent of subscribers are in areas where the [franchising authorities] elect to regulate the price of basic service.”); ACA Reply at i-ii (“The evidence also shows that even among the communities where there has not yet been a formal finding of effective competition, franchising authorities are choosing not to regulate, implicitly recognizing that rates are being controlled by competitive market forces.”).  </w:t>
      </w:r>
      <w:r>
        <w:rPr>
          <w:i/>
        </w:rPr>
        <w:t xml:space="preserve">But see </w:t>
      </w:r>
      <w:r>
        <w:t xml:space="preserve">Letter from Erin L. Dozier, Senior Vice President and Deputy General Counsel, Legal and Regulatory Affairs, National Association of Broadcasters, to Marlene H. Dortch, Secretary, FCC, at 2, n. 6 (May 15, 2015) (“NAB May 15 </w:t>
      </w:r>
      <w:r>
        <w:rPr>
          <w:i/>
        </w:rPr>
        <w:t xml:space="preserve">Ex Parte </w:t>
      </w:r>
      <w:r>
        <w:t xml:space="preserve">Letter”) (claiming that because the cable price survey is based on a random sampling of cable operators, it may not be conclusive).  For a further discussion of the burdens currently faced by cable operators, </w:t>
      </w:r>
      <w:r w:rsidRPr="00737EFA">
        <w:rPr>
          <w:i/>
        </w:rPr>
        <w:t>see</w:t>
      </w:r>
      <w:r>
        <w:t xml:space="preserve"> </w:t>
      </w:r>
      <w:r>
        <w:rPr>
          <w:i/>
        </w:rPr>
        <w:t xml:space="preserve">infra </w:t>
      </w:r>
      <w:r>
        <w:t>Section III.C.</w:t>
      </w:r>
    </w:p>
  </w:footnote>
  <w:footnote w:id="42">
    <w:p w14:paraId="31E9F5A9" w14:textId="5251DED6" w:rsidR="00B605A4" w:rsidRPr="001402EF" w:rsidRDefault="00B605A4">
      <w:pPr>
        <w:pStyle w:val="FootnoteText"/>
      </w:pPr>
      <w:r>
        <w:rPr>
          <w:rStyle w:val="FootnoteReference"/>
        </w:rPr>
        <w:footnoteRef/>
      </w:r>
      <w:r>
        <w:t xml:space="preserve"> We recognize that DIRECTV and AT&amp;T Inc. have filed applications for consent to assign or transfer control of licenses and authorizations.  </w:t>
      </w:r>
      <w:r>
        <w:rPr>
          <w:i/>
        </w:rPr>
        <w:t xml:space="preserve">See </w:t>
      </w:r>
      <w:r>
        <w:t xml:space="preserve">MB Docket No. 14-90.  That proceeding remains pending.  Even if the DIRECTV and AT&amp;T applications are granted, DIRECTV and DISH Network still will not be affiliated with each other and both of them may be considered as competing providers for purposes of the Competing Provider Effective Competition test.   </w:t>
      </w:r>
      <w:r>
        <w:rPr>
          <w:i/>
        </w:rPr>
        <w:t xml:space="preserve">See </w:t>
      </w:r>
      <w:r>
        <w:t xml:space="preserve">Public Knowledge </w:t>
      </w:r>
      <w:r>
        <w:rPr>
          <w:i/>
        </w:rPr>
        <w:t xml:space="preserve">et al. </w:t>
      </w:r>
      <w:r>
        <w:t xml:space="preserve">May 26 </w:t>
      </w:r>
      <w:r>
        <w:rPr>
          <w:i/>
        </w:rPr>
        <w:t xml:space="preserve">Ex Parte </w:t>
      </w:r>
      <w:r>
        <w:t>Letter at 5 (questioning how a merger of AT&amp;T and DIRECTV would affect application of the Competing Provider Effective Competition test).</w:t>
      </w:r>
    </w:p>
  </w:footnote>
  <w:footnote w:id="43">
    <w:p w14:paraId="62E00B84" w14:textId="23446884" w:rsidR="00B605A4" w:rsidRPr="00325380" w:rsidRDefault="00B605A4">
      <w:pPr>
        <w:pStyle w:val="FootnoteText"/>
      </w:pPr>
      <w:r>
        <w:rPr>
          <w:rStyle w:val="FootnoteReference"/>
        </w:rPr>
        <w:footnoteRef/>
      </w:r>
      <w:r>
        <w:t xml:space="preserve"> </w:t>
      </w:r>
      <w:r w:rsidRPr="003F36CA">
        <w:rPr>
          <w:color w:val="000000"/>
        </w:rPr>
        <w:t>47 C.F.R. § 76.905(g).</w:t>
      </w:r>
      <w:r>
        <w:rPr>
          <w:color w:val="000000"/>
        </w:rPr>
        <w:t xml:space="preserve">  The NPRM did not seek comment on revisiting the meaning of “comparable” programming in this context, and thus we reject commenters’ requests that we do so here.  </w:t>
      </w:r>
      <w:r>
        <w:rPr>
          <w:i/>
          <w:color w:val="000000"/>
        </w:rPr>
        <w:t xml:space="preserve">See </w:t>
      </w:r>
      <w:r>
        <w:t>NJ Rate Counsel Comments at 11-14;</w:t>
      </w:r>
      <w:r>
        <w:rPr>
          <w:i/>
        </w:rPr>
        <w:t xml:space="preserve"> </w:t>
      </w:r>
      <w:r>
        <w:t xml:space="preserve">Public Knowledge Comments at 3, 5-7; Letter from Steve Traylor, Executive Director, NATOA, to Marlene H. Dortch, Secretary, FCC, at 1 (May 18, 2015).  </w:t>
      </w:r>
      <w:r>
        <w:rPr>
          <w:i/>
        </w:rPr>
        <w:t xml:space="preserve">See also </w:t>
      </w:r>
      <w:r>
        <w:t>NCTA Reply at 9 (characterizing these “unsupported” arguments as an attempt “to manufacture new requirements”).</w:t>
      </w:r>
    </w:p>
  </w:footnote>
  <w:footnote w:id="44">
    <w:p w14:paraId="5679B00B" w14:textId="772DE73C" w:rsidR="00B605A4" w:rsidRDefault="00B605A4">
      <w:pPr>
        <w:pStyle w:val="FootnoteText"/>
      </w:pPr>
      <w:r>
        <w:rPr>
          <w:rStyle w:val="FootnoteReference"/>
        </w:rPr>
        <w:footnoteRef/>
      </w:r>
      <w:r>
        <w:t xml:space="preserve"> </w:t>
      </w:r>
      <w:r w:rsidRPr="003F36CA">
        <w:rPr>
          <w:i/>
          <w:color w:val="000000"/>
        </w:rPr>
        <w:t xml:space="preserve">See </w:t>
      </w:r>
      <w:hyperlink r:id="rId2" w:history="1">
        <w:r w:rsidRPr="003F36CA">
          <w:rPr>
            <w:rStyle w:val="Hyperlink"/>
          </w:rPr>
          <w:t>www.directv.com/guide</w:t>
        </w:r>
      </w:hyperlink>
      <w:r w:rsidRPr="003F36CA">
        <w:rPr>
          <w:color w:val="000000"/>
        </w:rPr>
        <w:t xml:space="preserve">; </w:t>
      </w:r>
      <w:hyperlink w:history="1"/>
      <w:hyperlink r:id="rId3" w:history="1">
        <w:r w:rsidRPr="004C1961">
          <w:rPr>
            <w:rStyle w:val="Hyperlink"/>
          </w:rPr>
          <w:t>www.dish.com/info/channels-list/</w:t>
        </w:r>
      </w:hyperlink>
      <w:r w:rsidRPr="003F36CA">
        <w:rPr>
          <w:color w:val="000000"/>
        </w:rPr>
        <w:t>.</w:t>
      </w:r>
    </w:p>
  </w:footnote>
  <w:footnote w:id="45">
    <w:p w14:paraId="111E70AC" w14:textId="67F80AEB" w:rsidR="00B605A4" w:rsidRPr="006B27B2" w:rsidRDefault="00B605A4" w:rsidP="004340D0">
      <w:pPr>
        <w:pStyle w:val="FootnoteText"/>
      </w:pPr>
      <w:r>
        <w:rPr>
          <w:rStyle w:val="FootnoteReference"/>
        </w:rPr>
        <w:footnoteRef/>
      </w:r>
      <w:r>
        <w:t xml:space="preserve"> </w:t>
      </w:r>
      <w:r>
        <w:rPr>
          <w:i/>
        </w:rPr>
        <w:t xml:space="preserve">Supra ¶ </w:t>
      </w:r>
      <w:r>
        <w:t>4 (citing</w:t>
      </w:r>
      <w:r>
        <w:rPr>
          <w:i/>
        </w:rPr>
        <w:t xml:space="preserve"> 16</w:t>
      </w:r>
      <w:r w:rsidRPr="00E84742">
        <w:rPr>
          <w:i/>
          <w:vertAlign w:val="superscript"/>
        </w:rPr>
        <w:t>th</w:t>
      </w:r>
      <w:r>
        <w:rPr>
          <w:i/>
        </w:rPr>
        <w:t xml:space="preserve"> Annual Video Competition Report</w:t>
      </w:r>
      <w:r>
        <w:t>, 30 FCC Rcd at 3300-01, ¶¶ 112-113)</w:t>
      </w:r>
      <w:r w:rsidRPr="006B27B2">
        <w:t>.</w:t>
      </w:r>
      <w:r>
        <w:t xml:space="preserve">  Even in the 13 markets where DIRECTV does not provide local broadcast channels, its channel lineup still satisfies the comparable programming requirement because its channel lineup contains substantially more than 12 channels including at least one channel of non-broadcast service programming.</w:t>
      </w:r>
    </w:p>
  </w:footnote>
  <w:footnote w:id="46">
    <w:p w14:paraId="6B859935" w14:textId="31C7D3BB" w:rsidR="00B605A4" w:rsidRPr="004340D0" w:rsidRDefault="00B605A4">
      <w:pPr>
        <w:pStyle w:val="FootnoteText"/>
      </w:pPr>
      <w:r>
        <w:rPr>
          <w:rStyle w:val="FootnoteReference"/>
        </w:rPr>
        <w:footnoteRef/>
      </w:r>
      <w:r>
        <w:t xml:space="preserve"> </w:t>
      </w:r>
      <w:r>
        <w:rPr>
          <w:i/>
        </w:rPr>
        <w:t>16</w:t>
      </w:r>
      <w:r w:rsidRPr="004D28DB">
        <w:rPr>
          <w:i/>
          <w:vertAlign w:val="superscript"/>
        </w:rPr>
        <w:t>th</w:t>
      </w:r>
      <w:r>
        <w:rPr>
          <w:i/>
        </w:rPr>
        <w:t xml:space="preserve"> Annual Video Competition Report</w:t>
      </w:r>
      <w:r>
        <w:t>, 30 FCC Rcd at 3264, n. 57</w:t>
      </w:r>
      <w:r>
        <w:rPr>
          <w:b/>
        </w:rPr>
        <w:t xml:space="preserve"> </w:t>
      </w:r>
      <w:r>
        <w:t>(explaining that physical features, such as tall buildings or trees, can prevent some homes from receiving DBS signals).</w:t>
      </w:r>
    </w:p>
  </w:footnote>
  <w:footnote w:id="47">
    <w:p w14:paraId="3B0702BB" w14:textId="30418811" w:rsidR="00B605A4" w:rsidRPr="00833574" w:rsidRDefault="00B605A4">
      <w:pPr>
        <w:pStyle w:val="FootnoteText"/>
        <w:rPr>
          <w:highlight w:val="yellow"/>
        </w:rPr>
      </w:pPr>
      <w:r w:rsidRPr="00637086">
        <w:rPr>
          <w:rStyle w:val="FootnoteReference"/>
        </w:rPr>
        <w:footnoteRef/>
      </w:r>
      <w:r w:rsidRPr="00637086">
        <w:t xml:space="preserve"> </w:t>
      </w:r>
      <w:r w:rsidRPr="00637086">
        <w:rPr>
          <w:i/>
        </w:rPr>
        <w:t>See, e.g., supra</w:t>
      </w:r>
      <w:r w:rsidRPr="00637086">
        <w:t xml:space="preserve"> ¶ </w:t>
      </w:r>
      <w:r>
        <w:t>7</w:t>
      </w:r>
      <w:r w:rsidRPr="00637086">
        <w:t xml:space="preserve">; </w:t>
      </w:r>
      <w:r w:rsidRPr="00637086">
        <w:rPr>
          <w:i/>
        </w:rPr>
        <w:t>Six Unopposed Petitions for Determination of Effective Competition</w:t>
      </w:r>
      <w:r w:rsidRPr="00637086">
        <w:t xml:space="preserve">, Memorandum Opinion and Order, 29 FCC Rcd 5321 (MB, 2014); </w:t>
      </w:r>
      <w:r w:rsidRPr="00637086">
        <w:rPr>
          <w:i/>
        </w:rPr>
        <w:t>Fifty-Five Unopposed Petitions for Determination of Effective Competition</w:t>
      </w:r>
      <w:r w:rsidRPr="00637086">
        <w:t xml:space="preserve">, Memorandum Opinion and Order, 29 FCC Rcd 3140 (MB, 2014); </w:t>
      </w:r>
      <w:r w:rsidRPr="00637086">
        <w:rPr>
          <w:i/>
        </w:rPr>
        <w:t>Time Warner Entertainment-Advance/Newhouse Partnership</w:t>
      </w:r>
      <w:r w:rsidRPr="00637086">
        <w:t>, Memorandum Opinion and Order, 28 FCC Rcd 16776 (MB, 2013).</w:t>
      </w:r>
    </w:p>
  </w:footnote>
  <w:footnote w:id="48">
    <w:p w14:paraId="69031FAD" w14:textId="6618468E" w:rsidR="00B605A4" w:rsidRPr="00961C47" w:rsidRDefault="00B605A4">
      <w:pPr>
        <w:pStyle w:val="FootnoteText"/>
      </w:pPr>
      <w:r>
        <w:rPr>
          <w:rStyle w:val="FootnoteReference"/>
        </w:rPr>
        <w:footnoteRef/>
      </w:r>
      <w:r>
        <w:t xml:space="preserve"> </w:t>
      </w:r>
      <w:r>
        <w:rPr>
          <w:i/>
        </w:rPr>
        <w:t xml:space="preserve">See supra </w:t>
      </w:r>
      <w:r>
        <w:t xml:space="preserve">¶ 4.  At year-end 2013 there were 34.2 million DBS subscribers and 11.3 million telephone MVPD subscribers, which yields a total of 45.5 million subscribers to competitors to incumbent cable operators.  SNL Kagan estimates that there were 133.8 million households in </w:t>
      </w:r>
      <w:r w:rsidRPr="00961C47">
        <w:t xml:space="preserve">this country in 2013.  </w:t>
      </w:r>
      <w:r w:rsidRPr="00961C47">
        <w:rPr>
          <w:i/>
        </w:rPr>
        <w:t xml:space="preserve">See </w:t>
      </w:r>
      <w:hyperlink r:id="rId4" w:history="1">
        <w:r w:rsidRPr="00961C47">
          <w:rPr>
            <w:rStyle w:val="Hyperlink"/>
          </w:rPr>
          <w:t>http://www.snl.com/interactivex/MultichannelIndustryBenchmarks.aspx?startYear=2012&amp;endYear=2013</w:t>
        </w:r>
      </w:hyperlink>
      <w:r w:rsidRPr="00961C47">
        <w:t xml:space="preserve"> (visited Mar</w:t>
      </w:r>
      <w:r>
        <w:t>.</w:t>
      </w:r>
      <w:r w:rsidRPr="00961C47">
        <w:t xml:space="preserve"> 31, 2014).  </w:t>
      </w:r>
      <w:r>
        <w:t>If we divide 45.5 million by 133.8 million, the data shows that competitors to incumbent cable operators have captured approximately 34 percent of U.S. households.</w:t>
      </w:r>
    </w:p>
  </w:footnote>
  <w:footnote w:id="49">
    <w:p w14:paraId="2CE95053" w14:textId="162B2B8E" w:rsidR="00B605A4" w:rsidRPr="00514088" w:rsidRDefault="00B605A4">
      <w:pPr>
        <w:pStyle w:val="FootnoteText"/>
        <w:rPr>
          <w:i/>
        </w:rPr>
      </w:pPr>
      <w:r>
        <w:rPr>
          <w:rStyle w:val="FootnoteReference"/>
        </w:rPr>
        <w:footnoteRef/>
      </w:r>
      <w:r>
        <w:t xml:space="preserve"> </w:t>
      </w:r>
      <w:r>
        <w:rPr>
          <w:i/>
        </w:rPr>
        <w:t xml:space="preserve">See supra </w:t>
      </w:r>
      <w:r>
        <w:t xml:space="preserve">¶ 4.  If we divide 34.2 million by 133.8 million, the data shows that DBS operators have captured approximately 25.6 percent of U.S. households.  We note that DIRECTV is the second largest MVPD in the U.S. and DISH Network is the third largest MVPD.  </w:t>
      </w:r>
      <w:r>
        <w:rPr>
          <w:i/>
        </w:rPr>
        <w:t>See 16</w:t>
      </w:r>
      <w:r w:rsidRPr="004D28DB">
        <w:rPr>
          <w:i/>
          <w:vertAlign w:val="superscript"/>
        </w:rPr>
        <w:t>th</w:t>
      </w:r>
      <w:r>
        <w:rPr>
          <w:i/>
        </w:rPr>
        <w:t xml:space="preserve"> Annual Video Competition Report</w:t>
      </w:r>
      <w:r>
        <w:t>, 30 FCC Rcd at 3262-63, ¶ 26.</w:t>
      </w:r>
    </w:p>
  </w:footnote>
  <w:footnote w:id="50">
    <w:p w14:paraId="200A5DCA" w14:textId="73564FDE" w:rsidR="00B605A4" w:rsidRPr="00431D41" w:rsidRDefault="00B605A4">
      <w:pPr>
        <w:pStyle w:val="FootnoteText"/>
      </w:pPr>
      <w:r>
        <w:rPr>
          <w:rStyle w:val="FootnoteReference"/>
        </w:rPr>
        <w:footnoteRef/>
      </w:r>
      <w:r>
        <w:t xml:space="preserve"> </w:t>
      </w:r>
      <w:r>
        <w:rPr>
          <w:i/>
        </w:rPr>
        <w:t xml:space="preserve">See </w:t>
      </w:r>
      <w:r>
        <w:t>NCTA Comments at 5; NCTA Reply at 2 (citing to NCTA’s analysis of SNL Kagan data).</w:t>
      </w:r>
    </w:p>
  </w:footnote>
  <w:footnote w:id="51">
    <w:p w14:paraId="440072A1" w14:textId="7DE17709" w:rsidR="00B605A4" w:rsidRPr="00EC2CC5" w:rsidRDefault="00B605A4">
      <w:pPr>
        <w:pStyle w:val="FootnoteText"/>
      </w:pPr>
      <w:r>
        <w:rPr>
          <w:rStyle w:val="FootnoteReference"/>
        </w:rPr>
        <w:footnoteRef/>
      </w:r>
      <w:r>
        <w:t xml:space="preserve"> </w:t>
      </w:r>
      <w:r>
        <w:rPr>
          <w:i/>
        </w:rPr>
        <w:t xml:space="preserve">See </w:t>
      </w:r>
      <w:r>
        <w:t xml:space="preserve">NAB Comments at 13-16.  </w:t>
      </w:r>
      <w:r>
        <w:rPr>
          <w:i/>
        </w:rPr>
        <w:t xml:space="preserve">See also </w:t>
      </w:r>
      <w:r>
        <w:t>MDTC Reply at 2-3, 6-7.</w:t>
      </w:r>
    </w:p>
  </w:footnote>
  <w:footnote w:id="52">
    <w:p w14:paraId="35ED0BE8" w14:textId="3BBD1FE1" w:rsidR="00B605A4" w:rsidRPr="00B1445A" w:rsidRDefault="00B605A4">
      <w:pPr>
        <w:pStyle w:val="FootnoteText"/>
      </w:pPr>
      <w:r>
        <w:rPr>
          <w:rStyle w:val="FootnoteReference"/>
        </w:rPr>
        <w:footnoteRef/>
      </w:r>
      <w:r>
        <w:t xml:space="preserve"> </w:t>
      </w:r>
      <w:r>
        <w:rPr>
          <w:i/>
        </w:rPr>
        <w:t xml:space="preserve">See </w:t>
      </w:r>
      <w:r>
        <w:t>NCTA Reply at 2.</w:t>
      </w:r>
    </w:p>
  </w:footnote>
  <w:footnote w:id="53">
    <w:p w14:paraId="3C799567" w14:textId="6585D0AF" w:rsidR="00B605A4" w:rsidRPr="00745400" w:rsidRDefault="00B605A4">
      <w:pPr>
        <w:pStyle w:val="FootnoteText"/>
      </w:pPr>
      <w:r>
        <w:rPr>
          <w:rStyle w:val="FootnoteReference"/>
        </w:rPr>
        <w:footnoteRef/>
      </w:r>
      <w:r>
        <w:t xml:space="preserve"> </w:t>
      </w:r>
      <w:r>
        <w:rPr>
          <w:i/>
        </w:rPr>
        <w:t xml:space="preserve">See infra </w:t>
      </w:r>
      <w:r>
        <w:t>Section III.C.</w:t>
      </w:r>
    </w:p>
  </w:footnote>
  <w:footnote w:id="54">
    <w:p w14:paraId="6C4AAAE5" w14:textId="56A4DFDE" w:rsidR="00B605A4" w:rsidRPr="00CD60C9" w:rsidRDefault="00B605A4">
      <w:pPr>
        <w:pStyle w:val="FootnoteText"/>
        <w:rPr>
          <w:i/>
        </w:rPr>
      </w:pPr>
      <w:r>
        <w:rPr>
          <w:rStyle w:val="FootnoteReference"/>
        </w:rPr>
        <w:footnoteRef/>
      </w:r>
      <w:r>
        <w:t xml:space="preserve"> </w:t>
      </w:r>
      <w:r>
        <w:rPr>
          <w:i/>
        </w:rPr>
        <w:t xml:space="preserve">See </w:t>
      </w:r>
      <w:r>
        <w:t>ACA Comments at 10-11; NCTA Comments at 9; ACA Reply at i; Cablevision Reply at 3-5.</w:t>
      </w:r>
    </w:p>
  </w:footnote>
  <w:footnote w:id="55">
    <w:p w14:paraId="02A4AF41" w14:textId="6F531CE6" w:rsidR="00B605A4" w:rsidRDefault="00B605A4">
      <w:pPr>
        <w:pStyle w:val="FootnoteText"/>
      </w:pPr>
      <w:r>
        <w:rPr>
          <w:rStyle w:val="FootnoteReference"/>
        </w:rPr>
        <w:footnoteRef/>
      </w:r>
      <w:r>
        <w:t xml:space="preserve"> </w:t>
      </w:r>
      <w:r>
        <w:rPr>
          <w:i/>
        </w:rPr>
        <w:t>See Implementation of Cable Act Reform Provisions of the Telecommunications Act of 1996</w:t>
      </w:r>
      <w:r>
        <w:t>, Report and Order, 14 FCC Rcd 5296, 5303, ¶ 10 (1999).</w:t>
      </w:r>
    </w:p>
  </w:footnote>
  <w:footnote w:id="56">
    <w:p w14:paraId="2D83709A" w14:textId="4B127F35" w:rsidR="00B605A4" w:rsidRPr="0095649B" w:rsidRDefault="00B605A4">
      <w:pPr>
        <w:pStyle w:val="FootnoteText"/>
      </w:pPr>
      <w:r>
        <w:rPr>
          <w:rStyle w:val="FootnoteReference"/>
        </w:rPr>
        <w:footnoteRef/>
      </w:r>
      <w:r>
        <w:t xml:space="preserve"> </w:t>
      </w:r>
      <w:r>
        <w:rPr>
          <w:i/>
        </w:rPr>
        <w:t xml:space="preserve">But see </w:t>
      </w:r>
      <w:r>
        <w:t>NCTA Comments at 9 (asserting without support that franchising authorities also should bear the burden of rebutting a presumption of Low Penetration and Municipal Provider Effective Competition).</w:t>
      </w:r>
    </w:p>
  </w:footnote>
  <w:footnote w:id="57">
    <w:p w14:paraId="179E0CA6" w14:textId="62888795" w:rsidR="00B605A4" w:rsidRDefault="00B605A4">
      <w:pPr>
        <w:pStyle w:val="FootnoteText"/>
      </w:pPr>
      <w:r>
        <w:rPr>
          <w:rStyle w:val="FootnoteReference"/>
        </w:rPr>
        <w:footnoteRef/>
      </w:r>
      <w:r>
        <w:t xml:space="preserve"> 47 U.S.C. § 543(a)(2).</w:t>
      </w:r>
    </w:p>
  </w:footnote>
  <w:footnote w:id="58">
    <w:p w14:paraId="112B53A2" w14:textId="7B7B8C5E" w:rsidR="00B605A4" w:rsidRPr="00834C97" w:rsidRDefault="00B605A4">
      <w:pPr>
        <w:pStyle w:val="FootnoteText"/>
      </w:pPr>
      <w:r>
        <w:rPr>
          <w:rStyle w:val="FootnoteReference"/>
        </w:rPr>
        <w:footnoteRef/>
      </w:r>
      <w:r>
        <w:t xml:space="preserve"> </w:t>
      </w:r>
      <w:r>
        <w:rPr>
          <w:i/>
        </w:rPr>
        <w:t xml:space="preserve">See </w:t>
      </w:r>
      <w:r>
        <w:t>NAB Comments at 7-13; NAB Reply at 2, 10-12; NATOA Reply at 2.</w:t>
      </w:r>
    </w:p>
  </w:footnote>
  <w:footnote w:id="59">
    <w:p w14:paraId="055C2D72" w14:textId="4DC4F2A6" w:rsidR="00B605A4" w:rsidRPr="006A18D7" w:rsidRDefault="00B605A4">
      <w:pPr>
        <w:pStyle w:val="FootnoteText"/>
      </w:pPr>
      <w:r>
        <w:rPr>
          <w:rStyle w:val="FootnoteReference"/>
        </w:rPr>
        <w:footnoteRef/>
      </w:r>
      <w:r>
        <w:t xml:space="preserve"> </w:t>
      </w:r>
      <w:r>
        <w:rPr>
          <w:i/>
        </w:rPr>
        <w:t xml:space="preserve">See </w:t>
      </w:r>
      <w:r>
        <w:t>ACA Comments at 6-8; Cablevision Reply at 5.</w:t>
      </w:r>
    </w:p>
  </w:footnote>
  <w:footnote w:id="60">
    <w:p w14:paraId="6CA388CA" w14:textId="18A5CEF9" w:rsidR="00B605A4" w:rsidRPr="006A18D7" w:rsidRDefault="00B605A4">
      <w:pPr>
        <w:pStyle w:val="FootnoteText"/>
      </w:pPr>
      <w:r>
        <w:rPr>
          <w:rStyle w:val="FootnoteReference"/>
        </w:rPr>
        <w:footnoteRef/>
      </w:r>
      <w:r>
        <w:t xml:space="preserve"> </w:t>
      </w:r>
      <w:r>
        <w:rPr>
          <w:i/>
        </w:rPr>
        <w:t>See Implementation of Sections of the Cable Television Consumer Protection Act of 1992; Rate Regulation</w:t>
      </w:r>
      <w:r>
        <w:t xml:space="preserve">, Notice of Proposed Rulemaking, 8 FCC Rcd 510, 515, ¶ 17 (1992).  </w:t>
      </w:r>
      <w:r>
        <w:rPr>
          <w:i/>
        </w:rPr>
        <w:t xml:space="preserve">See also </w:t>
      </w:r>
      <w:r>
        <w:t>ACA Comments at 2.</w:t>
      </w:r>
    </w:p>
  </w:footnote>
  <w:footnote w:id="61">
    <w:p w14:paraId="07EAF92B" w14:textId="3586ADBE" w:rsidR="00B605A4" w:rsidRDefault="00B605A4">
      <w:pPr>
        <w:pStyle w:val="FootnoteText"/>
      </w:pPr>
      <w:r>
        <w:rPr>
          <w:rStyle w:val="FootnoteReference"/>
        </w:rPr>
        <w:footnoteRef/>
      </w:r>
      <w:r>
        <w:t xml:space="preserve"> </w:t>
      </w:r>
      <w:r w:rsidRPr="00A47C9F">
        <w:t>47 U.S.C. § 543(a)</w:t>
      </w:r>
      <w:r>
        <w:t>(2)</w:t>
      </w:r>
      <w:r w:rsidRPr="00A47C9F">
        <w:t>.</w:t>
      </w:r>
    </w:p>
  </w:footnote>
  <w:footnote w:id="62">
    <w:p w14:paraId="564BBF7E" w14:textId="0773ED51" w:rsidR="00B605A4" w:rsidRPr="006A18D7" w:rsidRDefault="00B605A4">
      <w:pPr>
        <w:pStyle w:val="FootnoteText"/>
      </w:pPr>
      <w:r>
        <w:rPr>
          <w:rStyle w:val="FootnoteReference"/>
        </w:rPr>
        <w:footnoteRef/>
      </w:r>
      <w:r>
        <w:t xml:space="preserve"> </w:t>
      </w:r>
      <w:r>
        <w:rPr>
          <w:i/>
        </w:rPr>
        <w:t xml:space="preserve">See </w:t>
      </w:r>
      <w:r>
        <w:t>ACA Comments at 6-7; NCTA Comments at 7; Cablevision Reply at 5.</w:t>
      </w:r>
    </w:p>
  </w:footnote>
  <w:footnote w:id="63">
    <w:p w14:paraId="28D64A87" w14:textId="5A85AEFD" w:rsidR="00B605A4" w:rsidRPr="00834C97" w:rsidRDefault="00B605A4">
      <w:pPr>
        <w:pStyle w:val="FootnoteText"/>
      </w:pPr>
      <w:r>
        <w:rPr>
          <w:rStyle w:val="FootnoteReference"/>
        </w:rPr>
        <w:footnoteRef/>
      </w:r>
      <w:r>
        <w:t xml:space="preserve"> </w:t>
      </w:r>
      <w:r>
        <w:rPr>
          <w:i/>
        </w:rPr>
        <w:t xml:space="preserve">See supra </w:t>
      </w:r>
      <w:r>
        <w:t>Section II.</w:t>
      </w:r>
    </w:p>
  </w:footnote>
  <w:footnote w:id="64">
    <w:p w14:paraId="0F09E77D" w14:textId="4577480F" w:rsidR="00B605A4" w:rsidRPr="00834C97" w:rsidRDefault="00B605A4">
      <w:pPr>
        <w:pStyle w:val="FootnoteText"/>
      </w:pPr>
      <w:r>
        <w:rPr>
          <w:rStyle w:val="FootnoteReference"/>
        </w:rPr>
        <w:footnoteRef/>
      </w:r>
      <w:r>
        <w:t xml:space="preserve"> </w:t>
      </w:r>
      <w:r>
        <w:rPr>
          <w:i/>
        </w:rPr>
        <w:t xml:space="preserve">See infra </w:t>
      </w:r>
      <w:r>
        <w:t>Section III.C.</w:t>
      </w:r>
    </w:p>
  </w:footnote>
  <w:footnote w:id="65">
    <w:p w14:paraId="0267B3CC" w14:textId="1FA48333" w:rsidR="00B605A4" w:rsidRPr="00834C97" w:rsidRDefault="00B605A4">
      <w:pPr>
        <w:pStyle w:val="FootnoteText"/>
      </w:pPr>
      <w:r>
        <w:rPr>
          <w:rStyle w:val="FootnoteReference"/>
        </w:rPr>
        <w:footnoteRef/>
      </w:r>
      <w:r>
        <w:t xml:space="preserve"> </w:t>
      </w:r>
      <w:r>
        <w:rPr>
          <w:i/>
        </w:rPr>
        <w:t xml:space="preserve">See </w:t>
      </w:r>
      <w:r>
        <w:t>NAB Comments at 10-11; NJ Rate Counsel Comments at 6.</w:t>
      </w:r>
    </w:p>
  </w:footnote>
  <w:footnote w:id="66">
    <w:p w14:paraId="6DE895BE" w14:textId="3E025838" w:rsidR="00B605A4" w:rsidRPr="00CC5CAF" w:rsidRDefault="00B605A4">
      <w:pPr>
        <w:pStyle w:val="FootnoteText"/>
      </w:pPr>
      <w:r>
        <w:rPr>
          <w:rStyle w:val="FootnoteReference"/>
        </w:rPr>
        <w:footnoteRef/>
      </w:r>
      <w:r>
        <w:t xml:space="preserve"> </w:t>
      </w:r>
      <w:r>
        <w:rPr>
          <w:i/>
        </w:rPr>
        <w:t xml:space="preserve">See </w:t>
      </w:r>
      <w:r>
        <w:t>ACA Reply at 5.</w:t>
      </w:r>
    </w:p>
  </w:footnote>
  <w:footnote w:id="67">
    <w:p w14:paraId="51A46B05" w14:textId="2C01F210" w:rsidR="00B605A4" w:rsidRPr="00717FAF" w:rsidRDefault="00B605A4">
      <w:pPr>
        <w:pStyle w:val="FootnoteText"/>
      </w:pPr>
      <w:r>
        <w:rPr>
          <w:rStyle w:val="FootnoteReference"/>
        </w:rPr>
        <w:footnoteRef/>
      </w:r>
      <w:r>
        <w:t xml:space="preserve"> NPRM, 30 FCC Rcd at 2569, ¶ 11.</w:t>
      </w:r>
    </w:p>
  </w:footnote>
  <w:footnote w:id="68">
    <w:p w14:paraId="1B7C5ADF" w14:textId="26C3ED19" w:rsidR="00B605A4" w:rsidRPr="00913DD8" w:rsidRDefault="00B605A4">
      <w:pPr>
        <w:pStyle w:val="FootnoteText"/>
      </w:pPr>
      <w:r>
        <w:rPr>
          <w:rStyle w:val="FootnoteReference"/>
        </w:rPr>
        <w:footnoteRef/>
      </w:r>
      <w:r>
        <w:t xml:space="preserve"> </w:t>
      </w:r>
      <w:r>
        <w:rPr>
          <w:i/>
        </w:rPr>
        <w:t xml:space="preserve">See </w:t>
      </w:r>
      <w:r>
        <w:t xml:space="preserve">Comments of the Alliance for Community Media at 1-3; Comments of American Community Television at 3-9; NAB Comments at 25; Comments of the National Association of Telecommunications Officers and Advisors at 4; Reply Comments of American Community Television at 1-4; Consumer Advocates Reply at 4-5; MDTC Reply at 7; Letter from James L. Winston, President, National Association of Black Owned Broadcasters, to Marlene H. Dortch, Secretary, FCC, at 1-2 (May 6, 2015) (“NABOB May 6 </w:t>
      </w:r>
      <w:r>
        <w:rPr>
          <w:i/>
        </w:rPr>
        <w:t xml:space="preserve">Ex Parte </w:t>
      </w:r>
      <w:r>
        <w:t xml:space="preserve">Letter”); Letter from Tracy Rosenberg, Executive Director, Media Alliance, and Paul Goodman, Legal Counsel, Greenlining Institute, to Marlene H. Dortch, Secretary, FCC, at 1-2 (May 7, 2015) (“Media Alliance/Greenlining Institute May 7 </w:t>
      </w:r>
      <w:r>
        <w:rPr>
          <w:i/>
        </w:rPr>
        <w:t xml:space="preserve">Ex Parte </w:t>
      </w:r>
      <w:r>
        <w:t xml:space="preserve">Letter”); NHMC May 12 </w:t>
      </w:r>
      <w:r>
        <w:rPr>
          <w:i/>
        </w:rPr>
        <w:t xml:space="preserve">Ex Parte </w:t>
      </w:r>
      <w:r>
        <w:t xml:space="preserve">Letter at 2; Letter from George Tourville, Mayor of Inver Grove Heights, MN, Chair of NDC4 Cable Commission, to Marlene H. Dortch, Secretary, FCC, at 2 (May 14, 2015) (“NDC4 May 14 </w:t>
      </w:r>
      <w:r>
        <w:rPr>
          <w:i/>
        </w:rPr>
        <w:t xml:space="preserve">Ex Parte </w:t>
      </w:r>
      <w:r>
        <w:t xml:space="preserve">Letter”); Affiliates May 27 </w:t>
      </w:r>
      <w:r>
        <w:rPr>
          <w:i/>
        </w:rPr>
        <w:t xml:space="preserve">Ex Parte </w:t>
      </w:r>
      <w:r>
        <w:t>Letter at 1</w:t>
      </w:r>
      <w:r w:rsidR="006D6B12">
        <w:t xml:space="preserve">; Univision May 29 </w:t>
      </w:r>
      <w:r w:rsidR="006D6B12">
        <w:rPr>
          <w:i/>
        </w:rPr>
        <w:t xml:space="preserve">Ex Parte </w:t>
      </w:r>
      <w:r w:rsidR="006D6B12">
        <w:t>Letter at 1</w:t>
      </w:r>
      <w:r>
        <w:t>.</w:t>
      </w:r>
    </w:p>
  </w:footnote>
  <w:footnote w:id="69">
    <w:p w14:paraId="6890A024" w14:textId="57306324" w:rsidR="00B605A4" w:rsidRPr="00926AA3" w:rsidRDefault="00B605A4">
      <w:pPr>
        <w:pStyle w:val="FootnoteText"/>
      </w:pPr>
      <w:r>
        <w:rPr>
          <w:rStyle w:val="FootnoteReference"/>
        </w:rPr>
        <w:footnoteRef/>
      </w:r>
      <w:r>
        <w:t xml:space="preserve"> </w:t>
      </w:r>
      <w:r>
        <w:rPr>
          <w:i/>
        </w:rPr>
        <w:t xml:space="preserve">See also </w:t>
      </w:r>
      <w:r>
        <w:t>ACA Reply at 9-12, NCTA Reply at 10-11; Letter from Craig A. Gilley, Counsel for American Cable Association, to Marlene H. Dortch, Secretary, FCC, at 2 (Apr. 16, 2015) (“ACA</w:t>
      </w:r>
      <w:r>
        <w:rPr>
          <w:i/>
        </w:rPr>
        <w:t xml:space="preserve"> </w:t>
      </w:r>
      <w:r>
        <w:t xml:space="preserve">Apr. 16 </w:t>
      </w:r>
      <w:r>
        <w:rPr>
          <w:i/>
        </w:rPr>
        <w:t xml:space="preserve">Ex Parte </w:t>
      </w:r>
      <w:r>
        <w:t xml:space="preserve">Letter”); NCTA May 14 </w:t>
      </w:r>
      <w:r>
        <w:rPr>
          <w:i/>
        </w:rPr>
        <w:t xml:space="preserve">Ex Parte </w:t>
      </w:r>
      <w:r>
        <w:t xml:space="preserve">Letter at 2.  Similarly, while the IAC contends that consumers will be harmed because the uniform pricing provision and the tier buy-through provision do not apply following a finding of Effective Competition, they have not pointed to any instances of cable operators in the thousands of communities with Effective Competition findings using this flexibility to the detriment of subscribers in these communities.  </w:t>
      </w:r>
      <w:r>
        <w:rPr>
          <w:i/>
        </w:rPr>
        <w:t xml:space="preserve">See </w:t>
      </w:r>
      <w:r>
        <w:t xml:space="preserve">IAC Recommendation at 3; 47 C.F.R. §§ 76.984, 76.921.  The IAC also claims that “use of public rights of ways by [Satellite Master Antenna Television (“SMATV”)] operators serving individual properties may be allowed if there is a finding of effective competition.”  IAC Recommendation at 3; 47 C.F.R. § 76.501.  IAC has failed to explain the significance of this or why such a possibility would be a reason to refrain from updating our processes to reflect market realities.  Further, a SMATV issue has not manifested itself in the thousands of communities that the Commission has already determined are subject to Effective Competition.  We also emphasize that both the prohibition against negative option billing and cable customer service standards, as a general matter, survive a finding of Effective Competition, per </w:t>
      </w:r>
      <w:r>
        <w:rPr>
          <w:i/>
        </w:rPr>
        <w:t>Time Warner Entertainment Co., L.P., v. FCC</w:t>
      </w:r>
      <w:r>
        <w:t xml:space="preserve">, 56 F.3d 151, 192-196 (D.C. Cir. 1995).  </w:t>
      </w:r>
      <w:r>
        <w:rPr>
          <w:i/>
        </w:rPr>
        <w:t xml:space="preserve">See </w:t>
      </w:r>
      <w:r>
        <w:t>IAC Recommendation</w:t>
      </w:r>
      <w:r>
        <w:rPr>
          <w:i/>
        </w:rPr>
        <w:t xml:space="preserve"> </w:t>
      </w:r>
      <w:r>
        <w:t xml:space="preserve">at 3; NAB May 22 </w:t>
      </w:r>
      <w:r>
        <w:rPr>
          <w:i/>
        </w:rPr>
        <w:t xml:space="preserve">Ex Parte </w:t>
      </w:r>
      <w:r>
        <w:t>Letter at 2; 47 C.F.R. §§ 76.981, 76.309.</w:t>
      </w:r>
    </w:p>
  </w:footnote>
  <w:footnote w:id="70">
    <w:p w14:paraId="5F62D21D" w14:textId="77777777" w:rsidR="00B605A4" w:rsidRDefault="00B605A4" w:rsidP="00096689">
      <w:pPr>
        <w:pStyle w:val="FootnoteText"/>
      </w:pPr>
      <w:r>
        <w:rPr>
          <w:rStyle w:val="FootnoteReference"/>
        </w:rPr>
        <w:footnoteRef/>
      </w:r>
      <w:r>
        <w:t xml:space="preserve"> NAB May 15 </w:t>
      </w:r>
      <w:r>
        <w:rPr>
          <w:i/>
        </w:rPr>
        <w:t xml:space="preserve">Ex Parte </w:t>
      </w:r>
      <w:r>
        <w:t>Letter at 2.</w:t>
      </w:r>
    </w:p>
  </w:footnote>
  <w:footnote w:id="71">
    <w:p w14:paraId="2BEC5C98" w14:textId="77777777" w:rsidR="00B605A4" w:rsidRPr="00A23787" w:rsidRDefault="00B605A4" w:rsidP="000108F5">
      <w:pPr>
        <w:pStyle w:val="FootnoteText"/>
      </w:pPr>
      <w:r w:rsidRPr="00A23787">
        <w:rPr>
          <w:rStyle w:val="FootnoteReference"/>
        </w:rPr>
        <w:footnoteRef/>
      </w:r>
      <w:r w:rsidRPr="00A23787">
        <w:t xml:space="preserve"> Pub. L. No. 113-200, § 111, 128 Stat. 2059 (2014).</w:t>
      </w:r>
    </w:p>
  </w:footnote>
  <w:footnote w:id="72">
    <w:p w14:paraId="25A90172" w14:textId="77777777" w:rsidR="00B605A4" w:rsidRPr="00A23787" w:rsidRDefault="00B605A4" w:rsidP="000108F5">
      <w:pPr>
        <w:pStyle w:val="FootnoteText"/>
      </w:pPr>
      <w:r w:rsidRPr="00A23787">
        <w:rPr>
          <w:rStyle w:val="FootnoteReference"/>
        </w:rPr>
        <w:footnoteRef/>
      </w:r>
      <w:r w:rsidRPr="00A23787">
        <w:t xml:space="preserve"> 47 U.S.C. §543(o)(1).</w:t>
      </w:r>
    </w:p>
  </w:footnote>
  <w:footnote w:id="73">
    <w:p w14:paraId="5FA93E2A" w14:textId="0B86DCC1" w:rsidR="00B605A4" w:rsidRPr="00A23787" w:rsidRDefault="00B605A4" w:rsidP="000108F5">
      <w:pPr>
        <w:pStyle w:val="FootnoteText"/>
      </w:pPr>
      <w:r w:rsidRPr="00A23787">
        <w:rPr>
          <w:rStyle w:val="FootnoteReference"/>
        </w:rPr>
        <w:footnoteRef/>
      </w:r>
      <w:r w:rsidRPr="00A23787">
        <w:t xml:space="preserve"> </w:t>
      </w:r>
      <w:r w:rsidRPr="00A23787">
        <w:rPr>
          <w:i/>
        </w:rPr>
        <w:t xml:space="preserve">See </w:t>
      </w:r>
      <w:r w:rsidRPr="00A23787">
        <w:t xml:space="preserve">ACA Comments at 10 (“adopting [a presumption of </w:t>
      </w:r>
      <w:r>
        <w:t>Competing Provider E</w:t>
      </w:r>
      <w:r w:rsidRPr="00A23787">
        <w:t xml:space="preserve">ffective </w:t>
      </w:r>
      <w:r>
        <w:t>C</w:t>
      </w:r>
      <w:r w:rsidRPr="00A23787">
        <w:t xml:space="preserve">ompetition] would conserve not only the resources of cable operators, but also of franchising authorities and the Commission”); ITTA Comments at 2 (a rebuttable presumption that cable operators are subject to </w:t>
      </w:r>
      <w:r>
        <w:t>E</w:t>
      </w:r>
      <w:r w:rsidRPr="00A23787">
        <w:t xml:space="preserve">ffective </w:t>
      </w:r>
      <w:r>
        <w:t>C</w:t>
      </w:r>
      <w:r w:rsidRPr="00A23787">
        <w:t>ompetition “would be consistent with the policy of the Commission and current Administration of modifying and streamlining rules that are outmoded or excessively burdensome, and would appropriately implement the [STELAR] mandate that the Commission establish a streamlined effective competition process for small cable operators”)</w:t>
      </w:r>
      <w:r>
        <w:t xml:space="preserve"> (footnotes omitted)</w:t>
      </w:r>
      <w:r w:rsidRPr="00A23787">
        <w:t xml:space="preserve">.  </w:t>
      </w:r>
      <w:r w:rsidRPr="00A23787">
        <w:rPr>
          <w:i/>
        </w:rPr>
        <w:t xml:space="preserve">See also </w:t>
      </w:r>
      <w:r w:rsidRPr="00A23787">
        <w:t>ACA Reply at 1.</w:t>
      </w:r>
    </w:p>
  </w:footnote>
  <w:footnote w:id="74">
    <w:p w14:paraId="7AC2C398" w14:textId="1116CDB8" w:rsidR="00B605A4" w:rsidRPr="00A23787" w:rsidRDefault="00B605A4" w:rsidP="000108F5">
      <w:pPr>
        <w:pStyle w:val="FootnoteText"/>
      </w:pPr>
      <w:r w:rsidRPr="00A23787">
        <w:rPr>
          <w:rStyle w:val="FootnoteReference"/>
        </w:rPr>
        <w:footnoteRef/>
      </w:r>
      <w:r w:rsidRPr="00A23787">
        <w:t xml:space="preserve"> </w:t>
      </w:r>
      <w:r w:rsidRPr="00A23787">
        <w:rPr>
          <w:i/>
        </w:rPr>
        <w:t>See</w:t>
      </w:r>
      <w:r w:rsidRPr="00E4657D">
        <w:t xml:space="preserve"> </w:t>
      </w:r>
      <w:r w:rsidRPr="00A23787">
        <w:t xml:space="preserve">47 C.F.R. § 76.907 (a cable operator may file a petition for a determination of </w:t>
      </w:r>
      <w:r>
        <w:t>E</w:t>
      </w:r>
      <w:r w:rsidRPr="00A23787">
        <w:t xml:space="preserve">ffective </w:t>
      </w:r>
      <w:r>
        <w:t>C</w:t>
      </w:r>
      <w:r w:rsidRPr="00A23787">
        <w:t xml:space="preserve">ompetition with evidence that </w:t>
      </w:r>
      <w:r>
        <w:t>E</w:t>
      </w:r>
      <w:r w:rsidRPr="00A23787">
        <w:t xml:space="preserve">ffective </w:t>
      </w:r>
      <w:r>
        <w:t>C</w:t>
      </w:r>
      <w:r w:rsidRPr="00A23787">
        <w:t xml:space="preserve">ompetition exists in the franchise area; if such evidence is not otherwise available, cable operators may request from a competitor information regarding the competitor’s reach and number of subscribers). </w:t>
      </w:r>
    </w:p>
  </w:footnote>
  <w:footnote w:id="75">
    <w:p w14:paraId="1CD6A577" w14:textId="13A760F5" w:rsidR="00B605A4" w:rsidRPr="00A23787" w:rsidRDefault="00B605A4" w:rsidP="000108F5">
      <w:pPr>
        <w:pStyle w:val="FootnoteText"/>
      </w:pPr>
      <w:r w:rsidRPr="00A23787">
        <w:rPr>
          <w:rStyle w:val="FootnoteReference"/>
        </w:rPr>
        <w:footnoteRef/>
      </w:r>
      <w:r w:rsidRPr="00A23787">
        <w:t xml:space="preserve"> </w:t>
      </w:r>
      <w:r w:rsidRPr="00A23787">
        <w:rPr>
          <w:i/>
        </w:rPr>
        <w:t xml:space="preserve">See </w:t>
      </w:r>
      <w:r w:rsidRPr="00A23787">
        <w:t>NCTA Reply at 8; ACA Comments at 7.</w:t>
      </w:r>
      <w:r w:rsidRPr="00A23787">
        <w:rPr>
          <w:i/>
        </w:rPr>
        <w:t xml:space="preserve"> </w:t>
      </w:r>
      <w:r>
        <w:rPr>
          <w:i/>
        </w:rPr>
        <w:t xml:space="preserve"> </w:t>
      </w:r>
      <w:r w:rsidRPr="00A23787">
        <w:rPr>
          <w:i/>
        </w:rPr>
        <w:t xml:space="preserve">See also </w:t>
      </w:r>
      <w:r w:rsidRPr="00A23787">
        <w:t>47 C.F.R. § 76.906.</w:t>
      </w:r>
    </w:p>
  </w:footnote>
  <w:footnote w:id="76">
    <w:p w14:paraId="71969AD2" w14:textId="77777777" w:rsidR="00B605A4" w:rsidRPr="00A23787" w:rsidRDefault="00B605A4" w:rsidP="000108F5">
      <w:pPr>
        <w:pStyle w:val="FootnoteText"/>
      </w:pPr>
      <w:r w:rsidRPr="00A23787">
        <w:rPr>
          <w:rStyle w:val="FootnoteReference"/>
        </w:rPr>
        <w:footnoteRef/>
      </w:r>
      <w:r w:rsidRPr="00A23787">
        <w:t xml:space="preserve"> </w:t>
      </w:r>
      <w:r w:rsidRPr="00A23787">
        <w:rPr>
          <w:i/>
        </w:rPr>
        <w:t xml:space="preserve">See </w:t>
      </w:r>
      <w:r w:rsidRPr="00A23787">
        <w:t>NCTA Comments at 7.</w:t>
      </w:r>
    </w:p>
  </w:footnote>
  <w:footnote w:id="77">
    <w:p w14:paraId="780E35BB" w14:textId="77777777" w:rsidR="00B605A4" w:rsidRPr="00A23787" w:rsidRDefault="00B605A4" w:rsidP="00E4657D">
      <w:pPr>
        <w:pStyle w:val="FootnoteText"/>
        <w:spacing w:after="0"/>
      </w:pPr>
      <w:r w:rsidRPr="00A23787">
        <w:rPr>
          <w:rStyle w:val="FootnoteReference"/>
        </w:rPr>
        <w:footnoteRef/>
      </w:r>
      <w:r w:rsidRPr="00A23787">
        <w:t xml:space="preserve"> </w:t>
      </w:r>
      <w:r w:rsidRPr="00A23787">
        <w:rPr>
          <w:i/>
        </w:rPr>
        <w:t>See</w:t>
      </w:r>
      <w:r w:rsidRPr="00A23787">
        <w:t xml:space="preserve"> ACA Reply at ii</w:t>
      </w:r>
      <w:r w:rsidRPr="00A23787">
        <w:rPr>
          <w:i/>
        </w:rPr>
        <w:t xml:space="preserve">.  See also </w:t>
      </w:r>
      <w:r w:rsidRPr="00A23787">
        <w:t>NCTA Comments at 2</w:t>
      </w:r>
      <w:r>
        <w:t>, 7</w:t>
      </w:r>
      <w:r w:rsidRPr="00A23787">
        <w:t xml:space="preserve"> (“Shifting the burden of production to local franchising authorities to show the lack of effective competition in those extremely rare cases where such competition is not present, rather than requiring cable operators to bear the burden of production in the thousands of communities where they face such competition, will reduce unnecessary costs on small cable operators</w:t>
      </w:r>
      <w:r>
        <w:t>”)</w:t>
      </w:r>
      <w:r w:rsidRPr="00A23787">
        <w:t>; Cablevision Reply at 6</w:t>
      </w:r>
      <w:r>
        <w:t>;</w:t>
      </w:r>
      <w:r w:rsidRPr="00A23787">
        <w:t xml:space="preserve">  </w:t>
      </w:r>
    </w:p>
    <w:p w14:paraId="543050F3" w14:textId="59628677" w:rsidR="00B605A4" w:rsidRPr="00A23787" w:rsidRDefault="00B605A4" w:rsidP="000108F5">
      <w:pPr>
        <w:pStyle w:val="FootnoteText"/>
      </w:pPr>
      <w:r w:rsidRPr="00A23787">
        <w:t>ITTA Comments at 7; FSF Reply at 4</w:t>
      </w:r>
      <w:r>
        <w:t>; Letter from Seth A. Davidson, Counsel for American Cable Association, to Marlene H. Dortch, Secretary, FCC, at 1 (May 26, 2015) (“In particular, we stressed that ACA’s members and other small operators were being deterred from seeking regulatory relief (and regulatory parity with their competition) by the costs associated with the current effective competition process and that the Commission’s proposal was consistent with Congress’ intent in Section 111 of STELAR to streamline that process.”)</w:t>
      </w:r>
      <w:r w:rsidRPr="00A23787">
        <w:t>.</w:t>
      </w:r>
    </w:p>
  </w:footnote>
  <w:footnote w:id="78">
    <w:p w14:paraId="7559411E" w14:textId="77777777" w:rsidR="00B605A4" w:rsidRPr="00A23787" w:rsidRDefault="00B605A4" w:rsidP="000108F5">
      <w:pPr>
        <w:pStyle w:val="FootnoteText"/>
      </w:pPr>
      <w:r w:rsidRPr="00A23787">
        <w:rPr>
          <w:rStyle w:val="FootnoteReference"/>
        </w:rPr>
        <w:footnoteRef/>
      </w:r>
      <w:r w:rsidRPr="00A23787">
        <w:t xml:space="preserve"> </w:t>
      </w:r>
      <w:r w:rsidRPr="00A23787">
        <w:rPr>
          <w:i/>
        </w:rPr>
        <w:t xml:space="preserve">See </w:t>
      </w:r>
      <w:r w:rsidRPr="00A23787">
        <w:t xml:space="preserve">ACA Comments at 8. </w:t>
      </w:r>
    </w:p>
  </w:footnote>
  <w:footnote w:id="79">
    <w:p w14:paraId="7C240FBC" w14:textId="77777777" w:rsidR="00B605A4" w:rsidRPr="00A23787" w:rsidRDefault="00B605A4" w:rsidP="000108F5">
      <w:pPr>
        <w:pStyle w:val="FootnoteText"/>
      </w:pPr>
      <w:r w:rsidRPr="00A23787">
        <w:rPr>
          <w:rStyle w:val="FootnoteReference"/>
        </w:rPr>
        <w:footnoteRef/>
      </w:r>
      <w:r w:rsidRPr="00A23787">
        <w:t xml:space="preserve"> 47 U.S.C. §543(o)(1).  </w:t>
      </w:r>
      <w:r w:rsidRPr="00A23787">
        <w:rPr>
          <w:i/>
        </w:rPr>
        <w:t xml:space="preserve">See </w:t>
      </w:r>
      <w:r w:rsidRPr="00A23787">
        <w:t>NCTA Reply at 8.</w:t>
      </w:r>
    </w:p>
  </w:footnote>
  <w:footnote w:id="80">
    <w:p w14:paraId="0E7C989C" w14:textId="76583251" w:rsidR="00B605A4" w:rsidRPr="00A23787" w:rsidRDefault="00B605A4" w:rsidP="000108F5">
      <w:pPr>
        <w:pStyle w:val="FootnoteText"/>
      </w:pPr>
      <w:r w:rsidRPr="00A23787">
        <w:rPr>
          <w:rStyle w:val="FootnoteReference"/>
        </w:rPr>
        <w:footnoteRef/>
      </w:r>
      <w:r w:rsidRPr="00A23787">
        <w:t xml:space="preserve"> </w:t>
      </w:r>
      <w:r w:rsidRPr="00A23787">
        <w:rPr>
          <w:i/>
        </w:rPr>
        <w:t xml:space="preserve">See </w:t>
      </w:r>
      <w:r w:rsidRPr="00A23787">
        <w:t>NCTA Reply at 8</w:t>
      </w:r>
      <w:r>
        <w:t xml:space="preserve">.  </w:t>
      </w:r>
      <w:r>
        <w:rPr>
          <w:i/>
        </w:rPr>
        <w:t>See also</w:t>
      </w:r>
      <w:r w:rsidRPr="00A23787">
        <w:t xml:space="preserve"> ACA Comments at 8.</w:t>
      </w:r>
    </w:p>
  </w:footnote>
  <w:footnote w:id="81">
    <w:p w14:paraId="5CF74F25" w14:textId="621CC23E" w:rsidR="00B605A4" w:rsidRPr="00A23787" w:rsidRDefault="00B605A4" w:rsidP="000108F5">
      <w:pPr>
        <w:pStyle w:val="FootnoteText"/>
      </w:pPr>
      <w:r w:rsidRPr="00A23787">
        <w:rPr>
          <w:rStyle w:val="FootnoteReference"/>
        </w:rPr>
        <w:footnoteRef/>
      </w:r>
      <w:r w:rsidRPr="00A23787">
        <w:t xml:space="preserve"> </w:t>
      </w:r>
      <w:r w:rsidRPr="00A23787">
        <w:rPr>
          <w:i/>
        </w:rPr>
        <w:t xml:space="preserve">See </w:t>
      </w:r>
      <w:r w:rsidRPr="00A23787">
        <w:t>ITTA Comments at 7</w:t>
      </w:r>
      <w:r>
        <w:t>.</w:t>
      </w:r>
      <w:r w:rsidRPr="00A23787">
        <w:t xml:space="preserve"> </w:t>
      </w:r>
      <w:r>
        <w:t xml:space="preserve"> </w:t>
      </w:r>
      <w:r>
        <w:rPr>
          <w:i/>
        </w:rPr>
        <w:t>S</w:t>
      </w:r>
      <w:r w:rsidRPr="00A23787">
        <w:rPr>
          <w:i/>
        </w:rPr>
        <w:t xml:space="preserve">ee also </w:t>
      </w:r>
      <w:r w:rsidRPr="00A23787">
        <w:t>NCTA Reply at 8 (“Extending the same relief to all operators is entirely reasonable, especially since the record contains no evidence that the level of competition varies in a community based on size or other characteristics of the corporation operating the cable system</w:t>
      </w:r>
      <w:r w:rsidR="00B97450">
        <w:t>.</w:t>
      </w:r>
      <w:r w:rsidRPr="00A23787">
        <w:t>”).</w:t>
      </w:r>
    </w:p>
  </w:footnote>
  <w:footnote w:id="82">
    <w:p w14:paraId="5AA58B22" w14:textId="77777777" w:rsidR="00B605A4" w:rsidRPr="00A23787" w:rsidRDefault="00B605A4" w:rsidP="000108F5">
      <w:pPr>
        <w:pStyle w:val="FootnoteText"/>
      </w:pPr>
      <w:r w:rsidRPr="00A23787">
        <w:rPr>
          <w:rStyle w:val="FootnoteReference"/>
        </w:rPr>
        <w:footnoteRef/>
      </w:r>
      <w:r w:rsidRPr="00A23787">
        <w:t xml:space="preserve"> 47 U.S.C. § 543(o)(2).</w:t>
      </w:r>
    </w:p>
  </w:footnote>
  <w:footnote w:id="83">
    <w:p w14:paraId="1BD7844D" w14:textId="3896ADF0" w:rsidR="00B605A4" w:rsidRPr="00A23787" w:rsidRDefault="00B605A4" w:rsidP="000108F5">
      <w:pPr>
        <w:pStyle w:val="FootnoteText"/>
      </w:pPr>
      <w:r w:rsidRPr="00A23787">
        <w:rPr>
          <w:rStyle w:val="FootnoteReference"/>
        </w:rPr>
        <w:footnoteRef/>
      </w:r>
      <w:r w:rsidRPr="00A23787">
        <w:t xml:space="preserve"> NAB Comments at 22-23</w:t>
      </w:r>
      <w:r>
        <w:t xml:space="preserve">; NAB May 15 </w:t>
      </w:r>
      <w:r>
        <w:rPr>
          <w:i/>
        </w:rPr>
        <w:t xml:space="preserve">Ex Parte </w:t>
      </w:r>
      <w:r>
        <w:t>Letter at 1</w:t>
      </w:r>
      <w:r w:rsidRPr="00A23787">
        <w:t>.</w:t>
      </w:r>
    </w:p>
  </w:footnote>
  <w:footnote w:id="84">
    <w:p w14:paraId="35FB357F" w14:textId="77777777" w:rsidR="00B605A4" w:rsidRPr="00A23787" w:rsidRDefault="00B605A4" w:rsidP="000108F5">
      <w:pPr>
        <w:pStyle w:val="FootnoteText"/>
      </w:pPr>
      <w:r w:rsidRPr="00A23787">
        <w:rPr>
          <w:rStyle w:val="FootnoteReference"/>
        </w:rPr>
        <w:footnoteRef/>
      </w:r>
      <w:r w:rsidRPr="00A23787">
        <w:t xml:space="preserve"> 47 C.F.R. § 76.906.</w:t>
      </w:r>
    </w:p>
  </w:footnote>
  <w:footnote w:id="85">
    <w:p w14:paraId="01401378" w14:textId="0454C122" w:rsidR="00B605A4" w:rsidRPr="00A23787" w:rsidRDefault="00B605A4" w:rsidP="000108F5">
      <w:pPr>
        <w:pStyle w:val="FootnoteText"/>
      </w:pPr>
      <w:r w:rsidRPr="00A23787">
        <w:rPr>
          <w:rStyle w:val="FootnoteReference"/>
        </w:rPr>
        <w:footnoteRef/>
      </w:r>
      <w:r w:rsidRPr="00A23787">
        <w:t xml:space="preserve"> </w:t>
      </w:r>
      <w:r w:rsidRPr="00A23787">
        <w:rPr>
          <w:i/>
        </w:rPr>
        <w:t>See 1993 Rate Order,</w:t>
      </w:r>
      <w:r w:rsidRPr="00A23787">
        <w:t xml:space="preserve"> 8 FCC Rcd </w:t>
      </w:r>
      <w:r>
        <w:t xml:space="preserve">at </w:t>
      </w:r>
      <w:r w:rsidRPr="00A23787">
        <w:t>5670</w:t>
      </w:r>
      <w:r>
        <w:t>, ¶ 43</w:t>
      </w:r>
      <w:r w:rsidRPr="00A23787">
        <w:t xml:space="preserve">.  </w:t>
      </w:r>
      <w:r w:rsidRPr="00A23787">
        <w:rPr>
          <w:i/>
        </w:rPr>
        <w:t xml:space="preserve">See also id. </w:t>
      </w:r>
      <w:r w:rsidRPr="00A23787">
        <w:t>at 5640</w:t>
      </w:r>
      <w:r>
        <w:t>, ¶ 10</w:t>
      </w:r>
      <w:r w:rsidRPr="00A23787">
        <w:t xml:space="preserve"> (“We anticipate that the regulations we adopt today will change over time.  In accordance with the statute, we will review and monitor the effect of our initial rate regulations on the cable industry and consumers, and refine and improve our rules as necessary</w:t>
      </w:r>
      <w:r w:rsidR="00B97450">
        <w:t>.</w:t>
      </w:r>
      <w:r w:rsidRPr="00A23787">
        <w:t>”).</w:t>
      </w:r>
    </w:p>
  </w:footnote>
  <w:footnote w:id="86">
    <w:p w14:paraId="12379D44" w14:textId="77777777" w:rsidR="00B605A4" w:rsidRPr="00A23787" w:rsidRDefault="00B605A4" w:rsidP="000108F5">
      <w:pPr>
        <w:pStyle w:val="FootnoteText"/>
      </w:pPr>
      <w:r w:rsidRPr="00A23787">
        <w:rPr>
          <w:rStyle w:val="FootnoteReference"/>
        </w:rPr>
        <w:footnoteRef/>
      </w:r>
      <w:r w:rsidRPr="00A23787">
        <w:t xml:space="preserve"> 47 U.S.C. §§ 154(i), 303(r).</w:t>
      </w:r>
    </w:p>
  </w:footnote>
  <w:footnote w:id="87">
    <w:p w14:paraId="7A98F5CB" w14:textId="2888380E" w:rsidR="00B605A4" w:rsidRPr="00A23787" w:rsidRDefault="00B605A4" w:rsidP="000108F5">
      <w:pPr>
        <w:pStyle w:val="FootnoteText"/>
      </w:pPr>
      <w:r w:rsidRPr="00A23787">
        <w:rPr>
          <w:rStyle w:val="FootnoteReference"/>
        </w:rPr>
        <w:footnoteRef/>
      </w:r>
      <w:r w:rsidRPr="00A23787">
        <w:t xml:space="preserve"> </w:t>
      </w:r>
      <w:r w:rsidRPr="00A23787">
        <w:rPr>
          <w:i/>
        </w:rPr>
        <w:t xml:space="preserve">See </w:t>
      </w:r>
      <w:r w:rsidRPr="00A23787">
        <w:t>NAB Comments at 22; NAB Reply at 15</w:t>
      </w:r>
      <w:r>
        <w:t xml:space="preserve">. </w:t>
      </w:r>
      <w:r w:rsidRPr="00A23787">
        <w:t xml:space="preserve"> </w:t>
      </w:r>
      <w:r>
        <w:rPr>
          <w:i/>
        </w:rPr>
        <w:t>S</w:t>
      </w:r>
      <w:r w:rsidRPr="00A23787">
        <w:rPr>
          <w:i/>
        </w:rPr>
        <w:t xml:space="preserve">ee also </w:t>
      </w:r>
      <w:r w:rsidRPr="00A23787">
        <w:t>Public Knowledge Comments at 2</w:t>
      </w:r>
      <w:r>
        <w:t>-3</w:t>
      </w:r>
      <w:r w:rsidRPr="00A23787">
        <w:t>.</w:t>
      </w:r>
    </w:p>
  </w:footnote>
  <w:footnote w:id="88">
    <w:p w14:paraId="46DC21B9" w14:textId="154E52A0" w:rsidR="00B605A4" w:rsidRPr="008A1060" w:rsidRDefault="00B605A4">
      <w:pPr>
        <w:pStyle w:val="FootnoteText"/>
      </w:pPr>
      <w:r>
        <w:rPr>
          <w:rStyle w:val="FootnoteReference"/>
        </w:rPr>
        <w:footnoteRef/>
      </w:r>
      <w:r>
        <w:t xml:space="preserve"> NPRM, 30 FCC Rcd at 2570, ¶ 13.</w:t>
      </w:r>
    </w:p>
  </w:footnote>
  <w:footnote w:id="89">
    <w:p w14:paraId="16E7ECB0" w14:textId="72A41179" w:rsidR="00B605A4" w:rsidRPr="00736F9C" w:rsidRDefault="00B605A4">
      <w:pPr>
        <w:pStyle w:val="FootnoteText"/>
      </w:pPr>
      <w:r>
        <w:rPr>
          <w:rStyle w:val="FootnoteReference"/>
        </w:rPr>
        <w:footnoteRef/>
      </w:r>
      <w:r>
        <w:t xml:space="preserve"> </w:t>
      </w:r>
      <w:r>
        <w:rPr>
          <w:i/>
        </w:rPr>
        <w:t xml:space="preserve">See, e.g., </w:t>
      </w:r>
      <w:r>
        <w:t xml:space="preserve">ACA Comments at 14-15; MDTC Comments at 11-12, n. 46; NAB Comments at 23-24; Public Knowledge Comments at 2-3; ACA Reply at vi; Letter from the National Association of Broadcasters </w:t>
      </w:r>
      <w:r>
        <w:rPr>
          <w:i/>
        </w:rPr>
        <w:t xml:space="preserve">et al. </w:t>
      </w:r>
      <w:r>
        <w:t xml:space="preserve">to Marlene H. Dortch, Secretary, FCC, at 2-3 (Apr. 16, 2015) (“NAB </w:t>
      </w:r>
      <w:r>
        <w:rPr>
          <w:i/>
        </w:rPr>
        <w:t xml:space="preserve">et al. </w:t>
      </w:r>
      <w:r>
        <w:t xml:space="preserve">Apr. 16 </w:t>
      </w:r>
      <w:r>
        <w:rPr>
          <w:i/>
        </w:rPr>
        <w:t xml:space="preserve">Ex Parte </w:t>
      </w:r>
      <w:r>
        <w:t xml:space="preserve">Letter”); Letter from Stephen Traylor, Executive Director/Legal Counsel, National Association of Telecommunications Officers and Advisors, to Marlene H. Dortch, Secretary, FCC, at 1-2 (Apr. 17, 2015) (“NATOA Apr. 17 </w:t>
      </w:r>
      <w:r>
        <w:rPr>
          <w:i/>
        </w:rPr>
        <w:t xml:space="preserve">Ex Parte </w:t>
      </w:r>
      <w:r>
        <w:t xml:space="preserve">Letter”); NABOB May 6 </w:t>
      </w:r>
      <w:r>
        <w:rPr>
          <w:i/>
        </w:rPr>
        <w:t xml:space="preserve">Ex Parte </w:t>
      </w:r>
      <w:r>
        <w:t xml:space="preserve">Letter at 1; UCC OC May 8 </w:t>
      </w:r>
      <w:r>
        <w:rPr>
          <w:i/>
        </w:rPr>
        <w:t xml:space="preserve">Ex Parte </w:t>
      </w:r>
      <w:r>
        <w:t xml:space="preserve">Letter at 1; Public Knowledge </w:t>
      </w:r>
      <w:r>
        <w:rPr>
          <w:i/>
        </w:rPr>
        <w:t xml:space="preserve">et al. </w:t>
      </w:r>
      <w:r>
        <w:t xml:space="preserve">May 26 </w:t>
      </w:r>
      <w:r>
        <w:rPr>
          <w:i/>
        </w:rPr>
        <w:t xml:space="preserve">Ex Parte </w:t>
      </w:r>
      <w:r>
        <w:t>Letter at 1.</w:t>
      </w:r>
    </w:p>
  </w:footnote>
  <w:footnote w:id="90">
    <w:p w14:paraId="0B82343A" w14:textId="36BC9D57" w:rsidR="00B605A4" w:rsidRPr="009A55E4" w:rsidRDefault="00B605A4">
      <w:pPr>
        <w:pStyle w:val="FootnoteText"/>
      </w:pPr>
      <w:r>
        <w:rPr>
          <w:rStyle w:val="FootnoteReference"/>
        </w:rPr>
        <w:footnoteRef/>
      </w:r>
      <w:r>
        <w:t xml:space="preserve"> For example, NAB and others ask that we establish an electronic filing process, perhaps through the use of an electronic form.  </w:t>
      </w:r>
      <w:r w:rsidRPr="006E6049">
        <w:t>NAB Comments at 24</w:t>
      </w:r>
      <w:r>
        <w:t xml:space="preserve">; NAB </w:t>
      </w:r>
      <w:r>
        <w:rPr>
          <w:i/>
        </w:rPr>
        <w:t xml:space="preserve">et al. </w:t>
      </w:r>
      <w:r>
        <w:t xml:space="preserve">Apr. 16 </w:t>
      </w:r>
      <w:r>
        <w:rPr>
          <w:i/>
        </w:rPr>
        <w:t xml:space="preserve">Ex Parte </w:t>
      </w:r>
      <w:r>
        <w:t xml:space="preserve">Letter at 3. </w:t>
      </w:r>
      <w:r w:rsidRPr="006E6049">
        <w:t xml:space="preserve"> </w:t>
      </w:r>
      <w:r>
        <w:t xml:space="preserve">We already require all Effective Competition petitions to be filed electronically.  </w:t>
      </w:r>
      <w:r w:rsidRPr="006E6049">
        <w:rPr>
          <w:i/>
        </w:rPr>
        <w:t>See Media Bureau Announces Commencement of Mandatory Electronic Filing for Cable Special Relief Petitions and Cable Show Cause Petitions via the Electronic Comment Filing System</w:t>
      </w:r>
      <w:r w:rsidRPr="006E6049">
        <w:t>, Public Notice, 26 FCC Rcd 17150 (MB, Dec. 30, 2011) (“Effective January 3, 2012, the Commission will no longer accept and consider new Cable Special Relief (CSR) and Cable Show Cause (CSC) petitions filed on paper.”)</w:t>
      </w:r>
      <w:r>
        <w:t xml:space="preserve">.  NAB and others also ask that we relieve cable operators of the obligation to present evidence regarding elements that are no longer in dispute, including in particular evidence regarding consumers’ awareness of the availability of DBS service.  NAB </w:t>
      </w:r>
      <w:r>
        <w:rPr>
          <w:i/>
        </w:rPr>
        <w:t xml:space="preserve">et al. </w:t>
      </w:r>
      <w:r>
        <w:t xml:space="preserve">Apr. 16 </w:t>
      </w:r>
      <w:r>
        <w:rPr>
          <w:i/>
        </w:rPr>
        <w:t xml:space="preserve">Ex Parte </w:t>
      </w:r>
      <w:r>
        <w:t xml:space="preserve">Letter at 2; NATOA Apr. 17 </w:t>
      </w:r>
      <w:r>
        <w:rPr>
          <w:i/>
        </w:rPr>
        <w:t xml:space="preserve">Ex Parte </w:t>
      </w:r>
      <w:r>
        <w:t xml:space="preserve">Letter at 1.  The Media Bureau has already addressed this issue by stating that a party may prove consumers’ awareness of the availability of DBS service by providing evidence of penetration rates in the franchise area coupled with the ubiquity of DBS service.  </w:t>
      </w:r>
      <w:r>
        <w:rPr>
          <w:i/>
        </w:rPr>
        <w:t xml:space="preserve">See, e.g., </w:t>
      </w:r>
      <w:r>
        <w:t xml:space="preserve">ACA Reply at 14; </w:t>
      </w:r>
      <w:r>
        <w:rPr>
          <w:i/>
        </w:rPr>
        <w:t>Time Warner Entertainment-Advance/Newhouse Partnership</w:t>
      </w:r>
      <w:r>
        <w:t xml:space="preserve">, 28 FCC Rcd at 16778, ¶ 6 (“The Commission has held that a party may use evidence of penetration rates in the franchise area (the second part of the competing provider test discussed below) coupled with the ubiquity of DBS services to show that consumers are reasonably aware of the availability of DBS service.  The ‘comparable programming’ element is met if a competing MVPD provider offers at least 12 channels of video programming, including at least one channel of nonbroadcast service programming and is supported in this petition with citations to the channel lineups for both DBS providers.  Also undisputed is Time Warner’s assertion that both DBS providers offer service to at least ‘50 percent’ of the households in the communities because of their national satellite footprint.  Based on all the foregoing considerations, we find that the first part of the competing provider test is satisfied for all the communities in which Time Warner is invoking it.”) (footnotes omitted); </w:t>
      </w:r>
      <w:r>
        <w:rPr>
          <w:i/>
        </w:rPr>
        <w:t>Comcast Communications, LLC</w:t>
      </w:r>
      <w:r>
        <w:t xml:space="preserve">, Memorandum Opinion and Order, 28 FCC Rcd 16754, 16755, ¶ 4 (MB, 2013) (making similar statements); </w:t>
      </w:r>
      <w:r>
        <w:rPr>
          <w:i/>
        </w:rPr>
        <w:t>Comcast Cable Communications, LLC</w:t>
      </w:r>
      <w:r>
        <w:t xml:space="preserve">, Memorandum Opinion and Order, 28 FCC Rcd 16292, 16293, ¶ 5 (MB, 2013) (making similar statements).  </w:t>
      </w:r>
    </w:p>
  </w:footnote>
  <w:footnote w:id="91">
    <w:p w14:paraId="6F4A7613" w14:textId="437F3FFF" w:rsidR="00B605A4" w:rsidRPr="00840F22" w:rsidRDefault="00B605A4">
      <w:pPr>
        <w:pStyle w:val="FootnoteText"/>
      </w:pPr>
      <w:r>
        <w:rPr>
          <w:rStyle w:val="FootnoteReference"/>
        </w:rPr>
        <w:footnoteRef/>
      </w:r>
      <w:r>
        <w:t xml:space="preserve"> </w:t>
      </w:r>
      <w:r>
        <w:rPr>
          <w:i/>
        </w:rPr>
        <w:t xml:space="preserve">See, e.g., </w:t>
      </w:r>
      <w:r>
        <w:t xml:space="preserve">NCTA Comments at 4; ACA Reply at 4, 14-15; NCTA Reply at 4; ACA Apr. 16 </w:t>
      </w:r>
      <w:r>
        <w:rPr>
          <w:i/>
        </w:rPr>
        <w:t xml:space="preserve">Ex Parte </w:t>
      </w:r>
      <w:r>
        <w:t>Letter at 1 (“[T]he alternatives put forth by opponents of the proposed presumption are unlikely to overcome these burdens and persuade a small cable operator to seek an effective competition finding, even for those who undoubtedly would meet the ‘competing provider’ test.”).</w:t>
      </w:r>
    </w:p>
  </w:footnote>
  <w:footnote w:id="92">
    <w:p w14:paraId="6F216E43" w14:textId="17F326B3" w:rsidR="00B605A4" w:rsidRDefault="00B605A4">
      <w:pPr>
        <w:pStyle w:val="FootnoteText"/>
      </w:pPr>
      <w:r w:rsidRPr="00855C9D">
        <w:rPr>
          <w:rStyle w:val="FootnoteReference"/>
        </w:rPr>
        <w:footnoteRef/>
      </w:r>
      <w:r w:rsidRPr="00855C9D">
        <w:t xml:space="preserve"> </w:t>
      </w:r>
      <w:r w:rsidRPr="00855C9D">
        <w:rPr>
          <w:i/>
        </w:rPr>
        <w:t xml:space="preserve">See </w:t>
      </w:r>
      <w:r w:rsidRPr="00855C9D">
        <w:t xml:space="preserve">47 C.F.R. § 76.910(b)(4) (“Unless a franchising authority has actual knowledge to the contrary, the franchising authority may rely on the presumption in § 76.906 that the cable operator is not subject to effective competition.”).  The three other types of </w:t>
      </w:r>
      <w:r>
        <w:t>E</w:t>
      </w:r>
      <w:r w:rsidRPr="00855C9D">
        <w:t xml:space="preserve">ffective </w:t>
      </w:r>
      <w:r>
        <w:t>C</w:t>
      </w:r>
      <w:r w:rsidRPr="00855C9D">
        <w:t xml:space="preserve">ompetition could become relevant if a franchising authority rebuts a presumption of </w:t>
      </w:r>
      <w:r>
        <w:t>C</w:t>
      </w:r>
      <w:r w:rsidRPr="00855C9D">
        <w:t xml:space="preserve">ompeting </w:t>
      </w:r>
      <w:r>
        <w:t>P</w:t>
      </w:r>
      <w:r w:rsidRPr="00855C9D">
        <w:t xml:space="preserve">rovider </w:t>
      </w:r>
      <w:r>
        <w:t>E</w:t>
      </w:r>
      <w:r w:rsidRPr="00855C9D">
        <w:t xml:space="preserve">ffective </w:t>
      </w:r>
      <w:r>
        <w:t>C</w:t>
      </w:r>
      <w:r w:rsidRPr="00855C9D">
        <w:t xml:space="preserve">ompetition, and the cable operator seeks to demonstrate that a different type of </w:t>
      </w:r>
      <w:r>
        <w:t>E</w:t>
      </w:r>
      <w:r w:rsidRPr="00855C9D">
        <w:t xml:space="preserve">ffective </w:t>
      </w:r>
      <w:r>
        <w:t>C</w:t>
      </w:r>
      <w:r w:rsidRPr="00855C9D">
        <w:t>ompetition exists</w:t>
      </w:r>
      <w:r>
        <w:t xml:space="preserve"> and the franchising authority thus cannot regulate basic cable rates</w:t>
      </w:r>
      <w:r w:rsidRPr="00855C9D">
        <w:t>.</w:t>
      </w:r>
    </w:p>
  </w:footnote>
  <w:footnote w:id="93">
    <w:p w14:paraId="78C22B90" w14:textId="6A5A3E8A" w:rsidR="00B605A4" w:rsidRPr="00321FC5" w:rsidRDefault="00B605A4">
      <w:pPr>
        <w:pStyle w:val="FootnoteText"/>
      </w:pPr>
      <w:r>
        <w:rPr>
          <w:rStyle w:val="FootnoteReference"/>
        </w:rPr>
        <w:footnoteRef/>
      </w:r>
      <w:r>
        <w:t xml:space="preserve"> </w:t>
      </w:r>
      <w:r>
        <w:rPr>
          <w:i/>
        </w:rPr>
        <w:t xml:space="preserve">See id. </w:t>
      </w:r>
      <w:r>
        <w:t xml:space="preserve">§ 76.910(e).  The franchising authority may not, however, regulate a cable system’s rates unless it meets certain procedural requirements.  </w:t>
      </w:r>
      <w:r>
        <w:rPr>
          <w:i/>
        </w:rPr>
        <w:t xml:space="preserve">See </w:t>
      </w:r>
      <w:r w:rsidRPr="00321FC5">
        <w:rPr>
          <w:i/>
        </w:rPr>
        <w:t xml:space="preserve">id. </w:t>
      </w:r>
      <w:r w:rsidRPr="00321FC5">
        <w:t xml:space="preserve">(“Unless the Commission notifies the franchising authority otherwise, the certification will become effective 30 days after the date filed, </w:t>
      </w:r>
      <w:r w:rsidRPr="00321FC5">
        <w:rPr>
          <w:i/>
        </w:rPr>
        <w:t>provided, however</w:t>
      </w:r>
      <w:r w:rsidRPr="00321FC5">
        <w:t>, That the franchising authority may not regulate the rates of a cable system unless it: (1) Adopts regulations: (i) Consistent with the Commission’s regulations governing the basic tier; and (ii) Providing a reasonable opportunity for consideration of the views of interested parties, within 120 days of the effective date of certification; and (2) Notifies the cable operator that the authority has been certified and has adopted the regulations required by paragraph (e)(1) of this section.”).</w:t>
      </w:r>
      <w:r>
        <w:t xml:space="preserve">  </w:t>
      </w:r>
      <w:r>
        <w:rPr>
          <w:i/>
        </w:rPr>
        <w:t xml:space="preserve">See also </w:t>
      </w:r>
      <w:r>
        <w:t>47 U.S.C. § 543(a)(4).</w:t>
      </w:r>
    </w:p>
  </w:footnote>
  <w:footnote w:id="94">
    <w:p w14:paraId="409540B7" w14:textId="231E2B32" w:rsidR="00B605A4" w:rsidRPr="006E3212" w:rsidRDefault="00B605A4">
      <w:pPr>
        <w:pStyle w:val="FootnoteText"/>
      </w:pPr>
      <w:r>
        <w:rPr>
          <w:rStyle w:val="FootnoteReference"/>
        </w:rPr>
        <w:footnoteRef/>
      </w:r>
      <w:r>
        <w:t xml:space="preserve"> </w:t>
      </w:r>
      <w:r>
        <w:rPr>
          <w:i/>
        </w:rPr>
        <w:t>See id.</w:t>
      </w:r>
      <w:r>
        <w:t xml:space="preserve">  Given this statutory provision, we cannot grant ACA’s request that we provide cable operators with 30 days to oppose a revised Form 328 and franchising authorities with 15 days to respond, or that we automatically deny a </w:t>
      </w:r>
      <w:r w:rsidRPr="006E3212">
        <w:t xml:space="preserve">Form 328 not acted on within 180 days.  </w:t>
      </w:r>
      <w:r w:rsidRPr="006E3212">
        <w:rPr>
          <w:i/>
        </w:rPr>
        <w:t xml:space="preserve">See </w:t>
      </w:r>
      <w:r w:rsidRPr="006E3212">
        <w:t>ACA Comments at 12 and 14, n. 28.</w:t>
      </w:r>
    </w:p>
  </w:footnote>
  <w:footnote w:id="95">
    <w:p w14:paraId="76A8AB4D" w14:textId="1E7525DF" w:rsidR="00B605A4" w:rsidRPr="00F17BBA" w:rsidRDefault="00B605A4">
      <w:pPr>
        <w:pStyle w:val="FootnoteText"/>
      </w:pPr>
      <w:r w:rsidRPr="00F17BBA">
        <w:rPr>
          <w:rStyle w:val="FootnoteReference"/>
        </w:rPr>
        <w:footnoteRef/>
      </w:r>
      <w:r w:rsidRPr="00F17BBA">
        <w:t xml:space="preserve"> </w:t>
      </w:r>
      <w:r w:rsidRPr="00F17BBA">
        <w:rPr>
          <w:i/>
        </w:rPr>
        <w:t xml:space="preserve">See, e.g., </w:t>
      </w:r>
      <w:r w:rsidRPr="00DB5A7E">
        <w:rPr>
          <w:i/>
          <w:iCs/>
        </w:rPr>
        <w:t xml:space="preserve">Petition of the State of Ohio for Authority to Continue to Regulate Commercial Mobile Radio Services, </w:t>
      </w:r>
      <w:r w:rsidRPr="00DB5A7E">
        <w:t>Report and Order, 10 FCC Rcd 7842 (1995) (denying the Public Utilities Commission of Ohio’s petition to retain state regulatory authority over the rates of intrastate CMRS because it failed to satisfy the statutory standard established for extending state regulatory authority</w:t>
      </w:r>
      <w:r w:rsidRPr="006E3212">
        <w:t xml:space="preserve"> over CMRS rates)</w:t>
      </w:r>
      <w:r>
        <w:t xml:space="preserve">. </w:t>
      </w:r>
      <w:r w:rsidRPr="00DB5A7E">
        <w:t xml:space="preserve"> </w:t>
      </w:r>
      <w:r>
        <w:rPr>
          <w:i/>
        </w:rPr>
        <w:t>S</w:t>
      </w:r>
      <w:r w:rsidRPr="00DB5A7E">
        <w:rPr>
          <w:i/>
          <w:iCs/>
        </w:rPr>
        <w:t>ee also</w:t>
      </w:r>
      <w:r>
        <w:rPr>
          <w:i/>
          <w:iCs/>
        </w:rPr>
        <w:t xml:space="preserve"> </w:t>
      </w:r>
      <w:r w:rsidRPr="00DB5A7E">
        <w:rPr>
          <w:i/>
          <w:iCs/>
        </w:rPr>
        <w:t>Telecommunications Carriers Eligible for Universal Service Support,</w:t>
      </w:r>
      <w:r w:rsidRPr="00DB5A7E">
        <w:t xml:space="preserve"> </w:t>
      </w:r>
      <w:r>
        <w:t xml:space="preserve">Order, </w:t>
      </w:r>
      <w:r w:rsidRPr="00DB5A7E">
        <w:t>26 FCC Rcd 13788, 13797</w:t>
      </w:r>
      <w:r>
        <w:t>,</w:t>
      </w:r>
      <w:r w:rsidRPr="00DB5A7E">
        <w:t xml:space="preserve"> ¶ 21 (2011) (“Petitioners seeking forbearance bear the burden of proof and must show that each of the statutory elements of forbearance is met, and we need only find that petitioner has failed to meet one of the forbearance criteria to deny its petition</w:t>
      </w:r>
      <w:r w:rsidR="00162104">
        <w:t>.</w:t>
      </w:r>
      <w:r w:rsidRPr="00DB5A7E">
        <w:t>”)</w:t>
      </w:r>
      <w:r w:rsidR="00162104">
        <w:t xml:space="preserve"> (footnote omitted)</w:t>
      </w:r>
      <w:r w:rsidRPr="00DB5A7E">
        <w:t>.</w:t>
      </w:r>
      <w:r w:rsidRPr="006E3212" w:rsidDel="00F17BBA">
        <w:rPr>
          <w:b/>
        </w:rPr>
        <w:t xml:space="preserve"> </w:t>
      </w:r>
    </w:p>
  </w:footnote>
  <w:footnote w:id="96">
    <w:p w14:paraId="394F1762" w14:textId="59C9CD4F" w:rsidR="00B605A4" w:rsidRDefault="00B605A4">
      <w:pPr>
        <w:pStyle w:val="FootnoteText"/>
      </w:pPr>
      <w:r>
        <w:rPr>
          <w:rStyle w:val="FootnoteReference"/>
        </w:rPr>
        <w:footnoteRef/>
      </w:r>
      <w:r>
        <w:t xml:space="preserve"> ACA Comments at 13.</w:t>
      </w:r>
    </w:p>
  </w:footnote>
  <w:footnote w:id="97">
    <w:p w14:paraId="4D37A55D" w14:textId="7CECE4B9" w:rsidR="00B605A4" w:rsidRPr="002A7EE1" w:rsidRDefault="00B605A4">
      <w:pPr>
        <w:pStyle w:val="FootnoteText"/>
      </w:pPr>
      <w:r>
        <w:rPr>
          <w:rStyle w:val="FootnoteReference"/>
        </w:rPr>
        <w:footnoteRef/>
      </w:r>
      <w:r>
        <w:t xml:space="preserve"> NPRM, 30 FCC Rcd at 2572, ¶ 16.</w:t>
      </w:r>
    </w:p>
  </w:footnote>
  <w:footnote w:id="98">
    <w:p w14:paraId="0AE96D9B" w14:textId="1B23C1B9" w:rsidR="00B605A4" w:rsidRPr="00616FD5" w:rsidRDefault="00B605A4">
      <w:pPr>
        <w:pStyle w:val="FootnoteText"/>
      </w:pPr>
      <w:r>
        <w:rPr>
          <w:rStyle w:val="FootnoteReference"/>
        </w:rPr>
        <w:footnoteRef/>
      </w:r>
      <w:r>
        <w:t xml:space="preserve"> </w:t>
      </w:r>
      <w:r>
        <w:rPr>
          <w:i/>
        </w:rPr>
        <w:t>Id.</w:t>
      </w:r>
      <w:r>
        <w:t xml:space="preserve"> at 2572, ¶ 17.</w:t>
      </w:r>
    </w:p>
  </w:footnote>
  <w:footnote w:id="99">
    <w:p w14:paraId="5EFBDF1E" w14:textId="4D671880" w:rsidR="00B605A4" w:rsidRPr="00833574" w:rsidRDefault="00B605A4" w:rsidP="003B3D34">
      <w:pPr>
        <w:pStyle w:val="FootnoteText"/>
        <w:rPr>
          <w:highlight w:val="yellow"/>
        </w:rPr>
      </w:pPr>
      <w:r w:rsidRPr="00616FD5">
        <w:rPr>
          <w:rStyle w:val="FootnoteReference"/>
        </w:rPr>
        <w:footnoteRef/>
      </w:r>
      <w:r w:rsidRPr="00616FD5">
        <w:t xml:space="preserve"> 47 C.F.R. § 76.911.</w:t>
      </w:r>
      <w:r>
        <w:t xml:space="preserve">  We see no benefit to eliminating the distinctions between petitions for reconsideration, petitions for revocation, petitions for recertification, and petitions for a determination of Effective Competition, as ACA advocates.  </w:t>
      </w:r>
      <w:r>
        <w:rPr>
          <w:i/>
        </w:rPr>
        <w:t xml:space="preserve">See </w:t>
      </w:r>
      <w:r>
        <w:t>ACA Comments at 11.</w:t>
      </w:r>
    </w:p>
  </w:footnote>
  <w:footnote w:id="100">
    <w:p w14:paraId="6A5EA27E" w14:textId="15F73BC8" w:rsidR="00B605A4" w:rsidRPr="004B6845" w:rsidRDefault="00B605A4">
      <w:pPr>
        <w:pStyle w:val="FootnoteText"/>
      </w:pPr>
      <w:r>
        <w:rPr>
          <w:rStyle w:val="FootnoteReference"/>
        </w:rPr>
        <w:footnoteRef/>
      </w:r>
      <w:r>
        <w:t xml:space="preserve"> 47 C.F.R.</w:t>
      </w:r>
      <w:r>
        <w:rPr>
          <w:i/>
        </w:rPr>
        <w:t xml:space="preserve"> </w:t>
      </w:r>
      <w:r>
        <w:t>§</w:t>
      </w:r>
      <w:r w:rsidR="00F26856">
        <w:t xml:space="preserve">§ 1.106(f), </w:t>
      </w:r>
      <w:r>
        <w:t xml:space="preserve">76.911(a).  </w:t>
      </w:r>
      <w:r w:rsidR="00BE01AB">
        <w:t>Accordingly, the 30-day period for a cable operator to file its petition for reconsideration begins to run from the 30</w:t>
      </w:r>
      <w:r w:rsidR="00BE01AB" w:rsidRPr="00633BE6">
        <w:rPr>
          <w:vertAlign w:val="superscript"/>
        </w:rPr>
        <w:t>th</w:t>
      </w:r>
      <w:r w:rsidR="00BE01AB">
        <w:t xml:space="preserve"> day after the Form 328 is filed with the Commission.</w:t>
      </w:r>
      <w:r>
        <w:t xml:space="preserve">  </w:t>
      </w:r>
      <w:r w:rsidR="00F26856">
        <w:rPr>
          <w:i/>
        </w:rPr>
        <w:t>1993 Rate Order</w:t>
      </w:r>
      <w:r w:rsidR="00F26856">
        <w:t>, 8 FCC Rcd at 5693, ¶ 88.</w:t>
      </w:r>
      <w:r w:rsidR="00F26856">
        <w:rPr>
          <w:i/>
        </w:rPr>
        <w:t xml:space="preserve">  See also </w:t>
      </w:r>
      <w:r w:rsidR="00F26856">
        <w:t>47 C.F.R.</w:t>
      </w:r>
      <w:r w:rsidR="00F26856">
        <w:rPr>
          <w:i/>
        </w:rPr>
        <w:t xml:space="preserve"> </w:t>
      </w:r>
      <w:r w:rsidR="00F26856">
        <w:t>§ 1.106(f).</w:t>
      </w:r>
    </w:p>
  </w:footnote>
  <w:footnote w:id="101">
    <w:p w14:paraId="6F495B13" w14:textId="1C484329" w:rsidR="00B605A4" w:rsidRPr="00852FD6" w:rsidRDefault="00B605A4">
      <w:pPr>
        <w:pStyle w:val="FootnoteText"/>
      </w:pPr>
      <w:r>
        <w:rPr>
          <w:rStyle w:val="FootnoteReference"/>
        </w:rPr>
        <w:footnoteRef/>
      </w:r>
      <w:r>
        <w:t xml:space="preserve"> </w:t>
      </w:r>
      <w:r>
        <w:rPr>
          <w:i/>
        </w:rPr>
        <w:t>Id.</w:t>
      </w:r>
      <w:r>
        <w:t xml:space="preserve"> § 76.911(b).</w:t>
      </w:r>
    </w:p>
  </w:footnote>
  <w:footnote w:id="102">
    <w:p w14:paraId="7143C832" w14:textId="45CB84D0" w:rsidR="00B605A4" w:rsidRPr="00852FD6" w:rsidRDefault="00B605A4">
      <w:pPr>
        <w:pStyle w:val="FootnoteText"/>
      </w:pPr>
      <w:r>
        <w:rPr>
          <w:rStyle w:val="FootnoteReference"/>
        </w:rPr>
        <w:footnoteRef/>
      </w:r>
      <w:r>
        <w:t xml:space="preserve"> NPRM, 30 FCC Rcd at 2572, ¶ 17.</w:t>
      </w:r>
    </w:p>
  </w:footnote>
  <w:footnote w:id="103">
    <w:p w14:paraId="58C946FE" w14:textId="6A8AF993" w:rsidR="00B605A4" w:rsidRPr="00852FD6" w:rsidRDefault="00B605A4">
      <w:pPr>
        <w:pStyle w:val="FootnoteText"/>
      </w:pPr>
      <w:r w:rsidRPr="00852FD6">
        <w:rPr>
          <w:rStyle w:val="FootnoteReference"/>
        </w:rPr>
        <w:footnoteRef/>
      </w:r>
      <w:r w:rsidRPr="00852FD6">
        <w:t xml:space="preserve"> </w:t>
      </w:r>
      <w:r>
        <w:t>47 C.F.R.</w:t>
      </w:r>
      <w:r w:rsidRPr="00852FD6">
        <w:t xml:space="preserve"> § 76.907(c) (“If the evidence establishing effective competition is not otherwise available, cable operators may request from a competitor information regarding the competitor’s reach and number of subscribers.”)</w:t>
      </w:r>
      <w:r>
        <w:t>;</w:t>
      </w:r>
      <w:r w:rsidRPr="00852FD6">
        <w:t xml:space="preserve"> </w:t>
      </w:r>
      <w:r>
        <w:t xml:space="preserve">47 C.F.R. § </w:t>
      </w:r>
      <w:r w:rsidRPr="00852FD6">
        <w:t>76.911(a)(1) (applying that provision to the context of petitions for reconsideration of franchising authority certifications).</w:t>
      </w:r>
    </w:p>
  </w:footnote>
  <w:footnote w:id="104">
    <w:p w14:paraId="51955C97" w14:textId="1E5CCAAA" w:rsidR="00B605A4" w:rsidRPr="0008203E" w:rsidRDefault="00B605A4">
      <w:pPr>
        <w:pStyle w:val="FootnoteText"/>
      </w:pPr>
      <w:r>
        <w:rPr>
          <w:rStyle w:val="FootnoteReference"/>
        </w:rPr>
        <w:footnoteRef/>
      </w:r>
      <w:r>
        <w:t xml:space="preserve"> </w:t>
      </w:r>
      <w:r>
        <w:rPr>
          <w:i/>
        </w:rPr>
        <w:t xml:space="preserve">See </w:t>
      </w:r>
      <w:r>
        <w:t>Cablevision Reply at 8.</w:t>
      </w:r>
    </w:p>
  </w:footnote>
  <w:footnote w:id="105">
    <w:p w14:paraId="51F4E253" w14:textId="4B6570DE" w:rsidR="00B605A4" w:rsidRPr="001719EB" w:rsidRDefault="00B605A4">
      <w:pPr>
        <w:pStyle w:val="FootnoteText"/>
      </w:pPr>
      <w:r>
        <w:rPr>
          <w:rStyle w:val="FootnoteReference"/>
        </w:rPr>
        <w:footnoteRef/>
      </w:r>
      <w:r>
        <w:t xml:space="preserve"> </w:t>
      </w:r>
      <w:r>
        <w:rPr>
          <w:i/>
        </w:rPr>
        <w:t xml:space="preserve">See </w:t>
      </w:r>
      <w:r>
        <w:t xml:space="preserve">NAB </w:t>
      </w:r>
      <w:r>
        <w:rPr>
          <w:i/>
        </w:rPr>
        <w:t xml:space="preserve">et al. </w:t>
      </w:r>
      <w:r>
        <w:t xml:space="preserve">Apr. 16 </w:t>
      </w:r>
      <w:r>
        <w:rPr>
          <w:i/>
        </w:rPr>
        <w:t xml:space="preserve">Ex Parte </w:t>
      </w:r>
      <w:r>
        <w:t xml:space="preserve">Letter at 2; NATOA Apr. 17 </w:t>
      </w:r>
      <w:r>
        <w:rPr>
          <w:i/>
        </w:rPr>
        <w:t xml:space="preserve">Ex Parte </w:t>
      </w:r>
      <w:r>
        <w:t>Letter at 1; 47 C.F.R. § 0.61(j) (directing the Media Bureau to “[e]xercise authority to issue non-hearing related subpoenas for the attendance and testimony of witnesses and the production of books, papers, correspondence, memoranda, schedules of charges, contracts, agreements, and any other records deemed relevant to the investigation of matters within the jurisdiction of the Media Bureau.”).</w:t>
      </w:r>
    </w:p>
  </w:footnote>
  <w:footnote w:id="106">
    <w:p w14:paraId="72127343" w14:textId="77777777" w:rsidR="00B605A4" w:rsidRPr="0008203E" w:rsidRDefault="00B605A4" w:rsidP="00633F8E">
      <w:pPr>
        <w:pStyle w:val="FootnoteText"/>
      </w:pPr>
      <w:r>
        <w:rPr>
          <w:rStyle w:val="FootnoteReference"/>
        </w:rPr>
        <w:footnoteRef/>
      </w:r>
      <w:r>
        <w:t xml:space="preserve"> </w:t>
      </w:r>
      <w:r>
        <w:rPr>
          <w:i/>
        </w:rPr>
        <w:t xml:space="preserve">See </w:t>
      </w:r>
      <w:r>
        <w:t>ACA Reply at 16.</w:t>
      </w:r>
    </w:p>
  </w:footnote>
  <w:footnote w:id="107">
    <w:p w14:paraId="75277DCE" w14:textId="66206669" w:rsidR="00B605A4" w:rsidRPr="00C304FC" w:rsidRDefault="00B605A4">
      <w:pPr>
        <w:pStyle w:val="FootnoteText"/>
      </w:pPr>
      <w:r>
        <w:rPr>
          <w:rStyle w:val="FootnoteReference"/>
        </w:rPr>
        <w:footnoteRef/>
      </w:r>
      <w:r>
        <w:t xml:space="preserve"> 47 C.F.R. § 76.907.</w:t>
      </w:r>
    </w:p>
  </w:footnote>
  <w:footnote w:id="108">
    <w:p w14:paraId="1EF21DA7" w14:textId="65F84F47" w:rsidR="00B605A4" w:rsidRDefault="00B605A4">
      <w:pPr>
        <w:pStyle w:val="FootnoteText"/>
      </w:pPr>
      <w:r>
        <w:rPr>
          <w:rStyle w:val="FootnoteReference"/>
        </w:rPr>
        <w:footnoteRef/>
      </w:r>
      <w:r>
        <w:t xml:space="preserve"> ACA Comments at 12-13.</w:t>
      </w:r>
    </w:p>
  </w:footnote>
  <w:footnote w:id="109">
    <w:p w14:paraId="484A060D" w14:textId="23C58DBD" w:rsidR="00B605A4" w:rsidRPr="00DC7D29" w:rsidRDefault="00B605A4">
      <w:pPr>
        <w:pStyle w:val="FootnoteText"/>
      </w:pPr>
      <w:r>
        <w:rPr>
          <w:rStyle w:val="FootnoteReference"/>
        </w:rPr>
        <w:footnoteRef/>
      </w:r>
      <w:r>
        <w:t xml:space="preserve"> Thus, it would be inappropriate to automatically grant cable operator petitions for decertification that are not acted on within a certain timeframe, as ACA suggests, given that the franchising authority would have previously put forth evidence of a lack of Competing Provider Effective Competition in order to become certified in the first place.  </w:t>
      </w:r>
      <w:r>
        <w:rPr>
          <w:i/>
        </w:rPr>
        <w:t xml:space="preserve">See id. </w:t>
      </w:r>
      <w:r>
        <w:t>at 14, n. 28.</w:t>
      </w:r>
    </w:p>
  </w:footnote>
  <w:footnote w:id="110">
    <w:p w14:paraId="2F5B8B14" w14:textId="2BB2F8A7" w:rsidR="00B605A4" w:rsidRPr="00436353" w:rsidRDefault="00B605A4">
      <w:pPr>
        <w:pStyle w:val="FootnoteText"/>
      </w:pPr>
      <w:r>
        <w:rPr>
          <w:rStyle w:val="FootnoteReference"/>
        </w:rPr>
        <w:footnoteRef/>
      </w:r>
      <w:r>
        <w:t xml:space="preserve"> </w:t>
      </w:r>
      <w:r>
        <w:rPr>
          <w:i/>
        </w:rPr>
        <w:t>See id.</w:t>
      </w:r>
      <w:r>
        <w:t xml:space="preserve"> at 12; NCTA Comments at 8-9; Cablevision Reply at 6.</w:t>
      </w:r>
    </w:p>
  </w:footnote>
  <w:footnote w:id="111">
    <w:p w14:paraId="7A2BC7FF" w14:textId="6AE6627F" w:rsidR="00B605A4" w:rsidRPr="00A4206F" w:rsidRDefault="00B605A4">
      <w:pPr>
        <w:pStyle w:val="FootnoteText"/>
      </w:pPr>
      <w:r>
        <w:rPr>
          <w:rStyle w:val="FootnoteReference"/>
        </w:rPr>
        <w:footnoteRef/>
      </w:r>
      <w:r>
        <w:t xml:space="preserve"> </w:t>
      </w:r>
      <w:r>
        <w:rPr>
          <w:i/>
        </w:rPr>
        <w:t xml:space="preserve">See </w:t>
      </w:r>
      <w:r>
        <w:t>ITTA Comments at 6</w:t>
      </w:r>
      <w:r w:rsidR="00324984">
        <w:t>.  ACA also argues that the benefits will flow through to consumers.</w:t>
      </w:r>
      <w:r>
        <w:t xml:space="preserve"> </w:t>
      </w:r>
      <w:r w:rsidR="00324984">
        <w:t xml:space="preserve"> </w:t>
      </w:r>
      <w:r w:rsidR="00324984">
        <w:rPr>
          <w:i/>
        </w:rPr>
        <w:t xml:space="preserve">See </w:t>
      </w:r>
      <w:r>
        <w:t>Letter from Seth A. Davidson, Counsel for American Cable Association, to Marlene H. Dortch, Secretary, FCC, at 1-2 (May 28, 2015).</w:t>
      </w:r>
    </w:p>
  </w:footnote>
  <w:footnote w:id="112">
    <w:p w14:paraId="48C5A2E7" w14:textId="4743B63E" w:rsidR="00B605A4" w:rsidRPr="00380FEB" w:rsidRDefault="00B605A4">
      <w:pPr>
        <w:pStyle w:val="FootnoteText"/>
      </w:pPr>
      <w:r>
        <w:rPr>
          <w:rStyle w:val="FootnoteReference"/>
        </w:rPr>
        <w:footnoteRef/>
      </w:r>
      <w:r>
        <w:t xml:space="preserve"> </w:t>
      </w:r>
      <w:r>
        <w:rPr>
          <w:i/>
        </w:rPr>
        <w:t xml:space="preserve">See supra </w:t>
      </w:r>
      <w:r>
        <w:t>Section II.</w:t>
      </w:r>
    </w:p>
  </w:footnote>
  <w:footnote w:id="113">
    <w:p w14:paraId="0F79C69C" w14:textId="7EF8C1A6" w:rsidR="00B605A4" w:rsidRPr="00213A24" w:rsidRDefault="00B605A4" w:rsidP="00A76231">
      <w:pPr>
        <w:pStyle w:val="FootnoteText"/>
      </w:pPr>
      <w:r>
        <w:rPr>
          <w:rStyle w:val="FootnoteReference"/>
        </w:rPr>
        <w:footnoteRef/>
      </w:r>
      <w:r>
        <w:t xml:space="preserve"> </w:t>
      </w:r>
      <w:r>
        <w:rPr>
          <w:i/>
        </w:rPr>
        <w:t xml:space="preserve">See </w:t>
      </w:r>
      <w:r>
        <w:t xml:space="preserve">NCTA Comments at 4; ACA Reply at 4; NCTA Reply at 4, 11.  ACA estimates that, for a cable system serving a single community of 2,650 households, the total cost of seeking an Effective Competition determination would be approximately $5,400 ($300 for zip code data, $677 for competing provider subscribership data, $1,465 for the FCC filing fee, and $3,000 in legal fees) assuming the cable operator does not file a reply.  </w:t>
      </w:r>
      <w:r>
        <w:rPr>
          <w:i/>
        </w:rPr>
        <w:t xml:space="preserve">See </w:t>
      </w:r>
      <w:r>
        <w:t xml:space="preserve">ACA Apr. 22 </w:t>
      </w:r>
      <w:r>
        <w:rPr>
          <w:i/>
        </w:rPr>
        <w:t xml:space="preserve">Ex Parte </w:t>
      </w:r>
      <w:r>
        <w:t xml:space="preserve">Letter at 2-3.  Some other commenters, however, claim, without convincing supporting evidence, that rebutting the current presumption is not overly burdensome for cable operators.  </w:t>
      </w:r>
      <w:r>
        <w:rPr>
          <w:i/>
        </w:rPr>
        <w:t xml:space="preserve">See </w:t>
      </w:r>
      <w:r>
        <w:t>MDTC Comments at 8; NAB Comments at 17; NJ Rate Counsel Comments at 3.  We disagree and find that the costs of the current process are significant, especially for smaller cable operators.</w:t>
      </w:r>
    </w:p>
  </w:footnote>
  <w:footnote w:id="114">
    <w:p w14:paraId="4DC50718" w14:textId="77777777" w:rsidR="00B605A4" w:rsidRPr="00213A24" w:rsidRDefault="00B605A4" w:rsidP="00A76231">
      <w:pPr>
        <w:pStyle w:val="FootnoteText"/>
      </w:pPr>
      <w:r>
        <w:rPr>
          <w:rStyle w:val="FootnoteReference"/>
        </w:rPr>
        <w:footnoteRef/>
      </w:r>
      <w:r>
        <w:t xml:space="preserve"> </w:t>
      </w:r>
      <w:r>
        <w:rPr>
          <w:i/>
        </w:rPr>
        <w:t xml:space="preserve">See supra </w:t>
      </w:r>
      <w:r>
        <w:t>Section II; Cablevision Reply at 2.</w:t>
      </w:r>
    </w:p>
  </w:footnote>
  <w:footnote w:id="115">
    <w:p w14:paraId="7D352001" w14:textId="46555B97" w:rsidR="00B605A4" w:rsidRPr="00BC5058" w:rsidRDefault="00B605A4">
      <w:pPr>
        <w:pStyle w:val="FootnoteText"/>
        <w:rPr>
          <w:i/>
        </w:rPr>
      </w:pPr>
      <w:r>
        <w:rPr>
          <w:rStyle w:val="FootnoteReference"/>
        </w:rPr>
        <w:footnoteRef/>
      </w:r>
      <w:r>
        <w:t xml:space="preserve"> </w:t>
      </w:r>
      <w:r>
        <w:rPr>
          <w:i/>
        </w:rPr>
        <w:t xml:space="preserve">See </w:t>
      </w:r>
      <w:r>
        <w:t xml:space="preserve">ACA Apr. 22 </w:t>
      </w:r>
      <w:r>
        <w:rPr>
          <w:i/>
        </w:rPr>
        <w:t xml:space="preserve">Ex Parte </w:t>
      </w:r>
      <w:r>
        <w:t>Letter at 3, n. 7.</w:t>
      </w:r>
    </w:p>
  </w:footnote>
  <w:footnote w:id="116">
    <w:p w14:paraId="33D530A6" w14:textId="192F3D23" w:rsidR="00B605A4" w:rsidRDefault="00B605A4">
      <w:pPr>
        <w:pStyle w:val="FootnoteText"/>
      </w:pPr>
      <w:r>
        <w:rPr>
          <w:rStyle w:val="FootnoteReference"/>
        </w:rPr>
        <w:footnoteRef/>
      </w:r>
      <w:r>
        <w:t xml:space="preserve"> NAB Comments at 16-17.</w:t>
      </w:r>
    </w:p>
  </w:footnote>
  <w:footnote w:id="117">
    <w:p w14:paraId="1AADF4F2" w14:textId="77777777" w:rsidR="00B605A4" w:rsidRPr="00213A24" w:rsidRDefault="00B605A4" w:rsidP="00A76231">
      <w:pPr>
        <w:pStyle w:val="FootnoteText"/>
        <w:rPr>
          <w:i/>
        </w:rPr>
      </w:pPr>
      <w:r>
        <w:rPr>
          <w:rStyle w:val="FootnoteReference"/>
        </w:rPr>
        <w:footnoteRef/>
      </w:r>
      <w:r>
        <w:t xml:space="preserve"> </w:t>
      </w:r>
      <w:r>
        <w:rPr>
          <w:i/>
        </w:rPr>
        <w:t xml:space="preserve">See </w:t>
      </w:r>
      <w:r>
        <w:t>MDTC Comments at 10; MDTC Reply at 5; NJ OCTV Reply at 4.</w:t>
      </w:r>
    </w:p>
  </w:footnote>
  <w:footnote w:id="118">
    <w:p w14:paraId="0C7B6FFE" w14:textId="39ABCCE4" w:rsidR="00B605A4" w:rsidRPr="00A76231" w:rsidRDefault="00B605A4">
      <w:pPr>
        <w:pStyle w:val="FootnoteText"/>
      </w:pPr>
      <w:r>
        <w:rPr>
          <w:rStyle w:val="FootnoteReference"/>
        </w:rPr>
        <w:footnoteRef/>
      </w:r>
      <w:r>
        <w:t xml:space="preserve"> </w:t>
      </w:r>
      <w:r>
        <w:rPr>
          <w:i/>
        </w:rPr>
        <w:t xml:space="preserve">See </w:t>
      </w:r>
      <w:r>
        <w:t>ITTA Comments at 6; Cablevision Reply at 2-3.</w:t>
      </w:r>
    </w:p>
  </w:footnote>
  <w:footnote w:id="119">
    <w:p w14:paraId="33F2715A" w14:textId="65E2D92D" w:rsidR="00B605A4" w:rsidRPr="00A76231" w:rsidRDefault="00B605A4">
      <w:pPr>
        <w:pStyle w:val="FootnoteText"/>
      </w:pPr>
      <w:r>
        <w:rPr>
          <w:rStyle w:val="FootnoteReference"/>
        </w:rPr>
        <w:footnoteRef/>
      </w:r>
      <w:r>
        <w:t xml:space="preserve"> </w:t>
      </w:r>
      <w:r>
        <w:rPr>
          <w:i/>
        </w:rPr>
        <w:t xml:space="preserve">See </w:t>
      </w:r>
      <w:r>
        <w:t>MDTC Comments at 9; NATOA Reply at 5.</w:t>
      </w:r>
    </w:p>
  </w:footnote>
  <w:footnote w:id="120">
    <w:p w14:paraId="1BE70938" w14:textId="0BF9F763" w:rsidR="00B605A4" w:rsidRPr="00A76231" w:rsidRDefault="00B605A4">
      <w:pPr>
        <w:pStyle w:val="FootnoteText"/>
      </w:pPr>
      <w:r>
        <w:rPr>
          <w:rStyle w:val="FootnoteReference"/>
        </w:rPr>
        <w:footnoteRef/>
      </w:r>
      <w:r>
        <w:t xml:space="preserve"> NCTA Reply at 6, n. 24.</w:t>
      </w:r>
    </w:p>
  </w:footnote>
  <w:footnote w:id="121">
    <w:p w14:paraId="754B74B3" w14:textId="331850DD" w:rsidR="00B605A4" w:rsidRPr="00261F73" w:rsidRDefault="00B605A4">
      <w:pPr>
        <w:pStyle w:val="FootnoteText"/>
        <w:rPr>
          <w:i/>
        </w:rPr>
      </w:pPr>
      <w:r>
        <w:rPr>
          <w:rStyle w:val="FootnoteReference"/>
        </w:rPr>
        <w:footnoteRef/>
      </w:r>
      <w:r>
        <w:t xml:space="preserve"> </w:t>
      </w:r>
      <w:r>
        <w:rPr>
          <w:i/>
        </w:rPr>
        <w:t xml:space="preserve">See </w:t>
      </w:r>
      <w:r>
        <w:t xml:space="preserve">MDTC Comments at 9, n. 32 and 10; NJ Rate Counsel Comments at 2-3; MDTC Reply at 4-5; NAB Reply at 14; NJ OCTV Reply at 2-4; Media Alliance/Greenlining Institute May 7 </w:t>
      </w:r>
      <w:r>
        <w:rPr>
          <w:i/>
        </w:rPr>
        <w:t xml:space="preserve">Ex Parte </w:t>
      </w:r>
      <w:r>
        <w:t>Letter at 2; Letter from Linda Sherry, Director, National Priorities, Consumer Action, to Marlene H. Dortch, Secretary, FCC, at 1 (May 8, 2015); IAC Recommendation at 5.</w:t>
      </w:r>
    </w:p>
  </w:footnote>
  <w:footnote w:id="122">
    <w:p w14:paraId="49DFD2F3" w14:textId="75DAC8E7" w:rsidR="00B605A4" w:rsidRPr="005726F3" w:rsidRDefault="00B605A4">
      <w:pPr>
        <w:pStyle w:val="FootnoteText"/>
      </w:pPr>
      <w:r>
        <w:rPr>
          <w:rStyle w:val="FootnoteReference"/>
        </w:rPr>
        <w:footnoteRef/>
      </w:r>
      <w:r>
        <w:t xml:space="preserve"> </w:t>
      </w:r>
      <w:r>
        <w:rPr>
          <w:i/>
        </w:rPr>
        <w:t xml:space="preserve">See supra </w:t>
      </w:r>
      <w:r>
        <w:t>Section III.A.</w:t>
      </w:r>
    </w:p>
  </w:footnote>
  <w:footnote w:id="123">
    <w:p w14:paraId="6088A433" w14:textId="08348415" w:rsidR="00B605A4" w:rsidRPr="005D2AB6" w:rsidRDefault="00B605A4">
      <w:pPr>
        <w:pStyle w:val="FootnoteText"/>
      </w:pPr>
      <w:r>
        <w:rPr>
          <w:rStyle w:val="FootnoteReference"/>
        </w:rPr>
        <w:footnoteRef/>
      </w:r>
      <w:r>
        <w:t xml:space="preserve"> </w:t>
      </w:r>
      <w:r>
        <w:rPr>
          <w:i/>
        </w:rPr>
        <w:t>1993 Rate Order</w:t>
      </w:r>
      <w:r>
        <w:t xml:space="preserve">, 8 FCC Rcd at 5668, ¶ 41.  </w:t>
      </w:r>
      <w:r>
        <w:rPr>
          <w:i/>
        </w:rPr>
        <w:t xml:space="preserve">See also </w:t>
      </w:r>
      <w:r>
        <w:t>MDTC Comments at 10; NAB Comments at 18; NJ Rate Counsel Comments at 2-3; NAB Reply at 13-14; NJ OCTV Reply at 3.</w:t>
      </w:r>
    </w:p>
  </w:footnote>
  <w:footnote w:id="124">
    <w:p w14:paraId="393911F7" w14:textId="0F9446D7" w:rsidR="00B605A4" w:rsidRDefault="00B605A4">
      <w:pPr>
        <w:pStyle w:val="FootnoteText"/>
      </w:pPr>
      <w:r>
        <w:rPr>
          <w:rStyle w:val="FootnoteReference"/>
        </w:rPr>
        <w:footnoteRef/>
      </w:r>
      <w:r>
        <w:t xml:space="preserve"> </w:t>
      </w:r>
      <w:r>
        <w:rPr>
          <w:i/>
        </w:rPr>
        <w:t xml:space="preserve">See supra </w:t>
      </w:r>
      <w:r>
        <w:t>¶ 7 (stating that f</w:t>
      </w:r>
      <w:r w:rsidRPr="0097673F">
        <w:rPr>
          <w:szCs w:val="22"/>
        </w:rPr>
        <w:t>ranchising author</w:t>
      </w:r>
      <w:r>
        <w:rPr>
          <w:szCs w:val="22"/>
        </w:rPr>
        <w:t>ities filed oppositions to fewer than 8</w:t>
      </w:r>
      <w:r w:rsidRPr="0097673F">
        <w:rPr>
          <w:szCs w:val="22"/>
        </w:rPr>
        <w:t xml:space="preserve"> percent of the </w:t>
      </w:r>
      <w:r>
        <w:rPr>
          <w:szCs w:val="22"/>
        </w:rPr>
        <w:t>Effective Competition petitions considered since the start of 2013).</w:t>
      </w:r>
    </w:p>
  </w:footnote>
  <w:footnote w:id="125">
    <w:p w14:paraId="56B9E7E5" w14:textId="40A9EA8F" w:rsidR="00B605A4" w:rsidRPr="0008203E" w:rsidRDefault="00B605A4">
      <w:pPr>
        <w:pStyle w:val="FootnoteText"/>
      </w:pPr>
      <w:r>
        <w:rPr>
          <w:rStyle w:val="FootnoteReference"/>
        </w:rPr>
        <w:footnoteRef/>
      </w:r>
      <w:r>
        <w:t xml:space="preserve"> </w:t>
      </w:r>
      <w:r>
        <w:rPr>
          <w:i/>
        </w:rPr>
        <w:t xml:space="preserve">See supra </w:t>
      </w:r>
      <w:r>
        <w:t>¶ 22.</w:t>
      </w:r>
    </w:p>
  </w:footnote>
  <w:footnote w:id="126">
    <w:p w14:paraId="2AD640C2" w14:textId="6E3F2B9D" w:rsidR="00B605A4" w:rsidRDefault="00B605A4">
      <w:pPr>
        <w:pStyle w:val="FootnoteText"/>
      </w:pPr>
      <w:r>
        <w:rPr>
          <w:rStyle w:val="FootnoteReference"/>
        </w:rPr>
        <w:footnoteRef/>
      </w:r>
      <w:r>
        <w:t xml:space="preserve"> ACA Apr. 22 </w:t>
      </w:r>
      <w:r>
        <w:rPr>
          <w:i/>
        </w:rPr>
        <w:t xml:space="preserve">Ex Parte </w:t>
      </w:r>
      <w:r>
        <w:t>Letter at 2.</w:t>
      </w:r>
    </w:p>
  </w:footnote>
  <w:footnote w:id="127">
    <w:p w14:paraId="752D0ED0" w14:textId="19725056" w:rsidR="00B605A4" w:rsidRDefault="00B605A4">
      <w:pPr>
        <w:pStyle w:val="FootnoteText"/>
      </w:pPr>
      <w:r>
        <w:rPr>
          <w:rStyle w:val="FootnoteReference"/>
        </w:rPr>
        <w:footnoteRef/>
      </w:r>
      <w:r>
        <w:t xml:space="preserve"> </w:t>
      </w:r>
      <w:r>
        <w:rPr>
          <w:i/>
        </w:rPr>
        <w:t xml:space="preserve">See </w:t>
      </w:r>
      <w:r w:rsidR="006D6B12">
        <w:rPr>
          <w:i/>
        </w:rPr>
        <w:t>id.</w:t>
      </w:r>
      <w:r>
        <w:t xml:space="preserve"> at 4 (stating in the context of the current system that, to the extent franchising authorities are deterred from filing oppositions to Effective Competition petitions due to the cost involved, the Commission could waive the filing fee or require DBS providers to provide subscribership data to franchising authorities at no cost).  We clarify there is not a filing fee associated with Form 328.  </w:t>
      </w:r>
      <w:r>
        <w:rPr>
          <w:i/>
        </w:rPr>
        <w:t xml:space="preserve">See also supra </w:t>
      </w:r>
      <w:r>
        <w:t>¶ 22 (discussing charges from third-party MVPDs or their agents for access to subscribership data).</w:t>
      </w:r>
    </w:p>
  </w:footnote>
  <w:footnote w:id="128">
    <w:p w14:paraId="6C2CAE50" w14:textId="1837E04C" w:rsidR="00B605A4" w:rsidRPr="0017649E" w:rsidRDefault="00B605A4">
      <w:pPr>
        <w:pStyle w:val="FootnoteText"/>
        <w:rPr>
          <w:i/>
        </w:rPr>
      </w:pPr>
      <w:r>
        <w:rPr>
          <w:rStyle w:val="FootnoteReference"/>
        </w:rPr>
        <w:footnoteRef/>
      </w:r>
      <w:r>
        <w:t xml:space="preserve"> ACA and NCTA support a comparable procedure.  </w:t>
      </w:r>
      <w:r>
        <w:rPr>
          <w:i/>
        </w:rPr>
        <w:t xml:space="preserve">See </w:t>
      </w:r>
      <w:r>
        <w:t xml:space="preserve">ACA Comments at 13-14; NCTA Comments at 9.  </w:t>
      </w:r>
      <w:r>
        <w:rPr>
          <w:i/>
        </w:rPr>
        <w:t xml:space="preserve">See also </w:t>
      </w:r>
      <w:r>
        <w:t xml:space="preserve">Cablevision Reply at 6.  ACA claims that with regard to small cable operators the procedure should only apply to “active” franchising authorities, meaning those that have adopted a rate order in the previous 12 months.  </w:t>
      </w:r>
      <w:r>
        <w:rPr>
          <w:i/>
        </w:rPr>
        <w:t xml:space="preserve">See </w:t>
      </w:r>
      <w:r>
        <w:t xml:space="preserve">ACA Reply at 9.  We find that such a limitation would be difficult for the Commission to administer and would not provide an offsetting benefit to small cable operators.  We find further that the approach adopted here is preferable to the approach advocated by some commenters, in which all previously adjudicated Effective Competition decisions would remain valid until either the franchising authority or the cable operator affirmatively demonstrates a change.  </w:t>
      </w:r>
      <w:r>
        <w:rPr>
          <w:i/>
        </w:rPr>
        <w:t xml:space="preserve">See </w:t>
      </w:r>
      <w:r>
        <w:t xml:space="preserve">NCTA Comments at 8; NCTA Reply at 5, n. 18.  The approach adopted here will enable us to ensure more promptly that franchising authority certifications correspond to the current marketplace. </w:t>
      </w:r>
    </w:p>
  </w:footnote>
  <w:footnote w:id="129">
    <w:p w14:paraId="404DF157" w14:textId="0F81818D" w:rsidR="00B605A4" w:rsidRPr="005B648A" w:rsidRDefault="00B605A4">
      <w:pPr>
        <w:pStyle w:val="FootnoteText"/>
      </w:pPr>
      <w:r>
        <w:rPr>
          <w:rStyle w:val="FootnoteReference"/>
        </w:rPr>
        <w:footnoteRef/>
      </w:r>
      <w:r>
        <w:t xml:space="preserve"> We recognize that, while the franchising authority remains certified, it is possible that the Commission’s rate regulation rules may require a rate filing in the normal course of business.  </w:t>
      </w:r>
      <w:r>
        <w:rPr>
          <w:i/>
        </w:rPr>
        <w:t xml:space="preserve">See </w:t>
      </w:r>
      <w:r>
        <w:t>Cablevision Reply at 6-7.  Unless the franchising authority and cable operator reach an agreement to the contrary, the cable operator should continue to make any such required filing.</w:t>
      </w:r>
    </w:p>
  </w:footnote>
  <w:footnote w:id="130">
    <w:p w14:paraId="4203AEFC" w14:textId="078D3A06" w:rsidR="00B605A4" w:rsidRPr="003C2236" w:rsidRDefault="00B605A4">
      <w:pPr>
        <w:pStyle w:val="FootnoteText"/>
      </w:pPr>
      <w:r>
        <w:rPr>
          <w:rStyle w:val="FootnoteReference"/>
        </w:rPr>
        <w:footnoteRef/>
      </w:r>
      <w:r>
        <w:t xml:space="preserve"> </w:t>
      </w:r>
      <w:r>
        <w:rPr>
          <w:i/>
        </w:rPr>
        <w:t xml:space="preserve">See </w:t>
      </w:r>
      <w:r>
        <w:t>47 U.S.C. § 543(a)(2); NAB Comments at 2, 7-21; Consumer Advocates Reply at 3; NAB Reply at 3-9.</w:t>
      </w:r>
    </w:p>
  </w:footnote>
  <w:footnote w:id="131">
    <w:p w14:paraId="12934974" w14:textId="32A491C3" w:rsidR="00B605A4" w:rsidRDefault="00B605A4">
      <w:pPr>
        <w:pStyle w:val="FootnoteText"/>
      </w:pPr>
      <w:r>
        <w:rPr>
          <w:rStyle w:val="FootnoteReference"/>
        </w:rPr>
        <w:footnoteRef/>
      </w:r>
      <w:r>
        <w:t xml:space="preserve"> NPRM, 30 FCC Rcd at 2571, ¶ 15.</w:t>
      </w:r>
    </w:p>
  </w:footnote>
  <w:footnote w:id="132">
    <w:p w14:paraId="2499C20E" w14:textId="0FCF78E3" w:rsidR="00B605A4" w:rsidRPr="000F5271" w:rsidRDefault="00B605A4">
      <w:pPr>
        <w:pStyle w:val="FootnoteText"/>
      </w:pPr>
      <w:r>
        <w:rPr>
          <w:rStyle w:val="FootnoteReference"/>
        </w:rPr>
        <w:footnoteRef/>
      </w:r>
      <w:r>
        <w:t xml:space="preserve"> </w:t>
      </w:r>
      <w:r>
        <w:rPr>
          <w:i/>
        </w:rPr>
        <w:t xml:space="preserve">See </w:t>
      </w:r>
      <w:r>
        <w:t xml:space="preserve">ACA Comments at 13-14; NCTA Comments at 9.  Accordingly, a currently certified franchising authority that wishes to remain certified and to make use of its basic service tier rate regulation authority may do so pursuant to these procedures.  </w:t>
      </w:r>
      <w:r>
        <w:rPr>
          <w:i/>
        </w:rPr>
        <w:t xml:space="preserve">See </w:t>
      </w:r>
      <w:r>
        <w:t xml:space="preserve">NDC4 May 14 </w:t>
      </w:r>
      <w:r>
        <w:rPr>
          <w:i/>
        </w:rPr>
        <w:t xml:space="preserve">Ex Parte </w:t>
      </w:r>
      <w:r>
        <w:t xml:space="preserve">Letter at 1.  </w:t>
      </w:r>
      <w:r w:rsidRPr="00B04D8C">
        <w:t>The franchising authority’s ability to regulate rates, however, would be automatically stayed if the filing of revised Form 328 impels the cable operator to fi</w:t>
      </w:r>
      <w:r w:rsidRPr="00374D33">
        <w:t>le a petition for reconsideration of certification</w:t>
      </w:r>
      <w:r>
        <w:t xml:space="preserve"> alleging the presence of Effective Competition</w:t>
      </w:r>
      <w:r w:rsidRPr="00374D33">
        <w:t>.</w:t>
      </w:r>
      <w:r>
        <w:t xml:space="preserve">  </w:t>
      </w:r>
      <w:r>
        <w:rPr>
          <w:i/>
        </w:rPr>
        <w:t xml:space="preserve">See </w:t>
      </w:r>
      <w:r>
        <w:t xml:space="preserve">47 C.F.R. § 76.911(b)(1) (“The filing of a petition for reconsideration . . . will automatically stay the imposition of rate regulation pending the outcome of the reconsideration proceeding.”).  </w:t>
      </w:r>
      <w:r>
        <w:rPr>
          <w:i/>
        </w:rPr>
        <w:t xml:space="preserve">See also </w:t>
      </w:r>
      <w:r>
        <w:t>Cablevision Reply at 7.  The Media Bureau will promptly dismiss cable operator petitions for reconsideration that do not rebut a franchising authority’s demonstration that Competing Provider Effective Competition is not present in the franchise area.</w:t>
      </w:r>
    </w:p>
  </w:footnote>
  <w:footnote w:id="133">
    <w:p w14:paraId="156F59EF" w14:textId="2B57C658" w:rsidR="00B605A4" w:rsidRPr="00362483" w:rsidRDefault="00B605A4">
      <w:pPr>
        <w:pStyle w:val="FootnoteText"/>
      </w:pPr>
      <w:r>
        <w:rPr>
          <w:rStyle w:val="FootnoteReference"/>
        </w:rPr>
        <w:footnoteRef/>
      </w:r>
      <w:r>
        <w:t xml:space="preserve"> </w:t>
      </w:r>
      <w:r>
        <w:rPr>
          <w:i/>
        </w:rPr>
        <w:t xml:space="preserve">See </w:t>
      </w:r>
      <w:r>
        <w:t>ACA Comments at 14.</w:t>
      </w:r>
    </w:p>
  </w:footnote>
  <w:footnote w:id="134">
    <w:p w14:paraId="1F64B343" w14:textId="6912DC98" w:rsidR="00B605A4" w:rsidRPr="00070998" w:rsidRDefault="00B605A4">
      <w:pPr>
        <w:pStyle w:val="FootnoteText"/>
      </w:pPr>
      <w:r>
        <w:rPr>
          <w:rStyle w:val="FootnoteReference"/>
        </w:rPr>
        <w:footnoteRef/>
      </w:r>
      <w:r>
        <w:t xml:space="preserve"> 47 U.S.C. § 543(a)(4); </w:t>
      </w:r>
      <w:r>
        <w:rPr>
          <w:i/>
        </w:rPr>
        <w:t xml:space="preserve">supra </w:t>
      </w:r>
      <w:r>
        <w:t>Section III.C.</w:t>
      </w:r>
    </w:p>
  </w:footnote>
  <w:footnote w:id="135">
    <w:p w14:paraId="66BF7D0F" w14:textId="47AB18B2" w:rsidR="00B605A4" w:rsidRDefault="00B605A4">
      <w:pPr>
        <w:pStyle w:val="FootnoteText"/>
      </w:pPr>
      <w:r>
        <w:rPr>
          <w:rStyle w:val="FootnoteReference"/>
        </w:rPr>
        <w:footnoteRef/>
      </w:r>
      <w:r>
        <w:t xml:space="preserve"> Prior to the effective date of the rules adopted herein, we note that the Media Bureau has authority to continue processing pending petitions for a determination of Effective Competition, petitions for reconsideration of certification, and petitions for reconsideration of an Effective Competition decision in the normal course of business pursuant to existing rules.</w:t>
      </w:r>
    </w:p>
  </w:footnote>
  <w:footnote w:id="136">
    <w:p w14:paraId="6E19A52E" w14:textId="56C4FCB7" w:rsidR="00B605A4" w:rsidRDefault="00B605A4">
      <w:pPr>
        <w:pStyle w:val="FootnoteText"/>
      </w:pPr>
      <w:r w:rsidRPr="00CD0E69">
        <w:rPr>
          <w:rStyle w:val="FootnoteReference"/>
        </w:rPr>
        <w:footnoteRef/>
      </w:r>
      <w:r w:rsidRPr="00CD0E69">
        <w:t xml:space="preserve"> </w:t>
      </w:r>
      <w:r w:rsidRPr="00CD0E69">
        <w:rPr>
          <w:i/>
        </w:rPr>
        <w:t xml:space="preserve">See </w:t>
      </w:r>
      <w:r w:rsidRPr="00CD0E69">
        <w:t>47 C.F.R. § 76.913(a).</w:t>
      </w:r>
    </w:p>
  </w:footnote>
  <w:footnote w:id="137">
    <w:p w14:paraId="5585EF2B" w14:textId="6E78AA9F" w:rsidR="00B605A4" w:rsidRDefault="00B605A4">
      <w:pPr>
        <w:pStyle w:val="FootnoteText"/>
      </w:pPr>
      <w:r>
        <w:rPr>
          <w:rStyle w:val="FootnoteReference"/>
        </w:rPr>
        <w:footnoteRef/>
      </w:r>
      <w:r>
        <w:t xml:space="preserve"> 47 U.S.C. § 543(a)(2) (“If the Commission finds that a cable system is subject to effective competition, the rates for the provision of cable service by such system shall not be subject to regulation by the Commission or by a State or franchising authority under this section.”).</w:t>
      </w:r>
    </w:p>
  </w:footnote>
  <w:footnote w:id="138">
    <w:p w14:paraId="35C4358A" w14:textId="546374D1" w:rsidR="00B605A4" w:rsidRPr="002B5A50" w:rsidRDefault="00B605A4">
      <w:pPr>
        <w:pStyle w:val="FootnoteText"/>
      </w:pPr>
      <w:r>
        <w:rPr>
          <w:rStyle w:val="FootnoteReference"/>
        </w:rPr>
        <w:footnoteRef/>
      </w:r>
      <w:r>
        <w:t xml:space="preserve"> </w:t>
      </w:r>
      <w:r>
        <w:rPr>
          <w:i/>
        </w:rPr>
        <w:t>Id.</w:t>
      </w:r>
      <w:r>
        <w:t xml:space="preserve"> §§ 543(a)(6), 543(a)(4) (providing that those legal or procedural infirmities include a Commission finding that “(A) the franchising authority has adopted or is administering regulations with respect to the rates subject to regulation under this section that are not consistent with the [Commission’s implementation of basic service tier rate regulation]; (B) the franchising authority does not have the legal authority to adopt, or the personnel to administer, such regulations; or (C) procedural laws and regulations applicable to rate regulation proceedings by such authority do not provide a reasonable opportunity for consideration of the views of interested parties”), 543(a)(5).  </w:t>
      </w:r>
      <w:r>
        <w:rPr>
          <w:i/>
        </w:rPr>
        <w:t xml:space="preserve">See also </w:t>
      </w:r>
      <w:r>
        <w:t>ACA Reply at 8.</w:t>
      </w:r>
    </w:p>
  </w:footnote>
  <w:footnote w:id="139">
    <w:p w14:paraId="2F8B875D" w14:textId="2B01BFBE" w:rsidR="00B605A4" w:rsidRPr="00641A03" w:rsidRDefault="00B605A4">
      <w:pPr>
        <w:pStyle w:val="FootnoteText"/>
      </w:pPr>
      <w:r>
        <w:rPr>
          <w:rStyle w:val="FootnoteReference"/>
        </w:rPr>
        <w:footnoteRef/>
      </w:r>
      <w:r>
        <w:t xml:space="preserve"> </w:t>
      </w:r>
      <w:r>
        <w:rPr>
          <w:i/>
        </w:rPr>
        <w:t xml:space="preserve">See </w:t>
      </w:r>
      <w:r>
        <w:t>NAB Comments at 20-21.</w:t>
      </w:r>
    </w:p>
  </w:footnote>
  <w:footnote w:id="140">
    <w:p w14:paraId="6E2B6B03" w14:textId="3D7CCB95" w:rsidR="00B605A4" w:rsidRPr="00EB0AA4" w:rsidRDefault="00B605A4">
      <w:pPr>
        <w:pStyle w:val="FootnoteText"/>
      </w:pPr>
      <w:r>
        <w:rPr>
          <w:rStyle w:val="FootnoteReference"/>
        </w:rPr>
        <w:footnoteRef/>
      </w:r>
      <w:r>
        <w:t xml:space="preserve"> </w:t>
      </w:r>
      <w:r>
        <w:rPr>
          <w:i/>
        </w:rPr>
        <w:t xml:space="preserve">See </w:t>
      </w:r>
      <w:r w:rsidRPr="00B32329">
        <w:t xml:space="preserve">ACA Comments at </w:t>
      </w:r>
      <w:r>
        <w:t>13; NCTA Comments at 8</w:t>
      </w:r>
      <w:r w:rsidRPr="00B32329">
        <w:t>.</w:t>
      </w:r>
    </w:p>
  </w:footnote>
  <w:footnote w:id="141">
    <w:p w14:paraId="32BA381B" w14:textId="77777777" w:rsidR="00B605A4" w:rsidRPr="00EB691B" w:rsidRDefault="00B605A4">
      <w:pPr>
        <w:pStyle w:val="FootnoteText"/>
        <w:rPr>
          <w:i/>
        </w:rPr>
      </w:pPr>
      <w:r>
        <w:rPr>
          <w:rStyle w:val="FootnoteReference"/>
        </w:rPr>
        <w:footnoteRef/>
      </w:r>
      <w:r>
        <w:t xml:space="preserve"> </w:t>
      </w:r>
      <w:r>
        <w:rPr>
          <w:i/>
        </w:rPr>
        <w:t xml:space="preserve">See </w:t>
      </w:r>
      <w:r>
        <w:t>NCTA Comments at 8; Cablevision Reply at 8.</w:t>
      </w:r>
    </w:p>
  </w:footnote>
  <w:footnote w:id="142">
    <w:p w14:paraId="7F8B2BA9" w14:textId="77777777" w:rsidR="00B605A4" w:rsidRPr="00833574" w:rsidRDefault="00B605A4" w:rsidP="00DB5698">
      <w:pPr>
        <w:pStyle w:val="FootnoteText"/>
        <w:rPr>
          <w:highlight w:val="yellow"/>
        </w:rPr>
      </w:pPr>
      <w:r w:rsidRPr="008F7A9C">
        <w:rPr>
          <w:rStyle w:val="FootnoteReference"/>
          <w:color w:val="000000"/>
        </w:rPr>
        <w:footnoteRef/>
      </w:r>
      <w:r w:rsidRPr="008F7A9C">
        <w:rPr>
          <w:color w:val="000000"/>
        </w:rPr>
        <w:t xml:space="preserve"> </w:t>
      </w:r>
      <w:r w:rsidRPr="008F7A9C">
        <w:rPr>
          <w:i/>
          <w:color w:val="000000"/>
        </w:rPr>
        <w:t>See</w:t>
      </w:r>
      <w:r w:rsidRPr="008F7A9C">
        <w:rPr>
          <w:color w:val="000000"/>
        </w:rPr>
        <w:t xml:space="preserve"> 5 U.S.C. § 603.  The RFA, </w:t>
      </w:r>
      <w:r w:rsidRPr="008F7A9C">
        <w:rPr>
          <w:i/>
          <w:color w:val="000000"/>
        </w:rPr>
        <w:t xml:space="preserve">see </w:t>
      </w:r>
      <w:r w:rsidRPr="008F7A9C">
        <w:rPr>
          <w:color w:val="000000"/>
        </w:rPr>
        <w:t xml:space="preserve">5 U.S.C. § 601 </w:t>
      </w:r>
      <w:r w:rsidRPr="008F7A9C">
        <w:rPr>
          <w:i/>
          <w:color w:val="000000"/>
        </w:rPr>
        <w:t>et seq.</w:t>
      </w:r>
      <w:r w:rsidRPr="008F7A9C">
        <w:rPr>
          <w:color w:val="000000"/>
        </w:rPr>
        <w:t xml:space="preserve">, has been amended by the Small Business Regulatory </w:t>
      </w:r>
      <w:r w:rsidRPr="008F7A9C">
        <w:rPr>
          <w:color w:val="231F20"/>
        </w:rPr>
        <w:t>Enforcement</w:t>
      </w:r>
      <w:r w:rsidRPr="008F7A9C">
        <w:rPr>
          <w:color w:val="000000"/>
        </w:rPr>
        <w:t xml:space="preserve"> Fairness Act of 1996 (“SBREFA”), Pub. L. No. 104-121, Title II, 110 Stat. 857 (1996).  The SBREFA was enacted as Title II of the Contract with America Advancement Act of 1996 (“CWAAA”). </w:t>
      </w:r>
    </w:p>
  </w:footnote>
  <w:footnote w:id="143">
    <w:p w14:paraId="7575FAB8" w14:textId="7CFE1133" w:rsidR="00B605A4" w:rsidRDefault="00B605A4">
      <w:pPr>
        <w:pStyle w:val="FootnoteText"/>
      </w:pPr>
      <w:r>
        <w:rPr>
          <w:rStyle w:val="FootnoteReference"/>
        </w:rPr>
        <w:footnoteRef/>
      </w:r>
      <w:r>
        <w:t xml:space="preserve"> The Paperwork Reduction Act of 1995 (“PRA”), Pub. L. No. 104-13, 109 Stat. 163 (1995) (codified in Chapter 35 of title 44 U.S.C.).</w:t>
      </w:r>
    </w:p>
  </w:footnote>
  <w:footnote w:id="144">
    <w:p w14:paraId="0A88E177" w14:textId="6ED22762" w:rsidR="00B605A4" w:rsidRDefault="00B605A4">
      <w:pPr>
        <w:pStyle w:val="FootnoteText"/>
      </w:pPr>
      <w:r>
        <w:rPr>
          <w:rStyle w:val="FootnoteReference"/>
        </w:rPr>
        <w:footnoteRef/>
      </w:r>
      <w:r>
        <w:t xml:space="preserve"> Relevant information collections include those pertaining to Form 328 and the franchising authority certification (OMB Control No. 3060-0550), and to petitions for reconsideration of certifications (OMB Control No. 3060-0560).</w:t>
      </w:r>
    </w:p>
  </w:footnote>
  <w:footnote w:id="145">
    <w:p w14:paraId="5648838D" w14:textId="74F9430D" w:rsidR="00B605A4" w:rsidRDefault="00B605A4">
      <w:pPr>
        <w:pStyle w:val="FootnoteText"/>
      </w:pPr>
      <w:r>
        <w:rPr>
          <w:rStyle w:val="FootnoteReference"/>
        </w:rPr>
        <w:footnoteRef/>
      </w:r>
      <w:r>
        <w:t xml:space="preserve"> 44 U.S.C. § 3507(d).</w:t>
      </w:r>
    </w:p>
  </w:footnote>
  <w:footnote w:id="146">
    <w:p w14:paraId="67E940BB" w14:textId="4DE867C9" w:rsidR="00B605A4" w:rsidRDefault="00B605A4">
      <w:pPr>
        <w:pStyle w:val="FootnoteText"/>
      </w:pPr>
      <w:r>
        <w:rPr>
          <w:rStyle w:val="FootnoteReference"/>
        </w:rPr>
        <w:footnoteRef/>
      </w:r>
      <w:r>
        <w:t xml:space="preserve"> The Small Business Paperwork Relief Act of 2002 (“SBPRA”), Pub. L. No. 107-198, 116 Stat. 729 (2002) (codified in Chapter 35 of title 44 U.S.C.); </w:t>
      </w:r>
      <w:r w:rsidRPr="008F7A9C">
        <w:rPr>
          <w:i/>
        </w:rPr>
        <w:t>see</w:t>
      </w:r>
      <w:r>
        <w:t xml:space="preserve"> 44 U.S.C. § 3506(c)(4).</w:t>
      </w:r>
    </w:p>
  </w:footnote>
  <w:footnote w:id="147">
    <w:p w14:paraId="2FB143F2" w14:textId="15AE474B" w:rsidR="00B605A4" w:rsidRPr="008F7A9C" w:rsidRDefault="00B605A4">
      <w:pPr>
        <w:pStyle w:val="FootnoteText"/>
      </w:pPr>
      <w:r>
        <w:rPr>
          <w:rStyle w:val="FootnoteReference"/>
        </w:rPr>
        <w:footnoteRef/>
      </w:r>
      <w:r>
        <w:t xml:space="preserve"> NPRM, 30 FCC Rcd at 2574, ¶ 25.</w:t>
      </w:r>
    </w:p>
  </w:footnote>
  <w:footnote w:id="148">
    <w:p w14:paraId="28BDF029" w14:textId="77777777" w:rsidR="00B605A4" w:rsidRPr="00833574" w:rsidRDefault="00B605A4" w:rsidP="00B92DCC">
      <w:pPr>
        <w:pStyle w:val="FootnoteText"/>
        <w:rPr>
          <w:highlight w:val="yellow"/>
        </w:rPr>
      </w:pPr>
      <w:r w:rsidRPr="00FF77AA">
        <w:rPr>
          <w:rStyle w:val="FootnoteReference"/>
        </w:rPr>
        <w:footnoteRef/>
      </w:r>
      <w:r w:rsidRPr="00FF77AA">
        <w:t xml:space="preserve"> </w:t>
      </w:r>
      <w:r w:rsidRPr="00FF77AA">
        <w:rPr>
          <w:i/>
        </w:rPr>
        <w:t>See</w:t>
      </w:r>
      <w:r w:rsidRPr="00FF77AA">
        <w:t xml:space="preserve"> 5 U.S.C. § 603.  The RFA, </w:t>
      </w:r>
      <w:r w:rsidRPr="00FF77AA">
        <w:rPr>
          <w:i/>
        </w:rPr>
        <w:t xml:space="preserve">see </w:t>
      </w:r>
      <w:r w:rsidRPr="00FF77AA">
        <w:t>5 U.S.C. §§ 601-612, has been amended by the Small Business Regulatory Enforcement Fairness Act of 1996 (“SBREFA”), Pub. L. No. 104-121, Title II, 110 Stat. 857 (1996).  The SBREFA was enacted as Title II of the Contract With America Advancement Act of 1996 (“CWAAA”).</w:t>
      </w:r>
    </w:p>
  </w:footnote>
  <w:footnote w:id="149">
    <w:p w14:paraId="79F7DC54" w14:textId="59F1C0E4" w:rsidR="00B605A4" w:rsidRDefault="00B605A4">
      <w:pPr>
        <w:pStyle w:val="FootnoteText"/>
      </w:pPr>
      <w:r>
        <w:rPr>
          <w:rStyle w:val="FootnoteReference"/>
        </w:rPr>
        <w:footnoteRef/>
      </w:r>
      <w:r>
        <w:t xml:space="preserve"> </w:t>
      </w:r>
      <w:r>
        <w:rPr>
          <w:i/>
        </w:rPr>
        <w:t xml:space="preserve">Amendment to the Commission’s Rules Concerning Effective Competition; </w:t>
      </w:r>
      <w:r w:rsidRPr="0017410B">
        <w:rPr>
          <w:i/>
        </w:rPr>
        <w:t>Implementation of Section 111 of the STELA Reauthorization Act</w:t>
      </w:r>
      <w:r w:rsidRPr="0017410B">
        <w:t xml:space="preserve">, Notice of Proposed Rulemaking, </w:t>
      </w:r>
      <w:r>
        <w:t>30 FCC Rcd 2561</w:t>
      </w:r>
      <w:r w:rsidRPr="0017410B">
        <w:t xml:space="preserve"> (</w:t>
      </w:r>
      <w:r>
        <w:t>“</w:t>
      </w:r>
      <w:r w:rsidRPr="0017410B">
        <w:t>NPRM</w:t>
      </w:r>
      <w:r>
        <w:t>”</w:t>
      </w:r>
      <w:r w:rsidRPr="0017410B">
        <w:t>)</w:t>
      </w:r>
      <w:r>
        <w:t>.</w:t>
      </w:r>
    </w:p>
  </w:footnote>
  <w:footnote w:id="150">
    <w:p w14:paraId="752FE1BF" w14:textId="45704647" w:rsidR="00B605A4" w:rsidRDefault="00B605A4">
      <w:pPr>
        <w:pStyle w:val="FootnoteText"/>
      </w:pPr>
      <w:r>
        <w:rPr>
          <w:rStyle w:val="FootnoteReference"/>
        </w:rPr>
        <w:footnoteRef/>
      </w:r>
      <w:r>
        <w:t xml:space="preserve"> See 5 U.S.C. § 604.</w:t>
      </w:r>
    </w:p>
  </w:footnote>
  <w:footnote w:id="151">
    <w:p w14:paraId="35DA2A55" w14:textId="7778F240" w:rsidR="00B605A4" w:rsidRDefault="00B605A4">
      <w:pPr>
        <w:pStyle w:val="FootnoteText"/>
      </w:pPr>
      <w:r>
        <w:rPr>
          <w:rStyle w:val="FootnoteReference"/>
        </w:rPr>
        <w:footnoteRef/>
      </w:r>
      <w:r>
        <w:t xml:space="preserve"> Effective Competition is a term of art that the statute defines by application of specific tests.</w:t>
      </w:r>
    </w:p>
  </w:footnote>
  <w:footnote w:id="152">
    <w:p w14:paraId="08E35BD7" w14:textId="0291FD15" w:rsidR="00B605A4" w:rsidRDefault="00B605A4" w:rsidP="00FF77AA">
      <w:pPr>
        <w:pStyle w:val="FootnoteText"/>
      </w:pPr>
      <w:r>
        <w:rPr>
          <w:rStyle w:val="FootnoteReference"/>
        </w:rPr>
        <w:footnoteRef/>
      </w:r>
      <w:r>
        <w:t xml:space="preserve"> </w:t>
      </w:r>
      <w:r w:rsidRPr="00833574">
        <w:rPr>
          <w:i/>
        </w:rPr>
        <w:t xml:space="preserve">See </w:t>
      </w:r>
      <w:r w:rsidRPr="00833574">
        <w:t>47 U.S.C. §§ 543(a)(2)</w:t>
      </w:r>
      <w:r>
        <w:t>, (l)(1)(B); NPRM</w:t>
      </w:r>
      <w:r>
        <w:rPr>
          <w:i/>
        </w:rPr>
        <w:t xml:space="preserve"> </w:t>
      </w:r>
      <w:r>
        <w:t>¶ 2</w:t>
      </w:r>
      <w:r w:rsidRPr="00833574">
        <w:t>.</w:t>
      </w:r>
    </w:p>
  </w:footnote>
  <w:footnote w:id="153">
    <w:p w14:paraId="1546F005" w14:textId="77777777" w:rsidR="00B605A4" w:rsidRPr="00833574" w:rsidRDefault="00B605A4" w:rsidP="00FF77AA">
      <w:pPr>
        <w:pStyle w:val="FootnoteText"/>
        <w:rPr>
          <w:highlight w:val="yellow"/>
        </w:rPr>
      </w:pPr>
      <w:r w:rsidRPr="00833574">
        <w:rPr>
          <w:rStyle w:val="FootnoteReference"/>
        </w:rPr>
        <w:footnoteRef/>
      </w:r>
      <w:r w:rsidRPr="00833574">
        <w:t xml:space="preserve"> A “franchising authority” is “any governmental entity empowered by Federal, State, or local law to grant a franchise.”  </w:t>
      </w:r>
      <w:r w:rsidRPr="00833574">
        <w:rPr>
          <w:i/>
        </w:rPr>
        <w:t>See</w:t>
      </w:r>
      <w:r w:rsidRPr="00833574">
        <w:t xml:space="preserve"> 47 U.S.C. § 522(10).</w:t>
      </w:r>
    </w:p>
  </w:footnote>
  <w:footnote w:id="154">
    <w:p w14:paraId="5D72AA09" w14:textId="115257DB" w:rsidR="00B605A4" w:rsidRDefault="00B605A4" w:rsidP="00FF77AA">
      <w:pPr>
        <w:pStyle w:val="FootnoteText"/>
      </w:pPr>
      <w:r>
        <w:rPr>
          <w:rStyle w:val="FootnoteReference"/>
        </w:rPr>
        <w:footnoteRef/>
      </w:r>
      <w:r>
        <w:t xml:space="preserve"> </w:t>
      </w:r>
      <w:r w:rsidRPr="009D182F">
        <w:rPr>
          <w:i/>
        </w:rPr>
        <w:t xml:space="preserve">See id. </w:t>
      </w:r>
      <w:r w:rsidRPr="009D182F">
        <w:t>§ 543(b)(7)(A).</w:t>
      </w:r>
    </w:p>
  </w:footnote>
  <w:footnote w:id="155">
    <w:p w14:paraId="681B5BEB" w14:textId="464C89A1" w:rsidR="00B605A4" w:rsidRPr="00514088" w:rsidRDefault="00B605A4" w:rsidP="00FF77AA">
      <w:pPr>
        <w:pStyle w:val="FootnoteText"/>
        <w:rPr>
          <w:highlight w:val="yellow"/>
        </w:rPr>
      </w:pPr>
      <w:r w:rsidRPr="008C2309">
        <w:rPr>
          <w:rStyle w:val="FootnoteReference"/>
        </w:rPr>
        <w:footnoteRef/>
      </w:r>
      <w:r w:rsidRPr="008C2309">
        <w:t xml:space="preserve"> </w:t>
      </w:r>
      <w:r w:rsidRPr="008C2309">
        <w:rPr>
          <w:i/>
        </w:rPr>
        <w:t xml:space="preserve">See </w:t>
      </w:r>
      <w:r>
        <w:t>NPRM</w:t>
      </w:r>
      <w:r>
        <w:rPr>
          <w:i/>
        </w:rPr>
        <w:t xml:space="preserve"> </w:t>
      </w:r>
      <w:r>
        <w:t>Section II.</w:t>
      </w:r>
    </w:p>
  </w:footnote>
  <w:footnote w:id="156">
    <w:p w14:paraId="7CA23650" w14:textId="513A1095" w:rsidR="00B605A4" w:rsidRPr="00833574" w:rsidRDefault="00B605A4" w:rsidP="00FF77AA">
      <w:pPr>
        <w:pStyle w:val="FootnoteText"/>
        <w:rPr>
          <w:highlight w:val="yellow"/>
        </w:rPr>
      </w:pPr>
      <w:r w:rsidRPr="008C2309">
        <w:rPr>
          <w:rStyle w:val="FootnoteReference"/>
        </w:rPr>
        <w:footnoteRef/>
      </w:r>
      <w:r w:rsidRPr="008C2309">
        <w:t xml:space="preserve"> </w:t>
      </w:r>
      <w:r w:rsidRPr="008C2309">
        <w:rPr>
          <w:i/>
        </w:rPr>
        <w:t xml:space="preserve">See </w:t>
      </w:r>
      <w:r w:rsidRPr="008C2309">
        <w:t xml:space="preserve">Pub. L. No. 113-200, § 111, 128 Stat. 2059 (2014); 47 U.S.C. § 543(o)(1) (“Not later than 180 days after </w:t>
      </w:r>
      <w:r>
        <w:t>December 4, 2014</w:t>
      </w:r>
      <w:r w:rsidRPr="008C2309">
        <w:t xml:space="preserve">, the Commission shall complete a rulemaking to establish a streamlined process for filing of an effective competition petition pursuant to this section for small cable operators, particularly those who serve primarily rural areas.”).  </w:t>
      </w:r>
      <w:r>
        <w:t>Accordingly, this rulemaking must be completed by June 2, 2015.</w:t>
      </w:r>
    </w:p>
  </w:footnote>
  <w:footnote w:id="157">
    <w:p w14:paraId="54059A79" w14:textId="11683864" w:rsidR="00B605A4" w:rsidRDefault="00B605A4">
      <w:pPr>
        <w:pStyle w:val="FootnoteText"/>
      </w:pPr>
      <w:r>
        <w:rPr>
          <w:rStyle w:val="FootnoteReference"/>
        </w:rPr>
        <w:footnoteRef/>
      </w:r>
      <w:r>
        <w:t xml:space="preserve"> </w:t>
      </w:r>
      <w:r w:rsidRPr="001F687E">
        <w:rPr>
          <w:i/>
        </w:rPr>
        <w:t xml:space="preserve">See </w:t>
      </w:r>
      <w:r w:rsidRPr="001F687E">
        <w:t>Exec. Order No. 13,579, § 2, 76 Fed. Reg. 41,587 (July 14, 2011) (</w:t>
      </w:r>
      <w:r>
        <w:t>“T</w:t>
      </w:r>
      <w:r w:rsidRPr="001F687E">
        <w:t xml:space="preserve">o facilitate the periodic review of existing significant regulations, independent regulatory agencies should consider how best to promote retrospective analysis of rules that may be outmoded, ineffective, insufficient, or excessively burdensome, and to modify, streamline, expand, or repeal them in accordance with what has been learned”); </w:t>
      </w:r>
      <w:r w:rsidRPr="001F687E">
        <w:rPr>
          <w:i/>
        </w:rPr>
        <w:t xml:space="preserve">Final Plan for Retrospective </w:t>
      </w:r>
      <w:r w:rsidRPr="009D182F">
        <w:rPr>
          <w:i/>
        </w:rPr>
        <w:t>Analysis of Existing Rules,</w:t>
      </w:r>
      <w:r w:rsidRPr="009D182F">
        <w:t xml:space="preserve"> 2012 WL 1851335 (May 18, 2012).</w:t>
      </w:r>
    </w:p>
  </w:footnote>
  <w:footnote w:id="158">
    <w:p w14:paraId="3E9E49BE" w14:textId="45FA07DF" w:rsidR="00B605A4" w:rsidRDefault="00B605A4">
      <w:pPr>
        <w:pStyle w:val="FootnoteText"/>
      </w:pPr>
      <w:r>
        <w:rPr>
          <w:rStyle w:val="FootnoteReference"/>
        </w:rPr>
        <w:footnoteRef/>
      </w:r>
      <w:r>
        <w:t xml:space="preserve"> </w:t>
      </w:r>
      <w:r w:rsidRPr="001F687E">
        <w:t xml:space="preserve">Congress applied the definition of “small cable operator” as set forth in </w:t>
      </w:r>
      <w:r>
        <w:t>s</w:t>
      </w:r>
      <w:r w:rsidRPr="001F687E">
        <w:t xml:space="preserve">ection 623(m)(2) of the </w:t>
      </w:r>
      <w:r>
        <w:t xml:space="preserve">Communications </w:t>
      </w:r>
      <w:r w:rsidRPr="001F687E">
        <w:t>Act</w:t>
      </w:r>
      <w:r>
        <w:t xml:space="preserve"> of 1934, as amended (the “Act”),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1F687E">
        <w:t>.</w:t>
      </w:r>
      <w:r>
        <w:t>”</w:t>
      </w:r>
      <w:r w:rsidRPr="001F687E">
        <w:t xml:space="preserve">  </w:t>
      </w:r>
      <w:r w:rsidRPr="001F687E">
        <w:rPr>
          <w:i/>
        </w:rPr>
        <w:t xml:space="preserve">See </w:t>
      </w:r>
      <w:r>
        <w:t>47 U.S.C</w:t>
      </w:r>
      <w:r w:rsidRPr="001F687E">
        <w:rPr>
          <w:i/>
        </w:rPr>
        <w:t xml:space="preserve">. </w:t>
      </w:r>
      <w:r w:rsidRPr="001F687E">
        <w:t>§ 543</w:t>
      </w:r>
      <w:r>
        <w:t xml:space="preserve">(m)(2), </w:t>
      </w:r>
      <w:r w:rsidRPr="001F687E">
        <w:t>(o)(3).</w:t>
      </w:r>
    </w:p>
  </w:footnote>
  <w:footnote w:id="159">
    <w:p w14:paraId="5B53237D" w14:textId="28E617B6" w:rsidR="00B605A4" w:rsidRPr="002E1E35" w:rsidRDefault="00B605A4" w:rsidP="00921C9F">
      <w:pPr>
        <w:pStyle w:val="FootnoteText"/>
      </w:pPr>
      <w:r>
        <w:rPr>
          <w:rStyle w:val="FootnoteReference"/>
        </w:rPr>
        <w:footnoteRef/>
      </w:r>
      <w:r>
        <w:t xml:space="preserve"> </w:t>
      </w:r>
      <w:r>
        <w:rPr>
          <w:i/>
        </w:rPr>
        <w:t xml:space="preserve">See </w:t>
      </w:r>
      <w:r>
        <w:t>NPRM Section III.C (discussing the impact of a presumption of Competing Provider Effective Competition on cable operators and on franchising authorities).</w:t>
      </w:r>
    </w:p>
  </w:footnote>
  <w:footnote w:id="160">
    <w:p w14:paraId="169DECAC" w14:textId="6A58F250" w:rsidR="00B605A4" w:rsidRPr="00833574" w:rsidRDefault="00B605A4" w:rsidP="002E1E35">
      <w:pPr>
        <w:pStyle w:val="FootnoteText"/>
        <w:rPr>
          <w:highlight w:val="yellow"/>
        </w:rPr>
      </w:pPr>
      <w:r w:rsidRPr="008C2309">
        <w:rPr>
          <w:rStyle w:val="FootnoteReference"/>
        </w:rPr>
        <w:footnoteRef/>
      </w:r>
      <w:r w:rsidRPr="008C2309">
        <w:t xml:space="preserve"> </w:t>
      </w:r>
      <w:r>
        <w:t>47 U.S.C. § 543(o)(1).</w:t>
      </w:r>
    </w:p>
  </w:footnote>
  <w:footnote w:id="161">
    <w:p w14:paraId="2D8B42C0" w14:textId="0DA09DA3" w:rsidR="00B605A4" w:rsidRPr="002E1E35" w:rsidRDefault="00B605A4">
      <w:pPr>
        <w:pStyle w:val="FootnoteText"/>
      </w:pPr>
      <w:r>
        <w:rPr>
          <w:rStyle w:val="FootnoteReference"/>
        </w:rPr>
        <w:footnoteRef/>
      </w:r>
      <w:r>
        <w:t xml:space="preserve"> </w:t>
      </w:r>
      <w:r>
        <w:rPr>
          <w:i/>
        </w:rPr>
        <w:t xml:space="preserve">See </w:t>
      </w:r>
      <w:r>
        <w:t>NPRM Section III.B.</w:t>
      </w:r>
    </w:p>
  </w:footnote>
  <w:footnote w:id="162">
    <w:p w14:paraId="47130FC1" w14:textId="77777777" w:rsidR="00B605A4" w:rsidRPr="0035697D" w:rsidRDefault="00B605A4" w:rsidP="00032800">
      <w:pPr>
        <w:pStyle w:val="FootnoteText"/>
      </w:pPr>
      <w:r w:rsidRPr="0035697D">
        <w:rPr>
          <w:rStyle w:val="FootnoteReference"/>
        </w:rPr>
        <w:footnoteRef/>
      </w:r>
      <w:r w:rsidRPr="0035697D">
        <w:t xml:space="preserve"> 5 U.S.C. § 603(b)(3).</w:t>
      </w:r>
    </w:p>
  </w:footnote>
  <w:footnote w:id="163">
    <w:p w14:paraId="4150423E" w14:textId="77777777" w:rsidR="00B605A4" w:rsidRPr="0035697D" w:rsidRDefault="00B605A4" w:rsidP="00032800">
      <w:pPr>
        <w:pStyle w:val="FootnoteText"/>
      </w:pPr>
      <w:r w:rsidRPr="0035697D">
        <w:rPr>
          <w:rStyle w:val="FootnoteReference"/>
        </w:rPr>
        <w:footnoteRef/>
      </w:r>
      <w:r w:rsidRPr="0035697D">
        <w:t xml:space="preserve"> </w:t>
      </w:r>
      <w:r w:rsidRPr="0035697D">
        <w:rPr>
          <w:i/>
        </w:rPr>
        <w:t>Id.</w:t>
      </w:r>
      <w:r w:rsidRPr="0035697D">
        <w:t xml:space="preserve"> § 601(6).</w:t>
      </w:r>
    </w:p>
  </w:footnote>
  <w:footnote w:id="164">
    <w:p w14:paraId="3F0A2A47" w14:textId="77777777" w:rsidR="00B605A4" w:rsidRPr="0035697D" w:rsidRDefault="00B605A4" w:rsidP="00032800">
      <w:pPr>
        <w:pStyle w:val="FootnoteText"/>
      </w:pPr>
      <w:r w:rsidRPr="0035697D">
        <w:rPr>
          <w:rStyle w:val="FootnoteReference"/>
        </w:rPr>
        <w:footnoteRef/>
      </w:r>
      <w:r w:rsidRPr="0035697D">
        <w:t xml:space="preserve"> </w:t>
      </w:r>
      <w:r w:rsidRPr="0035697D">
        <w:rPr>
          <w:i/>
        </w:rPr>
        <w:t>Id.</w:t>
      </w:r>
      <w:r w:rsidRPr="0035697D">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65">
    <w:p w14:paraId="0404B2E6" w14:textId="77777777" w:rsidR="00B605A4" w:rsidRPr="0035697D" w:rsidRDefault="00B605A4" w:rsidP="00032800">
      <w:pPr>
        <w:pStyle w:val="FootnoteText"/>
      </w:pPr>
      <w:r w:rsidRPr="0035697D">
        <w:rPr>
          <w:rStyle w:val="FootnoteReference"/>
        </w:rPr>
        <w:footnoteRef/>
      </w:r>
      <w:r w:rsidRPr="0035697D">
        <w:t xml:space="preserve"> 15 U.S.C. § 632.</w:t>
      </w:r>
    </w:p>
  </w:footnote>
  <w:footnote w:id="166">
    <w:p w14:paraId="434FD182" w14:textId="77777777" w:rsidR="00B605A4" w:rsidRPr="0035697D" w:rsidRDefault="00B605A4" w:rsidP="0006622B">
      <w:pPr>
        <w:pStyle w:val="FootnoteText"/>
      </w:pPr>
      <w:r w:rsidRPr="0035697D">
        <w:rPr>
          <w:rStyle w:val="FootnoteReference"/>
          <w:spacing w:val="-2"/>
        </w:rPr>
        <w:footnoteRef/>
      </w:r>
      <w:r w:rsidRPr="0035697D">
        <w:t xml:space="preserve"> 5 U.S.C. § 601(5).</w:t>
      </w:r>
    </w:p>
  </w:footnote>
  <w:footnote w:id="167">
    <w:p w14:paraId="68254BA7" w14:textId="77777777" w:rsidR="00B605A4" w:rsidRPr="0035697D" w:rsidRDefault="00B605A4" w:rsidP="0006622B">
      <w:pPr>
        <w:pStyle w:val="FootnoteText"/>
      </w:pPr>
      <w:r w:rsidRPr="0035697D">
        <w:rPr>
          <w:rStyle w:val="FootnoteReference"/>
          <w:spacing w:val="-2"/>
        </w:rPr>
        <w:footnoteRef/>
      </w:r>
      <w:r w:rsidRPr="0035697D">
        <w:t xml:space="preserve"> </w:t>
      </w:r>
      <w:r w:rsidRPr="0035697D">
        <w:rPr>
          <w:smallCaps/>
        </w:rPr>
        <w:t>U.S. Census Bureau, Statistical Abstract of the United States: 2011</w:t>
      </w:r>
      <w:r w:rsidRPr="0035697D">
        <w:t xml:space="preserve">, Table 427 (2007). </w:t>
      </w:r>
    </w:p>
  </w:footnote>
  <w:footnote w:id="168">
    <w:p w14:paraId="79D4474A" w14:textId="77777777" w:rsidR="00B605A4" w:rsidRPr="0035697D" w:rsidRDefault="00B605A4" w:rsidP="0006622B">
      <w:pPr>
        <w:pStyle w:val="FootnoteText"/>
      </w:pPr>
      <w:r w:rsidRPr="0035697D">
        <w:rPr>
          <w:rStyle w:val="FootnoteReference"/>
        </w:rPr>
        <w:footnoteRef/>
      </w:r>
      <w:r w:rsidRPr="0035697D">
        <w:t xml:space="preserve"> The 2007 U.S Census data for small governmental organizations indicate that there were 89,476 local governments in 2007.  U.S. CENSUS BUREAU, STATISTICAL ABSTRACT OF THE UNITED STATES 2011, Table 428.  The criterion by which the size of such local governments is determined to be small is a population of fewer than 50,000.  5 U.S.C. § 601(5).  However, since the Census Bureau, in compiling the cited data, does not state that it applies that criterion, it cannot be determined with precision how many such local governmental organizations are small.  Nonetheless, the inference seems reasonable that a substantial number of these governmental organizations have a population of fewer than 50,000.  To look at Table 428 in conjunction with a related set of data in Table 429 in the Census’s Statistical Abstract of the U.S., that inference is further supported by the fact that in both Tables, many sub-entities that may well be small are included in the 89,476 local governmental organizations, </w:t>
      </w:r>
      <w:r w:rsidRPr="0035697D">
        <w:rPr>
          <w:i/>
        </w:rPr>
        <w:t>e.g.</w:t>
      </w:r>
      <w:r w:rsidRPr="0035697D">
        <w:t xml:space="preserve"> county, municipal, township and town, school district and special district entities.  Measured by a criterion of a population of fewer than 50,000, many of the cited sub-entities in this category seem more likely than larger county-level governmental organizations to have small populations.  Accordingly, of the 89,746 small governmental organizations identified in the 2007 Census, the Commission estimates that a substantial majority are small.</w:t>
      </w:r>
    </w:p>
  </w:footnote>
  <w:footnote w:id="169">
    <w:p w14:paraId="5FBFEB3A" w14:textId="34B41AC9" w:rsidR="00B605A4" w:rsidRPr="0035697D" w:rsidRDefault="00B605A4" w:rsidP="00930299">
      <w:pPr>
        <w:pStyle w:val="FootnoteText"/>
        <w:rPr>
          <w:bCs/>
        </w:rPr>
      </w:pPr>
      <w:r w:rsidRPr="0035697D">
        <w:rPr>
          <w:rStyle w:val="FootnoteReference"/>
        </w:rPr>
        <w:footnoteRef/>
      </w:r>
      <w:r w:rsidRPr="0035697D">
        <w:t xml:space="preserve"> U.S. Census Bureau, 2007 NAICS Definitions, “</w:t>
      </w:r>
      <w:r w:rsidRPr="0035697D">
        <w:rPr>
          <w:bCs/>
        </w:rPr>
        <w:t xml:space="preserve">517110 Wired Telecommunications Carriers”; </w:t>
      </w:r>
      <w:hyperlink r:id="rId5" w:anchor="N517110" w:history="1">
        <w:r w:rsidRPr="0035697D">
          <w:rPr>
            <w:rStyle w:val="Hyperlink"/>
            <w:bCs/>
          </w:rPr>
          <w:t>http://www.census.gov/naics/2007/def/ND517110.HTM#N517110</w:t>
        </w:r>
      </w:hyperlink>
      <w:r w:rsidRPr="0035697D">
        <w:rPr>
          <w:bCs/>
        </w:rPr>
        <w:t>.</w:t>
      </w:r>
    </w:p>
  </w:footnote>
  <w:footnote w:id="170">
    <w:p w14:paraId="60AFE7F6" w14:textId="77777777" w:rsidR="00B605A4" w:rsidRPr="0035697D" w:rsidRDefault="00B605A4" w:rsidP="00930299">
      <w:pPr>
        <w:pStyle w:val="FootnoteText"/>
        <w:spacing w:line="0" w:lineRule="atLeast"/>
      </w:pPr>
      <w:r w:rsidRPr="0035697D">
        <w:rPr>
          <w:rStyle w:val="FootnoteReference"/>
        </w:rPr>
        <w:footnoteRef/>
      </w:r>
      <w:r w:rsidRPr="0035697D">
        <w:t xml:space="preserve"> 13 C.F.R. § 121.201 (NAICS code 517110).</w:t>
      </w:r>
    </w:p>
  </w:footnote>
  <w:footnote w:id="171">
    <w:p w14:paraId="5762A4AE" w14:textId="30D1B928" w:rsidR="00B605A4" w:rsidRPr="0035697D" w:rsidRDefault="00B605A4" w:rsidP="00930299">
      <w:pPr>
        <w:pStyle w:val="FootnoteText"/>
      </w:pPr>
      <w:r w:rsidRPr="0035697D">
        <w:rPr>
          <w:rStyle w:val="FootnoteReference"/>
        </w:rPr>
        <w:footnoteRef/>
      </w:r>
      <w:r w:rsidRPr="0035697D">
        <w:t xml:space="preserve"> U.S. Census Bureau, 2007 Economic Census.  </w:t>
      </w:r>
      <w:r w:rsidRPr="0035697D">
        <w:rPr>
          <w:i/>
        </w:rPr>
        <w:t>See</w:t>
      </w:r>
      <w:r w:rsidRPr="0035697D">
        <w:t xml:space="preserve"> U.S. Census Bureau, American FactFinder, “Information: Subject Series – Estab and Firm Size: Employment Size of Establishments for the United States: 2007 – 2007 Economic Census,” NAICS code 517110, Table EC0751SSSZ5; available at </w:t>
      </w:r>
      <w:hyperlink r:id="rId6" w:history="1">
        <w:r w:rsidRPr="0035697D">
          <w:rPr>
            <w:rStyle w:val="Hyperlink"/>
          </w:rPr>
          <w:t>http://factfinder.census.gov/faces/tableservices/jsf/pages/productview.xhtml?pid=ECN_2007_US_51SSSZ5&amp;prodType=table</w:t>
        </w:r>
      </w:hyperlink>
      <w:r w:rsidRPr="0035697D">
        <w:t>.</w:t>
      </w:r>
    </w:p>
  </w:footnote>
  <w:footnote w:id="172">
    <w:p w14:paraId="7E5478A8" w14:textId="77777777" w:rsidR="00B605A4" w:rsidRPr="0035697D" w:rsidRDefault="00B605A4" w:rsidP="00930299">
      <w:pPr>
        <w:pStyle w:val="FootnoteText"/>
      </w:pPr>
      <w:r w:rsidRPr="0035697D">
        <w:rPr>
          <w:rStyle w:val="FootnoteReference"/>
        </w:rPr>
        <w:footnoteRef/>
      </w:r>
      <w:r w:rsidRPr="0035697D">
        <w:t xml:space="preserve"> </w:t>
      </w:r>
      <w:r w:rsidRPr="0035697D">
        <w:rPr>
          <w:i/>
        </w:rPr>
        <w:t>Id</w:t>
      </w:r>
      <w:r w:rsidRPr="0035697D">
        <w:t>.</w:t>
      </w:r>
    </w:p>
  </w:footnote>
  <w:footnote w:id="173">
    <w:p w14:paraId="09A5AFE2" w14:textId="77777777" w:rsidR="00B605A4" w:rsidRPr="0035697D" w:rsidRDefault="00B605A4" w:rsidP="0006622B">
      <w:pPr>
        <w:pStyle w:val="FootnoteText"/>
        <w:spacing w:line="240" w:lineRule="atLeast"/>
      </w:pPr>
      <w:r w:rsidRPr="0035697D">
        <w:rPr>
          <w:rStyle w:val="FootnoteReference"/>
        </w:rPr>
        <w:footnoteRef/>
      </w:r>
      <w:r w:rsidRPr="0035697D">
        <w:t xml:space="preserve"> 47 C.F.R. § 76.901(e).  The Commission determined that this size standard equates approximately to a size standard of $100 million or less in annual revenues.  </w:t>
      </w:r>
      <w:r w:rsidRPr="0035697D">
        <w:rPr>
          <w:i/>
        </w:rPr>
        <w:t xml:space="preserve">Implementation of Sections of the Cable Television Consumer Protection and Competition Act of 1992: Rate Regulation, </w:t>
      </w:r>
      <w:r w:rsidRPr="0035697D">
        <w:t>Sixth Report and Order and Eleventh Order on Reconsideration, 10 FCC Rcd 7393, 7408 (1995).</w:t>
      </w:r>
    </w:p>
  </w:footnote>
  <w:footnote w:id="174">
    <w:p w14:paraId="3459257A" w14:textId="77777777" w:rsidR="00B605A4" w:rsidRPr="0035697D" w:rsidRDefault="00B605A4" w:rsidP="0006622B">
      <w:pPr>
        <w:pStyle w:val="FootnoteText"/>
      </w:pPr>
      <w:r w:rsidRPr="0035697D">
        <w:rPr>
          <w:rStyle w:val="FootnoteReference"/>
        </w:rPr>
        <w:footnoteRef/>
      </w:r>
      <w:r w:rsidRPr="0035697D">
        <w:t xml:space="preserve"> Data provided by SNL Kagan to Commission Staff upon request on March 25, 2014.  Depending upon the number of homes and the size of the geographic area served, cable operators use one or more cable systems to provide video service.  </w:t>
      </w:r>
      <w:r w:rsidRPr="0035697D">
        <w:rPr>
          <w:i/>
        </w:rPr>
        <w:t>See Annual Assessment of the Status of Competition in the Market for Delivery of Video Programming</w:t>
      </w:r>
      <w:r w:rsidRPr="0035697D">
        <w:t>,</w:t>
      </w:r>
      <w:r w:rsidRPr="0035697D">
        <w:rPr>
          <w:i/>
        </w:rPr>
        <w:t xml:space="preserve"> </w:t>
      </w:r>
      <w:r w:rsidRPr="0035697D">
        <w:t>MB Docket No. 12-203, Fifteenth Report, 28 FCC Rcd 10496, 10505-06, ¶ 24 (2013) (“</w:t>
      </w:r>
      <w:r w:rsidRPr="0035697D">
        <w:rPr>
          <w:i/>
        </w:rPr>
        <w:t>15</w:t>
      </w:r>
      <w:r w:rsidRPr="0035697D">
        <w:rPr>
          <w:i/>
          <w:vertAlign w:val="superscript"/>
        </w:rPr>
        <w:t>th</w:t>
      </w:r>
      <w:r w:rsidRPr="0035697D">
        <w:rPr>
          <w:i/>
        </w:rPr>
        <w:t xml:space="preserve"> Annual Video Competition Report</w:t>
      </w:r>
      <w:r w:rsidRPr="0035697D">
        <w:t>”).</w:t>
      </w:r>
    </w:p>
  </w:footnote>
  <w:footnote w:id="175">
    <w:p w14:paraId="5AFF91E2" w14:textId="7B8FBD7C" w:rsidR="00B605A4" w:rsidRPr="0035697D" w:rsidRDefault="00B605A4" w:rsidP="0006622B">
      <w:pPr>
        <w:pStyle w:val="FootnoteText"/>
      </w:pPr>
      <w:r w:rsidRPr="0035697D">
        <w:rPr>
          <w:rStyle w:val="FootnoteReference"/>
        </w:rPr>
        <w:footnoteRef/>
      </w:r>
      <w:r w:rsidRPr="0035697D">
        <w:t xml:space="preserve"> SNL Kagan, U.S. Multichannel Top Cable MSOs, </w:t>
      </w:r>
      <w:hyperlink r:id="rId7" w:history="1">
        <w:r w:rsidRPr="0035697D">
          <w:rPr>
            <w:rStyle w:val="Hyperlink"/>
          </w:rPr>
          <w:t>http://www.snl.com/interactivex/TopCableMSOs.aspx</w:t>
        </w:r>
      </w:hyperlink>
      <w:r>
        <w:t>.</w:t>
      </w:r>
      <w:r w:rsidRPr="0035697D">
        <w:t xml:space="preserve"> </w:t>
      </w:r>
      <w:r>
        <w:t xml:space="preserve"> </w:t>
      </w:r>
      <w:r w:rsidRPr="0035697D">
        <w:t>We note that when this size standard (</w:t>
      </w:r>
      <w:r w:rsidRPr="0035697D">
        <w:rPr>
          <w:i/>
        </w:rPr>
        <w:t>i.e.</w:t>
      </w:r>
      <w:r w:rsidRPr="0035697D">
        <w:t xml:space="preserve">, 400,000 or fewer subscribers) is applied to all MVPD operators, all but 14 MVPD operators would be considered small.  </w:t>
      </w:r>
      <w:r w:rsidRPr="0035697D">
        <w:rPr>
          <w:i/>
        </w:rPr>
        <w:t>15</w:t>
      </w:r>
      <w:r w:rsidRPr="0035697D">
        <w:rPr>
          <w:i/>
          <w:vertAlign w:val="superscript"/>
        </w:rPr>
        <w:t>th</w:t>
      </w:r>
      <w:r w:rsidRPr="0035697D">
        <w:rPr>
          <w:i/>
        </w:rPr>
        <w:t xml:space="preserve"> Annual Video Competition Report</w:t>
      </w:r>
      <w:r w:rsidRPr="0035697D">
        <w:t xml:space="preserve">, 28 FCC Rcd at 10507-08, ¶¶ 27-28 (subscriber data for DBS and Telephone MVPDs).  The Commission applied this size standard to MVPD operators in its implementation of the CALM Act.  </w:t>
      </w:r>
      <w:r w:rsidRPr="0035697D">
        <w:rPr>
          <w:i/>
        </w:rPr>
        <w:t>See Implementation of the Commercial Advertisement Loudness Mitigation (CALM) Act</w:t>
      </w:r>
      <w:r w:rsidRPr="0035697D">
        <w:t>, Report and Order, 26 FCC Rcd 17222, 17245-46, ¶ 37 (2011) (defining a smaller MVPD operator as one serving 400,000 or fewer subscribers nationwide, as of December 31, 2011).</w:t>
      </w:r>
    </w:p>
  </w:footnote>
  <w:footnote w:id="176">
    <w:p w14:paraId="198C7FC5" w14:textId="77777777" w:rsidR="00B605A4" w:rsidRPr="0035697D" w:rsidRDefault="00B605A4" w:rsidP="0006622B">
      <w:pPr>
        <w:pStyle w:val="FootnoteText"/>
        <w:spacing w:line="240" w:lineRule="atLeast"/>
      </w:pPr>
      <w:r w:rsidRPr="0035697D">
        <w:rPr>
          <w:rStyle w:val="FootnoteReference"/>
        </w:rPr>
        <w:footnoteRef/>
      </w:r>
      <w:r w:rsidRPr="0035697D">
        <w:t xml:space="preserve"> 47 C.F.R. § 76.901(c).  </w:t>
      </w:r>
    </w:p>
  </w:footnote>
  <w:footnote w:id="177">
    <w:p w14:paraId="3E0E54ED" w14:textId="77777777" w:rsidR="00B605A4" w:rsidRPr="0035697D" w:rsidRDefault="00B605A4" w:rsidP="0006622B">
      <w:pPr>
        <w:pStyle w:val="FootnoteText"/>
      </w:pPr>
      <w:r w:rsidRPr="0035697D">
        <w:rPr>
          <w:rStyle w:val="FootnoteReference"/>
        </w:rPr>
        <w:footnoteRef/>
      </w:r>
      <w:r w:rsidRPr="0035697D">
        <w:t xml:space="preserve"> The number of active, registered cable systems comes from the Commission’s Cable Operations and Licensing System (COALS) database on July 1, 2014.  A cable system is a physical system integrated to a principal headend.</w:t>
      </w:r>
    </w:p>
  </w:footnote>
  <w:footnote w:id="178">
    <w:p w14:paraId="46DCCFF4" w14:textId="5C7CEF0A" w:rsidR="00B605A4" w:rsidRPr="0035697D" w:rsidRDefault="00B605A4" w:rsidP="00930299">
      <w:pPr>
        <w:pStyle w:val="FootnoteText"/>
      </w:pPr>
      <w:r w:rsidRPr="0035697D">
        <w:rPr>
          <w:rStyle w:val="FootnoteReference"/>
        </w:rPr>
        <w:footnoteRef/>
      </w:r>
      <w:r w:rsidRPr="0035697D">
        <w:t xml:space="preserve"> </w:t>
      </w:r>
      <w:r w:rsidRPr="0035697D">
        <w:rPr>
          <w:i/>
        </w:rPr>
        <w:t>See</w:t>
      </w:r>
      <w:r w:rsidRPr="0035697D">
        <w:t xml:space="preserve"> 13 C.F.R. § 121.201, NAICS code 517110 (2007).  The 2007 NAICS definition of the category of “Wired Telecommunications Carriers” is in paragraph </w:t>
      </w:r>
      <w:r>
        <w:t>6</w:t>
      </w:r>
      <w:r w:rsidRPr="0035697D">
        <w:t>, above.</w:t>
      </w:r>
    </w:p>
  </w:footnote>
  <w:footnote w:id="179">
    <w:p w14:paraId="2022A4E6" w14:textId="77777777" w:rsidR="00B605A4" w:rsidRPr="0035697D" w:rsidRDefault="00B605A4" w:rsidP="00930299">
      <w:pPr>
        <w:pStyle w:val="FootnoteText"/>
      </w:pPr>
      <w:r w:rsidRPr="0035697D">
        <w:rPr>
          <w:rStyle w:val="FootnoteReference"/>
        </w:rPr>
        <w:footnoteRef/>
      </w:r>
      <w:r w:rsidRPr="0035697D">
        <w:t xml:space="preserve"> 13 C.F.R. § 121.201, NAICS code 517110 (2007).</w:t>
      </w:r>
    </w:p>
  </w:footnote>
  <w:footnote w:id="180">
    <w:p w14:paraId="4197EEF2" w14:textId="401DE082" w:rsidR="00B605A4" w:rsidRPr="0035697D" w:rsidRDefault="00B605A4" w:rsidP="00215F7B">
      <w:pPr>
        <w:pStyle w:val="FootnoteText"/>
      </w:pPr>
      <w:r w:rsidRPr="0035697D">
        <w:rPr>
          <w:rStyle w:val="FootnoteReference"/>
        </w:rPr>
        <w:footnoteRef/>
      </w:r>
      <w:r w:rsidRPr="0035697D">
        <w:t xml:space="preserve"> U.S. Census Bureau, 2007 Economic Census.  </w:t>
      </w:r>
      <w:r w:rsidRPr="0035697D">
        <w:rPr>
          <w:i/>
        </w:rPr>
        <w:t>See</w:t>
      </w:r>
      <w:r w:rsidRPr="0035697D">
        <w:t xml:space="preserve"> U.S. Census Bureau, American FactFinder, “Information: Subject Series – Estab and Firm Size: Employment Size of Establishments for the United States: 2007 – 2007 Economic Census,” NAICS code 517110, Table EC0751SSSZ5; available at </w:t>
      </w:r>
      <w:hyperlink r:id="rId8" w:history="1">
        <w:r w:rsidRPr="0035697D">
          <w:rPr>
            <w:rStyle w:val="Hyperlink"/>
          </w:rPr>
          <w:t>http://factfinder.census.gov/faces/tableservices/jsf/pages/productview.xhtml?pid=ECN_2007_US_51SSSZ5&amp;prodType=table</w:t>
        </w:r>
      </w:hyperlink>
      <w:r w:rsidRPr="0035697D">
        <w:t>.</w:t>
      </w:r>
    </w:p>
  </w:footnote>
  <w:footnote w:id="181">
    <w:p w14:paraId="7CB68178" w14:textId="77777777" w:rsidR="00B605A4" w:rsidRPr="0035697D" w:rsidRDefault="00B605A4" w:rsidP="00215F7B">
      <w:pPr>
        <w:pStyle w:val="FootnoteText"/>
      </w:pPr>
      <w:r w:rsidRPr="0035697D">
        <w:rPr>
          <w:rStyle w:val="FootnoteReference"/>
        </w:rPr>
        <w:footnoteRef/>
      </w:r>
      <w:r w:rsidRPr="0035697D">
        <w:t xml:space="preserve"> </w:t>
      </w:r>
      <w:r w:rsidRPr="0035697D">
        <w:rPr>
          <w:i/>
        </w:rPr>
        <w:t>Id</w:t>
      </w:r>
      <w:r w:rsidRPr="0035697D">
        <w:t>.</w:t>
      </w:r>
    </w:p>
  </w:footnote>
  <w:footnote w:id="182">
    <w:p w14:paraId="58C66B13" w14:textId="77777777" w:rsidR="00B605A4" w:rsidRPr="0035697D" w:rsidRDefault="00B605A4" w:rsidP="00930299">
      <w:pPr>
        <w:pStyle w:val="FootnoteText"/>
        <w:rPr>
          <w:lang w:val="fr-FR"/>
        </w:rPr>
      </w:pPr>
      <w:r w:rsidRPr="0035697D">
        <w:rPr>
          <w:rStyle w:val="FootnoteReference"/>
        </w:rPr>
        <w:footnoteRef/>
      </w:r>
      <w:r w:rsidRPr="0035697D">
        <w:rPr>
          <w:lang w:val="fr-FR"/>
        </w:rPr>
        <w:t xml:space="preserve"> 13 C.F.R. § 121.201; NAICS code 517510 (2002).</w:t>
      </w:r>
    </w:p>
  </w:footnote>
  <w:footnote w:id="183">
    <w:p w14:paraId="4F06A6A5" w14:textId="24F0B8A4" w:rsidR="00B605A4" w:rsidRPr="0035697D" w:rsidRDefault="00B605A4" w:rsidP="00930299">
      <w:pPr>
        <w:pStyle w:val="FootnoteText"/>
      </w:pPr>
      <w:r w:rsidRPr="0035697D">
        <w:rPr>
          <w:rStyle w:val="FootnoteReference"/>
        </w:rPr>
        <w:footnoteRef/>
      </w:r>
      <w:r w:rsidRPr="0035697D">
        <w:t xml:space="preserve"> S</w:t>
      </w:r>
      <w:r w:rsidRPr="0035697D">
        <w:rPr>
          <w:i/>
        </w:rPr>
        <w:t>ee 15</w:t>
      </w:r>
      <w:r w:rsidRPr="0035697D">
        <w:rPr>
          <w:i/>
          <w:vertAlign w:val="superscript"/>
        </w:rPr>
        <w:t>th</w:t>
      </w:r>
      <w:r w:rsidRPr="0035697D">
        <w:rPr>
          <w:i/>
        </w:rPr>
        <w:t xml:space="preserve"> Annual Video Competition Report</w:t>
      </w:r>
      <w:r w:rsidRPr="0035697D">
        <w:t xml:space="preserve">, 28 FCC Rcd at 10507, ¶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sidRPr="0035697D">
        <w:rPr>
          <w:i/>
        </w:rPr>
        <w:t>Id</w:t>
      </w:r>
      <w:r w:rsidRPr="0035697D">
        <w:t>. at 10507, 10546, ¶¶ 27, 110-11.</w:t>
      </w:r>
    </w:p>
  </w:footnote>
  <w:footnote w:id="184">
    <w:p w14:paraId="4D33F39D" w14:textId="3F48D981" w:rsidR="00B605A4" w:rsidRPr="0035697D" w:rsidRDefault="00B605A4" w:rsidP="00930299">
      <w:pPr>
        <w:pStyle w:val="FootnoteText"/>
      </w:pPr>
      <w:r w:rsidRPr="0035697D">
        <w:rPr>
          <w:rStyle w:val="FootnoteReference"/>
        </w:rPr>
        <w:footnoteRef/>
      </w:r>
      <w:r w:rsidRPr="0035697D">
        <w:t xml:space="preserve"> 47 U.S.C. § 571(a)(3)-(4).  </w:t>
      </w:r>
      <w:r w:rsidRPr="0035697D">
        <w:rPr>
          <w:i/>
        </w:rPr>
        <w:t>See Annual Assessment of the Status of Competition in the Market for the Delivery of Video Programming,</w:t>
      </w:r>
      <w:r w:rsidRPr="0035697D">
        <w:t xml:space="preserve"> Thirteenth Annual Report, 24 FCC Rcd 542, 606, ¶ 135 (2000) (“</w:t>
      </w:r>
      <w:r w:rsidRPr="0035697D">
        <w:rPr>
          <w:i/>
        </w:rPr>
        <w:t>13</w:t>
      </w:r>
      <w:r w:rsidRPr="0035697D">
        <w:rPr>
          <w:i/>
          <w:vertAlign w:val="superscript"/>
        </w:rPr>
        <w:t>th</w:t>
      </w:r>
      <w:r w:rsidRPr="0035697D">
        <w:rPr>
          <w:i/>
        </w:rPr>
        <w:t xml:space="preserve"> Annual Video Competition Report</w:t>
      </w:r>
      <w:r w:rsidRPr="0035697D">
        <w:t>”).</w:t>
      </w:r>
    </w:p>
  </w:footnote>
  <w:footnote w:id="185">
    <w:p w14:paraId="5D15A88C" w14:textId="77777777" w:rsidR="00B605A4" w:rsidRPr="0035697D" w:rsidRDefault="00B605A4" w:rsidP="00930299">
      <w:pPr>
        <w:pStyle w:val="FootnoteText"/>
      </w:pPr>
      <w:r w:rsidRPr="0035697D">
        <w:rPr>
          <w:rStyle w:val="FootnoteReference"/>
        </w:rPr>
        <w:footnoteRef/>
      </w:r>
      <w:r w:rsidRPr="0035697D">
        <w:t xml:space="preserve"> </w:t>
      </w:r>
      <w:r w:rsidRPr="0035697D">
        <w:rPr>
          <w:i/>
          <w:iCs/>
        </w:rPr>
        <w:t xml:space="preserve">See </w:t>
      </w:r>
      <w:r w:rsidRPr="0035697D">
        <w:t>47 U.S.C. § 573.</w:t>
      </w:r>
    </w:p>
  </w:footnote>
  <w:footnote w:id="186">
    <w:p w14:paraId="22EFECE3" w14:textId="17F1D9AF" w:rsidR="00B605A4" w:rsidRPr="0035697D" w:rsidRDefault="00B605A4" w:rsidP="00930299">
      <w:pPr>
        <w:pStyle w:val="FootnoteText"/>
      </w:pPr>
      <w:r w:rsidRPr="0035697D">
        <w:rPr>
          <w:rStyle w:val="FootnoteReference"/>
        </w:rPr>
        <w:footnoteRef/>
      </w:r>
      <w:r w:rsidRPr="0035697D">
        <w:t xml:space="preserve"> U.S. Census Bureau, 2007 NAICS Definitions, “517110 Wired Telecommunications Carriers”; </w:t>
      </w:r>
      <w:hyperlink r:id="rId9" w:anchor="N517110" w:tooltip="http://www.census.gov/naics/2007/def/ND517110.HTM#N517110" w:history="1">
        <w:r w:rsidRPr="0035697D">
          <w:rPr>
            <w:rStyle w:val="Hyperlink"/>
          </w:rPr>
          <w:t>http://www.census.gov/naics/2007/def/ND517110.HTM#N517110</w:t>
        </w:r>
      </w:hyperlink>
      <w:r w:rsidRPr="0035697D">
        <w:t>.</w:t>
      </w:r>
    </w:p>
  </w:footnote>
  <w:footnote w:id="187">
    <w:p w14:paraId="7D57C97E" w14:textId="72B3A53E" w:rsidR="00B605A4" w:rsidRPr="0035697D" w:rsidRDefault="00B605A4" w:rsidP="00215F7B">
      <w:pPr>
        <w:pStyle w:val="FootnoteText"/>
      </w:pPr>
      <w:r w:rsidRPr="0035697D">
        <w:rPr>
          <w:rStyle w:val="FootnoteReference"/>
        </w:rPr>
        <w:footnoteRef/>
      </w:r>
      <w:r w:rsidRPr="0035697D">
        <w:t xml:space="preserve"> U.S. Census Bureau, 2007 Economic Census.  </w:t>
      </w:r>
      <w:r w:rsidRPr="0035697D">
        <w:rPr>
          <w:i/>
        </w:rPr>
        <w:t>See</w:t>
      </w:r>
      <w:r w:rsidRPr="0035697D">
        <w:t xml:space="preserve"> U.S. Census Bureau, American FactFinder, “Information: Subject Series – Estab and Firm Size: Employment Size of Establishments for the United States: 2007 – 2007 Economic Census,” NAICS code 517110, Table EC0751SSSZ5; available at </w:t>
      </w:r>
      <w:hyperlink r:id="rId10" w:history="1">
        <w:r w:rsidRPr="0035697D">
          <w:rPr>
            <w:rStyle w:val="Hyperlink"/>
          </w:rPr>
          <w:t>http://factfinder.census.gov/faces/tableservices/jsf/pages/productview.xhtml?pid=ECN_2007_US_51SSSZ5&amp;prodType=table</w:t>
        </w:r>
      </w:hyperlink>
      <w:r w:rsidRPr="0035697D">
        <w:t>.</w:t>
      </w:r>
    </w:p>
  </w:footnote>
  <w:footnote w:id="188">
    <w:p w14:paraId="2BD9F4C4" w14:textId="77777777" w:rsidR="00B605A4" w:rsidRPr="0035697D" w:rsidRDefault="00B605A4" w:rsidP="00215F7B">
      <w:pPr>
        <w:pStyle w:val="FootnoteText"/>
      </w:pPr>
      <w:r w:rsidRPr="0035697D">
        <w:rPr>
          <w:rStyle w:val="FootnoteReference"/>
        </w:rPr>
        <w:footnoteRef/>
      </w:r>
      <w:r w:rsidRPr="0035697D">
        <w:t xml:space="preserve"> </w:t>
      </w:r>
      <w:r w:rsidRPr="0035697D">
        <w:rPr>
          <w:i/>
        </w:rPr>
        <w:t>Id</w:t>
      </w:r>
      <w:r w:rsidRPr="0035697D">
        <w:t>.</w:t>
      </w:r>
    </w:p>
  </w:footnote>
  <w:footnote w:id="189">
    <w:p w14:paraId="7D350EE4" w14:textId="4BFC7468" w:rsidR="00B605A4" w:rsidRPr="0035697D" w:rsidRDefault="00B605A4" w:rsidP="00930299">
      <w:pPr>
        <w:pStyle w:val="FootnoteText"/>
      </w:pPr>
      <w:r w:rsidRPr="0035697D">
        <w:rPr>
          <w:rStyle w:val="FootnoteReference"/>
        </w:rPr>
        <w:footnoteRef/>
      </w:r>
      <w:r w:rsidRPr="0035697D">
        <w:t xml:space="preserve"> A list of OVS certifications may be found at </w:t>
      </w:r>
      <w:hyperlink r:id="rId11" w:tooltip="http://www.fcc.gov/mb/ovs/csovscer.html" w:history="1">
        <w:r w:rsidRPr="0035697D">
          <w:rPr>
            <w:rStyle w:val="Hyperlink"/>
          </w:rPr>
          <w:t>http://www.fcc.gov/mb/ovs/csovscer.html</w:t>
        </w:r>
      </w:hyperlink>
      <w:r w:rsidRPr="0035697D">
        <w:t>.</w:t>
      </w:r>
    </w:p>
  </w:footnote>
  <w:footnote w:id="190">
    <w:p w14:paraId="77893989" w14:textId="00653EBF" w:rsidR="00B605A4" w:rsidRPr="0035697D" w:rsidRDefault="00B605A4" w:rsidP="00930299">
      <w:pPr>
        <w:pStyle w:val="FootnoteText"/>
      </w:pPr>
      <w:r w:rsidRPr="0035697D">
        <w:rPr>
          <w:rStyle w:val="FootnoteReference"/>
        </w:rPr>
        <w:footnoteRef/>
      </w:r>
      <w:r w:rsidRPr="0035697D">
        <w:t xml:space="preserve"> </w:t>
      </w:r>
      <w:r w:rsidRPr="0035697D">
        <w:rPr>
          <w:i/>
          <w:iCs/>
        </w:rPr>
        <w:t>See 13th Annual Video Competition Report</w:t>
      </w:r>
      <w:r w:rsidRPr="0035697D">
        <w:t>, 24 FCC Rcd at 606-07, ¶ 135.  BSPs are newer firms that are building state-of-the-art, facilities-based networks to provide video, voice, and data services over a single network. </w:t>
      </w:r>
    </w:p>
  </w:footnote>
  <w:footnote w:id="191">
    <w:p w14:paraId="66712E95" w14:textId="77777777" w:rsidR="00B605A4" w:rsidRPr="0035697D" w:rsidRDefault="00B605A4" w:rsidP="00930299">
      <w:pPr>
        <w:pStyle w:val="FootnoteText"/>
        <w:spacing w:line="0" w:lineRule="atLeast"/>
      </w:pPr>
      <w:r w:rsidRPr="0035697D">
        <w:rPr>
          <w:rStyle w:val="FootnoteReference"/>
        </w:rPr>
        <w:footnoteRef/>
      </w:r>
      <w:r w:rsidRPr="0035697D">
        <w:t xml:space="preserve"> 15 U.S.C. § 632.</w:t>
      </w:r>
    </w:p>
  </w:footnote>
  <w:footnote w:id="192">
    <w:p w14:paraId="1F150709" w14:textId="68CCF5C3" w:rsidR="00B605A4" w:rsidRPr="0035697D" w:rsidRDefault="00B605A4" w:rsidP="00930299">
      <w:pPr>
        <w:pStyle w:val="FootnoteText"/>
        <w:spacing w:line="0" w:lineRule="atLeast"/>
      </w:pPr>
      <w:r w:rsidRPr="0035697D">
        <w:rPr>
          <w:rStyle w:val="FootnoteReference"/>
        </w:rPr>
        <w:footnoteRef/>
      </w:r>
      <w:r w:rsidRPr="0035697D">
        <w:t xml:space="preserve"> Letter from Jere W. Glover, Chief Counsel for Advocacy, SBA, to William E. Kennard, Chairman, FCC (May 27, 1999).  The Small Business Act contains a definition of “small business concern,” which the RFA incorporates into its own definition of “small business.”  </w:t>
      </w:r>
      <w:r w:rsidRPr="0035697D">
        <w:rPr>
          <w:i/>
        </w:rPr>
        <w:t>See</w:t>
      </w:r>
      <w:r w:rsidRPr="0035697D">
        <w:t xml:space="preserve"> 15 U.S.C. § 632(a) (Small Business Act); 5 U.S.C. § 601(3) (RFA).  SBA regulations interpret “small business concern” to include the concept of dominance on a national basis.  </w:t>
      </w:r>
      <w:r w:rsidRPr="0035697D">
        <w:rPr>
          <w:i/>
        </w:rPr>
        <w:t>See</w:t>
      </w:r>
      <w:r w:rsidRPr="0035697D">
        <w:t xml:space="preserve"> 13 C.F.R. § 121.102(b).</w:t>
      </w:r>
    </w:p>
  </w:footnote>
  <w:footnote w:id="193">
    <w:p w14:paraId="04BBB63F" w14:textId="77777777" w:rsidR="00B605A4" w:rsidRPr="0035697D" w:rsidRDefault="00B605A4" w:rsidP="00930299">
      <w:pPr>
        <w:pStyle w:val="FootnoteText"/>
        <w:spacing w:line="0" w:lineRule="atLeast"/>
      </w:pPr>
      <w:r w:rsidRPr="0035697D">
        <w:rPr>
          <w:rStyle w:val="FootnoteReference"/>
        </w:rPr>
        <w:footnoteRef/>
      </w:r>
      <w:r w:rsidRPr="0035697D">
        <w:t xml:space="preserve"> 13 C.F.R. § 121.201 (2007 NAICS code 517110).</w:t>
      </w:r>
    </w:p>
  </w:footnote>
  <w:footnote w:id="194">
    <w:p w14:paraId="0AA14DC8" w14:textId="6E61DA73" w:rsidR="00B605A4" w:rsidRPr="0035697D" w:rsidRDefault="00B605A4" w:rsidP="00385FA5">
      <w:pPr>
        <w:pStyle w:val="FootnoteText"/>
      </w:pPr>
      <w:r w:rsidRPr="0035697D">
        <w:rPr>
          <w:rStyle w:val="FootnoteReference"/>
        </w:rPr>
        <w:footnoteRef/>
      </w:r>
      <w:r w:rsidRPr="0035697D">
        <w:t xml:space="preserve"> U.S. Census Bureau, 2007 Economic Census.  </w:t>
      </w:r>
      <w:r w:rsidRPr="0035697D">
        <w:rPr>
          <w:i/>
        </w:rPr>
        <w:t>See</w:t>
      </w:r>
      <w:r w:rsidRPr="0035697D">
        <w:t xml:space="preserve"> U.S. Census Bureau, American FactFinder, “Information: Subject Series – Estab and Firm Size: Employment Size of Establishments for the United States: 2007 – 2007 Economic Census,” NAICS code 517110, Table EC0751SSSZ5; available at </w:t>
      </w:r>
      <w:hyperlink r:id="rId12" w:history="1">
        <w:r w:rsidRPr="00A7715B">
          <w:rPr>
            <w:rStyle w:val="Hyperlink"/>
          </w:rPr>
          <w:t>http://factfinder.census.gov/faces/tableservices/jsf/pages/productview.xhtml?pid=ECN_2007_US_51SSSZ5&amp;prodType=table</w:t>
        </w:r>
      </w:hyperlink>
      <w:r w:rsidRPr="0035697D">
        <w:t>.</w:t>
      </w:r>
    </w:p>
  </w:footnote>
  <w:footnote w:id="195">
    <w:p w14:paraId="69319565" w14:textId="77777777" w:rsidR="00B605A4" w:rsidRPr="00833574" w:rsidRDefault="00B605A4" w:rsidP="00385FA5">
      <w:pPr>
        <w:pStyle w:val="FootnoteText"/>
        <w:rPr>
          <w:highlight w:val="yellow"/>
        </w:rPr>
      </w:pPr>
      <w:r w:rsidRPr="0035697D">
        <w:rPr>
          <w:rStyle w:val="FootnoteReference"/>
        </w:rPr>
        <w:footnoteRef/>
      </w:r>
      <w:r w:rsidRPr="0035697D">
        <w:t xml:space="preserve"> </w:t>
      </w:r>
      <w:r w:rsidRPr="0035697D">
        <w:rPr>
          <w:i/>
        </w:rPr>
        <w:t>Id</w:t>
      </w:r>
      <w:r w:rsidRPr="0035697D">
        <w:t>.</w:t>
      </w:r>
    </w:p>
  </w:footnote>
  <w:footnote w:id="196">
    <w:p w14:paraId="2DAAF8F4" w14:textId="612B4004" w:rsidR="00B605A4" w:rsidRDefault="00B605A4">
      <w:pPr>
        <w:pStyle w:val="FootnoteText"/>
      </w:pPr>
      <w:r>
        <w:rPr>
          <w:rStyle w:val="FootnoteReference"/>
        </w:rPr>
        <w:footnoteRef/>
      </w:r>
      <w:r>
        <w:t xml:space="preserve"> Prior to the effective date of the rules adopted in the Order, we note that the Media Bureau has authority to continue processing pending petitions for a determination of Effective Competition, petitions for reconsideration of certification, and petitions for reconsideration of an Effective Competition decision in </w:t>
      </w:r>
      <w:r w:rsidR="006D6B12">
        <w:t>the</w:t>
      </w:r>
      <w:r>
        <w:t xml:space="preserve"> normal course of business pursuant to existing rules.</w:t>
      </w:r>
    </w:p>
  </w:footnote>
  <w:footnote w:id="197">
    <w:p w14:paraId="4124ECDB" w14:textId="77777777" w:rsidR="00B605A4" w:rsidRDefault="00B605A4" w:rsidP="00B92DCC">
      <w:pPr>
        <w:pStyle w:val="FootnoteText"/>
      </w:pPr>
      <w:r w:rsidRPr="003A40E2">
        <w:rPr>
          <w:rStyle w:val="FootnoteReference"/>
        </w:rPr>
        <w:footnoteRef/>
      </w:r>
      <w:r w:rsidRPr="003A40E2">
        <w:t xml:space="preserve"> 5 U.S.C. § 603(c)(1)-(c)(4).</w:t>
      </w:r>
    </w:p>
  </w:footnote>
  <w:footnote w:id="198">
    <w:p w14:paraId="434444B7" w14:textId="251C33A4" w:rsidR="00B605A4" w:rsidRPr="003A40E2" w:rsidRDefault="00B605A4">
      <w:pPr>
        <w:pStyle w:val="FootnoteText"/>
      </w:pPr>
      <w:r>
        <w:rPr>
          <w:rStyle w:val="FootnoteReference"/>
        </w:rPr>
        <w:footnoteRef/>
      </w:r>
      <w:r>
        <w:t xml:space="preserve"> NPRM, 30 FCC Rcd at 2573-74, ¶¶ 21-23.</w:t>
      </w:r>
    </w:p>
  </w:footnote>
  <w:footnote w:id="199">
    <w:p w14:paraId="3B59C385" w14:textId="5343D515" w:rsidR="00B605A4" w:rsidRDefault="00B605A4">
      <w:pPr>
        <w:pStyle w:val="FootnoteText"/>
      </w:pPr>
      <w:r>
        <w:rPr>
          <w:rStyle w:val="FootnoteReference"/>
        </w:rPr>
        <w:footnoteRef/>
      </w:r>
      <w:r>
        <w:t xml:space="preserve"> In addition, in paragraph 22 of the Order, the Commission explains that third-party MVPDs or their agents sometimes charge cable operators for access to subscribership and reach data.  The Commission states that it will revisit th</w:t>
      </w:r>
      <w:r w:rsidR="006D6B12">
        <w:t>e issue of the cost of the data</w:t>
      </w:r>
      <w:r>
        <w:t xml:space="preserve"> if it receives complaints that the cost of such data makes the filing of Form 328 cost-prohibitive to franchising authorities.</w:t>
      </w:r>
    </w:p>
  </w:footnote>
  <w:footnote w:id="200">
    <w:p w14:paraId="326AF87B" w14:textId="1D1CFB70" w:rsidR="00B605A4" w:rsidRDefault="00B605A4">
      <w:pPr>
        <w:pStyle w:val="FootnoteText"/>
      </w:pPr>
      <w:r>
        <w:rPr>
          <w:rStyle w:val="FootnoteReference"/>
        </w:rPr>
        <w:footnoteRef/>
      </w:r>
      <w:r>
        <w:t xml:space="preserve"> </w:t>
      </w:r>
      <w:r w:rsidRPr="00194CB2">
        <w:rPr>
          <w:i/>
        </w:rPr>
        <w:t>See</w:t>
      </w:r>
      <w:r>
        <w:t xml:space="preserve"> 5 U.S.C. § 801(a)(1)(A).</w:t>
      </w:r>
    </w:p>
  </w:footnote>
  <w:footnote w:id="201">
    <w:p w14:paraId="64DB22F8" w14:textId="767743E9" w:rsidR="00B605A4" w:rsidRDefault="00B605A4">
      <w:pPr>
        <w:pStyle w:val="FootnoteText"/>
      </w:pPr>
      <w:r>
        <w:rPr>
          <w:rStyle w:val="FootnoteReference"/>
        </w:rPr>
        <w:footnoteRef/>
      </w:r>
      <w:r>
        <w:t xml:space="preserve"> </w:t>
      </w:r>
      <w:r w:rsidRPr="00194CB2">
        <w:rPr>
          <w:i/>
        </w:rPr>
        <w:t>See id.</w:t>
      </w:r>
      <w:r>
        <w:t xml:space="preserve"> § 604(b).</w:t>
      </w:r>
    </w:p>
  </w:footnote>
  <w:footnote w:id="202">
    <w:p w14:paraId="66D9BAA3" w14:textId="77777777" w:rsidR="002C0EEE" w:rsidRPr="000A6C5B" w:rsidRDefault="002C0EEE" w:rsidP="002C0EEE">
      <w:pPr>
        <w:pStyle w:val="FootnoteText"/>
      </w:pPr>
      <w:r w:rsidRPr="000A6C5B">
        <w:rPr>
          <w:rStyle w:val="FootnoteReference"/>
        </w:rPr>
        <w:footnoteRef/>
      </w:r>
      <w:r w:rsidRPr="000A6C5B">
        <w:t xml:space="preserve"> </w:t>
      </w:r>
      <w:r w:rsidRPr="000A6C5B">
        <w:rPr>
          <w:i/>
        </w:rPr>
        <w:t>See, e.g.</w:t>
      </w:r>
      <w:r w:rsidRPr="000A6C5B">
        <w:t xml:space="preserve">, Remarks of Commissioner </w:t>
      </w:r>
      <w:r>
        <w:t xml:space="preserve">Ajit </w:t>
      </w:r>
      <w:r w:rsidRPr="000A6C5B">
        <w:t>Pai at the Media Institute Luncheon</w:t>
      </w:r>
      <w:r>
        <w:t>, “The Video Marketplace and the Internet Transformation,”</w:t>
      </w:r>
      <w:r w:rsidRPr="000A6C5B">
        <w:t xml:space="preserve"> at 2 (Feb. 7, 2013), </w:t>
      </w:r>
      <w:r w:rsidRPr="00AC0DC2">
        <w:rPr>
          <w:i/>
        </w:rPr>
        <w:t>available at</w:t>
      </w:r>
      <w:r w:rsidRPr="000A6C5B">
        <w:t xml:space="preserve"> </w:t>
      </w:r>
      <w:r w:rsidRPr="000C2002">
        <w:t>http://go.usa.gov/3XVZF</w:t>
      </w:r>
      <w:r w:rsidRPr="000A6C5B">
        <w:t xml:space="preserve">; </w:t>
      </w:r>
      <w:r>
        <w:rPr>
          <w:i/>
        </w:rPr>
        <w:t>2014 Quadrennial Regulatory Review – Review of the Commission’s Broadcast Ownership Rules and Other Rules Adopted Pursuant to Section 202 of the Telecommunications Act of 1996 et al.</w:t>
      </w:r>
      <w:r w:rsidRPr="000A6C5B">
        <w:t xml:space="preserve">, MB Docket Nos. 14-50, 09-182, 07-294, 04-256, </w:t>
      </w:r>
      <w:r>
        <w:t>Further Notice of Proposed Rulemaking and Report and Order</w:t>
      </w:r>
      <w:r w:rsidRPr="000A6C5B">
        <w:t xml:space="preserve">, 29 FCC Rcd </w:t>
      </w:r>
      <w:r>
        <w:t>4371, 4587</w:t>
      </w:r>
      <w:r w:rsidRPr="000A6C5B">
        <w:t xml:space="preserve"> (2014)</w:t>
      </w:r>
      <w:r>
        <w:t xml:space="preserve"> (</w:t>
      </w:r>
      <w:r w:rsidRPr="000A6C5B">
        <w:t>Dissenting Statement of Commissioner Ajit Pai</w:t>
      </w:r>
      <w:r>
        <w:t>)</w:t>
      </w:r>
      <w:r w:rsidRPr="000A6C5B">
        <w:t xml:space="preserve">, </w:t>
      </w:r>
      <w:r w:rsidRPr="004B6B01">
        <w:rPr>
          <w:i/>
        </w:rPr>
        <w:t>available at</w:t>
      </w:r>
      <w:r>
        <w:t xml:space="preserve"> </w:t>
      </w:r>
      <w:r w:rsidRPr="002F0D4E">
        <w:t>http://go.usa.gov/3XyVh</w:t>
      </w:r>
      <w:r>
        <w:t>.</w:t>
      </w:r>
    </w:p>
  </w:footnote>
  <w:footnote w:id="203">
    <w:p w14:paraId="49D9DA41" w14:textId="77777777" w:rsidR="002C0EEE" w:rsidRPr="000A6C5B" w:rsidRDefault="002C0EEE" w:rsidP="002C0EEE">
      <w:pPr>
        <w:pStyle w:val="FootnoteText"/>
      </w:pPr>
      <w:r w:rsidRPr="000A6C5B">
        <w:rPr>
          <w:rStyle w:val="FootnoteReference"/>
        </w:rPr>
        <w:footnoteRef/>
      </w:r>
      <w:r w:rsidRPr="000A6C5B">
        <w:t xml:space="preserve"> </w:t>
      </w:r>
      <w:r w:rsidRPr="007E0CE7">
        <w:rPr>
          <w:i/>
        </w:rPr>
        <w:t>See</w:t>
      </w:r>
      <w:r>
        <w:t xml:space="preserve"> Eric the Clown, </w:t>
      </w:r>
      <w:r w:rsidRPr="004572D8">
        <w:rPr>
          <w:i/>
        </w:rPr>
        <w:t>Seinfeld</w:t>
      </w:r>
      <w:r>
        <w:t xml:space="preserve">, Season 5, Episode 20 (May 6, 1994) (“You’re living in the past, man!  You’re hung up on some clown from the ’60s, man!”), </w:t>
      </w:r>
      <w:r w:rsidRPr="009B3AAE">
        <w:rPr>
          <w:i/>
        </w:rPr>
        <w:t>available at</w:t>
      </w:r>
      <w:r>
        <w:t xml:space="preserve"> </w:t>
      </w:r>
      <w:r w:rsidRPr="002F0D4E">
        <w:t>https://www.youtube.com/watch?v=esJl7MZoVww</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64D87" w14:textId="77777777" w:rsidR="004D49B6" w:rsidRDefault="004D4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E13C0" w14:textId="501BB13C" w:rsidR="00B605A4" w:rsidRDefault="00B605A4" w:rsidP="007F1A6A">
    <w:pPr>
      <w:pStyle w:val="Header"/>
    </w:pPr>
    <w:r>
      <w:tab/>
      <w:t>Federal Communications Commission</w:t>
    </w:r>
    <w:r>
      <w:tab/>
      <w:t>FCC 15-</w:t>
    </w:r>
    <w:r w:rsidR="00B07459">
      <w:t>62</w:t>
    </w:r>
  </w:p>
  <w:p w14:paraId="45A888C3" w14:textId="77777777" w:rsidR="00B605A4" w:rsidRDefault="00B605A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752" behindDoc="1" locked="0" layoutInCell="0" allowOverlap="1" wp14:anchorId="3D6BC153" wp14:editId="69E4661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213F15" id="Rectangle 1" o:spid="_x0000_s1026" style="position:absolute;margin-left:0;margin-top:0;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42CB" w14:textId="516B3C63" w:rsidR="00B605A4" w:rsidRDefault="00B605A4" w:rsidP="007F1A6A">
    <w:pPr>
      <w:pStyle w:val="Header"/>
    </w:pPr>
    <w:r>
      <w:rPr>
        <w:noProof/>
        <w:snapToGrid/>
      </w:rPr>
      <mc:AlternateContent>
        <mc:Choice Requires="wps">
          <w:drawing>
            <wp:anchor distT="0" distB="0" distL="114300" distR="114300" simplePos="0" relativeHeight="251658240" behindDoc="1" locked="0" layoutInCell="0" allowOverlap="1" wp14:anchorId="7A2D717E" wp14:editId="3C67F99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26909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FCC 15-</w:t>
    </w:r>
    <w:r w:rsidR="00B07459">
      <w:t>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601DE"/>
    <w:multiLevelType w:val="hybridMultilevel"/>
    <w:tmpl w:val="B0D8D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9D26B0"/>
    <w:multiLevelType w:val="hybridMultilevel"/>
    <w:tmpl w:val="CB54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4"/>
  </w:num>
  <w:num w:numId="2">
    <w:abstractNumId w:val="10"/>
  </w:num>
  <w:num w:numId="3">
    <w:abstractNumId w:val="6"/>
  </w:num>
  <w:num w:numId="4">
    <w:abstractNumId w:val="9"/>
  </w:num>
  <w:num w:numId="5">
    <w:abstractNumId w:val="5"/>
  </w:num>
  <w:num w:numId="6">
    <w:abstractNumId w:val="1"/>
  </w:num>
  <w:num w:numId="7">
    <w:abstractNumId w:val="0"/>
  </w:num>
  <w:num w:numId="8">
    <w:abstractNumId w:val="11"/>
  </w:num>
  <w:num w:numId="9">
    <w:abstractNumId w:val="7"/>
  </w:num>
  <w:num w:numId="10">
    <w:abstractNumId w:val="10"/>
    <w:lvlOverride w:ilvl="0">
      <w:startOverride w:val="1"/>
    </w:lvlOverride>
  </w:num>
  <w:num w:numId="11">
    <w:abstractNumId w:val="10"/>
    <w:lvlOverride w:ilvl="0">
      <w:startOverride w:val="1"/>
    </w:lvlOverride>
  </w:num>
  <w:num w:numId="12">
    <w:abstractNumId w:val="8"/>
  </w:num>
  <w:num w:numId="13">
    <w:abstractNumId w:val="2"/>
  </w:num>
  <w:num w:numId="14">
    <w:abstractNumId w:val="10"/>
    <w:lvlOverride w:ilvl="0">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A1"/>
    <w:rsid w:val="00001DE9"/>
    <w:rsid w:val="00003E37"/>
    <w:rsid w:val="00004251"/>
    <w:rsid w:val="00004F20"/>
    <w:rsid w:val="000063C8"/>
    <w:rsid w:val="000078B0"/>
    <w:rsid w:val="000108F5"/>
    <w:rsid w:val="00012AF3"/>
    <w:rsid w:val="00014879"/>
    <w:rsid w:val="00015474"/>
    <w:rsid w:val="000164C1"/>
    <w:rsid w:val="00017536"/>
    <w:rsid w:val="00023230"/>
    <w:rsid w:val="00023B05"/>
    <w:rsid w:val="000271D9"/>
    <w:rsid w:val="00031B6E"/>
    <w:rsid w:val="00032800"/>
    <w:rsid w:val="00033909"/>
    <w:rsid w:val="00036039"/>
    <w:rsid w:val="000360E9"/>
    <w:rsid w:val="00037C58"/>
    <w:rsid w:val="00037F90"/>
    <w:rsid w:val="00041F85"/>
    <w:rsid w:val="00042C85"/>
    <w:rsid w:val="0004380E"/>
    <w:rsid w:val="000441FD"/>
    <w:rsid w:val="000443A8"/>
    <w:rsid w:val="000475F6"/>
    <w:rsid w:val="00054F2B"/>
    <w:rsid w:val="00057205"/>
    <w:rsid w:val="000576AA"/>
    <w:rsid w:val="0006002D"/>
    <w:rsid w:val="00063D11"/>
    <w:rsid w:val="000641B8"/>
    <w:rsid w:val="0006469C"/>
    <w:rsid w:val="00064B2A"/>
    <w:rsid w:val="00065E23"/>
    <w:rsid w:val="0006622B"/>
    <w:rsid w:val="00066379"/>
    <w:rsid w:val="00067638"/>
    <w:rsid w:val="00070998"/>
    <w:rsid w:val="00071CE5"/>
    <w:rsid w:val="000756DC"/>
    <w:rsid w:val="00075C40"/>
    <w:rsid w:val="00076322"/>
    <w:rsid w:val="00076D22"/>
    <w:rsid w:val="000770E3"/>
    <w:rsid w:val="00080717"/>
    <w:rsid w:val="0008203E"/>
    <w:rsid w:val="00082367"/>
    <w:rsid w:val="0008382D"/>
    <w:rsid w:val="00085973"/>
    <w:rsid w:val="00086B7A"/>
    <w:rsid w:val="000875BF"/>
    <w:rsid w:val="00087744"/>
    <w:rsid w:val="00087BFC"/>
    <w:rsid w:val="00090772"/>
    <w:rsid w:val="00092333"/>
    <w:rsid w:val="00092F1F"/>
    <w:rsid w:val="0009300E"/>
    <w:rsid w:val="0009309E"/>
    <w:rsid w:val="00095BB4"/>
    <w:rsid w:val="00096689"/>
    <w:rsid w:val="00096D8C"/>
    <w:rsid w:val="00097738"/>
    <w:rsid w:val="000978F5"/>
    <w:rsid w:val="000A1426"/>
    <w:rsid w:val="000A142A"/>
    <w:rsid w:val="000A39D2"/>
    <w:rsid w:val="000A45A0"/>
    <w:rsid w:val="000A4B7F"/>
    <w:rsid w:val="000A4B97"/>
    <w:rsid w:val="000A4BE1"/>
    <w:rsid w:val="000A4DF2"/>
    <w:rsid w:val="000A616E"/>
    <w:rsid w:val="000B000F"/>
    <w:rsid w:val="000B0E57"/>
    <w:rsid w:val="000B17D1"/>
    <w:rsid w:val="000B2212"/>
    <w:rsid w:val="000B244F"/>
    <w:rsid w:val="000B3495"/>
    <w:rsid w:val="000B4E22"/>
    <w:rsid w:val="000B5CE7"/>
    <w:rsid w:val="000B70A7"/>
    <w:rsid w:val="000B7B04"/>
    <w:rsid w:val="000B7E39"/>
    <w:rsid w:val="000C057E"/>
    <w:rsid w:val="000C0B65"/>
    <w:rsid w:val="000C0E39"/>
    <w:rsid w:val="000C1ACF"/>
    <w:rsid w:val="000C3B14"/>
    <w:rsid w:val="000C4264"/>
    <w:rsid w:val="000C4289"/>
    <w:rsid w:val="000C5945"/>
    <w:rsid w:val="000C5FD4"/>
    <w:rsid w:val="000C764F"/>
    <w:rsid w:val="000C7A3C"/>
    <w:rsid w:val="000C7F36"/>
    <w:rsid w:val="000D0EF3"/>
    <w:rsid w:val="000D1B4D"/>
    <w:rsid w:val="000D207D"/>
    <w:rsid w:val="000D2786"/>
    <w:rsid w:val="000D35A6"/>
    <w:rsid w:val="000D4CE9"/>
    <w:rsid w:val="000D6FD8"/>
    <w:rsid w:val="000E05FE"/>
    <w:rsid w:val="000E0CBB"/>
    <w:rsid w:val="000E2610"/>
    <w:rsid w:val="000E2D1A"/>
    <w:rsid w:val="000E2E5A"/>
    <w:rsid w:val="000E3352"/>
    <w:rsid w:val="000E3725"/>
    <w:rsid w:val="000E3D42"/>
    <w:rsid w:val="000E68FF"/>
    <w:rsid w:val="000E7074"/>
    <w:rsid w:val="000E71D5"/>
    <w:rsid w:val="000F08DD"/>
    <w:rsid w:val="000F1C0A"/>
    <w:rsid w:val="000F2AA9"/>
    <w:rsid w:val="000F5271"/>
    <w:rsid w:val="000F5569"/>
    <w:rsid w:val="000F6CD8"/>
    <w:rsid w:val="000F795F"/>
    <w:rsid w:val="001005B6"/>
    <w:rsid w:val="00103F73"/>
    <w:rsid w:val="001044B3"/>
    <w:rsid w:val="00104BC9"/>
    <w:rsid w:val="00106625"/>
    <w:rsid w:val="00107A49"/>
    <w:rsid w:val="001101B8"/>
    <w:rsid w:val="001103CC"/>
    <w:rsid w:val="00110B09"/>
    <w:rsid w:val="0011496F"/>
    <w:rsid w:val="001151D5"/>
    <w:rsid w:val="001201C4"/>
    <w:rsid w:val="00122651"/>
    <w:rsid w:val="00122BD5"/>
    <w:rsid w:val="00122E12"/>
    <w:rsid w:val="00124557"/>
    <w:rsid w:val="00124679"/>
    <w:rsid w:val="00126CB6"/>
    <w:rsid w:val="00130F2E"/>
    <w:rsid w:val="00131416"/>
    <w:rsid w:val="001323AC"/>
    <w:rsid w:val="00133F79"/>
    <w:rsid w:val="00134B2E"/>
    <w:rsid w:val="001350D1"/>
    <w:rsid w:val="00135803"/>
    <w:rsid w:val="00137B5F"/>
    <w:rsid w:val="001402EF"/>
    <w:rsid w:val="00141409"/>
    <w:rsid w:val="00142172"/>
    <w:rsid w:val="00142AF0"/>
    <w:rsid w:val="001434F5"/>
    <w:rsid w:val="00144CD1"/>
    <w:rsid w:val="00145D75"/>
    <w:rsid w:val="001471D8"/>
    <w:rsid w:val="001472F8"/>
    <w:rsid w:val="00150244"/>
    <w:rsid w:val="00150B63"/>
    <w:rsid w:val="00151572"/>
    <w:rsid w:val="0015278F"/>
    <w:rsid w:val="00153165"/>
    <w:rsid w:val="00153520"/>
    <w:rsid w:val="00154A84"/>
    <w:rsid w:val="001558CE"/>
    <w:rsid w:val="001563C0"/>
    <w:rsid w:val="00156F1B"/>
    <w:rsid w:val="0015784A"/>
    <w:rsid w:val="00161D22"/>
    <w:rsid w:val="00162104"/>
    <w:rsid w:val="001658CA"/>
    <w:rsid w:val="00166BCF"/>
    <w:rsid w:val="00167382"/>
    <w:rsid w:val="001719EB"/>
    <w:rsid w:val="0017410B"/>
    <w:rsid w:val="00174FD8"/>
    <w:rsid w:val="0017649E"/>
    <w:rsid w:val="001803FA"/>
    <w:rsid w:val="00181131"/>
    <w:rsid w:val="0018181B"/>
    <w:rsid w:val="00181B6A"/>
    <w:rsid w:val="00181F1F"/>
    <w:rsid w:val="0018352D"/>
    <w:rsid w:val="0018360B"/>
    <w:rsid w:val="00183E57"/>
    <w:rsid w:val="00184F8A"/>
    <w:rsid w:val="001860B5"/>
    <w:rsid w:val="00191012"/>
    <w:rsid w:val="00191100"/>
    <w:rsid w:val="00191D30"/>
    <w:rsid w:val="001929D0"/>
    <w:rsid w:val="001934C7"/>
    <w:rsid w:val="00193B55"/>
    <w:rsid w:val="00194A66"/>
    <w:rsid w:val="00194CB2"/>
    <w:rsid w:val="00194DD3"/>
    <w:rsid w:val="00196ED8"/>
    <w:rsid w:val="0019741B"/>
    <w:rsid w:val="001A11DE"/>
    <w:rsid w:val="001A2DEF"/>
    <w:rsid w:val="001A39AC"/>
    <w:rsid w:val="001A576C"/>
    <w:rsid w:val="001A5BFF"/>
    <w:rsid w:val="001A65BA"/>
    <w:rsid w:val="001A743C"/>
    <w:rsid w:val="001A745B"/>
    <w:rsid w:val="001A7BEA"/>
    <w:rsid w:val="001B07A9"/>
    <w:rsid w:val="001B0C46"/>
    <w:rsid w:val="001B18FB"/>
    <w:rsid w:val="001B1D18"/>
    <w:rsid w:val="001B212E"/>
    <w:rsid w:val="001B3996"/>
    <w:rsid w:val="001B3C5F"/>
    <w:rsid w:val="001B450F"/>
    <w:rsid w:val="001B5368"/>
    <w:rsid w:val="001B5647"/>
    <w:rsid w:val="001B6139"/>
    <w:rsid w:val="001B7865"/>
    <w:rsid w:val="001C1845"/>
    <w:rsid w:val="001C2DDB"/>
    <w:rsid w:val="001C3CB4"/>
    <w:rsid w:val="001C45FE"/>
    <w:rsid w:val="001C5460"/>
    <w:rsid w:val="001D1CD4"/>
    <w:rsid w:val="001D280A"/>
    <w:rsid w:val="001D315E"/>
    <w:rsid w:val="001D31CC"/>
    <w:rsid w:val="001D4113"/>
    <w:rsid w:val="001D4163"/>
    <w:rsid w:val="001D5F29"/>
    <w:rsid w:val="001D6767"/>
    <w:rsid w:val="001D6BCF"/>
    <w:rsid w:val="001E01CA"/>
    <w:rsid w:val="001E07FA"/>
    <w:rsid w:val="001E0DF0"/>
    <w:rsid w:val="001E2F63"/>
    <w:rsid w:val="001E3128"/>
    <w:rsid w:val="001E35F9"/>
    <w:rsid w:val="001E58AE"/>
    <w:rsid w:val="001F35E7"/>
    <w:rsid w:val="001F3A34"/>
    <w:rsid w:val="001F3D5A"/>
    <w:rsid w:val="001F405D"/>
    <w:rsid w:val="001F4B8E"/>
    <w:rsid w:val="001F5EFB"/>
    <w:rsid w:val="001F687E"/>
    <w:rsid w:val="001F7359"/>
    <w:rsid w:val="001F78CE"/>
    <w:rsid w:val="001F7DD7"/>
    <w:rsid w:val="002003C7"/>
    <w:rsid w:val="002010C5"/>
    <w:rsid w:val="00201352"/>
    <w:rsid w:val="00202657"/>
    <w:rsid w:val="00207ABB"/>
    <w:rsid w:val="0021181E"/>
    <w:rsid w:val="00211E30"/>
    <w:rsid w:val="002122D4"/>
    <w:rsid w:val="0021261C"/>
    <w:rsid w:val="002137D9"/>
    <w:rsid w:val="00213A24"/>
    <w:rsid w:val="0021455C"/>
    <w:rsid w:val="00215C67"/>
    <w:rsid w:val="00215F7B"/>
    <w:rsid w:val="00217F00"/>
    <w:rsid w:val="00220DD4"/>
    <w:rsid w:val="002214C1"/>
    <w:rsid w:val="00221B05"/>
    <w:rsid w:val="00221E98"/>
    <w:rsid w:val="002246A6"/>
    <w:rsid w:val="002260AC"/>
    <w:rsid w:val="00227F0A"/>
    <w:rsid w:val="00230D53"/>
    <w:rsid w:val="00232E0F"/>
    <w:rsid w:val="00233592"/>
    <w:rsid w:val="00234D5D"/>
    <w:rsid w:val="00237496"/>
    <w:rsid w:val="00237F22"/>
    <w:rsid w:val="00242F43"/>
    <w:rsid w:val="0024475B"/>
    <w:rsid w:val="00244D0B"/>
    <w:rsid w:val="00245051"/>
    <w:rsid w:val="00246079"/>
    <w:rsid w:val="00246BC9"/>
    <w:rsid w:val="00247544"/>
    <w:rsid w:val="00247A9B"/>
    <w:rsid w:val="00251EC6"/>
    <w:rsid w:val="00253694"/>
    <w:rsid w:val="00254106"/>
    <w:rsid w:val="00255274"/>
    <w:rsid w:val="00255E03"/>
    <w:rsid w:val="00256A7D"/>
    <w:rsid w:val="00257C69"/>
    <w:rsid w:val="00261F73"/>
    <w:rsid w:val="002645EE"/>
    <w:rsid w:val="00270200"/>
    <w:rsid w:val="00270231"/>
    <w:rsid w:val="00272777"/>
    <w:rsid w:val="00273021"/>
    <w:rsid w:val="00275CF5"/>
    <w:rsid w:val="00277674"/>
    <w:rsid w:val="00280857"/>
    <w:rsid w:val="00282EE4"/>
    <w:rsid w:val="0028301F"/>
    <w:rsid w:val="00285017"/>
    <w:rsid w:val="00287292"/>
    <w:rsid w:val="00287B17"/>
    <w:rsid w:val="00287F50"/>
    <w:rsid w:val="0029021F"/>
    <w:rsid w:val="0029025E"/>
    <w:rsid w:val="00290559"/>
    <w:rsid w:val="0029067A"/>
    <w:rsid w:val="00290A70"/>
    <w:rsid w:val="00291385"/>
    <w:rsid w:val="00293385"/>
    <w:rsid w:val="00293947"/>
    <w:rsid w:val="002941A3"/>
    <w:rsid w:val="0029585F"/>
    <w:rsid w:val="00295F73"/>
    <w:rsid w:val="00296632"/>
    <w:rsid w:val="00297490"/>
    <w:rsid w:val="002A1D01"/>
    <w:rsid w:val="002A243C"/>
    <w:rsid w:val="002A2D2E"/>
    <w:rsid w:val="002A6538"/>
    <w:rsid w:val="002A6B75"/>
    <w:rsid w:val="002A7EE1"/>
    <w:rsid w:val="002B1D07"/>
    <w:rsid w:val="002B2095"/>
    <w:rsid w:val="002B3E3F"/>
    <w:rsid w:val="002B55D1"/>
    <w:rsid w:val="002B5A50"/>
    <w:rsid w:val="002B6BF6"/>
    <w:rsid w:val="002B6C18"/>
    <w:rsid w:val="002B7F56"/>
    <w:rsid w:val="002C00E8"/>
    <w:rsid w:val="002C0EEE"/>
    <w:rsid w:val="002C1892"/>
    <w:rsid w:val="002C2546"/>
    <w:rsid w:val="002C419F"/>
    <w:rsid w:val="002C4D52"/>
    <w:rsid w:val="002C4E8E"/>
    <w:rsid w:val="002C5AE7"/>
    <w:rsid w:val="002C61EE"/>
    <w:rsid w:val="002C665C"/>
    <w:rsid w:val="002C7104"/>
    <w:rsid w:val="002C7290"/>
    <w:rsid w:val="002D0635"/>
    <w:rsid w:val="002D16E9"/>
    <w:rsid w:val="002D1A22"/>
    <w:rsid w:val="002D20D2"/>
    <w:rsid w:val="002D2736"/>
    <w:rsid w:val="002D296C"/>
    <w:rsid w:val="002D358E"/>
    <w:rsid w:val="002D519D"/>
    <w:rsid w:val="002D5C60"/>
    <w:rsid w:val="002D7828"/>
    <w:rsid w:val="002D7B62"/>
    <w:rsid w:val="002E0A75"/>
    <w:rsid w:val="002E1008"/>
    <w:rsid w:val="002E1E35"/>
    <w:rsid w:val="002E2E54"/>
    <w:rsid w:val="002E3B76"/>
    <w:rsid w:val="002E4D65"/>
    <w:rsid w:val="002E6D42"/>
    <w:rsid w:val="002E7987"/>
    <w:rsid w:val="002F0F94"/>
    <w:rsid w:val="002F1F49"/>
    <w:rsid w:val="002F3AD1"/>
    <w:rsid w:val="002F3DE2"/>
    <w:rsid w:val="002F4885"/>
    <w:rsid w:val="002F53EB"/>
    <w:rsid w:val="002F5E60"/>
    <w:rsid w:val="002F6059"/>
    <w:rsid w:val="002F6B0D"/>
    <w:rsid w:val="002F772F"/>
    <w:rsid w:val="002F7AF1"/>
    <w:rsid w:val="003003ED"/>
    <w:rsid w:val="00303A4F"/>
    <w:rsid w:val="003056B3"/>
    <w:rsid w:val="003066F9"/>
    <w:rsid w:val="00306CF8"/>
    <w:rsid w:val="00307410"/>
    <w:rsid w:val="00311AF3"/>
    <w:rsid w:val="00311EE8"/>
    <w:rsid w:val="00312563"/>
    <w:rsid w:val="003140B0"/>
    <w:rsid w:val="003152B8"/>
    <w:rsid w:val="00315921"/>
    <w:rsid w:val="00316612"/>
    <w:rsid w:val="00317E2B"/>
    <w:rsid w:val="00320AD7"/>
    <w:rsid w:val="00320D6D"/>
    <w:rsid w:val="00321FC5"/>
    <w:rsid w:val="003231DD"/>
    <w:rsid w:val="00323FB5"/>
    <w:rsid w:val="00324984"/>
    <w:rsid w:val="00325380"/>
    <w:rsid w:val="00327D8B"/>
    <w:rsid w:val="00330322"/>
    <w:rsid w:val="0033056F"/>
    <w:rsid w:val="003318DB"/>
    <w:rsid w:val="00331961"/>
    <w:rsid w:val="003320EC"/>
    <w:rsid w:val="00333652"/>
    <w:rsid w:val="003367C8"/>
    <w:rsid w:val="00336A86"/>
    <w:rsid w:val="00336CA3"/>
    <w:rsid w:val="00337C0D"/>
    <w:rsid w:val="00340D25"/>
    <w:rsid w:val="0034113D"/>
    <w:rsid w:val="0034236C"/>
    <w:rsid w:val="0034265E"/>
    <w:rsid w:val="00342D3F"/>
    <w:rsid w:val="00343749"/>
    <w:rsid w:val="0034420F"/>
    <w:rsid w:val="00345804"/>
    <w:rsid w:val="00350424"/>
    <w:rsid w:val="00350A2D"/>
    <w:rsid w:val="00350F0B"/>
    <w:rsid w:val="00351D95"/>
    <w:rsid w:val="00352E7A"/>
    <w:rsid w:val="003538A2"/>
    <w:rsid w:val="00354701"/>
    <w:rsid w:val="003549B7"/>
    <w:rsid w:val="00354D31"/>
    <w:rsid w:val="00354E83"/>
    <w:rsid w:val="00355A7F"/>
    <w:rsid w:val="0035697D"/>
    <w:rsid w:val="0035795D"/>
    <w:rsid w:val="00360581"/>
    <w:rsid w:val="00360883"/>
    <w:rsid w:val="0036127E"/>
    <w:rsid w:val="00362483"/>
    <w:rsid w:val="00364062"/>
    <w:rsid w:val="003660ED"/>
    <w:rsid w:val="00366CEE"/>
    <w:rsid w:val="003670E6"/>
    <w:rsid w:val="00370553"/>
    <w:rsid w:val="0037057D"/>
    <w:rsid w:val="00370728"/>
    <w:rsid w:val="00370FFF"/>
    <w:rsid w:val="00373E38"/>
    <w:rsid w:val="00374AAE"/>
    <w:rsid w:val="00374D33"/>
    <w:rsid w:val="00376A83"/>
    <w:rsid w:val="0037724E"/>
    <w:rsid w:val="00380FEB"/>
    <w:rsid w:val="003841E1"/>
    <w:rsid w:val="003842FE"/>
    <w:rsid w:val="00384D0A"/>
    <w:rsid w:val="00385FA5"/>
    <w:rsid w:val="00386C30"/>
    <w:rsid w:val="003878E9"/>
    <w:rsid w:val="00390323"/>
    <w:rsid w:val="00391DCD"/>
    <w:rsid w:val="003920C6"/>
    <w:rsid w:val="003929E4"/>
    <w:rsid w:val="00392ADE"/>
    <w:rsid w:val="00393BA3"/>
    <w:rsid w:val="00393BAD"/>
    <w:rsid w:val="003945D0"/>
    <w:rsid w:val="00394F2A"/>
    <w:rsid w:val="003952A2"/>
    <w:rsid w:val="00395871"/>
    <w:rsid w:val="00395B8E"/>
    <w:rsid w:val="00395F2F"/>
    <w:rsid w:val="00396318"/>
    <w:rsid w:val="00396AED"/>
    <w:rsid w:val="003A0095"/>
    <w:rsid w:val="003A02CA"/>
    <w:rsid w:val="003A0434"/>
    <w:rsid w:val="003A1DAD"/>
    <w:rsid w:val="003A295F"/>
    <w:rsid w:val="003A3F00"/>
    <w:rsid w:val="003A40E2"/>
    <w:rsid w:val="003A48DE"/>
    <w:rsid w:val="003A72BE"/>
    <w:rsid w:val="003A7522"/>
    <w:rsid w:val="003B0550"/>
    <w:rsid w:val="003B0B2A"/>
    <w:rsid w:val="003B2996"/>
    <w:rsid w:val="003B3A18"/>
    <w:rsid w:val="003B3D34"/>
    <w:rsid w:val="003B6366"/>
    <w:rsid w:val="003B665F"/>
    <w:rsid w:val="003B694F"/>
    <w:rsid w:val="003C2236"/>
    <w:rsid w:val="003C228C"/>
    <w:rsid w:val="003C2DD4"/>
    <w:rsid w:val="003C3B3A"/>
    <w:rsid w:val="003C41AF"/>
    <w:rsid w:val="003C4293"/>
    <w:rsid w:val="003C6F40"/>
    <w:rsid w:val="003C7746"/>
    <w:rsid w:val="003C78E3"/>
    <w:rsid w:val="003C7FFA"/>
    <w:rsid w:val="003D021E"/>
    <w:rsid w:val="003D0645"/>
    <w:rsid w:val="003D1072"/>
    <w:rsid w:val="003D29B7"/>
    <w:rsid w:val="003D3390"/>
    <w:rsid w:val="003D3967"/>
    <w:rsid w:val="003D49AC"/>
    <w:rsid w:val="003D5CC4"/>
    <w:rsid w:val="003D5F29"/>
    <w:rsid w:val="003D68A4"/>
    <w:rsid w:val="003D6F16"/>
    <w:rsid w:val="003D7FC0"/>
    <w:rsid w:val="003E0A8A"/>
    <w:rsid w:val="003E120E"/>
    <w:rsid w:val="003E227C"/>
    <w:rsid w:val="003E256F"/>
    <w:rsid w:val="003E2FD6"/>
    <w:rsid w:val="003E3BD9"/>
    <w:rsid w:val="003E4B62"/>
    <w:rsid w:val="003E5C19"/>
    <w:rsid w:val="003E6BAF"/>
    <w:rsid w:val="003F036B"/>
    <w:rsid w:val="003F13F5"/>
    <w:rsid w:val="003F171C"/>
    <w:rsid w:val="003F1FA7"/>
    <w:rsid w:val="003F27F0"/>
    <w:rsid w:val="003F2F5D"/>
    <w:rsid w:val="003F3668"/>
    <w:rsid w:val="003F36CA"/>
    <w:rsid w:val="003F50CF"/>
    <w:rsid w:val="003F538F"/>
    <w:rsid w:val="003F6C70"/>
    <w:rsid w:val="00400B4E"/>
    <w:rsid w:val="00401BA3"/>
    <w:rsid w:val="00401E25"/>
    <w:rsid w:val="004059F5"/>
    <w:rsid w:val="00407BE6"/>
    <w:rsid w:val="004115C8"/>
    <w:rsid w:val="00412809"/>
    <w:rsid w:val="00412AF9"/>
    <w:rsid w:val="00412FC5"/>
    <w:rsid w:val="00413EFD"/>
    <w:rsid w:val="00415E7B"/>
    <w:rsid w:val="0042033D"/>
    <w:rsid w:val="00420D1E"/>
    <w:rsid w:val="00422276"/>
    <w:rsid w:val="004242F1"/>
    <w:rsid w:val="00430C4A"/>
    <w:rsid w:val="00431D41"/>
    <w:rsid w:val="00432870"/>
    <w:rsid w:val="004333A0"/>
    <w:rsid w:val="00433F64"/>
    <w:rsid w:val="004340D0"/>
    <w:rsid w:val="004352E9"/>
    <w:rsid w:val="004358B2"/>
    <w:rsid w:val="00436353"/>
    <w:rsid w:val="004363EB"/>
    <w:rsid w:val="00437AF2"/>
    <w:rsid w:val="004402FC"/>
    <w:rsid w:val="004409B9"/>
    <w:rsid w:val="00445A00"/>
    <w:rsid w:val="00451B0F"/>
    <w:rsid w:val="00452F64"/>
    <w:rsid w:val="00453797"/>
    <w:rsid w:val="004559AA"/>
    <w:rsid w:val="00456880"/>
    <w:rsid w:val="00457CF6"/>
    <w:rsid w:val="0046049E"/>
    <w:rsid w:val="00460551"/>
    <w:rsid w:val="00460812"/>
    <w:rsid w:val="00462717"/>
    <w:rsid w:val="004648F6"/>
    <w:rsid w:val="004660B0"/>
    <w:rsid w:val="004720EB"/>
    <w:rsid w:val="00474FC3"/>
    <w:rsid w:val="00475240"/>
    <w:rsid w:val="00475A15"/>
    <w:rsid w:val="00480477"/>
    <w:rsid w:val="0048225A"/>
    <w:rsid w:val="004826A7"/>
    <w:rsid w:val="00483071"/>
    <w:rsid w:val="0048457E"/>
    <w:rsid w:val="00484756"/>
    <w:rsid w:val="00485BB8"/>
    <w:rsid w:val="00485FC4"/>
    <w:rsid w:val="00487BC1"/>
    <w:rsid w:val="00490A7F"/>
    <w:rsid w:val="00490C4F"/>
    <w:rsid w:val="00490E9A"/>
    <w:rsid w:val="0049172F"/>
    <w:rsid w:val="004938A0"/>
    <w:rsid w:val="00493A8B"/>
    <w:rsid w:val="0049425A"/>
    <w:rsid w:val="00494E61"/>
    <w:rsid w:val="00497F0D"/>
    <w:rsid w:val="004A0B4D"/>
    <w:rsid w:val="004A14B0"/>
    <w:rsid w:val="004A1B44"/>
    <w:rsid w:val="004A424D"/>
    <w:rsid w:val="004A5002"/>
    <w:rsid w:val="004A5C2D"/>
    <w:rsid w:val="004A798E"/>
    <w:rsid w:val="004B05B9"/>
    <w:rsid w:val="004B3814"/>
    <w:rsid w:val="004B4AFC"/>
    <w:rsid w:val="004B540C"/>
    <w:rsid w:val="004B6266"/>
    <w:rsid w:val="004B6845"/>
    <w:rsid w:val="004C2732"/>
    <w:rsid w:val="004C2EE3"/>
    <w:rsid w:val="004C3488"/>
    <w:rsid w:val="004C36F7"/>
    <w:rsid w:val="004C448E"/>
    <w:rsid w:val="004C4519"/>
    <w:rsid w:val="004C4FAD"/>
    <w:rsid w:val="004C5E37"/>
    <w:rsid w:val="004C7230"/>
    <w:rsid w:val="004C7548"/>
    <w:rsid w:val="004C755A"/>
    <w:rsid w:val="004C7EAD"/>
    <w:rsid w:val="004D03AF"/>
    <w:rsid w:val="004D0BEA"/>
    <w:rsid w:val="004D2D22"/>
    <w:rsid w:val="004D49B6"/>
    <w:rsid w:val="004D50A1"/>
    <w:rsid w:val="004D622A"/>
    <w:rsid w:val="004E0C5C"/>
    <w:rsid w:val="004E258F"/>
    <w:rsid w:val="004E354E"/>
    <w:rsid w:val="004E407B"/>
    <w:rsid w:val="004E4A22"/>
    <w:rsid w:val="004F2E7C"/>
    <w:rsid w:val="004F3A76"/>
    <w:rsid w:val="004F654C"/>
    <w:rsid w:val="004F68BA"/>
    <w:rsid w:val="005006A1"/>
    <w:rsid w:val="00501142"/>
    <w:rsid w:val="00501957"/>
    <w:rsid w:val="00503570"/>
    <w:rsid w:val="0050474D"/>
    <w:rsid w:val="00505202"/>
    <w:rsid w:val="005068DC"/>
    <w:rsid w:val="00507949"/>
    <w:rsid w:val="00510D43"/>
    <w:rsid w:val="00511968"/>
    <w:rsid w:val="00513944"/>
    <w:rsid w:val="00514088"/>
    <w:rsid w:val="00515366"/>
    <w:rsid w:val="005154CE"/>
    <w:rsid w:val="005162EC"/>
    <w:rsid w:val="00517CA7"/>
    <w:rsid w:val="0052004E"/>
    <w:rsid w:val="005218CA"/>
    <w:rsid w:val="00521E89"/>
    <w:rsid w:val="00522DA4"/>
    <w:rsid w:val="00524706"/>
    <w:rsid w:val="005249ED"/>
    <w:rsid w:val="00524BA3"/>
    <w:rsid w:val="00524D0C"/>
    <w:rsid w:val="00524F1E"/>
    <w:rsid w:val="00530972"/>
    <w:rsid w:val="00530F74"/>
    <w:rsid w:val="0053589A"/>
    <w:rsid w:val="00535F3E"/>
    <w:rsid w:val="005361D8"/>
    <w:rsid w:val="00536370"/>
    <w:rsid w:val="00536BB7"/>
    <w:rsid w:val="0053733C"/>
    <w:rsid w:val="005402C4"/>
    <w:rsid w:val="00540B48"/>
    <w:rsid w:val="00540F1A"/>
    <w:rsid w:val="0054164B"/>
    <w:rsid w:val="00542D6F"/>
    <w:rsid w:val="00543085"/>
    <w:rsid w:val="0054344D"/>
    <w:rsid w:val="005439C8"/>
    <w:rsid w:val="00543AA2"/>
    <w:rsid w:val="00543D1F"/>
    <w:rsid w:val="00546212"/>
    <w:rsid w:val="0054645D"/>
    <w:rsid w:val="0055007E"/>
    <w:rsid w:val="00550FC1"/>
    <w:rsid w:val="005510D4"/>
    <w:rsid w:val="00551287"/>
    <w:rsid w:val="005515EA"/>
    <w:rsid w:val="0055168A"/>
    <w:rsid w:val="00553E2F"/>
    <w:rsid w:val="0055614C"/>
    <w:rsid w:val="00556E0C"/>
    <w:rsid w:val="005570B4"/>
    <w:rsid w:val="0056142A"/>
    <w:rsid w:val="00561A2D"/>
    <w:rsid w:val="00561B6F"/>
    <w:rsid w:val="00562039"/>
    <w:rsid w:val="005643A9"/>
    <w:rsid w:val="00564529"/>
    <w:rsid w:val="00566B45"/>
    <w:rsid w:val="00567927"/>
    <w:rsid w:val="00572395"/>
    <w:rsid w:val="005726F3"/>
    <w:rsid w:val="00573161"/>
    <w:rsid w:val="00573315"/>
    <w:rsid w:val="00574739"/>
    <w:rsid w:val="005749BB"/>
    <w:rsid w:val="00575107"/>
    <w:rsid w:val="00575D00"/>
    <w:rsid w:val="00577822"/>
    <w:rsid w:val="00581EF8"/>
    <w:rsid w:val="00582105"/>
    <w:rsid w:val="0058255C"/>
    <w:rsid w:val="00582A5F"/>
    <w:rsid w:val="00582B0D"/>
    <w:rsid w:val="005831AE"/>
    <w:rsid w:val="005854BC"/>
    <w:rsid w:val="005868F6"/>
    <w:rsid w:val="0058695A"/>
    <w:rsid w:val="005924E1"/>
    <w:rsid w:val="00593018"/>
    <w:rsid w:val="00593479"/>
    <w:rsid w:val="00594238"/>
    <w:rsid w:val="00594C30"/>
    <w:rsid w:val="005A137E"/>
    <w:rsid w:val="005A1699"/>
    <w:rsid w:val="005A2998"/>
    <w:rsid w:val="005A3C98"/>
    <w:rsid w:val="005A4BC5"/>
    <w:rsid w:val="005A5F23"/>
    <w:rsid w:val="005A6323"/>
    <w:rsid w:val="005A7A92"/>
    <w:rsid w:val="005B1D6E"/>
    <w:rsid w:val="005B2081"/>
    <w:rsid w:val="005B271A"/>
    <w:rsid w:val="005B5861"/>
    <w:rsid w:val="005B61E0"/>
    <w:rsid w:val="005B648A"/>
    <w:rsid w:val="005B6EB2"/>
    <w:rsid w:val="005B7E17"/>
    <w:rsid w:val="005C168C"/>
    <w:rsid w:val="005C20A5"/>
    <w:rsid w:val="005C4374"/>
    <w:rsid w:val="005C4950"/>
    <w:rsid w:val="005C4D74"/>
    <w:rsid w:val="005C5B8D"/>
    <w:rsid w:val="005C6B75"/>
    <w:rsid w:val="005C6FD1"/>
    <w:rsid w:val="005C7967"/>
    <w:rsid w:val="005C7ED3"/>
    <w:rsid w:val="005D0AEB"/>
    <w:rsid w:val="005D2AB6"/>
    <w:rsid w:val="005D4F4B"/>
    <w:rsid w:val="005D5E64"/>
    <w:rsid w:val="005D5ECF"/>
    <w:rsid w:val="005D6C2E"/>
    <w:rsid w:val="005E14C2"/>
    <w:rsid w:val="005E16DF"/>
    <w:rsid w:val="005E1B0C"/>
    <w:rsid w:val="005E2221"/>
    <w:rsid w:val="005E24AE"/>
    <w:rsid w:val="005E2DA5"/>
    <w:rsid w:val="005E377A"/>
    <w:rsid w:val="005F08D8"/>
    <w:rsid w:val="005F0F1F"/>
    <w:rsid w:val="005F0FB1"/>
    <w:rsid w:val="005F1710"/>
    <w:rsid w:val="005F1B3B"/>
    <w:rsid w:val="005F2D3F"/>
    <w:rsid w:val="005F4CFA"/>
    <w:rsid w:val="005F4D55"/>
    <w:rsid w:val="005F7497"/>
    <w:rsid w:val="0060166D"/>
    <w:rsid w:val="00601FF4"/>
    <w:rsid w:val="00602DFC"/>
    <w:rsid w:val="006043E1"/>
    <w:rsid w:val="00605A17"/>
    <w:rsid w:val="006073C8"/>
    <w:rsid w:val="00607BA5"/>
    <w:rsid w:val="00607DD0"/>
    <w:rsid w:val="006106BE"/>
    <w:rsid w:val="00610E25"/>
    <w:rsid w:val="00610F55"/>
    <w:rsid w:val="0061180A"/>
    <w:rsid w:val="0061245A"/>
    <w:rsid w:val="00613805"/>
    <w:rsid w:val="0061499D"/>
    <w:rsid w:val="006168F6"/>
    <w:rsid w:val="00616FD5"/>
    <w:rsid w:val="00617171"/>
    <w:rsid w:val="00617A58"/>
    <w:rsid w:val="006206AA"/>
    <w:rsid w:val="006216D3"/>
    <w:rsid w:val="00621DFF"/>
    <w:rsid w:val="0062231D"/>
    <w:rsid w:val="00622C35"/>
    <w:rsid w:val="00626081"/>
    <w:rsid w:val="00626739"/>
    <w:rsid w:val="00626EB6"/>
    <w:rsid w:val="00627218"/>
    <w:rsid w:val="00627A6C"/>
    <w:rsid w:val="00633F8E"/>
    <w:rsid w:val="00634620"/>
    <w:rsid w:val="00634D46"/>
    <w:rsid w:val="00635A03"/>
    <w:rsid w:val="00637008"/>
    <w:rsid w:val="00637086"/>
    <w:rsid w:val="00637EE6"/>
    <w:rsid w:val="00640ECE"/>
    <w:rsid w:val="006419F9"/>
    <w:rsid w:val="00641A03"/>
    <w:rsid w:val="00641A7E"/>
    <w:rsid w:val="00642B64"/>
    <w:rsid w:val="0064389A"/>
    <w:rsid w:val="006453BD"/>
    <w:rsid w:val="00652165"/>
    <w:rsid w:val="006537CF"/>
    <w:rsid w:val="00653ACE"/>
    <w:rsid w:val="006541B8"/>
    <w:rsid w:val="00654276"/>
    <w:rsid w:val="00655D03"/>
    <w:rsid w:val="0065644E"/>
    <w:rsid w:val="00656702"/>
    <w:rsid w:val="00660107"/>
    <w:rsid w:val="00662138"/>
    <w:rsid w:val="006640D4"/>
    <w:rsid w:val="0066437D"/>
    <w:rsid w:val="00666335"/>
    <w:rsid w:val="00666C75"/>
    <w:rsid w:val="00666D80"/>
    <w:rsid w:val="00667673"/>
    <w:rsid w:val="00673BA2"/>
    <w:rsid w:val="00673D90"/>
    <w:rsid w:val="00673EA5"/>
    <w:rsid w:val="00675222"/>
    <w:rsid w:val="00675783"/>
    <w:rsid w:val="00676318"/>
    <w:rsid w:val="0067718A"/>
    <w:rsid w:val="006806BC"/>
    <w:rsid w:val="006813EB"/>
    <w:rsid w:val="00681703"/>
    <w:rsid w:val="00682480"/>
    <w:rsid w:val="00683388"/>
    <w:rsid w:val="00683524"/>
    <w:rsid w:val="00683F84"/>
    <w:rsid w:val="00686B2F"/>
    <w:rsid w:val="00690C55"/>
    <w:rsid w:val="006920F4"/>
    <w:rsid w:val="00694805"/>
    <w:rsid w:val="00697C12"/>
    <w:rsid w:val="006A0554"/>
    <w:rsid w:val="006A1646"/>
    <w:rsid w:val="006A18D7"/>
    <w:rsid w:val="006A26E5"/>
    <w:rsid w:val="006A2B16"/>
    <w:rsid w:val="006A3171"/>
    <w:rsid w:val="006A4985"/>
    <w:rsid w:val="006A4CAE"/>
    <w:rsid w:val="006A54AC"/>
    <w:rsid w:val="006A6769"/>
    <w:rsid w:val="006A6A81"/>
    <w:rsid w:val="006A6A94"/>
    <w:rsid w:val="006A70B1"/>
    <w:rsid w:val="006B06FD"/>
    <w:rsid w:val="006B27B2"/>
    <w:rsid w:val="006B3DB9"/>
    <w:rsid w:val="006B4950"/>
    <w:rsid w:val="006B5044"/>
    <w:rsid w:val="006B6515"/>
    <w:rsid w:val="006B6C9D"/>
    <w:rsid w:val="006C0486"/>
    <w:rsid w:val="006C14EE"/>
    <w:rsid w:val="006C1BB4"/>
    <w:rsid w:val="006C21FE"/>
    <w:rsid w:val="006C261D"/>
    <w:rsid w:val="006C2E60"/>
    <w:rsid w:val="006C64C3"/>
    <w:rsid w:val="006C6AEB"/>
    <w:rsid w:val="006C7255"/>
    <w:rsid w:val="006C7C25"/>
    <w:rsid w:val="006D0201"/>
    <w:rsid w:val="006D060E"/>
    <w:rsid w:val="006D0FBD"/>
    <w:rsid w:val="006D11EF"/>
    <w:rsid w:val="006D1805"/>
    <w:rsid w:val="006D1FA4"/>
    <w:rsid w:val="006D2A67"/>
    <w:rsid w:val="006D329F"/>
    <w:rsid w:val="006D3C17"/>
    <w:rsid w:val="006D3DAC"/>
    <w:rsid w:val="006D5E21"/>
    <w:rsid w:val="006D6B12"/>
    <w:rsid w:val="006D6DDB"/>
    <w:rsid w:val="006D7BE8"/>
    <w:rsid w:val="006D7CB5"/>
    <w:rsid w:val="006E00FF"/>
    <w:rsid w:val="006E0A33"/>
    <w:rsid w:val="006E1296"/>
    <w:rsid w:val="006E2A71"/>
    <w:rsid w:val="006E3212"/>
    <w:rsid w:val="006E4802"/>
    <w:rsid w:val="006E5B85"/>
    <w:rsid w:val="006E5F0C"/>
    <w:rsid w:val="006E6DF2"/>
    <w:rsid w:val="006E73FA"/>
    <w:rsid w:val="006E759C"/>
    <w:rsid w:val="006F066D"/>
    <w:rsid w:val="006F143B"/>
    <w:rsid w:val="006F1E50"/>
    <w:rsid w:val="006F23BE"/>
    <w:rsid w:val="006F4CF4"/>
    <w:rsid w:val="006F676B"/>
    <w:rsid w:val="006F6EC9"/>
    <w:rsid w:val="006F7393"/>
    <w:rsid w:val="0070224F"/>
    <w:rsid w:val="007027D1"/>
    <w:rsid w:val="00704D62"/>
    <w:rsid w:val="00704EB6"/>
    <w:rsid w:val="00705B67"/>
    <w:rsid w:val="00707ED7"/>
    <w:rsid w:val="007103E0"/>
    <w:rsid w:val="00710733"/>
    <w:rsid w:val="007115F7"/>
    <w:rsid w:val="007118E1"/>
    <w:rsid w:val="0071195D"/>
    <w:rsid w:val="00711FD5"/>
    <w:rsid w:val="0071372E"/>
    <w:rsid w:val="00715E71"/>
    <w:rsid w:val="007160E2"/>
    <w:rsid w:val="00716220"/>
    <w:rsid w:val="00716BAA"/>
    <w:rsid w:val="007178AE"/>
    <w:rsid w:val="007179BE"/>
    <w:rsid w:val="00717FAF"/>
    <w:rsid w:val="00720121"/>
    <w:rsid w:val="00722345"/>
    <w:rsid w:val="0072330E"/>
    <w:rsid w:val="00723814"/>
    <w:rsid w:val="00723EF2"/>
    <w:rsid w:val="007262D8"/>
    <w:rsid w:val="00726346"/>
    <w:rsid w:val="00727DD0"/>
    <w:rsid w:val="00731F52"/>
    <w:rsid w:val="00732A0D"/>
    <w:rsid w:val="00732A5C"/>
    <w:rsid w:val="00732C9B"/>
    <w:rsid w:val="00736410"/>
    <w:rsid w:val="00736BCB"/>
    <w:rsid w:val="00736F9C"/>
    <w:rsid w:val="007373FD"/>
    <w:rsid w:val="00737EFA"/>
    <w:rsid w:val="00737F68"/>
    <w:rsid w:val="00740F95"/>
    <w:rsid w:val="00743025"/>
    <w:rsid w:val="00743214"/>
    <w:rsid w:val="00743451"/>
    <w:rsid w:val="00743953"/>
    <w:rsid w:val="00743C43"/>
    <w:rsid w:val="00743EB2"/>
    <w:rsid w:val="00743FAC"/>
    <w:rsid w:val="007440CB"/>
    <w:rsid w:val="00745400"/>
    <w:rsid w:val="007460C3"/>
    <w:rsid w:val="007460F5"/>
    <w:rsid w:val="00747FF4"/>
    <w:rsid w:val="00750C5C"/>
    <w:rsid w:val="00754135"/>
    <w:rsid w:val="0075508F"/>
    <w:rsid w:val="0075584C"/>
    <w:rsid w:val="00756EF9"/>
    <w:rsid w:val="00757452"/>
    <w:rsid w:val="00757530"/>
    <w:rsid w:val="00760141"/>
    <w:rsid w:val="007612B1"/>
    <w:rsid w:val="00761327"/>
    <w:rsid w:val="007674F8"/>
    <w:rsid w:val="007679CE"/>
    <w:rsid w:val="0077343F"/>
    <w:rsid w:val="00773A48"/>
    <w:rsid w:val="00773E5C"/>
    <w:rsid w:val="00774158"/>
    <w:rsid w:val="00775FD2"/>
    <w:rsid w:val="00780E43"/>
    <w:rsid w:val="007815A9"/>
    <w:rsid w:val="00781A96"/>
    <w:rsid w:val="007822F8"/>
    <w:rsid w:val="0078273C"/>
    <w:rsid w:val="00782C8D"/>
    <w:rsid w:val="00783892"/>
    <w:rsid w:val="00785689"/>
    <w:rsid w:val="00785AFE"/>
    <w:rsid w:val="007929F2"/>
    <w:rsid w:val="007945FE"/>
    <w:rsid w:val="007974FB"/>
    <w:rsid w:val="0079754B"/>
    <w:rsid w:val="007A1E6D"/>
    <w:rsid w:val="007A2270"/>
    <w:rsid w:val="007A2F63"/>
    <w:rsid w:val="007A36F8"/>
    <w:rsid w:val="007A3AB9"/>
    <w:rsid w:val="007A3D45"/>
    <w:rsid w:val="007A42A0"/>
    <w:rsid w:val="007A42FA"/>
    <w:rsid w:val="007A5FCA"/>
    <w:rsid w:val="007A6851"/>
    <w:rsid w:val="007A7B1E"/>
    <w:rsid w:val="007B0005"/>
    <w:rsid w:val="007B02BE"/>
    <w:rsid w:val="007B0AE0"/>
    <w:rsid w:val="007B0EB2"/>
    <w:rsid w:val="007B1955"/>
    <w:rsid w:val="007B1B63"/>
    <w:rsid w:val="007B218E"/>
    <w:rsid w:val="007B22C5"/>
    <w:rsid w:val="007B2A6E"/>
    <w:rsid w:val="007B2B64"/>
    <w:rsid w:val="007B3092"/>
    <w:rsid w:val="007B3B45"/>
    <w:rsid w:val="007B555B"/>
    <w:rsid w:val="007B6532"/>
    <w:rsid w:val="007B7B55"/>
    <w:rsid w:val="007C0F3F"/>
    <w:rsid w:val="007C2BF7"/>
    <w:rsid w:val="007C44B4"/>
    <w:rsid w:val="007C4F00"/>
    <w:rsid w:val="007C74F1"/>
    <w:rsid w:val="007D1B2B"/>
    <w:rsid w:val="007D267E"/>
    <w:rsid w:val="007D4138"/>
    <w:rsid w:val="007D569C"/>
    <w:rsid w:val="007D59CD"/>
    <w:rsid w:val="007D6554"/>
    <w:rsid w:val="007E05F4"/>
    <w:rsid w:val="007E111C"/>
    <w:rsid w:val="007E244E"/>
    <w:rsid w:val="007E52CE"/>
    <w:rsid w:val="007E55AB"/>
    <w:rsid w:val="007E5CCA"/>
    <w:rsid w:val="007E5E4A"/>
    <w:rsid w:val="007E7B0F"/>
    <w:rsid w:val="007F1001"/>
    <w:rsid w:val="007F1023"/>
    <w:rsid w:val="007F1A6A"/>
    <w:rsid w:val="007F1E3D"/>
    <w:rsid w:val="007F37E9"/>
    <w:rsid w:val="007F58A2"/>
    <w:rsid w:val="007F613E"/>
    <w:rsid w:val="00807F32"/>
    <w:rsid w:val="00810B6F"/>
    <w:rsid w:val="00810E43"/>
    <w:rsid w:val="00811C99"/>
    <w:rsid w:val="00813907"/>
    <w:rsid w:val="0082041F"/>
    <w:rsid w:val="00821317"/>
    <w:rsid w:val="0082188F"/>
    <w:rsid w:val="008223E8"/>
    <w:rsid w:val="008229ED"/>
    <w:rsid w:val="00822CE0"/>
    <w:rsid w:val="008249D0"/>
    <w:rsid w:val="00825FA1"/>
    <w:rsid w:val="00826748"/>
    <w:rsid w:val="00830882"/>
    <w:rsid w:val="00830E9D"/>
    <w:rsid w:val="00833574"/>
    <w:rsid w:val="00834C97"/>
    <w:rsid w:val="00835927"/>
    <w:rsid w:val="00836554"/>
    <w:rsid w:val="00836CFB"/>
    <w:rsid w:val="0083706E"/>
    <w:rsid w:val="008371A6"/>
    <w:rsid w:val="008406C6"/>
    <w:rsid w:val="00840CE8"/>
    <w:rsid w:val="00840F22"/>
    <w:rsid w:val="00841AB1"/>
    <w:rsid w:val="00842868"/>
    <w:rsid w:val="008442C0"/>
    <w:rsid w:val="00845AB2"/>
    <w:rsid w:val="00845C7F"/>
    <w:rsid w:val="00845E6C"/>
    <w:rsid w:val="00846FF6"/>
    <w:rsid w:val="00847E4E"/>
    <w:rsid w:val="00850602"/>
    <w:rsid w:val="0085080F"/>
    <w:rsid w:val="00852727"/>
    <w:rsid w:val="00852810"/>
    <w:rsid w:val="00852FD6"/>
    <w:rsid w:val="0085412D"/>
    <w:rsid w:val="00854493"/>
    <w:rsid w:val="00855C9D"/>
    <w:rsid w:val="008607EB"/>
    <w:rsid w:val="00860F83"/>
    <w:rsid w:val="008611AA"/>
    <w:rsid w:val="00861478"/>
    <w:rsid w:val="00861772"/>
    <w:rsid w:val="00862E9C"/>
    <w:rsid w:val="00863384"/>
    <w:rsid w:val="008675D7"/>
    <w:rsid w:val="0086788C"/>
    <w:rsid w:val="00867E7C"/>
    <w:rsid w:val="00870D4B"/>
    <w:rsid w:val="008718C3"/>
    <w:rsid w:val="00872401"/>
    <w:rsid w:val="00874AD9"/>
    <w:rsid w:val="00875FC8"/>
    <w:rsid w:val="00877640"/>
    <w:rsid w:val="00877CC2"/>
    <w:rsid w:val="00881BB7"/>
    <w:rsid w:val="0088288D"/>
    <w:rsid w:val="008829D1"/>
    <w:rsid w:val="00883A9E"/>
    <w:rsid w:val="00884E43"/>
    <w:rsid w:val="00885066"/>
    <w:rsid w:val="00885348"/>
    <w:rsid w:val="00885C0B"/>
    <w:rsid w:val="00886FC1"/>
    <w:rsid w:val="00892610"/>
    <w:rsid w:val="008927EF"/>
    <w:rsid w:val="0089346D"/>
    <w:rsid w:val="00893C0F"/>
    <w:rsid w:val="00893F68"/>
    <w:rsid w:val="008962D4"/>
    <w:rsid w:val="008963FA"/>
    <w:rsid w:val="008A0F41"/>
    <w:rsid w:val="008A1060"/>
    <w:rsid w:val="008A1EEC"/>
    <w:rsid w:val="008A2212"/>
    <w:rsid w:val="008A4B6A"/>
    <w:rsid w:val="008A55BD"/>
    <w:rsid w:val="008A6C4D"/>
    <w:rsid w:val="008A7301"/>
    <w:rsid w:val="008A793C"/>
    <w:rsid w:val="008A7AFB"/>
    <w:rsid w:val="008B0DCC"/>
    <w:rsid w:val="008B13EE"/>
    <w:rsid w:val="008B236A"/>
    <w:rsid w:val="008B244A"/>
    <w:rsid w:val="008B2911"/>
    <w:rsid w:val="008B328E"/>
    <w:rsid w:val="008B370D"/>
    <w:rsid w:val="008B3BE5"/>
    <w:rsid w:val="008B58F5"/>
    <w:rsid w:val="008B5A5E"/>
    <w:rsid w:val="008B6B46"/>
    <w:rsid w:val="008C2309"/>
    <w:rsid w:val="008C3A99"/>
    <w:rsid w:val="008C5793"/>
    <w:rsid w:val="008C6617"/>
    <w:rsid w:val="008C68F1"/>
    <w:rsid w:val="008C791F"/>
    <w:rsid w:val="008D02D3"/>
    <w:rsid w:val="008D156E"/>
    <w:rsid w:val="008D2CE0"/>
    <w:rsid w:val="008D2EF3"/>
    <w:rsid w:val="008D34DE"/>
    <w:rsid w:val="008D4F00"/>
    <w:rsid w:val="008D5732"/>
    <w:rsid w:val="008D638E"/>
    <w:rsid w:val="008D6ABA"/>
    <w:rsid w:val="008D7731"/>
    <w:rsid w:val="008E03D5"/>
    <w:rsid w:val="008E1039"/>
    <w:rsid w:val="008E4778"/>
    <w:rsid w:val="008E5D72"/>
    <w:rsid w:val="008E7C81"/>
    <w:rsid w:val="008F28E8"/>
    <w:rsid w:val="008F2D0E"/>
    <w:rsid w:val="008F3B94"/>
    <w:rsid w:val="008F4F17"/>
    <w:rsid w:val="008F5B13"/>
    <w:rsid w:val="008F69B2"/>
    <w:rsid w:val="008F7A9C"/>
    <w:rsid w:val="009003BB"/>
    <w:rsid w:val="00900BF1"/>
    <w:rsid w:val="00901144"/>
    <w:rsid w:val="00901F01"/>
    <w:rsid w:val="00901F77"/>
    <w:rsid w:val="00906226"/>
    <w:rsid w:val="00906270"/>
    <w:rsid w:val="00910AC6"/>
    <w:rsid w:val="009119F5"/>
    <w:rsid w:val="009123D3"/>
    <w:rsid w:val="00913DD8"/>
    <w:rsid w:val="00915211"/>
    <w:rsid w:val="00916226"/>
    <w:rsid w:val="0091745A"/>
    <w:rsid w:val="00920340"/>
    <w:rsid w:val="00921803"/>
    <w:rsid w:val="00921C9F"/>
    <w:rsid w:val="009235AF"/>
    <w:rsid w:val="009241EA"/>
    <w:rsid w:val="00925F9E"/>
    <w:rsid w:val="00926324"/>
    <w:rsid w:val="00926503"/>
    <w:rsid w:val="00926AA3"/>
    <w:rsid w:val="00930254"/>
    <w:rsid w:val="00930299"/>
    <w:rsid w:val="00930546"/>
    <w:rsid w:val="00934B04"/>
    <w:rsid w:val="00934D41"/>
    <w:rsid w:val="00936D33"/>
    <w:rsid w:val="0094650A"/>
    <w:rsid w:val="00951BF5"/>
    <w:rsid w:val="00953405"/>
    <w:rsid w:val="00953A84"/>
    <w:rsid w:val="0095449A"/>
    <w:rsid w:val="0095502F"/>
    <w:rsid w:val="0095649B"/>
    <w:rsid w:val="00956570"/>
    <w:rsid w:val="009566BE"/>
    <w:rsid w:val="009603E4"/>
    <w:rsid w:val="00961C47"/>
    <w:rsid w:val="00962BA2"/>
    <w:rsid w:val="00962DC0"/>
    <w:rsid w:val="009653E1"/>
    <w:rsid w:val="00966D00"/>
    <w:rsid w:val="009704B2"/>
    <w:rsid w:val="0097050E"/>
    <w:rsid w:val="009726D8"/>
    <w:rsid w:val="00974EFA"/>
    <w:rsid w:val="00975CD4"/>
    <w:rsid w:val="0097673F"/>
    <w:rsid w:val="009831F3"/>
    <w:rsid w:val="00987618"/>
    <w:rsid w:val="009904AF"/>
    <w:rsid w:val="00991AC2"/>
    <w:rsid w:val="00994CD9"/>
    <w:rsid w:val="00994FBF"/>
    <w:rsid w:val="009A0585"/>
    <w:rsid w:val="009A0AD5"/>
    <w:rsid w:val="009A14AF"/>
    <w:rsid w:val="009A17D5"/>
    <w:rsid w:val="009A1972"/>
    <w:rsid w:val="009A1ED6"/>
    <w:rsid w:val="009A3337"/>
    <w:rsid w:val="009A3DA4"/>
    <w:rsid w:val="009A40A1"/>
    <w:rsid w:val="009A40F3"/>
    <w:rsid w:val="009A471A"/>
    <w:rsid w:val="009A55E4"/>
    <w:rsid w:val="009A5EAC"/>
    <w:rsid w:val="009A6072"/>
    <w:rsid w:val="009A7FA4"/>
    <w:rsid w:val="009B10EF"/>
    <w:rsid w:val="009B21C4"/>
    <w:rsid w:val="009B390F"/>
    <w:rsid w:val="009B4911"/>
    <w:rsid w:val="009B4AA0"/>
    <w:rsid w:val="009B7DF5"/>
    <w:rsid w:val="009B7F14"/>
    <w:rsid w:val="009C28EE"/>
    <w:rsid w:val="009C358E"/>
    <w:rsid w:val="009C3622"/>
    <w:rsid w:val="009C4B15"/>
    <w:rsid w:val="009C5D59"/>
    <w:rsid w:val="009C6A6F"/>
    <w:rsid w:val="009C7D95"/>
    <w:rsid w:val="009D042F"/>
    <w:rsid w:val="009D08E0"/>
    <w:rsid w:val="009D0E5C"/>
    <w:rsid w:val="009D13B4"/>
    <w:rsid w:val="009D182F"/>
    <w:rsid w:val="009D2682"/>
    <w:rsid w:val="009D44C9"/>
    <w:rsid w:val="009D57DD"/>
    <w:rsid w:val="009D5C6F"/>
    <w:rsid w:val="009D60B9"/>
    <w:rsid w:val="009D6359"/>
    <w:rsid w:val="009E5124"/>
    <w:rsid w:val="009F02E6"/>
    <w:rsid w:val="009F090A"/>
    <w:rsid w:val="009F0BB5"/>
    <w:rsid w:val="009F0BF9"/>
    <w:rsid w:val="009F1060"/>
    <w:rsid w:val="009F1D70"/>
    <w:rsid w:val="009F2711"/>
    <w:rsid w:val="009F3A0D"/>
    <w:rsid w:val="009F61F4"/>
    <w:rsid w:val="009F76DB"/>
    <w:rsid w:val="00A013EE"/>
    <w:rsid w:val="00A01405"/>
    <w:rsid w:val="00A017D8"/>
    <w:rsid w:val="00A02712"/>
    <w:rsid w:val="00A02ED5"/>
    <w:rsid w:val="00A067CE"/>
    <w:rsid w:val="00A104BE"/>
    <w:rsid w:val="00A10DD9"/>
    <w:rsid w:val="00A1139F"/>
    <w:rsid w:val="00A11412"/>
    <w:rsid w:val="00A12887"/>
    <w:rsid w:val="00A133E5"/>
    <w:rsid w:val="00A14369"/>
    <w:rsid w:val="00A158E9"/>
    <w:rsid w:val="00A17F42"/>
    <w:rsid w:val="00A17FB4"/>
    <w:rsid w:val="00A217EE"/>
    <w:rsid w:val="00A224D7"/>
    <w:rsid w:val="00A30438"/>
    <w:rsid w:val="00A3054F"/>
    <w:rsid w:val="00A308CC"/>
    <w:rsid w:val="00A31DDA"/>
    <w:rsid w:val="00A32C3B"/>
    <w:rsid w:val="00A35119"/>
    <w:rsid w:val="00A4048A"/>
    <w:rsid w:val="00A41B42"/>
    <w:rsid w:val="00A4201B"/>
    <w:rsid w:val="00A4206F"/>
    <w:rsid w:val="00A42D75"/>
    <w:rsid w:val="00A4507D"/>
    <w:rsid w:val="00A453F6"/>
    <w:rsid w:val="00A4588F"/>
    <w:rsid w:val="00A45F4F"/>
    <w:rsid w:val="00A46091"/>
    <w:rsid w:val="00A4753E"/>
    <w:rsid w:val="00A47C9F"/>
    <w:rsid w:val="00A513A0"/>
    <w:rsid w:val="00A53559"/>
    <w:rsid w:val="00A564B3"/>
    <w:rsid w:val="00A56D19"/>
    <w:rsid w:val="00A600A9"/>
    <w:rsid w:val="00A6048D"/>
    <w:rsid w:val="00A605B2"/>
    <w:rsid w:val="00A6137A"/>
    <w:rsid w:val="00A6404A"/>
    <w:rsid w:val="00A64F24"/>
    <w:rsid w:val="00A65D92"/>
    <w:rsid w:val="00A66656"/>
    <w:rsid w:val="00A67721"/>
    <w:rsid w:val="00A7129F"/>
    <w:rsid w:val="00A7165D"/>
    <w:rsid w:val="00A72C11"/>
    <w:rsid w:val="00A7316A"/>
    <w:rsid w:val="00A73590"/>
    <w:rsid w:val="00A73CC8"/>
    <w:rsid w:val="00A74F92"/>
    <w:rsid w:val="00A7592B"/>
    <w:rsid w:val="00A75F8C"/>
    <w:rsid w:val="00A76231"/>
    <w:rsid w:val="00A7687C"/>
    <w:rsid w:val="00A82268"/>
    <w:rsid w:val="00A82C02"/>
    <w:rsid w:val="00A83F13"/>
    <w:rsid w:val="00A85BCC"/>
    <w:rsid w:val="00A86944"/>
    <w:rsid w:val="00A91C1B"/>
    <w:rsid w:val="00A93734"/>
    <w:rsid w:val="00A93B3D"/>
    <w:rsid w:val="00A940B8"/>
    <w:rsid w:val="00A94443"/>
    <w:rsid w:val="00A944EB"/>
    <w:rsid w:val="00A947F3"/>
    <w:rsid w:val="00A954F7"/>
    <w:rsid w:val="00A974AB"/>
    <w:rsid w:val="00AA0F88"/>
    <w:rsid w:val="00AA1167"/>
    <w:rsid w:val="00AA2626"/>
    <w:rsid w:val="00AA35C9"/>
    <w:rsid w:val="00AA3D65"/>
    <w:rsid w:val="00AA40AE"/>
    <w:rsid w:val="00AA55B7"/>
    <w:rsid w:val="00AA5B9E"/>
    <w:rsid w:val="00AA780F"/>
    <w:rsid w:val="00AA7B7C"/>
    <w:rsid w:val="00AB0846"/>
    <w:rsid w:val="00AB170C"/>
    <w:rsid w:val="00AB1A9C"/>
    <w:rsid w:val="00AB226B"/>
    <w:rsid w:val="00AB2407"/>
    <w:rsid w:val="00AB3D42"/>
    <w:rsid w:val="00AB53DF"/>
    <w:rsid w:val="00AB5D2A"/>
    <w:rsid w:val="00AB6D13"/>
    <w:rsid w:val="00AB7A64"/>
    <w:rsid w:val="00AC022F"/>
    <w:rsid w:val="00AC0D2A"/>
    <w:rsid w:val="00AC158B"/>
    <w:rsid w:val="00AC30E3"/>
    <w:rsid w:val="00AC3F0A"/>
    <w:rsid w:val="00AC689D"/>
    <w:rsid w:val="00AC7BE4"/>
    <w:rsid w:val="00AD02C5"/>
    <w:rsid w:val="00AD0401"/>
    <w:rsid w:val="00AD0A00"/>
    <w:rsid w:val="00AD1383"/>
    <w:rsid w:val="00AD1896"/>
    <w:rsid w:val="00AD2CC1"/>
    <w:rsid w:val="00AD3661"/>
    <w:rsid w:val="00AD4268"/>
    <w:rsid w:val="00AD459F"/>
    <w:rsid w:val="00AD7F31"/>
    <w:rsid w:val="00AE18CB"/>
    <w:rsid w:val="00AE1A69"/>
    <w:rsid w:val="00AE1B7E"/>
    <w:rsid w:val="00AE29F7"/>
    <w:rsid w:val="00AE2B91"/>
    <w:rsid w:val="00AE4C7A"/>
    <w:rsid w:val="00AE590E"/>
    <w:rsid w:val="00AE596E"/>
    <w:rsid w:val="00AE5EFA"/>
    <w:rsid w:val="00AE759E"/>
    <w:rsid w:val="00AE7859"/>
    <w:rsid w:val="00AF0461"/>
    <w:rsid w:val="00AF068D"/>
    <w:rsid w:val="00AF38C8"/>
    <w:rsid w:val="00AF426E"/>
    <w:rsid w:val="00AF4A5F"/>
    <w:rsid w:val="00AF4B5E"/>
    <w:rsid w:val="00AF7A50"/>
    <w:rsid w:val="00B007B8"/>
    <w:rsid w:val="00B00805"/>
    <w:rsid w:val="00B01C6D"/>
    <w:rsid w:val="00B01EB7"/>
    <w:rsid w:val="00B04233"/>
    <w:rsid w:val="00B04D8C"/>
    <w:rsid w:val="00B055C2"/>
    <w:rsid w:val="00B05BEC"/>
    <w:rsid w:val="00B0603D"/>
    <w:rsid w:val="00B06BA4"/>
    <w:rsid w:val="00B07386"/>
    <w:rsid w:val="00B07459"/>
    <w:rsid w:val="00B07E5C"/>
    <w:rsid w:val="00B07F32"/>
    <w:rsid w:val="00B10369"/>
    <w:rsid w:val="00B104E8"/>
    <w:rsid w:val="00B11FDB"/>
    <w:rsid w:val="00B1372E"/>
    <w:rsid w:val="00B1445A"/>
    <w:rsid w:val="00B16C47"/>
    <w:rsid w:val="00B177DD"/>
    <w:rsid w:val="00B212AF"/>
    <w:rsid w:val="00B223B5"/>
    <w:rsid w:val="00B23A81"/>
    <w:rsid w:val="00B2437C"/>
    <w:rsid w:val="00B2572D"/>
    <w:rsid w:val="00B260C1"/>
    <w:rsid w:val="00B302C3"/>
    <w:rsid w:val="00B32428"/>
    <w:rsid w:val="00B34220"/>
    <w:rsid w:val="00B3493E"/>
    <w:rsid w:val="00B36A43"/>
    <w:rsid w:val="00B37169"/>
    <w:rsid w:val="00B41DC6"/>
    <w:rsid w:val="00B426F4"/>
    <w:rsid w:val="00B43FAC"/>
    <w:rsid w:val="00B44472"/>
    <w:rsid w:val="00B446B6"/>
    <w:rsid w:val="00B45F4C"/>
    <w:rsid w:val="00B45FDD"/>
    <w:rsid w:val="00B46B61"/>
    <w:rsid w:val="00B474EF"/>
    <w:rsid w:val="00B55082"/>
    <w:rsid w:val="00B5560C"/>
    <w:rsid w:val="00B605A4"/>
    <w:rsid w:val="00B605D8"/>
    <w:rsid w:val="00B61379"/>
    <w:rsid w:val="00B614D9"/>
    <w:rsid w:val="00B659BE"/>
    <w:rsid w:val="00B65A41"/>
    <w:rsid w:val="00B74323"/>
    <w:rsid w:val="00B74D60"/>
    <w:rsid w:val="00B74DFC"/>
    <w:rsid w:val="00B809AD"/>
    <w:rsid w:val="00B811F7"/>
    <w:rsid w:val="00B81DFF"/>
    <w:rsid w:val="00B8327B"/>
    <w:rsid w:val="00B84E49"/>
    <w:rsid w:val="00B864A4"/>
    <w:rsid w:val="00B86AC8"/>
    <w:rsid w:val="00B910DD"/>
    <w:rsid w:val="00B91FC4"/>
    <w:rsid w:val="00B92DCC"/>
    <w:rsid w:val="00B93F72"/>
    <w:rsid w:val="00B94CAC"/>
    <w:rsid w:val="00B951D4"/>
    <w:rsid w:val="00B95958"/>
    <w:rsid w:val="00B95FE2"/>
    <w:rsid w:val="00B971B2"/>
    <w:rsid w:val="00B97450"/>
    <w:rsid w:val="00B974CB"/>
    <w:rsid w:val="00BA01D9"/>
    <w:rsid w:val="00BA1B96"/>
    <w:rsid w:val="00BA4C75"/>
    <w:rsid w:val="00BA5DC6"/>
    <w:rsid w:val="00BA6196"/>
    <w:rsid w:val="00BA7E86"/>
    <w:rsid w:val="00BB0302"/>
    <w:rsid w:val="00BB0368"/>
    <w:rsid w:val="00BB0A20"/>
    <w:rsid w:val="00BB11B6"/>
    <w:rsid w:val="00BB16DE"/>
    <w:rsid w:val="00BB2401"/>
    <w:rsid w:val="00BB2C57"/>
    <w:rsid w:val="00BB5042"/>
    <w:rsid w:val="00BB5FBA"/>
    <w:rsid w:val="00BB7817"/>
    <w:rsid w:val="00BB7F55"/>
    <w:rsid w:val="00BC0287"/>
    <w:rsid w:val="00BC336C"/>
    <w:rsid w:val="00BC4B1A"/>
    <w:rsid w:val="00BC5058"/>
    <w:rsid w:val="00BC5B9E"/>
    <w:rsid w:val="00BC605E"/>
    <w:rsid w:val="00BC6661"/>
    <w:rsid w:val="00BC6D8C"/>
    <w:rsid w:val="00BD032B"/>
    <w:rsid w:val="00BD15D9"/>
    <w:rsid w:val="00BD2CCC"/>
    <w:rsid w:val="00BD2E27"/>
    <w:rsid w:val="00BD3520"/>
    <w:rsid w:val="00BD5063"/>
    <w:rsid w:val="00BD5943"/>
    <w:rsid w:val="00BD5950"/>
    <w:rsid w:val="00BD74C9"/>
    <w:rsid w:val="00BE01AB"/>
    <w:rsid w:val="00BE0CBB"/>
    <w:rsid w:val="00BE2486"/>
    <w:rsid w:val="00BE6E39"/>
    <w:rsid w:val="00BE7D57"/>
    <w:rsid w:val="00BF0CEE"/>
    <w:rsid w:val="00BF0E37"/>
    <w:rsid w:val="00BF317D"/>
    <w:rsid w:val="00BF3206"/>
    <w:rsid w:val="00BF4270"/>
    <w:rsid w:val="00BF7B4A"/>
    <w:rsid w:val="00C008A0"/>
    <w:rsid w:val="00C0125E"/>
    <w:rsid w:val="00C0144F"/>
    <w:rsid w:val="00C023D9"/>
    <w:rsid w:val="00C0425E"/>
    <w:rsid w:val="00C04B84"/>
    <w:rsid w:val="00C05AB8"/>
    <w:rsid w:val="00C06EE0"/>
    <w:rsid w:val="00C07E70"/>
    <w:rsid w:val="00C119B8"/>
    <w:rsid w:val="00C12C58"/>
    <w:rsid w:val="00C12E44"/>
    <w:rsid w:val="00C135CD"/>
    <w:rsid w:val="00C1391A"/>
    <w:rsid w:val="00C13ADC"/>
    <w:rsid w:val="00C14AAF"/>
    <w:rsid w:val="00C15DCA"/>
    <w:rsid w:val="00C21480"/>
    <w:rsid w:val="00C24B89"/>
    <w:rsid w:val="00C27DB6"/>
    <w:rsid w:val="00C304FC"/>
    <w:rsid w:val="00C32EF0"/>
    <w:rsid w:val="00C33636"/>
    <w:rsid w:val="00C34006"/>
    <w:rsid w:val="00C348C1"/>
    <w:rsid w:val="00C34F9C"/>
    <w:rsid w:val="00C351B7"/>
    <w:rsid w:val="00C35791"/>
    <w:rsid w:val="00C36B58"/>
    <w:rsid w:val="00C3741D"/>
    <w:rsid w:val="00C419DD"/>
    <w:rsid w:val="00C42658"/>
    <w:rsid w:val="00C42699"/>
    <w:rsid w:val="00C426B1"/>
    <w:rsid w:val="00C44988"/>
    <w:rsid w:val="00C46342"/>
    <w:rsid w:val="00C46A2A"/>
    <w:rsid w:val="00C507FF"/>
    <w:rsid w:val="00C50A33"/>
    <w:rsid w:val="00C523C1"/>
    <w:rsid w:val="00C5329E"/>
    <w:rsid w:val="00C53639"/>
    <w:rsid w:val="00C53F30"/>
    <w:rsid w:val="00C54C3B"/>
    <w:rsid w:val="00C54DF7"/>
    <w:rsid w:val="00C554F4"/>
    <w:rsid w:val="00C559EA"/>
    <w:rsid w:val="00C55B80"/>
    <w:rsid w:val="00C56B1A"/>
    <w:rsid w:val="00C57374"/>
    <w:rsid w:val="00C573B4"/>
    <w:rsid w:val="00C57DEA"/>
    <w:rsid w:val="00C57FF3"/>
    <w:rsid w:val="00C60B13"/>
    <w:rsid w:val="00C617C4"/>
    <w:rsid w:val="00C62028"/>
    <w:rsid w:val="00C649D5"/>
    <w:rsid w:val="00C64DAB"/>
    <w:rsid w:val="00C64E08"/>
    <w:rsid w:val="00C6531F"/>
    <w:rsid w:val="00C66160"/>
    <w:rsid w:val="00C721AC"/>
    <w:rsid w:val="00C72F48"/>
    <w:rsid w:val="00C73D13"/>
    <w:rsid w:val="00C73F66"/>
    <w:rsid w:val="00C75B4C"/>
    <w:rsid w:val="00C75CBB"/>
    <w:rsid w:val="00C760A9"/>
    <w:rsid w:val="00C819BF"/>
    <w:rsid w:val="00C82F4F"/>
    <w:rsid w:val="00C83222"/>
    <w:rsid w:val="00C83356"/>
    <w:rsid w:val="00C846CF"/>
    <w:rsid w:val="00C85054"/>
    <w:rsid w:val="00C862B9"/>
    <w:rsid w:val="00C877F0"/>
    <w:rsid w:val="00C90D6A"/>
    <w:rsid w:val="00C92328"/>
    <w:rsid w:val="00C92813"/>
    <w:rsid w:val="00C92EE1"/>
    <w:rsid w:val="00C93099"/>
    <w:rsid w:val="00C9494F"/>
    <w:rsid w:val="00C95C6F"/>
    <w:rsid w:val="00C9664E"/>
    <w:rsid w:val="00C96D65"/>
    <w:rsid w:val="00CA166E"/>
    <w:rsid w:val="00CA247E"/>
    <w:rsid w:val="00CA4DB6"/>
    <w:rsid w:val="00CA51E4"/>
    <w:rsid w:val="00CA5C95"/>
    <w:rsid w:val="00CA6760"/>
    <w:rsid w:val="00CA6DCC"/>
    <w:rsid w:val="00CB0B94"/>
    <w:rsid w:val="00CB0C57"/>
    <w:rsid w:val="00CB2803"/>
    <w:rsid w:val="00CB3139"/>
    <w:rsid w:val="00CB4182"/>
    <w:rsid w:val="00CB59EB"/>
    <w:rsid w:val="00CC1416"/>
    <w:rsid w:val="00CC194E"/>
    <w:rsid w:val="00CC25F1"/>
    <w:rsid w:val="00CC3620"/>
    <w:rsid w:val="00CC48B8"/>
    <w:rsid w:val="00CC4C3F"/>
    <w:rsid w:val="00CC5CAF"/>
    <w:rsid w:val="00CC72B6"/>
    <w:rsid w:val="00CC7B58"/>
    <w:rsid w:val="00CD0E69"/>
    <w:rsid w:val="00CD2EE7"/>
    <w:rsid w:val="00CD35B2"/>
    <w:rsid w:val="00CD5C53"/>
    <w:rsid w:val="00CD60C9"/>
    <w:rsid w:val="00CD6F17"/>
    <w:rsid w:val="00CD7E8C"/>
    <w:rsid w:val="00CE03BE"/>
    <w:rsid w:val="00CE0C7B"/>
    <w:rsid w:val="00CE212F"/>
    <w:rsid w:val="00CE274D"/>
    <w:rsid w:val="00CE350E"/>
    <w:rsid w:val="00CE3813"/>
    <w:rsid w:val="00CE401F"/>
    <w:rsid w:val="00CE504A"/>
    <w:rsid w:val="00CE6C45"/>
    <w:rsid w:val="00CE7F72"/>
    <w:rsid w:val="00CF0C19"/>
    <w:rsid w:val="00CF1AEF"/>
    <w:rsid w:val="00CF2190"/>
    <w:rsid w:val="00CF2F33"/>
    <w:rsid w:val="00CF318E"/>
    <w:rsid w:val="00CF4132"/>
    <w:rsid w:val="00CF5F02"/>
    <w:rsid w:val="00D00142"/>
    <w:rsid w:val="00D014EE"/>
    <w:rsid w:val="00D0218D"/>
    <w:rsid w:val="00D021BA"/>
    <w:rsid w:val="00D021E5"/>
    <w:rsid w:val="00D042C2"/>
    <w:rsid w:val="00D0538A"/>
    <w:rsid w:val="00D057E8"/>
    <w:rsid w:val="00D06C71"/>
    <w:rsid w:val="00D112B1"/>
    <w:rsid w:val="00D14828"/>
    <w:rsid w:val="00D15744"/>
    <w:rsid w:val="00D25064"/>
    <w:rsid w:val="00D2574D"/>
    <w:rsid w:val="00D25FB5"/>
    <w:rsid w:val="00D30AD5"/>
    <w:rsid w:val="00D30C6F"/>
    <w:rsid w:val="00D31932"/>
    <w:rsid w:val="00D327B4"/>
    <w:rsid w:val="00D32F5B"/>
    <w:rsid w:val="00D33B49"/>
    <w:rsid w:val="00D33D72"/>
    <w:rsid w:val="00D3412F"/>
    <w:rsid w:val="00D34E79"/>
    <w:rsid w:val="00D351EA"/>
    <w:rsid w:val="00D35628"/>
    <w:rsid w:val="00D37497"/>
    <w:rsid w:val="00D37A7B"/>
    <w:rsid w:val="00D37CEA"/>
    <w:rsid w:val="00D40288"/>
    <w:rsid w:val="00D42865"/>
    <w:rsid w:val="00D44223"/>
    <w:rsid w:val="00D45101"/>
    <w:rsid w:val="00D4529C"/>
    <w:rsid w:val="00D46CA9"/>
    <w:rsid w:val="00D479E7"/>
    <w:rsid w:val="00D50D4E"/>
    <w:rsid w:val="00D50EA7"/>
    <w:rsid w:val="00D511D4"/>
    <w:rsid w:val="00D53150"/>
    <w:rsid w:val="00D54736"/>
    <w:rsid w:val="00D54778"/>
    <w:rsid w:val="00D5654E"/>
    <w:rsid w:val="00D609A6"/>
    <w:rsid w:val="00D622B8"/>
    <w:rsid w:val="00D63146"/>
    <w:rsid w:val="00D709E1"/>
    <w:rsid w:val="00D70AE8"/>
    <w:rsid w:val="00D720B7"/>
    <w:rsid w:val="00D72315"/>
    <w:rsid w:val="00D7418F"/>
    <w:rsid w:val="00D74217"/>
    <w:rsid w:val="00D75B49"/>
    <w:rsid w:val="00D76374"/>
    <w:rsid w:val="00D769F3"/>
    <w:rsid w:val="00D76FAD"/>
    <w:rsid w:val="00D775FE"/>
    <w:rsid w:val="00D77D52"/>
    <w:rsid w:val="00D80C62"/>
    <w:rsid w:val="00D80E4C"/>
    <w:rsid w:val="00D81CB1"/>
    <w:rsid w:val="00D86CD7"/>
    <w:rsid w:val="00D90A83"/>
    <w:rsid w:val="00D91325"/>
    <w:rsid w:val="00D91FC9"/>
    <w:rsid w:val="00D92317"/>
    <w:rsid w:val="00DA0146"/>
    <w:rsid w:val="00DA05BA"/>
    <w:rsid w:val="00DA13F0"/>
    <w:rsid w:val="00DA1BB5"/>
    <w:rsid w:val="00DA2529"/>
    <w:rsid w:val="00DA2C24"/>
    <w:rsid w:val="00DA2E31"/>
    <w:rsid w:val="00DA36BA"/>
    <w:rsid w:val="00DA7DDB"/>
    <w:rsid w:val="00DB0891"/>
    <w:rsid w:val="00DB0F26"/>
    <w:rsid w:val="00DB130A"/>
    <w:rsid w:val="00DB1B7C"/>
    <w:rsid w:val="00DB2EBB"/>
    <w:rsid w:val="00DB359C"/>
    <w:rsid w:val="00DB55E9"/>
    <w:rsid w:val="00DB5698"/>
    <w:rsid w:val="00DB5A7E"/>
    <w:rsid w:val="00DB717E"/>
    <w:rsid w:val="00DB7766"/>
    <w:rsid w:val="00DB7951"/>
    <w:rsid w:val="00DC0007"/>
    <w:rsid w:val="00DC10A1"/>
    <w:rsid w:val="00DC16FF"/>
    <w:rsid w:val="00DC20D5"/>
    <w:rsid w:val="00DC5D30"/>
    <w:rsid w:val="00DC655F"/>
    <w:rsid w:val="00DC6B08"/>
    <w:rsid w:val="00DC6F0B"/>
    <w:rsid w:val="00DC7D29"/>
    <w:rsid w:val="00DD0038"/>
    <w:rsid w:val="00DD0B59"/>
    <w:rsid w:val="00DD55F2"/>
    <w:rsid w:val="00DD6EE4"/>
    <w:rsid w:val="00DD7481"/>
    <w:rsid w:val="00DD7EBD"/>
    <w:rsid w:val="00DE1FC6"/>
    <w:rsid w:val="00DE292C"/>
    <w:rsid w:val="00DE2CF0"/>
    <w:rsid w:val="00DE2D68"/>
    <w:rsid w:val="00DE3D2A"/>
    <w:rsid w:val="00DE45B9"/>
    <w:rsid w:val="00DE56C5"/>
    <w:rsid w:val="00DE5A6E"/>
    <w:rsid w:val="00DE5C65"/>
    <w:rsid w:val="00DE65CA"/>
    <w:rsid w:val="00DE6676"/>
    <w:rsid w:val="00DF0A79"/>
    <w:rsid w:val="00DF1F9C"/>
    <w:rsid w:val="00DF3AD0"/>
    <w:rsid w:val="00DF3F32"/>
    <w:rsid w:val="00DF62B6"/>
    <w:rsid w:val="00E0579F"/>
    <w:rsid w:val="00E07225"/>
    <w:rsid w:val="00E10135"/>
    <w:rsid w:val="00E10BB1"/>
    <w:rsid w:val="00E11CF3"/>
    <w:rsid w:val="00E128EE"/>
    <w:rsid w:val="00E12F87"/>
    <w:rsid w:val="00E12FD0"/>
    <w:rsid w:val="00E165A8"/>
    <w:rsid w:val="00E17376"/>
    <w:rsid w:val="00E20B3D"/>
    <w:rsid w:val="00E22C15"/>
    <w:rsid w:val="00E244DC"/>
    <w:rsid w:val="00E25895"/>
    <w:rsid w:val="00E268D9"/>
    <w:rsid w:val="00E26DE6"/>
    <w:rsid w:val="00E2714A"/>
    <w:rsid w:val="00E27B37"/>
    <w:rsid w:val="00E30E3C"/>
    <w:rsid w:val="00E31142"/>
    <w:rsid w:val="00E315E7"/>
    <w:rsid w:val="00E32648"/>
    <w:rsid w:val="00E3318D"/>
    <w:rsid w:val="00E339CA"/>
    <w:rsid w:val="00E37116"/>
    <w:rsid w:val="00E37516"/>
    <w:rsid w:val="00E40948"/>
    <w:rsid w:val="00E40DEB"/>
    <w:rsid w:val="00E41C36"/>
    <w:rsid w:val="00E422EC"/>
    <w:rsid w:val="00E426EF"/>
    <w:rsid w:val="00E427B5"/>
    <w:rsid w:val="00E43818"/>
    <w:rsid w:val="00E439EB"/>
    <w:rsid w:val="00E444B9"/>
    <w:rsid w:val="00E456EB"/>
    <w:rsid w:val="00E4604E"/>
    <w:rsid w:val="00E4657D"/>
    <w:rsid w:val="00E51A65"/>
    <w:rsid w:val="00E53D46"/>
    <w:rsid w:val="00E5409F"/>
    <w:rsid w:val="00E55D2D"/>
    <w:rsid w:val="00E57FC6"/>
    <w:rsid w:val="00E61F88"/>
    <w:rsid w:val="00E6360B"/>
    <w:rsid w:val="00E64875"/>
    <w:rsid w:val="00E65A31"/>
    <w:rsid w:val="00E66DF2"/>
    <w:rsid w:val="00E67472"/>
    <w:rsid w:val="00E70A35"/>
    <w:rsid w:val="00E718F2"/>
    <w:rsid w:val="00E71AEC"/>
    <w:rsid w:val="00E7249C"/>
    <w:rsid w:val="00E737E5"/>
    <w:rsid w:val="00E73A75"/>
    <w:rsid w:val="00E73ACA"/>
    <w:rsid w:val="00E80F66"/>
    <w:rsid w:val="00E81371"/>
    <w:rsid w:val="00E81C30"/>
    <w:rsid w:val="00E81CCD"/>
    <w:rsid w:val="00E84742"/>
    <w:rsid w:val="00E84B0A"/>
    <w:rsid w:val="00E84CE4"/>
    <w:rsid w:val="00E8526C"/>
    <w:rsid w:val="00E86E25"/>
    <w:rsid w:val="00E878FB"/>
    <w:rsid w:val="00E911AF"/>
    <w:rsid w:val="00E92B85"/>
    <w:rsid w:val="00E9477F"/>
    <w:rsid w:val="00E95529"/>
    <w:rsid w:val="00E96BAB"/>
    <w:rsid w:val="00E97130"/>
    <w:rsid w:val="00E9726F"/>
    <w:rsid w:val="00E973BB"/>
    <w:rsid w:val="00EA00EF"/>
    <w:rsid w:val="00EA04AC"/>
    <w:rsid w:val="00EA13C5"/>
    <w:rsid w:val="00EA1603"/>
    <w:rsid w:val="00EA2C6B"/>
    <w:rsid w:val="00EA3231"/>
    <w:rsid w:val="00EA3F27"/>
    <w:rsid w:val="00EA46FB"/>
    <w:rsid w:val="00EA6D10"/>
    <w:rsid w:val="00EA7BBC"/>
    <w:rsid w:val="00EB074B"/>
    <w:rsid w:val="00EB0AA4"/>
    <w:rsid w:val="00EB0DC9"/>
    <w:rsid w:val="00EB13BF"/>
    <w:rsid w:val="00EB2FA3"/>
    <w:rsid w:val="00EB3A64"/>
    <w:rsid w:val="00EB5759"/>
    <w:rsid w:val="00EB5D0D"/>
    <w:rsid w:val="00EB5E25"/>
    <w:rsid w:val="00EB691B"/>
    <w:rsid w:val="00EB6E53"/>
    <w:rsid w:val="00EB7AE4"/>
    <w:rsid w:val="00EB7F20"/>
    <w:rsid w:val="00EC010F"/>
    <w:rsid w:val="00EC158E"/>
    <w:rsid w:val="00EC2674"/>
    <w:rsid w:val="00EC2CC5"/>
    <w:rsid w:val="00EC3C6C"/>
    <w:rsid w:val="00EC4238"/>
    <w:rsid w:val="00EC5289"/>
    <w:rsid w:val="00EC598D"/>
    <w:rsid w:val="00EC5D4C"/>
    <w:rsid w:val="00EC67DB"/>
    <w:rsid w:val="00EC7158"/>
    <w:rsid w:val="00ED15C3"/>
    <w:rsid w:val="00ED15C6"/>
    <w:rsid w:val="00ED24F6"/>
    <w:rsid w:val="00ED2706"/>
    <w:rsid w:val="00ED31F2"/>
    <w:rsid w:val="00ED3204"/>
    <w:rsid w:val="00ED4FC9"/>
    <w:rsid w:val="00ED5F7B"/>
    <w:rsid w:val="00ED6AF4"/>
    <w:rsid w:val="00ED7A0C"/>
    <w:rsid w:val="00ED7A80"/>
    <w:rsid w:val="00EE0D6D"/>
    <w:rsid w:val="00EE17F0"/>
    <w:rsid w:val="00EE19FB"/>
    <w:rsid w:val="00EE23E0"/>
    <w:rsid w:val="00EE36CB"/>
    <w:rsid w:val="00EE3844"/>
    <w:rsid w:val="00EE4E53"/>
    <w:rsid w:val="00EE6488"/>
    <w:rsid w:val="00EE765E"/>
    <w:rsid w:val="00EE76FE"/>
    <w:rsid w:val="00EF0F76"/>
    <w:rsid w:val="00EF27B9"/>
    <w:rsid w:val="00EF4372"/>
    <w:rsid w:val="00EF48B6"/>
    <w:rsid w:val="00EF64E3"/>
    <w:rsid w:val="00EF6503"/>
    <w:rsid w:val="00F008FF"/>
    <w:rsid w:val="00F013DA"/>
    <w:rsid w:val="00F01B11"/>
    <w:rsid w:val="00F01CF1"/>
    <w:rsid w:val="00F01E4A"/>
    <w:rsid w:val="00F021FA"/>
    <w:rsid w:val="00F03E92"/>
    <w:rsid w:val="00F04D45"/>
    <w:rsid w:val="00F05AEA"/>
    <w:rsid w:val="00F07498"/>
    <w:rsid w:val="00F0756F"/>
    <w:rsid w:val="00F078BE"/>
    <w:rsid w:val="00F07C00"/>
    <w:rsid w:val="00F07EC1"/>
    <w:rsid w:val="00F1354B"/>
    <w:rsid w:val="00F14B59"/>
    <w:rsid w:val="00F15EB7"/>
    <w:rsid w:val="00F16639"/>
    <w:rsid w:val="00F1792A"/>
    <w:rsid w:val="00F17971"/>
    <w:rsid w:val="00F17BBA"/>
    <w:rsid w:val="00F20B45"/>
    <w:rsid w:val="00F20CD3"/>
    <w:rsid w:val="00F2192D"/>
    <w:rsid w:val="00F24113"/>
    <w:rsid w:val="00F26856"/>
    <w:rsid w:val="00F27BD4"/>
    <w:rsid w:val="00F3148B"/>
    <w:rsid w:val="00F31A4D"/>
    <w:rsid w:val="00F337F4"/>
    <w:rsid w:val="00F33ECA"/>
    <w:rsid w:val="00F3418E"/>
    <w:rsid w:val="00F34745"/>
    <w:rsid w:val="00F34D81"/>
    <w:rsid w:val="00F34FAE"/>
    <w:rsid w:val="00F41EAA"/>
    <w:rsid w:val="00F42D4D"/>
    <w:rsid w:val="00F46996"/>
    <w:rsid w:val="00F47F75"/>
    <w:rsid w:val="00F516C1"/>
    <w:rsid w:val="00F528E2"/>
    <w:rsid w:val="00F5349C"/>
    <w:rsid w:val="00F54B70"/>
    <w:rsid w:val="00F571FA"/>
    <w:rsid w:val="00F6086D"/>
    <w:rsid w:val="00F62106"/>
    <w:rsid w:val="00F62352"/>
    <w:rsid w:val="00F62928"/>
    <w:rsid w:val="00F62DEB"/>
    <w:rsid w:val="00F62E97"/>
    <w:rsid w:val="00F64209"/>
    <w:rsid w:val="00F67D89"/>
    <w:rsid w:val="00F67E99"/>
    <w:rsid w:val="00F7001D"/>
    <w:rsid w:val="00F70B6F"/>
    <w:rsid w:val="00F70EB6"/>
    <w:rsid w:val="00F71F54"/>
    <w:rsid w:val="00F71F69"/>
    <w:rsid w:val="00F72E14"/>
    <w:rsid w:val="00F734A3"/>
    <w:rsid w:val="00F73555"/>
    <w:rsid w:val="00F74509"/>
    <w:rsid w:val="00F76B4E"/>
    <w:rsid w:val="00F76ECB"/>
    <w:rsid w:val="00F80245"/>
    <w:rsid w:val="00F80393"/>
    <w:rsid w:val="00F82BFF"/>
    <w:rsid w:val="00F83157"/>
    <w:rsid w:val="00F83724"/>
    <w:rsid w:val="00F83C75"/>
    <w:rsid w:val="00F85ACD"/>
    <w:rsid w:val="00F909FD"/>
    <w:rsid w:val="00F90F97"/>
    <w:rsid w:val="00F915C4"/>
    <w:rsid w:val="00F91761"/>
    <w:rsid w:val="00F92092"/>
    <w:rsid w:val="00F92840"/>
    <w:rsid w:val="00F93472"/>
    <w:rsid w:val="00F93BF5"/>
    <w:rsid w:val="00F94749"/>
    <w:rsid w:val="00F952F1"/>
    <w:rsid w:val="00F96EF6"/>
    <w:rsid w:val="00F970EF"/>
    <w:rsid w:val="00FA00FF"/>
    <w:rsid w:val="00FA182B"/>
    <w:rsid w:val="00FA1F9D"/>
    <w:rsid w:val="00FA504C"/>
    <w:rsid w:val="00FA5371"/>
    <w:rsid w:val="00FA699C"/>
    <w:rsid w:val="00FB1B97"/>
    <w:rsid w:val="00FB1C05"/>
    <w:rsid w:val="00FB4376"/>
    <w:rsid w:val="00FB5303"/>
    <w:rsid w:val="00FC0031"/>
    <w:rsid w:val="00FC0BD5"/>
    <w:rsid w:val="00FC323D"/>
    <w:rsid w:val="00FC5DB9"/>
    <w:rsid w:val="00FC65A4"/>
    <w:rsid w:val="00FC6D7C"/>
    <w:rsid w:val="00FC6F8C"/>
    <w:rsid w:val="00FC7258"/>
    <w:rsid w:val="00FC7C26"/>
    <w:rsid w:val="00FD0D6A"/>
    <w:rsid w:val="00FD22AB"/>
    <w:rsid w:val="00FD268A"/>
    <w:rsid w:val="00FD33F6"/>
    <w:rsid w:val="00FD3620"/>
    <w:rsid w:val="00FD4822"/>
    <w:rsid w:val="00FD4F79"/>
    <w:rsid w:val="00FD5C88"/>
    <w:rsid w:val="00FD5F9A"/>
    <w:rsid w:val="00FD6884"/>
    <w:rsid w:val="00FD7C46"/>
    <w:rsid w:val="00FE14D2"/>
    <w:rsid w:val="00FE42B9"/>
    <w:rsid w:val="00FE4603"/>
    <w:rsid w:val="00FE4AF8"/>
    <w:rsid w:val="00FE4F10"/>
    <w:rsid w:val="00FE509A"/>
    <w:rsid w:val="00FE689A"/>
    <w:rsid w:val="00FE69DF"/>
    <w:rsid w:val="00FF0C07"/>
    <w:rsid w:val="00FF192C"/>
    <w:rsid w:val="00FF290E"/>
    <w:rsid w:val="00FF77AA"/>
    <w:rsid w:val="00FF783F"/>
    <w:rsid w:val="00FF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4F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5A"/>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qFormat/>
    <w:rsid w:val="0061245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61245A"/>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qFormat/>
    <w:rsid w:val="0061245A"/>
    <w:pPr>
      <w:keepNext/>
      <w:numPr>
        <w:ilvl w:val="2"/>
        <w:numId w:val="3"/>
      </w:numPr>
      <w:tabs>
        <w:tab w:val="left" w:pos="2160"/>
      </w:tabs>
      <w:spacing w:after="120"/>
      <w:outlineLvl w:val="2"/>
    </w:pPr>
    <w:rPr>
      <w:b/>
    </w:rPr>
  </w:style>
  <w:style w:type="paragraph" w:styleId="Heading4">
    <w:name w:val="heading 4"/>
    <w:basedOn w:val="Normal"/>
    <w:next w:val="ParaNum"/>
    <w:qFormat/>
    <w:rsid w:val="0061245A"/>
    <w:pPr>
      <w:keepNext/>
      <w:numPr>
        <w:ilvl w:val="3"/>
        <w:numId w:val="3"/>
      </w:numPr>
      <w:tabs>
        <w:tab w:val="left" w:pos="2880"/>
      </w:tabs>
      <w:spacing w:after="120"/>
      <w:outlineLvl w:val="3"/>
    </w:pPr>
    <w:rPr>
      <w:b/>
    </w:rPr>
  </w:style>
  <w:style w:type="paragraph" w:styleId="Heading5">
    <w:name w:val="heading 5"/>
    <w:basedOn w:val="Normal"/>
    <w:next w:val="ParaNum"/>
    <w:qFormat/>
    <w:rsid w:val="0061245A"/>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61245A"/>
    <w:pPr>
      <w:numPr>
        <w:ilvl w:val="5"/>
        <w:numId w:val="3"/>
      </w:numPr>
      <w:tabs>
        <w:tab w:val="left" w:pos="4320"/>
      </w:tabs>
      <w:spacing w:after="120"/>
      <w:outlineLvl w:val="5"/>
    </w:pPr>
    <w:rPr>
      <w:b/>
    </w:rPr>
  </w:style>
  <w:style w:type="paragraph" w:styleId="Heading7">
    <w:name w:val="heading 7"/>
    <w:basedOn w:val="Normal"/>
    <w:next w:val="ParaNum"/>
    <w:qFormat/>
    <w:rsid w:val="0061245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1245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61245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124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245A"/>
  </w:style>
  <w:style w:type="paragraph" w:customStyle="1" w:styleId="ParaNum">
    <w:name w:val="ParaNum"/>
    <w:basedOn w:val="Normal"/>
    <w:link w:val="ParaNumChar"/>
    <w:rsid w:val="0061245A"/>
    <w:pPr>
      <w:numPr>
        <w:numId w:val="2"/>
      </w:numPr>
      <w:tabs>
        <w:tab w:val="clear" w:pos="1080"/>
        <w:tab w:val="num" w:pos="1440"/>
      </w:tabs>
      <w:spacing w:after="120"/>
    </w:pPr>
  </w:style>
  <w:style w:type="paragraph" w:styleId="EndnoteText">
    <w:name w:val="endnote text"/>
    <w:basedOn w:val="Normal"/>
    <w:semiHidden/>
    <w:rsid w:val="0061245A"/>
    <w:rPr>
      <w:sz w:val="20"/>
    </w:rPr>
  </w:style>
  <w:style w:type="character" w:styleId="EndnoteReference">
    <w:name w:val="endnote reference"/>
    <w:semiHidden/>
    <w:rsid w:val="0061245A"/>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61245A"/>
    <w:pPr>
      <w:spacing w:after="120"/>
    </w:pPr>
  </w:style>
  <w:style w:type="character" w:styleId="FootnoteReference">
    <w:name w:val="footnote reference"/>
    <w:aliases w:val="Style 12,(NECG) Footnote Reference,Appel note de bas de p,Style 124,o,fr,Style 3,Style 13,FR,Style 17,Style 6,Footnote Reference/,Style 4,Style 7"/>
    <w:rsid w:val="0061245A"/>
    <w:rPr>
      <w:rFonts w:ascii="Times New Roman" w:hAnsi="Times New Roman"/>
      <w:dstrike w:val="0"/>
      <w:color w:val="auto"/>
      <w:sz w:val="20"/>
      <w:vertAlign w:val="superscript"/>
    </w:rPr>
  </w:style>
  <w:style w:type="paragraph" w:styleId="TOC1">
    <w:name w:val="toc 1"/>
    <w:basedOn w:val="Normal"/>
    <w:next w:val="Normal"/>
    <w:rsid w:val="0061245A"/>
    <w:pPr>
      <w:tabs>
        <w:tab w:val="left" w:pos="360"/>
        <w:tab w:val="right" w:leader="dot" w:pos="9360"/>
      </w:tabs>
      <w:suppressAutoHyphens/>
      <w:ind w:left="360" w:right="720" w:hanging="360"/>
    </w:pPr>
    <w:rPr>
      <w:caps/>
      <w:noProof/>
    </w:rPr>
  </w:style>
  <w:style w:type="paragraph" w:styleId="TOC2">
    <w:name w:val="toc 2"/>
    <w:basedOn w:val="Normal"/>
    <w:next w:val="Normal"/>
    <w:rsid w:val="0061245A"/>
    <w:pPr>
      <w:tabs>
        <w:tab w:val="left" w:pos="720"/>
        <w:tab w:val="right" w:leader="dot" w:pos="9360"/>
      </w:tabs>
      <w:suppressAutoHyphens/>
      <w:ind w:left="720" w:right="720" w:hanging="360"/>
    </w:pPr>
    <w:rPr>
      <w:noProof/>
    </w:rPr>
  </w:style>
  <w:style w:type="paragraph" w:styleId="TOC3">
    <w:name w:val="toc 3"/>
    <w:basedOn w:val="Normal"/>
    <w:next w:val="Normal"/>
    <w:rsid w:val="0061245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1245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1245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1245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1245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1245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1245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1245A"/>
    <w:pPr>
      <w:tabs>
        <w:tab w:val="right" w:pos="9360"/>
      </w:tabs>
      <w:suppressAutoHyphens/>
    </w:pPr>
  </w:style>
  <w:style w:type="character" w:customStyle="1" w:styleId="EquationCaption">
    <w:name w:val="_Equation Caption"/>
    <w:rsid w:val="0061245A"/>
  </w:style>
  <w:style w:type="paragraph" w:styleId="Header">
    <w:name w:val="header"/>
    <w:basedOn w:val="Normal"/>
    <w:autoRedefine/>
    <w:rsid w:val="0061245A"/>
    <w:pPr>
      <w:tabs>
        <w:tab w:val="center" w:pos="4680"/>
        <w:tab w:val="right" w:pos="9360"/>
      </w:tabs>
    </w:pPr>
    <w:rPr>
      <w:b/>
    </w:rPr>
  </w:style>
  <w:style w:type="paragraph" w:styleId="Footer">
    <w:name w:val="footer"/>
    <w:basedOn w:val="Normal"/>
    <w:link w:val="FooterChar"/>
    <w:rsid w:val="0061245A"/>
    <w:pPr>
      <w:tabs>
        <w:tab w:val="center" w:pos="4320"/>
        <w:tab w:val="right" w:pos="8640"/>
      </w:tabs>
    </w:pPr>
  </w:style>
  <w:style w:type="character" w:styleId="PageNumber">
    <w:name w:val="page number"/>
    <w:basedOn w:val="DefaultParagraphFont"/>
    <w:rsid w:val="0061245A"/>
  </w:style>
  <w:style w:type="paragraph" w:styleId="BlockText">
    <w:name w:val="Block Text"/>
    <w:basedOn w:val="Normal"/>
    <w:rsid w:val="0061245A"/>
    <w:pPr>
      <w:spacing w:after="240"/>
      <w:ind w:left="1440" w:right="1440"/>
    </w:pPr>
  </w:style>
  <w:style w:type="paragraph" w:customStyle="1" w:styleId="Paratitle">
    <w:name w:val="Para title"/>
    <w:basedOn w:val="Normal"/>
    <w:rsid w:val="0061245A"/>
    <w:pPr>
      <w:tabs>
        <w:tab w:val="center" w:pos="9270"/>
      </w:tabs>
      <w:spacing w:after="240"/>
    </w:pPr>
    <w:rPr>
      <w:spacing w:val="-2"/>
    </w:rPr>
  </w:style>
  <w:style w:type="paragraph" w:customStyle="1" w:styleId="Bullet">
    <w:name w:val="Bullet"/>
    <w:basedOn w:val="Normal"/>
    <w:rsid w:val="0061245A"/>
    <w:pPr>
      <w:tabs>
        <w:tab w:val="left" w:pos="2160"/>
      </w:tabs>
      <w:spacing w:after="220"/>
      <w:ind w:left="2160" w:hanging="720"/>
    </w:pPr>
  </w:style>
  <w:style w:type="paragraph" w:customStyle="1" w:styleId="TableFormat">
    <w:name w:val="TableFormat"/>
    <w:basedOn w:val="Bullet"/>
    <w:rsid w:val="0061245A"/>
    <w:pPr>
      <w:tabs>
        <w:tab w:val="clear" w:pos="2160"/>
        <w:tab w:val="left" w:pos="5040"/>
      </w:tabs>
      <w:ind w:left="5040" w:hanging="3600"/>
    </w:pPr>
  </w:style>
  <w:style w:type="paragraph" w:customStyle="1" w:styleId="TOCTitle">
    <w:name w:val="TOC Title"/>
    <w:basedOn w:val="Normal"/>
    <w:rsid w:val="006124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1245A"/>
    <w:pPr>
      <w:jc w:val="center"/>
    </w:pPr>
    <w:rPr>
      <w:rFonts w:ascii="Times New Roman Bold" w:hAnsi="Times New Roman Bold"/>
      <w:b/>
      <w:bCs/>
      <w:caps/>
      <w:szCs w:val="22"/>
    </w:rPr>
  </w:style>
  <w:style w:type="character" w:styleId="Hyperlink">
    <w:name w:val="Hyperlink"/>
    <w:rsid w:val="0061245A"/>
    <w:rPr>
      <w:color w:val="0000FF"/>
      <w:u w:val="single"/>
    </w:rPr>
  </w:style>
  <w:style w:type="character" w:styleId="CommentReference">
    <w:name w:val="annotation reference"/>
    <w:rsid w:val="00B92DCC"/>
    <w:rPr>
      <w:sz w:val="16"/>
      <w:szCs w:val="16"/>
    </w:rPr>
  </w:style>
  <w:style w:type="paragraph" w:styleId="CommentText">
    <w:name w:val="annotation text"/>
    <w:basedOn w:val="Normal"/>
    <w:link w:val="CommentTextChar"/>
    <w:rsid w:val="00B92DCC"/>
    <w:pPr>
      <w:widowControl/>
    </w:pPr>
    <w:rPr>
      <w:snapToGrid/>
      <w:kern w:val="0"/>
      <w:sz w:val="20"/>
      <w:lang w:bidi="he-IL"/>
    </w:rPr>
  </w:style>
  <w:style w:type="character" w:customStyle="1" w:styleId="CommentTextChar">
    <w:name w:val="Comment Text Char"/>
    <w:basedOn w:val="DefaultParagraphFont"/>
    <w:link w:val="CommentText"/>
    <w:rsid w:val="00B92DCC"/>
    <w:rPr>
      <w:lang w:bidi="he-IL"/>
    </w:rPr>
  </w:style>
  <w:style w:type="paragraph" w:styleId="BalloonText">
    <w:name w:val="Balloon Text"/>
    <w:basedOn w:val="Normal"/>
    <w:link w:val="BalloonTextChar"/>
    <w:rsid w:val="00B92DCC"/>
    <w:rPr>
      <w:rFonts w:ascii="Tahoma" w:hAnsi="Tahoma" w:cs="Tahoma"/>
      <w:sz w:val="16"/>
      <w:szCs w:val="16"/>
    </w:rPr>
  </w:style>
  <w:style w:type="character" w:customStyle="1" w:styleId="BalloonTextChar">
    <w:name w:val="Balloon Text Char"/>
    <w:basedOn w:val="DefaultParagraphFont"/>
    <w:link w:val="BalloonText"/>
    <w:rsid w:val="00B92DCC"/>
    <w:rPr>
      <w:rFonts w:ascii="Tahoma" w:hAnsi="Tahoma" w:cs="Tahoma"/>
      <w:snapToGrid w:val="0"/>
      <w:kern w:val="28"/>
      <w:sz w:val="16"/>
      <w:szCs w:val="16"/>
    </w:rPr>
  </w:style>
  <w:style w:type="paragraph" w:styleId="ListParagraph">
    <w:name w:val="List Paragraph"/>
    <w:basedOn w:val="Normal"/>
    <w:uiPriority w:val="34"/>
    <w:qFormat/>
    <w:rsid w:val="00B92DCC"/>
    <w:pPr>
      <w:ind w:left="720"/>
      <w:contextualSpacing/>
    </w:pPr>
  </w:style>
  <w:style w:type="character" w:customStyle="1" w:styleId="FooterChar">
    <w:name w:val="Footer Char"/>
    <w:basedOn w:val="DefaultParagraphFont"/>
    <w:link w:val="Footer"/>
    <w:rsid w:val="00BD15D9"/>
    <w:rPr>
      <w:snapToGrid w:val="0"/>
      <w:kern w:val="28"/>
      <w:sz w:val="22"/>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DB5698"/>
  </w:style>
  <w:style w:type="character" w:customStyle="1" w:styleId="ParaNumChar">
    <w:name w:val="ParaNum Char"/>
    <w:link w:val="ParaNum"/>
    <w:locked/>
    <w:rsid w:val="005A6323"/>
    <w:rPr>
      <w:snapToGrid w:val="0"/>
      <w:kern w:val="28"/>
      <w:sz w:val="22"/>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link w:val="Heading2"/>
    <w:locked/>
    <w:rsid w:val="005A6323"/>
    <w:rPr>
      <w:b/>
      <w:snapToGrid w:val="0"/>
      <w:kern w:val="28"/>
      <w:sz w:val="22"/>
    </w:rPr>
  </w:style>
  <w:style w:type="paragraph" w:styleId="CommentSubject">
    <w:name w:val="annotation subject"/>
    <w:basedOn w:val="CommentText"/>
    <w:next w:val="CommentText"/>
    <w:link w:val="CommentSubjectChar"/>
    <w:rsid w:val="00131416"/>
    <w:pPr>
      <w:widowControl w:val="0"/>
    </w:pPr>
    <w:rPr>
      <w:b/>
      <w:bCs/>
      <w:snapToGrid w:val="0"/>
      <w:kern w:val="28"/>
      <w:lang w:bidi="ar-SA"/>
    </w:rPr>
  </w:style>
  <w:style w:type="character" w:customStyle="1" w:styleId="CommentSubjectChar">
    <w:name w:val="Comment Subject Char"/>
    <w:basedOn w:val="CommentTextChar"/>
    <w:link w:val="CommentSubject"/>
    <w:rsid w:val="00131416"/>
    <w:rPr>
      <w:b/>
      <w:bCs/>
      <w:snapToGrid w:val="0"/>
      <w:kern w:val="28"/>
      <w:lang w:bidi="he-IL"/>
    </w:rPr>
  </w:style>
  <w:style w:type="paragraph" w:styleId="Revision">
    <w:name w:val="Revision"/>
    <w:hidden/>
    <w:uiPriority w:val="99"/>
    <w:semiHidden/>
    <w:rsid w:val="00ED31F2"/>
    <w:rPr>
      <w:snapToGrid w:val="0"/>
      <w:kern w:val="28"/>
      <w:sz w:val="22"/>
    </w:rPr>
  </w:style>
  <w:style w:type="character" w:styleId="FollowedHyperlink">
    <w:name w:val="FollowedHyperlink"/>
    <w:basedOn w:val="DefaultParagraphFont"/>
    <w:rsid w:val="007160E2"/>
    <w:rPr>
      <w:color w:val="800080" w:themeColor="followedHyperlink"/>
      <w:u w:val="single"/>
    </w:rPr>
  </w:style>
  <w:style w:type="character" w:styleId="PlaceholderText">
    <w:name w:val="Placeholder Text"/>
    <w:basedOn w:val="DefaultParagraphFont"/>
    <w:uiPriority w:val="99"/>
    <w:semiHidden/>
    <w:rsid w:val="00F013DA"/>
    <w:rPr>
      <w:color w:val="808080"/>
    </w:rPr>
  </w:style>
  <w:style w:type="character" w:styleId="Emphasis">
    <w:name w:val="Emphasis"/>
    <w:basedOn w:val="DefaultParagraphFont"/>
    <w:qFormat/>
    <w:rsid w:val="002E6D42"/>
    <w:rPr>
      <w:i/>
      <w:iCs/>
    </w:rPr>
  </w:style>
  <w:style w:type="paragraph" w:styleId="NoSpacing">
    <w:name w:val="No Spacing"/>
    <w:uiPriority w:val="1"/>
    <w:qFormat/>
    <w:rsid w:val="00BB781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5A"/>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qFormat/>
    <w:rsid w:val="0061245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61245A"/>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qFormat/>
    <w:rsid w:val="0061245A"/>
    <w:pPr>
      <w:keepNext/>
      <w:numPr>
        <w:ilvl w:val="2"/>
        <w:numId w:val="3"/>
      </w:numPr>
      <w:tabs>
        <w:tab w:val="left" w:pos="2160"/>
      </w:tabs>
      <w:spacing w:after="120"/>
      <w:outlineLvl w:val="2"/>
    </w:pPr>
    <w:rPr>
      <w:b/>
    </w:rPr>
  </w:style>
  <w:style w:type="paragraph" w:styleId="Heading4">
    <w:name w:val="heading 4"/>
    <w:basedOn w:val="Normal"/>
    <w:next w:val="ParaNum"/>
    <w:qFormat/>
    <w:rsid w:val="0061245A"/>
    <w:pPr>
      <w:keepNext/>
      <w:numPr>
        <w:ilvl w:val="3"/>
        <w:numId w:val="3"/>
      </w:numPr>
      <w:tabs>
        <w:tab w:val="left" w:pos="2880"/>
      </w:tabs>
      <w:spacing w:after="120"/>
      <w:outlineLvl w:val="3"/>
    </w:pPr>
    <w:rPr>
      <w:b/>
    </w:rPr>
  </w:style>
  <w:style w:type="paragraph" w:styleId="Heading5">
    <w:name w:val="heading 5"/>
    <w:basedOn w:val="Normal"/>
    <w:next w:val="ParaNum"/>
    <w:qFormat/>
    <w:rsid w:val="0061245A"/>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61245A"/>
    <w:pPr>
      <w:numPr>
        <w:ilvl w:val="5"/>
        <w:numId w:val="3"/>
      </w:numPr>
      <w:tabs>
        <w:tab w:val="left" w:pos="4320"/>
      </w:tabs>
      <w:spacing w:after="120"/>
      <w:outlineLvl w:val="5"/>
    </w:pPr>
    <w:rPr>
      <w:b/>
    </w:rPr>
  </w:style>
  <w:style w:type="paragraph" w:styleId="Heading7">
    <w:name w:val="heading 7"/>
    <w:basedOn w:val="Normal"/>
    <w:next w:val="ParaNum"/>
    <w:qFormat/>
    <w:rsid w:val="0061245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1245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61245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124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245A"/>
  </w:style>
  <w:style w:type="paragraph" w:customStyle="1" w:styleId="ParaNum">
    <w:name w:val="ParaNum"/>
    <w:basedOn w:val="Normal"/>
    <w:link w:val="ParaNumChar"/>
    <w:rsid w:val="0061245A"/>
    <w:pPr>
      <w:numPr>
        <w:numId w:val="2"/>
      </w:numPr>
      <w:tabs>
        <w:tab w:val="clear" w:pos="1080"/>
        <w:tab w:val="num" w:pos="1440"/>
      </w:tabs>
      <w:spacing w:after="120"/>
    </w:pPr>
  </w:style>
  <w:style w:type="paragraph" w:styleId="EndnoteText">
    <w:name w:val="endnote text"/>
    <w:basedOn w:val="Normal"/>
    <w:semiHidden/>
    <w:rsid w:val="0061245A"/>
    <w:rPr>
      <w:sz w:val="20"/>
    </w:rPr>
  </w:style>
  <w:style w:type="character" w:styleId="EndnoteReference">
    <w:name w:val="endnote reference"/>
    <w:semiHidden/>
    <w:rsid w:val="0061245A"/>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61245A"/>
    <w:pPr>
      <w:spacing w:after="120"/>
    </w:pPr>
  </w:style>
  <w:style w:type="character" w:styleId="FootnoteReference">
    <w:name w:val="footnote reference"/>
    <w:aliases w:val="Style 12,(NECG) Footnote Reference,Appel note de bas de p,Style 124,o,fr,Style 3,Style 13,FR,Style 17,Style 6,Footnote Reference/,Style 4,Style 7"/>
    <w:rsid w:val="0061245A"/>
    <w:rPr>
      <w:rFonts w:ascii="Times New Roman" w:hAnsi="Times New Roman"/>
      <w:dstrike w:val="0"/>
      <w:color w:val="auto"/>
      <w:sz w:val="20"/>
      <w:vertAlign w:val="superscript"/>
    </w:rPr>
  </w:style>
  <w:style w:type="paragraph" w:styleId="TOC1">
    <w:name w:val="toc 1"/>
    <w:basedOn w:val="Normal"/>
    <w:next w:val="Normal"/>
    <w:rsid w:val="0061245A"/>
    <w:pPr>
      <w:tabs>
        <w:tab w:val="left" w:pos="360"/>
        <w:tab w:val="right" w:leader="dot" w:pos="9360"/>
      </w:tabs>
      <w:suppressAutoHyphens/>
      <w:ind w:left="360" w:right="720" w:hanging="360"/>
    </w:pPr>
    <w:rPr>
      <w:caps/>
      <w:noProof/>
    </w:rPr>
  </w:style>
  <w:style w:type="paragraph" w:styleId="TOC2">
    <w:name w:val="toc 2"/>
    <w:basedOn w:val="Normal"/>
    <w:next w:val="Normal"/>
    <w:rsid w:val="0061245A"/>
    <w:pPr>
      <w:tabs>
        <w:tab w:val="left" w:pos="720"/>
        <w:tab w:val="right" w:leader="dot" w:pos="9360"/>
      </w:tabs>
      <w:suppressAutoHyphens/>
      <w:ind w:left="720" w:right="720" w:hanging="360"/>
    </w:pPr>
    <w:rPr>
      <w:noProof/>
    </w:rPr>
  </w:style>
  <w:style w:type="paragraph" w:styleId="TOC3">
    <w:name w:val="toc 3"/>
    <w:basedOn w:val="Normal"/>
    <w:next w:val="Normal"/>
    <w:rsid w:val="0061245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1245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1245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1245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1245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1245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1245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1245A"/>
    <w:pPr>
      <w:tabs>
        <w:tab w:val="right" w:pos="9360"/>
      </w:tabs>
      <w:suppressAutoHyphens/>
    </w:pPr>
  </w:style>
  <w:style w:type="character" w:customStyle="1" w:styleId="EquationCaption">
    <w:name w:val="_Equation Caption"/>
    <w:rsid w:val="0061245A"/>
  </w:style>
  <w:style w:type="paragraph" w:styleId="Header">
    <w:name w:val="header"/>
    <w:basedOn w:val="Normal"/>
    <w:autoRedefine/>
    <w:rsid w:val="0061245A"/>
    <w:pPr>
      <w:tabs>
        <w:tab w:val="center" w:pos="4680"/>
        <w:tab w:val="right" w:pos="9360"/>
      </w:tabs>
    </w:pPr>
    <w:rPr>
      <w:b/>
    </w:rPr>
  </w:style>
  <w:style w:type="paragraph" w:styleId="Footer">
    <w:name w:val="footer"/>
    <w:basedOn w:val="Normal"/>
    <w:link w:val="FooterChar"/>
    <w:rsid w:val="0061245A"/>
    <w:pPr>
      <w:tabs>
        <w:tab w:val="center" w:pos="4320"/>
        <w:tab w:val="right" w:pos="8640"/>
      </w:tabs>
    </w:pPr>
  </w:style>
  <w:style w:type="character" w:styleId="PageNumber">
    <w:name w:val="page number"/>
    <w:basedOn w:val="DefaultParagraphFont"/>
    <w:rsid w:val="0061245A"/>
  </w:style>
  <w:style w:type="paragraph" w:styleId="BlockText">
    <w:name w:val="Block Text"/>
    <w:basedOn w:val="Normal"/>
    <w:rsid w:val="0061245A"/>
    <w:pPr>
      <w:spacing w:after="240"/>
      <w:ind w:left="1440" w:right="1440"/>
    </w:pPr>
  </w:style>
  <w:style w:type="paragraph" w:customStyle="1" w:styleId="Paratitle">
    <w:name w:val="Para title"/>
    <w:basedOn w:val="Normal"/>
    <w:rsid w:val="0061245A"/>
    <w:pPr>
      <w:tabs>
        <w:tab w:val="center" w:pos="9270"/>
      </w:tabs>
      <w:spacing w:after="240"/>
    </w:pPr>
    <w:rPr>
      <w:spacing w:val="-2"/>
    </w:rPr>
  </w:style>
  <w:style w:type="paragraph" w:customStyle="1" w:styleId="Bullet">
    <w:name w:val="Bullet"/>
    <w:basedOn w:val="Normal"/>
    <w:rsid w:val="0061245A"/>
    <w:pPr>
      <w:tabs>
        <w:tab w:val="left" w:pos="2160"/>
      </w:tabs>
      <w:spacing w:after="220"/>
      <w:ind w:left="2160" w:hanging="720"/>
    </w:pPr>
  </w:style>
  <w:style w:type="paragraph" w:customStyle="1" w:styleId="TableFormat">
    <w:name w:val="TableFormat"/>
    <w:basedOn w:val="Bullet"/>
    <w:rsid w:val="0061245A"/>
    <w:pPr>
      <w:tabs>
        <w:tab w:val="clear" w:pos="2160"/>
        <w:tab w:val="left" w:pos="5040"/>
      </w:tabs>
      <w:ind w:left="5040" w:hanging="3600"/>
    </w:pPr>
  </w:style>
  <w:style w:type="paragraph" w:customStyle="1" w:styleId="TOCTitle">
    <w:name w:val="TOC Title"/>
    <w:basedOn w:val="Normal"/>
    <w:rsid w:val="006124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1245A"/>
    <w:pPr>
      <w:jc w:val="center"/>
    </w:pPr>
    <w:rPr>
      <w:rFonts w:ascii="Times New Roman Bold" w:hAnsi="Times New Roman Bold"/>
      <w:b/>
      <w:bCs/>
      <w:caps/>
      <w:szCs w:val="22"/>
    </w:rPr>
  </w:style>
  <w:style w:type="character" w:styleId="Hyperlink">
    <w:name w:val="Hyperlink"/>
    <w:rsid w:val="0061245A"/>
    <w:rPr>
      <w:color w:val="0000FF"/>
      <w:u w:val="single"/>
    </w:rPr>
  </w:style>
  <w:style w:type="character" w:styleId="CommentReference">
    <w:name w:val="annotation reference"/>
    <w:rsid w:val="00B92DCC"/>
    <w:rPr>
      <w:sz w:val="16"/>
      <w:szCs w:val="16"/>
    </w:rPr>
  </w:style>
  <w:style w:type="paragraph" w:styleId="CommentText">
    <w:name w:val="annotation text"/>
    <w:basedOn w:val="Normal"/>
    <w:link w:val="CommentTextChar"/>
    <w:rsid w:val="00B92DCC"/>
    <w:pPr>
      <w:widowControl/>
    </w:pPr>
    <w:rPr>
      <w:snapToGrid/>
      <w:kern w:val="0"/>
      <w:sz w:val="20"/>
      <w:lang w:bidi="he-IL"/>
    </w:rPr>
  </w:style>
  <w:style w:type="character" w:customStyle="1" w:styleId="CommentTextChar">
    <w:name w:val="Comment Text Char"/>
    <w:basedOn w:val="DefaultParagraphFont"/>
    <w:link w:val="CommentText"/>
    <w:rsid w:val="00B92DCC"/>
    <w:rPr>
      <w:lang w:bidi="he-IL"/>
    </w:rPr>
  </w:style>
  <w:style w:type="paragraph" w:styleId="BalloonText">
    <w:name w:val="Balloon Text"/>
    <w:basedOn w:val="Normal"/>
    <w:link w:val="BalloonTextChar"/>
    <w:rsid w:val="00B92DCC"/>
    <w:rPr>
      <w:rFonts w:ascii="Tahoma" w:hAnsi="Tahoma" w:cs="Tahoma"/>
      <w:sz w:val="16"/>
      <w:szCs w:val="16"/>
    </w:rPr>
  </w:style>
  <w:style w:type="character" w:customStyle="1" w:styleId="BalloonTextChar">
    <w:name w:val="Balloon Text Char"/>
    <w:basedOn w:val="DefaultParagraphFont"/>
    <w:link w:val="BalloonText"/>
    <w:rsid w:val="00B92DCC"/>
    <w:rPr>
      <w:rFonts w:ascii="Tahoma" w:hAnsi="Tahoma" w:cs="Tahoma"/>
      <w:snapToGrid w:val="0"/>
      <w:kern w:val="28"/>
      <w:sz w:val="16"/>
      <w:szCs w:val="16"/>
    </w:rPr>
  </w:style>
  <w:style w:type="paragraph" w:styleId="ListParagraph">
    <w:name w:val="List Paragraph"/>
    <w:basedOn w:val="Normal"/>
    <w:uiPriority w:val="34"/>
    <w:qFormat/>
    <w:rsid w:val="00B92DCC"/>
    <w:pPr>
      <w:ind w:left="720"/>
      <w:contextualSpacing/>
    </w:pPr>
  </w:style>
  <w:style w:type="character" w:customStyle="1" w:styleId="FooterChar">
    <w:name w:val="Footer Char"/>
    <w:basedOn w:val="DefaultParagraphFont"/>
    <w:link w:val="Footer"/>
    <w:rsid w:val="00BD15D9"/>
    <w:rPr>
      <w:snapToGrid w:val="0"/>
      <w:kern w:val="28"/>
      <w:sz w:val="22"/>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DB5698"/>
  </w:style>
  <w:style w:type="character" w:customStyle="1" w:styleId="ParaNumChar">
    <w:name w:val="ParaNum Char"/>
    <w:link w:val="ParaNum"/>
    <w:locked/>
    <w:rsid w:val="005A6323"/>
    <w:rPr>
      <w:snapToGrid w:val="0"/>
      <w:kern w:val="28"/>
      <w:sz w:val="22"/>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link w:val="Heading2"/>
    <w:locked/>
    <w:rsid w:val="005A6323"/>
    <w:rPr>
      <w:b/>
      <w:snapToGrid w:val="0"/>
      <w:kern w:val="28"/>
      <w:sz w:val="22"/>
    </w:rPr>
  </w:style>
  <w:style w:type="paragraph" w:styleId="CommentSubject">
    <w:name w:val="annotation subject"/>
    <w:basedOn w:val="CommentText"/>
    <w:next w:val="CommentText"/>
    <w:link w:val="CommentSubjectChar"/>
    <w:rsid w:val="00131416"/>
    <w:pPr>
      <w:widowControl w:val="0"/>
    </w:pPr>
    <w:rPr>
      <w:b/>
      <w:bCs/>
      <w:snapToGrid w:val="0"/>
      <w:kern w:val="28"/>
      <w:lang w:bidi="ar-SA"/>
    </w:rPr>
  </w:style>
  <w:style w:type="character" w:customStyle="1" w:styleId="CommentSubjectChar">
    <w:name w:val="Comment Subject Char"/>
    <w:basedOn w:val="CommentTextChar"/>
    <w:link w:val="CommentSubject"/>
    <w:rsid w:val="00131416"/>
    <w:rPr>
      <w:b/>
      <w:bCs/>
      <w:snapToGrid w:val="0"/>
      <w:kern w:val="28"/>
      <w:lang w:bidi="he-IL"/>
    </w:rPr>
  </w:style>
  <w:style w:type="paragraph" w:styleId="Revision">
    <w:name w:val="Revision"/>
    <w:hidden/>
    <w:uiPriority w:val="99"/>
    <w:semiHidden/>
    <w:rsid w:val="00ED31F2"/>
    <w:rPr>
      <w:snapToGrid w:val="0"/>
      <w:kern w:val="28"/>
      <w:sz w:val="22"/>
    </w:rPr>
  </w:style>
  <w:style w:type="character" w:styleId="FollowedHyperlink">
    <w:name w:val="FollowedHyperlink"/>
    <w:basedOn w:val="DefaultParagraphFont"/>
    <w:rsid w:val="007160E2"/>
    <w:rPr>
      <w:color w:val="800080" w:themeColor="followedHyperlink"/>
      <w:u w:val="single"/>
    </w:rPr>
  </w:style>
  <w:style w:type="character" w:styleId="PlaceholderText">
    <w:name w:val="Placeholder Text"/>
    <w:basedOn w:val="DefaultParagraphFont"/>
    <w:uiPriority w:val="99"/>
    <w:semiHidden/>
    <w:rsid w:val="00F013DA"/>
    <w:rPr>
      <w:color w:val="808080"/>
    </w:rPr>
  </w:style>
  <w:style w:type="character" w:styleId="Emphasis">
    <w:name w:val="Emphasis"/>
    <w:basedOn w:val="DefaultParagraphFont"/>
    <w:qFormat/>
    <w:rsid w:val="002E6D42"/>
    <w:rPr>
      <w:i/>
      <w:iCs/>
    </w:rPr>
  </w:style>
  <w:style w:type="paragraph" w:styleId="NoSpacing">
    <w:name w:val="No Spacing"/>
    <w:uiPriority w:val="1"/>
    <w:qFormat/>
    <w:rsid w:val="00BB781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Sokolow@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factfinder.census.gov/faces/tableservices/jsf/pages/productview.xhtml?pid=ECN_2007_US_51SSSZ5&amp;prodType=table" TargetMode="External"/><Relationship Id="rId3" Type="http://schemas.openxmlformats.org/officeDocument/2006/relationships/hyperlink" Target="http://www.dish.com/info/channels-list/" TargetMode="External"/><Relationship Id="rId7" Type="http://schemas.openxmlformats.org/officeDocument/2006/relationships/hyperlink" Target="http://www.snl.com/interactivex/TopCableMSOs.aspx" TargetMode="External"/><Relationship Id="rId12" Type="http://schemas.openxmlformats.org/officeDocument/2006/relationships/hyperlink" Target="http://factfinder.census.gov/faces/tableservices/jsf/pages/productview.xhtml?pid=ECN_2007_US_51SSSZ5&amp;prodType=table" TargetMode="External"/><Relationship Id="rId2" Type="http://schemas.openxmlformats.org/officeDocument/2006/relationships/hyperlink" Target="http://www.directv.com/guide" TargetMode="External"/><Relationship Id="rId1" Type="http://schemas.openxmlformats.org/officeDocument/2006/relationships/hyperlink" Target="http://www.fcc.gov/Forms/Form328/328.pdf" TargetMode="External"/><Relationship Id="rId6" Type="http://schemas.openxmlformats.org/officeDocument/2006/relationships/hyperlink" Target="http://factfinder.census.gov/faces/tableservices/jsf/pages/productview.xhtml?pid=ECN_2007_US_51SSSZ5&amp;prodType=table" TargetMode="External"/><Relationship Id="rId11" Type="http://schemas.openxmlformats.org/officeDocument/2006/relationships/hyperlink" Target="http://www.fcc.gov/mb/ovs/csovscer.html" TargetMode="External"/><Relationship Id="rId5" Type="http://schemas.openxmlformats.org/officeDocument/2006/relationships/hyperlink" Target="http://www.census.gov/naics/2007/def/ND517110.HTM" TargetMode="External"/><Relationship Id="rId10" Type="http://schemas.openxmlformats.org/officeDocument/2006/relationships/hyperlink" Target="http://factfinder.census.gov/faces/tableservices/jsf/pages/productview.xhtml?pid=ECN_2007_US_51SSSZ5&amp;prodType=table" TargetMode="External"/><Relationship Id="rId4" Type="http://schemas.openxmlformats.org/officeDocument/2006/relationships/hyperlink" Target="http://www.snl.com/interactivex/MultichannelIndustryBenchmarks.aspx?startYear=2012&amp;endYear=2013" TargetMode="External"/><Relationship Id="rId9" Type="http://schemas.openxmlformats.org/officeDocument/2006/relationships/hyperlink" Target="http://www.census.gov/naics/2007/def/ND51711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13256</Words>
  <Characters>74660</Characters>
  <Application>Microsoft Office Word</Application>
  <DocSecurity>0</DocSecurity>
  <Lines>1072</Lines>
  <Paragraphs>187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88116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2015-06-03T17:57:00Z</cp:lastPrinted>
  <dcterms:created xsi:type="dcterms:W3CDTF">2015-06-10T15:20:00Z</dcterms:created>
  <dcterms:modified xsi:type="dcterms:W3CDTF">2015-06-10T15:20:00Z</dcterms:modified>
  <cp:category> </cp:category>
  <cp:contentStatus> </cp:contentStatus>
</cp:coreProperties>
</file>