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5C60D7" w:rsidP="005C60D7">
      <w:pPr>
        <w:tabs>
          <w:tab w:val="left" w:pos="530"/>
          <w:tab w:val="center" w:pos="4680"/>
        </w:tabs>
        <w:rPr>
          <w:b/>
        </w:rPr>
      </w:pPr>
      <w:bookmarkStart w:id="0" w:name="_GoBack"/>
      <w:bookmarkEnd w:id="0"/>
      <w:r>
        <w:rPr>
          <w:rFonts w:ascii="Times New Roman Bold" w:hAnsi="Times New Roman Bold"/>
          <w:b/>
        </w:rPr>
        <w:tab/>
      </w:r>
      <w:r>
        <w:rPr>
          <w:rFonts w:ascii="Times New Roman Bold" w:hAnsi="Times New Roman Bold"/>
          <w:b/>
        </w:rPr>
        <w:tab/>
      </w:r>
      <w:r w:rsidR="004C2EE3" w:rsidRPr="0070224F">
        <w:rPr>
          <w:rFonts w:ascii="Times New Roman Bold" w:hAnsi="Times New Roman Bold"/>
          <w:b/>
        </w:rPr>
        <w:t>Before</w:t>
      </w:r>
      <w:r w:rsidR="004C2EE3">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BB18E4" w:rsidP="007115F7">
            <w:pPr>
              <w:tabs>
                <w:tab w:val="center" w:pos="4680"/>
              </w:tabs>
              <w:suppressAutoHyphens/>
              <w:rPr>
                <w:spacing w:val="-2"/>
              </w:rPr>
            </w:pPr>
            <w:r>
              <w:rPr>
                <w:spacing w:val="-2"/>
              </w:rPr>
              <w:t>BARRY P. LUNDERVILLE</w:t>
            </w:r>
          </w:p>
          <w:p w:rsidR="00BB18E4" w:rsidRDefault="00BB18E4" w:rsidP="007115F7">
            <w:pPr>
              <w:tabs>
                <w:tab w:val="center" w:pos="4680"/>
              </w:tabs>
              <w:suppressAutoHyphens/>
              <w:rPr>
                <w:spacing w:val="-2"/>
              </w:rPr>
            </w:pPr>
          </w:p>
          <w:p w:rsidR="00BB18E4" w:rsidRPr="00BB18E4" w:rsidRDefault="00303496" w:rsidP="00303496">
            <w:pPr>
              <w:tabs>
                <w:tab w:val="center" w:pos="4680"/>
              </w:tabs>
              <w:suppressAutoHyphens/>
              <w:rPr>
                <w:spacing w:val="-2"/>
              </w:rPr>
            </w:pPr>
            <w:r>
              <w:rPr>
                <w:spacing w:val="-2"/>
              </w:rPr>
              <w:t>Request for Relief from Bid Withdrawal Payment Obligations Incurred in Auction 37</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tc>
      </w:tr>
    </w:tbl>
    <w:p w:rsidR="004C2EE3" w:rsidRDefault="004C2EE3" w:rsidP="0070224F"/>
    <w:p w:rsidR="00841AB1" w:rsidRDefault="00BB18E4"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05541">
        <w:rPr>
          <w:b/>
          <w:spacing w:val="-2"/>
        </w:rPr>
        <w:t>April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05541">
        <w:rPr>
          <w:b/>
          <w:spacing w:val="-2"/>
        </w:rPr>
        <w:t>April 17, 2015</w:t>
      </w:r>
    </w:p>
    <w:p w:rsidR="00822CE0" w:rsidRDefault="00822CE0"/>
    <w:p w:rsidR="00822CE0" w:rsidRDefault="004C2EE3">
      <w:pPr>
        <w:rPr>
          <w:spacing w:val="-2"/>
        </w:rPr>
      </w:pPr>
      <w:r>
        <w:t xml:space="preserve">By </w:t>
      </w:r>
      <w:r w:rsidR="004E4A22">
        <w:t>the</w:t>
      </w:r>
      <w:r w:rsidR="002A2D2E">
        <w:t xml:space="preserve"> </w:t>
      </w:r>
      <w:r w:rsidR="00297172">
        <w:t>Commission</w:t>
      </w:r>
      <w:r w:rsidR="00DE0EE2">
        <w:rPr>
          <w:spacing w:val="-2"/>
        </w:rPr>
        <w:t>:</w:t>
      </w:r>
    </w:p>
    <w:p w:rsidR="00412FC5" w:rsidRDefault="00412FC5" w:rsidP="00412FC5"/>
    <w:p w:rsidR="002C00E8" w:rsidRDefault="00DE0EE2" w:rsidP="002C00E8">
      <w:pPr>
        <w:pStyle w:val="Heading1"/>
      </w:pPr>
      <w:r>
        <w:t>introduction</w:t>
      </w:r>
    </w:p>
    <w:p w:rsidR="00466C19" w:rsidRDefault="00D5123D" w:rsidP="002A63C3">
      <w:pPr>
        <w:pStyle w:val="ParaNum"/>
      </w:pPr>
      <w:r>
        <w:t xml:space="preserve">In this order on reconsideration, </w:t>
      </w:r>
      <w:r w:rsidR="00A4256D">
        <w:t xml:space="preserve">we </w:t>
      </w:r>
      <w:r w:rsidR="001D6129">
        <w:t>reject</w:t>
      </w:r>
      <w:r w:rsidR="007A6994">
        <w:t xml:space="preserve"> a</w:t>
      </w:r>
      <w:r w:rsidR="006C0561">
        <w:t xml:space="preserve"> petition for reconsideration </w:t>
      </w:r>
      <w:r w:rsidR="007A6994">
        <w:t>by Barry P. Lunderville</w:t>
      </w:r>
      <w:r w:rsidR="00A476B1">
        <w:t>, who seeks a reduction in his payment obligation resulting from</w:t>
      </w:r>
      <w:r w:rsidR="00A476B1" w:rsidRPr="00AA0192">
        <w:t xml:space="preserve"> </w:t>
      </w:r>
      <w:r w:rsidR="00A476B1">
        <w:t xml:space="preserve">his withdrawal of a provisionally winning bid </w:t>
      </w:r>
      <w:r w:rsidR="007C1965">
        <w:t xml:space="preserve">for an FM broadcast </w:t>
      </w:r>
      <w:r w:rsidR="007C1965" w:rsidRPr="00AA0192">
        <w:t>construction permit</w:t>
      </w:r>
      <w:r w:rsidR="007C1965">
        <w:t xml:space="preserve"> </w:t>
      </w:r>
      <w:r w:rsidR="00A476B1">
        <w:t>in Auction 37</w:t>
      </w:r>
      <w:r w:rsidR="007A6994">
        <w:t xml:space="preserve">.  </w:t>
      </w:r>
      <w:r w:rsidR="003204E4">
        <w:t xml:space="preserve">Lunderville </w:t>
      </w:r>
      <w:r w:rsidR="00881BAE">
        <w:t xml:space="preserve">requests </w:t>
      </w:r>
      <w:r w:rsidR="001D6129">
        <w:t>reconsideration</w:t>
      </w:r>
      <w:r w:rsidR="005D48BC">
        <w:t xml:space="preserve"> of </w:t>
      </w:r>
      <w:r w:rsidR="00D7353D">
        <w:t xml:space="preserve">a </w:t>
      </w:r>
      <w:r w:rsidR="00881BAE">
        <w:t xml:space="preserve">2013 </w:t>
      </w:r>
      <w:r w:rsidR="00D7353D">
        <w:t xml:space="preserve">Commission order affirming the Wireless Telecommunications Bureau’s </w:t>
      </w:r>
      <w:r w:rsidR="00B118CB">
        <w:t xml:space="preserve">(“Bureau’s”) </w:t>
      </w:r>
      <w:r w:rsidR="00D7353D">
        <w:t xml:space="preserve">denial of </w:t>
      </w:r>
      <w:r w:rsidR="00EA2466">
        <w:t>his</w:t>
      </w:r>
      <w:r w:rsidR="00C540AD">
        <w:t xml:space="preserve"> </w:t>
      </w:r>
      <w:r w:rsidR="00D7353D">
        <w:t>request</w:t>
      </w:r>
      <w:r w:rsidR="00EA2466">
        <w:t xml:space="preserve"> </w:t>
      </w:r>
      <w:r w:rsidR="00D7353D">
        <w:t xml:space="preserve">for relief from </w:t>
      </w:r>
      <w:r w:rsidR="00550C84">
        <w:t xml:space="preserve">the </w:t>
      </w:r>
      <w:r w:rsidR="00881BAE">
        <w:t xml:space="preserve">withdrawal </w:t>
      </w:r>
      <w:r w:rsidR="00D7353D">
        <w:t xml:space="preserve">payment </w:t>
      </w:r>
      <w:r w:rsidR="00881BAE">
        <w:t>requirement</w:t>
      </w:r>
      <w:r w:rsidR="00D7353D">
        <w:t>.</w:t>
      </w:r>
      <w:r w:rsidR="00AA0192">
        <w:t xml:space="preserve">  </w:t>
      </w:r>
      <w:r w:rsidR="00C3074A">
        <w:t xml:space="preserve">He </w:t>
      </w:r>
      <w:r w:rsidR="005D48BC">
        <w:t xml:space="preserve">asks </w:t>
      </w:r>
      <w:r w:rsidR="003A7494">
        <w:t xml:space="preserve">that we reduce </w:t>
      </w:r>
      <w:r w:rsidR="00466C19">
        <w:t xml:space="preserve">his </w:t>
      </w:r>
      <w:r w:rsidR="00CA5D93">
        <w:t>obligation</w:t>
      </w:r>
      <w:r w:rsidR="003A7494">
        <w:t xml:space="preserve"> </w:t>
      </w:r>
      <w:r w:rsidR="00466C19">
        <w:t xml:space="preserve">from $244,000, </w:t>
      </w:r>
      <w:r w:rsidR="00163311">
        <w:t xml:space="preserve">the </w:t>
      </w:r>
      <w:r w:rsidR="00A27AF5">
        <w:t xml:space="preserve">final </w:t>
      </w:r>
      <w:r w:rsidR="00163311">
        <w:t>amount due under our rules, to</w:t>
      </w:r>
      <w:r w:rsidR="00E64D38">
        <w:t xml:space="preserve"> $12,660, </w:t>
      </w:r>
      <w:r w:rsidR="00163311">
        <w:t xml:space="preserve">the </w:t>
      </w:r>
      <w:r w:rsidR="00DA4B1B">
        <w:t xml:space="preserve">amount </w:t>
      </w:r>
      <w:r w:rsidR="00527AC6">
        <w:t xml:space="preserve">of his interim deposit </w:t>
      </w:r>
      <w:r w:rsidR="00163311">
        <w:t xml:space="preserve">already </w:t>
      </w:r>
      <w:r w:rsidR="00376B59">
        <w:t>paid</w:t>
      </w:r>
      <w:r w:rsidR="00163311">
        <w:t xml:space="preserve">.  </w:t>
      </w:r>
      <w:r w:rsidR="002D5888">
        <w:t xml:space="preserve">Because </w:t>
      </w:r>
      <w:r w:rsidR="008C418A">
        <w:t>Lunderville</w:t>
      </w:r>
      <w:r w:rsidR="00BB5D5A">
        <w:t xml:space="preserve"> fail</w:t>
      </w:r>
      <w:r w:rsidR="00751DB0">
        <w:t>s</w:t>
      </w:r>
      <w:r w:rsidR="00BB5D5A">
        <w:t xml:space="preserve"> </w:t>
      </w:r>
      <w:r w:rsidR="00C3074A">
        <w:t xml:space="preserve">to </w:t>
      </w:r>
      <w:r w:rsidR="001D6129">
        <w:t xml:space="preserve">satisfy the requirements of our rules with respect to petitions for reconsideration, and in any event fails to </w:t>
      </w:r>
      <w:r w:rsidR="00F025A7">
        <w:t xml:space="preserve">show that </w:t>
      </w:r>
      <w:r w:rsidR="00B777F3">
        <w:t>the prior Commission order</w:t>
      </w:r>
      <w:r w:rsidR="00F025A7">
        <w:t xml:space="preserve"> was in error</w:t>
      </w:r>
      <w:r w:rsidR="00B777F3">
        <w:t xml:space="preserve">, </w:t>
      </w:r>
      <w:r w:rsidR="009E4E6F">
        <w:t xml:space="preserve">we </w:t>
      </w:r>
      <w:r w:rsidR="001D6129">
        <w:t>dismiss and also alternatively deny</w:t>
      </w:r>
      <w:r w:rsidR="00B21561">
        <w:t xml:space="preserve"> </w:t>
      </w:r>
      <w:r w:rsidR="00B777F3">
        <w:t>his petition</w:t>
      </w:r>
      <w:r w:rsidR="009E4E6F">
        <w:t>.</w:t>
      </w:r>
    </w:p>
    <w:p w:rsidR="00D22587" w:rsidRDefault="00F06CD2" w:rsidP="00F06CD2">
      <w:pPr>
        <w:pStyle w:val="Heading1"/>
      </w:pPr>
      <w:r>
        <w:t>background</w:t>
      </w:r>
    </w:p>
    <w:p w:rsidR="005C0FF4" w:rsidRPr="002B0EB8" w:rsidRDefault="00CC0898" w:rsidP="002A63C3">
      <w:pPr>
        <w:pStyle w:val="ParaNum"/>
      </w:pPr>
      <w:r>
        <w:rPr>
          <w:b/>
          <w:i/>
        </w:rPr>
        <w:t>Withdrawal payment requirement.</w:t>
      </w:r>
      <w:r>
        <w:rPr>
          <w:b/>
        </w:rPr>
        <w:t xml:space="preserve">  </w:t>
      </w:r>
      <w:r w:rsidR="008C2BA2" w:rsidRPr="00BD5172">
        <w:t>Under</w:t>
      </w:r>
      <w:r w:rsidR="008C2BA2">
        <w:rPr>
          <w:b/>
        </w:rPr>
        <w:t xml:space="preserve"> </w:t>
      </w:r>
      <w:r w:rsidR="008C2BA2">
        <w:t>s</w:t>
      </w:r>
      <w:r w:rsidR="003511AA" w:rsidRPr="007F688F">
        <w:t>ection</w:t>
      </w:r>
      <w:r w:rsidR="003511AA">
        <w:t xml:space="preserve"> 1.2104(g)(1) of t</w:t>
      </w:r>
      <w:r w:rsidR="00163311" w:rsidRPr="00FB46EC">
        <w:t>he Commission’s rules</w:t>
      </w:r>
      <w:r w:rsidR="008C2BA2">
        <w:t>,</w:t>
      </w:r>
      <w:r w:rsidR="00163311" w:rsidRPr="00FB46EC">
        <w:t xml:space="preserve"> a bidder that withdraws a provisionally winning bid during an auction </w:t>
      </w:r>
      <w:r w:rsidR="008C2BA2">
        <w:t xml:space="preserve">must </w:t>
      </w:r>
      <w:r w:rsidR="00163311" w:rsidRPr="00FB46EC">
        <w:t xml:space="preserve">pay the difference between the withdrawn bid and the subsequent winning bid </w:t>
      </w:r>
      <w:r w:rsidR="00B118CB">
        <w:t xml:space="preserve">for that </w:t>
      </w:r>
      <w:r w:rsidR="000E212B">
        <w:t>authorization</w:t>
      </w:r>
      <w:r w:rsidR="00B118CB">
        <w:t xml:space="preserve"> </w:t>
      </w:r>
      <w:r w:rsidR="000B5618">
        <w:t xml:space="preserve">in the same or a later auction </w:t>
      </w:r>
      <w:r w:rsidR="00163311" w:rsidRPr="00FB46EC">
        <w:t>if the subsequent winning bid is less than the withdrawn bid.</w:t>
      </w:r>
      <w:r w:rsidR="00B32181">
        <w:rPr>
          <w:rStyle w:val="FootnoteReference"/>
        </w:rPr>
        <w:footnoteReference w:id="2"/>
      </w:r>
      <w:r w:rsidR="00D62868">
        <w:t xml:space="preserve">  </w:t>
      </w:r>
      <w:r w:rsidR="009A0744">
        <w:t xml:space="preserve">When </w:t>
      </w:r>
      <w:r w:rsidR="00AA6A94">
        <w:t>a subsequent winning bid is not made in the same auction</w:t>
      </w:r>
      <w:r w:rsidR="00E546C7">
        <w:t xml:space="preserve">, the </w:t>
      </w:r>
      <w:r w:rsidR="00AA6A94">
        <w:t xml:space="preserve">withdrawing </w:t>
      </w:r>
      <w:r w:rsidR="00E546C7">
        <w:t>bidder</w:t>
      </w:r>
      <w:r w:rsidR="00AA6A94">
        <w:t>’s</w:t>
      </w:r>
      <w:r w:rsidR="00E546C7">
        <w:t xml:space="preserve"> final withdrawal payment </w:t>
      </w:r>
      <w:r w:rsidR="00AA6A94">
        <w:t xml:space="preserve">amount </w:t>
      </w:r>
      <w:r w:rsidR="00E546C7">
        <w:t xml:space="preserve">cannot be </w:t>
      </w:r>
      <w:r w:rsidR="00AA6A94">
        <w:t xml:space="preserve">determined until a subsequent auction is held.  In </w:t>
      </w:r>
      <w:r w:rsidR="00B118CB">
        <w:t xml:space="preserve">such </w:t>
      </w:r>
      <w:r w:rsidR="00AA6A94">
        <w:t xml:space="preserve">cases, the withdrawing bidder </w:t>
      </w:r>
      <w:r w:rsidR="00733F38">
        <w:t xml:space="preserve">must make </w:t>
      </w:r>
      <w:r w:rsidR="00E546C7">
        <w:t>an interim payment equaling a percentage of the withdrawn bid.</w:t>
      </w:r>
      <w:r w:rsidR="004A5656">
        <w:rPr>
          <w:rStyle w:val="FootnoteReference"/>
        </w:rPr>
        <w:footnoteReference w:id="3"/>
      </w:r>
      <w:r w:rsidR="00E546C7">
        <w:t xml:space="preserve">  </w:t>
      </w:r>
      <w:r w:rsidR="00D62868">
        <w:t xml:space="preserve">In </w:t>
      </w:r>
      <w:r w:rsidR="00BB31E8">
        <w:t xml:space="preserve">2004, when </w:t>
      </w:r>
      <w:r w:rsidR="00D62868">
        <w:t>Auction 37</w:t>
      </w:r>
      <w:r w:rsidR="00BB31E8">
        <w:t xml:space="preserve"> took place</w:t>
      </w:r>
      <w:r w:rsidR="00D62868">
        <w:t xml:space="preserve">, </w:t>
      </w:r>
      <w:r w:rsidR="00E81B2B">
        <w:t xml:space="preserve">the interim payment was set by </w:t>
      </w:r>
      <w:r w:rsidR="00BB31E8">
        <w:t>rule at three percent of the withdrawn bid.</w:t>
      </w:r>
      <w:r w:rsidR="009B4C6A">
        <w:rPr>
          <w:rStyle w:val="FootnoteReference"/>
        </w:rPr>
        <w:footnoteReference w:id="4"/>
      </w:r>
      <w:r w:rsidR="00BB31E8">
        <w:t xml:space="preserve">  </w:t>
      </w:r>
      <w:r w:rsidR="00E81B2B">
        <w:t xml:space="preserve">In the auction, </w:t>
      </w:r>
      <w:r w:rsidR="00D62868">
        <w:t>Lunderville withdrew a $422,000 bid for the FM broadcast construction permit for Groveton, NH</w:t>
      </w:r>
      <w:r w:rsidR="00D43C50">
        <w:t xml:space="preserve">, </w:t>
      </w:r>
      <w:r w:rsidR="004A3FBC">
        <w:t xml:space="preserve">and </w:t>
      </w:r>
      <w:r w:rsidR="00D43C50">
        <w:t xml:space="preserve">no bid </w:t>
      </w:r>
      <w:r w:rsidR="001201F3">
        <w:t xml:space="preserve">for that permit was made </w:t>
      </w:r>
      <w:r w:rsidR="00A2495A">
        <w:t>subsequently</w:t>
      </w:r>
      <w:r w:rsidR="001201F3">
        <w:t xml:space="preserve"> during the course of that auction.</w:t>
      </w:r>
      <w:r w:rsidR="001201F3">
        <w:rPr>
          <w:rStyle w:val="FootnoteReference"/>
        </w:rPr>
        <w:footnoteReference w:id="5"/>
      </w:r>
      <w:r w:rsidR="00E81B2B">
        <w:t xml:space="preserve">  Accordingly, t</w:t>
      </w:r>
      <w:r w:rsidR="00B70D11">
        <w:t>he amount Lunderville owed and paid as an interim payment was $12,660.</w:t>
      </w:r>
      <w:r w:rsidR="00C124C2">
        <w:rPr>
          <w:rStyle w:val="FootnoteReference"/>
        </w:rPr>
        <w:footnoteReference w:id="6"/>
      </w:r>
    </w:p>
    <w:p w:rsidR="00776844" w:rsidRPr="00776844" w:rsidRDefault="007A6F28" w:rsidP="002A63C3">
      <w:pPr>
        <w:pStyle w:val="ParaNum"/>
      </w:pPr>
      <w:r>
        <w:rPr>
          <w:b/>
          <w:i/>
        </w:rPr>
        <w:lastRenderedPageBreak/>
        <w:t>Bureau Order.</w:t>
      </w:r>
      <w:r w:rsidRPr="007837B4">
        <w:t xml:space="preserve">  </w:t>
      </w:r>
      <w:r w:rsidR="002E0BF4">
        <w:t xml:space="preserve">After the close of Auction 37, the Bureau </w:t>
      </w:r>
      <w:r w:rsidR="00CB7FF0">
        <w:t xml:space="preserve">assessed interim bid withdrawal payments for </w:t>
      </w:r>
      <w:r w:rsidR="00536AE3">
        <w:t xml:space="preserve">Lunderville and </w:t>
      </w:r>
      <w:r w:rsidR="002B0EB8">
        <w:t xml:space="preserve">other Auction 37 </w:t>
      </w:r>
      <w:r w:rsidR="00CB7FF0">
        <w:t xml:space="preserve">withdrawing </w:t>
      </w:r>
      <w:r w:rsidR="002B0EB8">
        <w:t>bidders</w:t>
      </w:r>
      <w:r w:rsidR="00CB7FF0">
        <w:t>.</w:t>
      </w:r>
      <w:r w:rsidR="00CB7FF0">
        <w:rPr>
          <w:rStyle w:val="FootnoteReference"/>
        </w:rPr>
        <w:footnoteReference w:id="7"/>
      </w:r>
      <w:r w:rsidR="002B0EB8">
        <w:t xml:space="preserve"> </w:t>
      </w:r>
      <w:r w:rsidR="007307A5">
        <w:t xml:space="preserve"> </w:t>
      </w:r>
      <w:r w:rsidR="00CB7FF0">
        <w:t>Lunderville and four other bidders</w:t>
      </w:r>
      <w:r w:rsidR="00186596">
        <w:t xml:space="preserve"> </w:t>
      </w:r>
      <w:r w:rsidR="007C09A1">
        <w:t xml:space="preserve">jointly </w:t>
      </w:r>
      <w:r w:rsidR="00536AE3">
        <w:t xml:space="preserve">requested that the Commission reduce the amount </w:t>
      </w:r>
      <w:r w:rsidR="00513EE8">
        <w:t xml:space="preserve">they owed </w:t>
      </w:r>
      <w:r w:rsidR="00536AE3">
        <w:t xml:space="preserve">to the difference between each of their provisionally winning bids and the next highest bid in the auction for the </w:t>
      </w:r>
      <w:r w:rsidR="006100D3">
        <w:t xml:space="preserve">same </w:t>
      </w:r>
      <w:r w:rsidR="00536AE3">
        <w:t>permit.</w:t>
      </w:r>
      <w:r w:rsidR="00536AE3">
        <w:rPr>
          <w:rStyle w:val="FootnoteReference"/>
        </w:rPr>
        <w:footnoteReference w:id="8"/>
      </w:r>
      <w:r w:rsidR="00835DC6">
        <w:t xml:space="preserve">  </w:t>
      </w:r>
      <w:r w:rsidR="00835DC6" w:rsidRPr="00455F59">
        <w:t>The</w:t>
      </w:r>
      <w:r w:rsidR="004916DE" w:rsidRPr="00455F59">
        <w:t>y</w:t>
      </w:r>
      <w:r w:rsidR="00835DC6">
        <w:t xml:space="preserve"> also request</w:t>
      </w:r>
      <w:r w:rsidR="004916DE">
        <w:t>ed</w:t>
      </w:r>
      <w:r w:rsidR="00835DC6">
        <w:t xml:space="preserve"> a waiver of </w:t>
      </w:r>
      <w:r w:rsidR="00412653">
        <w:t>s</w:t>
      </w:r>
      <w:r w:rsidR="00835DC6" w:rsidRPr="007F688F">
        <w:t>ection</w:t>
      </w:r>
      <w:r w:rsidR="00835DC6">
        <w:t xml:space="preserve"> 1.2104(g)(1) “to the extent necessary.”</w:t>
      </w:r>
      <w:r w:rsidR="00835DC6">
        <w:rPr>
          <w:rStyle w:val="FootnoteReference"/>
        </w:rPr>
        <w:footnoteReference w:id="9"/>
      </w:r>
      <w:r w:rsidR="007C09A1">
        <w:t xml:space="preserve">  </w:t>
      </w:r>
      <w:r w:rsidR="00BF270A">
        <w:t>In</w:t>
      </w:r>
      <w:r w:rsidR="00890F85">
        <w:t xml:space="preserve"> the</w:t>
      </w:r>
      <w:r w:rsidR="00BF270A">
        <w:t xml:space="preserve"> </w:t>
      </w:r>
      <w:r w:rsidR="00E42115">
        <w:t xml:space="preserve">2008 </w:t>
      </w:r>
      <w:r w:rsidR="00890F85">
        <w:rPr>
          <w:i/>
        </w:rPr>
        <w:t>Bureau Order</w:t>
      </w:r>
      <w:r w:rsidR="00BF270A">
        <w:t>, t</w:t>
      </w:r>
      <w:r w:rsidR="00331EA7">
        <w:t>he Bureau denied the</w:t>
      </w:r>
      <w:r w:rsidR="00023BCD">
        <w:t>se</w:t>
      </w:r>
      <w:r w:rsidR="00CB7FF0">
        <w:t xml:space="preserve"> </w:t>
      </w:r>
      <w:r w:rsidR="008C2BA2">
        <w:t xml:space="preserve">joint </w:t>
      </w:r>
      <w:r w:rsidR="00CB7FF0">
        <w:t>request</w:t>
      </w:r>
      <w:r w:rsidR="008C2BA2">
        <w:t>s</w:t>
      </w:r>
      <w:r w:rsidR="00E8400F">
        <w:t>.</w:t>
      </w:r>
      <w:r w:rsidR="00331EA7">
        <w:rPr>
          <w:rStyle w:val="FootnoteReference"/>
        </w:rPr>
        <w:footnoteReference w:id="10"/>
      </w:r>
    </w:p>
    <w:p w:rsidR="007A6F28" w:rsidRPr="00CE1D50" w:rsidRDefault="00A1479F" w:rsidP="002A63C3">
      <w:pPr>
        <w:pStyle w:val="ParaNum"/>
      </w:pPr>
      <w:r>
        <w:t xml:space="preserve">In refuting the </w:t>
      </w:r>
      <w:r w:rsidR="00B57F7E">
        <w:t xml:space="preserve">claims </w:t>
      </w:r>
      <w:r w:rsidR="00AF7D7C">
        <w:t xml:space="preserve">that the </w:t>
      </w:r>
      <w:r>
        <w:t xml:space="preserve">bid withdrawal obligations </w:t>
      </w:r>
      <w:r w:rsidR="001A3ABC">
        <w:t xml:space="preserve">called for by </w:t>
      </w:r>
      <w:r w:rsidR="00C75C4B">
        <w:t xml:space="preserve">the Commission’s </w:t>
      </w:r>
      <w:r w:rsidR="001A3ABC">
        <w:t xml:space="preserve">rules </w:t>
      </w:r>
      <w:r>
        <w:t xml:space="preserve">were excessive, the Bureau distinguished </w:t>
      </w:r>
      <w:r w:rsidRPr="00A1479F">
        <w:rPr>
          <w:i/>
        </w:rPr>
        <w:t>Advance</w:t>
      </w:r>
      <w:r>
        <w:t xml:space="preserve">, a </w:t>
      </w:r>
      <w:r w:rsidR="00632BA0">
        <w:t xml:space="preserve">2007 </w:t>
      </w:r>
      <w:r>
        <w:t xml:space="preserve">order in which the Bureau had granted </w:t>
      </w:r>
      <w:r w:rsidR="004E4FFC">
        <w:t xml:space="preserve">a waiver request by </w:t>
      </w:r>
      <w:r w:rsidR="003714FE">
        <w:t>Advance Acquisition, Inc. (“</w:t>
      </w:r>
      <w:r w:rsidR="00A60E7B">
        <w:t>Advance Acquisition</w:t>
      </w:r>
      <w:r w:rsidR="003714FE">
        <w:t>”),</w:t>
      </w:r>
      <w:r w:rsidR="007F3563">
        <w:t xml:space="preserve"> </w:t>
      </w:r>
      <w:r w:rsidR="004E4FFC">
        <w:t>another Auction 37 bidder</w:t>
      </w:r>
      <w:r w:rsidR="0017524A">
        <w:t xml:space="preserve"> seeking a reduction </w:t>
      </w:r>
      <w:r w:rsidR="003714FE">
        <w:t>of</w:t>
      </w:r>
      <w:r w:rsidR="0017524A">
        <w:t xml:space="preserve"> its final bid </w:t>
      </w:r>
      <w:r w:rsidR="0017524A" w:rsidRPr="00D81BF5">
        <w:t>withdrawal</w:t>
      </w:r>
      <w:r w:rsidR="0017524A">
        <w:t xml:space="preserve"> obligation.</w:t>
      </w:r>
      <w:r w:rsidR="00B068BA">
        <w:rPr>
          <w:rStyle w:val="FootnoteReference"/>
        </w:rPr>
        <w:footnoteReference w:id="11"/>
      </w:r>
      <w:r w:rsidR="00412653">
        <w:t xml:space="preserve">  </w:t>
      </w:r>
      <w:r w:rsidR="008B34AC">
        <w:t xml:space="preserve">In </w:t>
      </w:r>
      <w:r w:rsidR="008B34AC">
        <w:rPr>
          <w:i/>
        </w:rPr>
        <w:t>Advance</w:t>
      </w:r>
      <w:r w:rsidR="008B34AC">
        <w:t>, t</w:t>
      </w:r>
      <w:r w:rsidR="00C13735">
        <w:t>he Bureau c</w:t>
      </w:r>
      <w:r w:rsidR="00412653">
        <w:t>onclud</w:t>
      </w:r>
      <w:r w:rsidR="00C13735">
        <w:t>ed</w:t>
      </w:r>
      <w:r w:rsidR="00412653">
        <w:t xml:space="preserve"> that </w:t>
      </w:r>
      <w:r w:rsidR="00A60E7B">
        <w:t>Advance Acquisition</w:t>
      </w:r>
      <w:r w:rsidR="00526387">
        <w:t xml:space="preserve">’s </w:t>
      </w:r>
      <w:r w:rsidR="0017524A">
        <w:t xml:space="preserve">final </w:t>
      </w:r>
      <w:r w:rsidR="0017524A" w:rsidRPr="002A63C3">
        <w:t>payment</w:t>
      </w:r>
      <w:r w:rsidR="0017524A">
        <w:t xml:space="preserve"> </w:t>
      </w:r>
      <w:r w:rsidR="00436B0D">
        <w:t>obligation</w:t>
      </w:r>
      <w:r w:rsidR="00412653">
        <w:t xml:space="preserve">, which </w:t>
      </w:r>
      <w:r w:rsidR="00B30CCA">
        <w:t xml:space="preserve">had </w:t>
      </w:r>
      <w:r w:rsidR="00412653">
        <w:t xml:space="preserve">exceeded $4 million and represented more than 200 percent of the </w:t>
      </w:r>
      <w:r w:rsidR="004E43C2">
        <w:t xml:space="preserve">subsequent winning bid for </w:t>
      </w:r>
      <w:r w:rsidR="00412653">
        <w:t xml:space="preserve">the </w:t>
      </w:r>
      <w:r w:rsidR="00412653" w:rsidRPr="00123BEB">
        <w:t>permit</w:t>
      </w:r>
      <w:r w:rsidR="00412653">
        <w:t xml:space="preserve">, was higher than necessary to serve </w:t>
      </w:r>
      <w:r w:rsidR="00847625">
        <w:t xml:space="preserve">the </w:t>
      </w:r>
      <w:r w:rsidR="006C2ED2">
        <w:t xml:space="preserve">section 1.2104(g)(1) </w:t>
      </w:r>
      <w:r w:rsidR="006C2ED2" w:rsidRPr="00455F59">
        <w:t>purpose</w:t>
      </w:r>
      <w:r w:rsidR="006C2ED2">
        <w:t xml:space="preserve"> of deterring insincere bidding</w:t>
      </w:r>
      <w:r w:rsidR="00B57F7E">
        <w:t>.</w:t>
      </w:r>
      <w:r w:rsidR="00F058DF">
        <w:rPr>
          <w:rStyle w:val="FootnoteReference"/>
        </w:rPr>
        <w:footnoteReference w:id="12"/>
      </w:r>
      <w:r w:rsidR="00B57F7E">
        <w:t xml:space="preserve">  T</w:t>
      </w:r>
      <w:r w:rsidR="008B34AC">
        <w:t>he</w:t>
      </w:r>
      <w:r w:rsidR="00A85287">
        <w:t xml:space="preserve"> Bureau </w:t>
      </w:r>
      <w:r w:rsidR="00830BA4">
        <w:t xml:space="preserve">therefore </w:t>
      </w:r>
      <w:r w:rsidR="006C2ED2">
        <w:t xml:space="preserve">reduced </w:t>
      </w:r>
      <w:r w:rsidR="00B57F7E">
        <w:t xml:space="preserve">Advance Acquisition’s </w:t>
      </w:r>
      <w:r w:rsidR="00A85287">
        <w:t xml:space="preserve">withdrawal payment </w:t>
      </w:r>
      <w:r w:rsidR="00B57F7E">
        <w:t xml:space="preserve">obligation </w:t>
      </w:r>
      <w:r w:rsidR="006C2ED2">
        <w:t xml:space="preserve">to the </w:t>
      </w:r>
      <w:r w:rsidR="0057263C">
        <w:t xml:space="preserve">$205,500 that </w:t>
      </w:r>
      <w:r w:rsidR="003D697B">
        <w:t xml:space="preserve">the company </w:t>
      </w:r>
      <w:r w:rsidR="006C2ED2">
        <w:t xml:space="preserve">had already paid as an interim </w:t>
      </w:r>
      <w:r w:rsidR="00A85287">
        <w:t>amount</w:t>
      </w:r>
      <w:r w:rsidR="006C2ED2">
        <w:t>.</w:t>
      </w:r>
      <w:r w:rsidR="00567C8C">
        <w:rPr>
          <w:rStyle w:val="FootnoteReference"/>
        </w:rPr>
        <w:footnoteReference w:id="13"/>
      </w:r>
      <w:r w:rsidR="00923DEC">
        <w:t xml:space="preserve">  In the </w:t>
      </w:r>
      <w:r w:rsidR="00923DEC">
        <w:rPr>
          <w:i/>
        </w:rPr>
        <w:t>Bureau Order</w:t>
      </w:r>
      <w:r w:rsidR="00923DEC">
        <w:t xml:space="preserve">, the Bureau </w:t>
      </w:r>
      <w:r w:rsidR="002D36F3">
        <w:t xml:space="preserve">explained </w:t>
      </w:r>
      <w:r w:rsidR="001372B3">
        <w:t xml:space="preserve">that only in exceptional circumstances would the comparison of ratios of bid withdrawal payments to winning bids </w:t>
      </w:r>
      <w:r w:rsidR="000A7C79">
        <w:t>between</w:t>
      </w:r>
      <w:r w:rsidR="001372B3">
        <w:t xml:space="preserve"> auctions or services constitute a basis for reconsidering a bid withdrawal payment and </w:t>
      </w:r>
      <w:r w:rsidR="00F64297">
        <w:t xml:space="preserve">that </w:t>
      </w:r>
      <w:r w:rsidR="001372B3">
        <w:t>it could find no exceptional circumstances in the cases of Lunderville and his co-filers.</w:t>
      </w:r>
      <w:r w:rsidR="003E69AD">
        <w:rPr>
          <w:rStyle w:val="FootnoteReference"/>
        </w:rPr>
        <w:footnoteReference w:id="14"/>
      </w:r>
      <w:r w:rsidR="00452ED2">
        <w:t xml:space="preserve">  </w:t>
      </w:r>
    </w:p>
    <w:p w:rsidR="00CE1D50" w:rsidRDefault="00B110D0" w:rsidP="00013EDA">
      <w:pPr>
        <w:pStyle w:val="ParaNum"/>
        <w:widowControl/>
      </w:pPr>
      <w:r>
        <w:t xml:space="preserve">In addition, the Bureau rejected a claim by Lunderville and his co-filers that the Commission could have reduced the final bid withdrawal payments by awarding the permits to the next </w:t>
      </w:r>
      <w:r w:rsidRPr="005C0C98">
        <w:t>highest</w:t>
      </w:r>
      <w:r>
        <w:t xml:space="preserve"> bidders in Auction 37.</w:t>
      </w:r>
      <w:r>
        <w:rPr>
          <w:rStyle w:val="FootnoteReference"/>
        </w:rPr>
        <w:footnoteReference w:id="15"/>
      </w:r>
      <w:r>
        <w:t xml:space="preserve">  The Bureau </w:t>
      </w:r>
      <w:r w:rsidRPr="002A63C3">
        <w:t>explained</w:t>
      </w:r>
      <w:r>
        <w:t xml:space="preserve"> that the Commission rules id</w:t>
      </w:r>
      <w:r w:rsidR="002C0B94">
        <w:t>entified by the parties provide</w:t>
      </w:r>
      <w:r>
        <w:t xml:space="preserve"> discretion to award a permit or license to the next highest bidder only when the winning bidder withdraws its winning bid </w:t>
      </w:r>
      <w:r w:rsidRPr="007B7097">
        <w:rPr>
          <w:i/>
        </w:rPr>
        <w:t xml:space="preserve">after </w:t>
      </w:r>
      <w:r>
        <w:t>the auction closes (</w:t>
      </w:r>
      <w:r w:rsidRPr="00B5741D">
        <w:t>i.e.,</w:t>
      </w:r>
      <w:r>
        <w:rPr>
          <w:i/>
        </w:rPr>
        <w:t xml:space="preserve"> </w:t>
      </w:r>
      <w:r>
        <w:t>when a bidder defaults), and that the rules provide for no such discretion in the context of a permitted withdrawal of a bid during an auction.</w:t>
      </w:r>
      <w:r>
        <w:rPr>
          <w:rStyle w:val="FootnoteReference"/>
        </w:rPr>
        <w:footnoteReference w:id="16"/>
      </w:r>
    </w:p>
    <w:p w:rsidR="00835DC6" w:rsidRPr="00C057B8" w:rsidRDefault="0003413F" w:rsidP="00164002">
      <w:pPr>
        <w:pStyle w:val="ParaNum"/>
      </w:pPr>
      <w:r>
        <w:rPr>
          <w:b/>
          <w:i/>
        </w:rPr>
        <w:t>Commission Order.</w:t>
      </w:r>
      <w:r>
        <w:t xml:space="preserve">  </w:t>
      </w:r>
      <w:r w:rsidR="00210099">
        <w:t xml:space="preserve">Lunderville and two of his previous co-filers together filed for reconsideration of the </w:t>
      </w:r>
      <w:r w:rsidR="00210099">
        <w:rPr>
          <w:i/>
        </w:rPr>
        <w:t>Bureau Order</w:t>
      </w:r>
      <w:r w:rsidR="00210099">
        <w:t xml:space="preserve">, arguing primarily that they had not received the same relief as had the bidder in </w:t>
      </w:r>
      <w:r w:rsidR="00210099">
        <w:rPr>
          <w:i/>
        </w:rPr>
        <w:t>Advance</w:t>
      </w:r>
      <w:r w:rsidR="00210099">
        <w:t>.</w:t>
      </w:r>
      <w:r w:rsidR="008463C0">
        <w:rPr>
          <w:rStyle w:val="FootnoteReference"/>
        </w:rPr>
        <w:footnoteReference w:id="17"/>
      </w:r>
      <w:r w:rsidR="00210099">
        <w:t xml:space="preserve">  </w:t>
      </w:r>
      <w:r w:rsidR="00FB55BE">
        <w:t>Because th</w:t>
      </w:r>
      <w:r w:rsidR="00E37434">
        <w:t>is</w:t>
      </w:r>
      <w:r w:rsidR="00FB55BE">
        <w:t xml:space="preserve"> petition raised issues similar to those involved in an application for review of the </w:t>
      </w:r>
      <w:r w:rsidR="00FB55BE">
        <w:rPr>
          <w:i/>
        </w:rPr>
        <w:t xml:space="preserve">Bureau </w:t>
      </w:r>
      <w:r w:rsidR="00FB55BE" w:rsidRPr="008D783A">
        <w:rPr>
          <w:i/>
        </w:rPr>
        <w:t>Order</w:t>
      </w:r>
      <w:r w:rsidR="00FB55BE">
        <w:t xml:space="preserve"> filed directly with the Commission by another party, the Bureau exercised its discretion under our rules to refer the joint petition to the Commission.</w:t>
      </w:r>
      <w:r w:rsidR="00FB55BE">
        <w:rPr>
          <w:rStyle w:val="FootnoteReference"/>
        </w:rPr>
        <w:footnoteReference w:id="18"/>
      </w:r>
      <w:r w:rsidR="00FB55BE">
        <w:t xml:space="preserve">  </w:t>
      </w:r>
      <w:r w:rsidR="00210099" w:rsidRPr="00FB55BE">
        <w:t>The</w:t>
      </w:r>
      <w:r w:rsidR="00210099">
        <w:t xml:space="preserve"> Commission denied their petition and affirmed the </w:t>
      </w:r>
      <w:r w:rsidR="00210099">
        <w:rPr>
          <w:i/>
        </w:rPr>
        <w:t>Bureau Order</w:t>
      </w:r>
      <w:r w:rsidR="00210099">
        <w:t>.</w:t>
      </w:r>
      <w:r w:rsidR="00210099" w:rsidRPr="002E36F2">
        <w:rPr>
          <w:rStyle w:val="FootnoteReference"/>
        </w:rPr>
        <w:footnoteReference w:id="19"/>
      </w:r>
      <w:r w:rsidR="00210099">
        <w:t xml:space="preserve">  </w:t>
      </w:r>
      <w:r w:rsidR="000A25F7">
        <w:t>In so doing, t</w:t>
      </w:r>
      <w:r w:rsidR="00210099">
        <w:t xml:space="preserve">he Commission explicitly overruled the Bureau’s earlier analysis in </w:t>
      </w:r>
      <w:r w:rsidR="00210099" w:rsidRPr="00406320">
        <w:rPr>
          <w:i/>
        </w:rPr>
        <w:t>Advance</w:t>
      </w:r>
      <w:r w:rsidR="00210099">
        <w:t>, disagreeing with the finding that a bid withdrawal payment could ever be so excessively high, either in absolute terms or relative to the withdrawn bid amount, as to alone warrant a waiver of the withdrawal payment rule.</w:t>
      </w:r>
      <w:r w:rsidR="00210099" w:rsidRPr="002E36F2">
        <w:rPr>
          <w:rStyle w:val="FootnoteReference"/>
        </w:rPr>
        <w:footnoteReference w:id="20"/>
      </w:r>
      <w:r w:rsidR="00FB55BE">
        <w:t xml:space="preserve">  The </w:t>
      </w:r>
      <w:r w:rsidR="00FB55BE">
        <w:rPr>
          <w:i/>
        </w:rPr>
        <w:t xml:space="preserve">Commission Order </w:t>
      </w:r>
      <w:r w:rsidR="00CE2006">
        <w:t xml:space="preserve">also </w:t>
      </w:r>
      <w:r w:rsidR="00FB55BE">
        <w:t>cited well</w:t>
      </w:r>
      <w:r w:rsidR="00C057B8">
        <w:t>-</w:t>
      </w:r>
      <w:r w:rsidR="00FB55BE">
        <w:t xml:space="preserve">established law </w:t>
      </w:r>
      <w:r w:rsidR="00B40BFA">
        <w:t xml:space="preserve">to show </w:t>
      </w:r>
      <w:r w:rsidR="00FB55BE">
        <w:t xml:space="preserve">that the Commission is not bound by prior Bureau decisions, such as the one issued in </w:t>
      </w:r>
      <w:r w:rsidR="00FB55BE">
        <w:rPr>
          <w:i/>
        </w:rPr>
        <w:t>Advance.</w:t>
      </w:r>
      <w:r w:rsidR="00FB55BE" w:rsidRPr="00C057B8">
        <w:rPr>
          <w:rStyle w:val="FootnoteReference"/>
        </w:rPr>
        <w:footnoteReference w:id="21"/>
      </w:r>
    </w:p>
    <w:p w:rsidR="00DA2578" w:rsidRDefault="00A749D5" w:rsidP="002A63C3">
      <w:pPr>
        <w:pStyle w:val="ParaNum"/>
      </w:pPr>
      <w:r>
        <w:rPr>
          <w:b/>
          <w:i/>
        </w:rPr>
        <w:t>Lunderville’s Petition.</w:t>
      </w:r>
      <w:r>
        <w:rPr>
          <w:b/>
        </w:rPr>
        <w:t xml:space="preserve">  </w:t>
      </w:r>
      <w:r>
        <w:t xml:space="preserve">Lunderville now seeks reconsideration of the </w:t>
      </w:r>
      <w:r w:rsidRPr="007A7278">
        <w:rPr>
          <w:i/>
        </w:rPr>
        <w:t>Commission Order</w:t>
      </w:r>
      <w:r>
        <w:t>.</w:t>
      </w:r>
      <w:r>
        <w:rPr>
          <w:rStyle w:val="FootnoteReference"/>
        </w:rPr>
        <w:footnoteReference w:id="22"/>
      </w:r>
      <w:r>
        <w:t xml:space="preserve">  He </w:t>
      </w:r>
      <w:r w:rsidR="00FB55BE">
        <w:t xml:space="preserve">continues to </w:t>
      </w:r>
      <w:r>
        <w:t xml:space="preserve">argue that the Commission’s refusal to accord him the same relief as certain other Auction 37 bidders, </w:t>
      </w:r>
      <w:r w:rsidR="002D2F40">
        <w:t xml:space="preserve">particularly </w:t>
      </w:r>
      <w:r>
        <w:t>Advance Acquisition</w:t>
      </w:r>
      <w:r w:rsidR="00A71310">
        <w:t xml:space="preserve">, </w:t>
      </w:r>
      <w:r>
        <w:t xml:space="preserve">is </w:t>
      </w:r>
      <w:r w:rsidR="00FB55BE">
        <w:t xml:space="preserve">inconsistent with the </w:t>
      </w:r>
      <w:r w:rsidR="00E14467">
        <w:t xml:space="preserve">Commission’s </w:t>
      </w:r>
      <w:r w:rsidR="00FB55BE">
        <w:t xml:space="preserve">obligation under </w:t>
      </w:r>
      <w:r w:rsidR="00FB55BE">
        <w:rPr>
          <w:i/>
        </w:rPr>
        <w:t>Melody Music</w:t>
      </w:r>
      <w:r w:rsidR="00FB55BE">
        <w:t xml:space="preserve"> </w:t>
      </w:r>
      <w:r w:rsidR="00E14467">
        <w:t>to explain its different treatment of Advance</w:t>
      </w:r>
      <w:r w:rsidR="00885B88">
        <w:t xml:space="preserve"> Acquisition</w:t>
      </w:r>
      <w:r w:rsidR="00E14467">
        <w:t>.</w:t>
      </w:r>
      <w:r w:rsidR="006D50CD">
        <w:rPr>
          <w:rStyle w:val="FootnoteReference"/>
        </w:rPr>
        <w:footnoteReference w:id="23"/>
      </w:r>
      <w:r w:rsidR="00E14467">
        <w:t xml:space="preserve">  Lunderville also claims that the </w:t>
      </w:r>
      <w:r w:rsidR="00E14467">
        <w:rPr>
          <w:i/>
        </w:rPr>
        <w:t xml:space="preserve">Commission Order </w:t>
      </w:r>
      <w:r w:rsidR="00E14467">
        <w:t xml:space="preserve">constitutes </w:t>
      </w:r>
      <w:r>
        <w:t>a “retroactive decision to apply a different standard” to him</w:t>
      </w:r>
      <w:r w:rsidR="00B25CA9">
        <w:t xml:space="preserve"> and </w:t>
      </w:r>
      <w:r w:rsidR="00740BD4">
        <w:t xml:space="preserve">is </w:t>
      </w:r>
      <w:r w:rsidR="00B25CA9">
        <w:t>therefore unconstitutional</w:t>
      </w:r>
      <w:r w:rsidR="00E14467">
        <w:t>.</w:t>
      </w:r>
      <w:r w:rsidR="00740BD4" w:rsidRPr="00740BD4">
        <w:rPr>
          <w:rStyle w:val="FootnoteReference"/>
        </w:rPr>
        <w:t xml:space="preserve"> </w:t>
      </w:r>
      <w:r w:rsidR="00740BD4">
        <w:rPr>
          <w:rStyle w:val="FootnoteReference"/>
        </w:rPr>
        <w:footnoteReference w:id="24"/>
      </w:r>
      <w:r>
        <w:t xml:space="preserve">  And he claims </w:t>
      </w:r>
      <w:r w:rsidRPr="003C363D">
        <w:t xml:space="preserve">that the Commission </w:t>
      </w:r>
      <w:r w:rsidR="00E14467">
        <w:t>c</w:t>
      </w:r>
      <w:r w:rsidR="00BB3FFA">
        <w:t xml:space="preserve">ould </w:t>
      </w:r>
      <w:r w:rsidRPr="003C363D">
        <w:t xml:space="preserve">have </w:t>
      </w:r>
      <w:r>
        <w:t>implement</w:t>
      </w:r>
      <w:r w:rsidR="00BB3FFA">
        <w:t>ed</w:t>
      </w:r>
      <w:r>
        <w:t xml:space="preserve"> different bidding rules for </w:t>
      </w:r>
      <w:r w:rsidR="00F8504D">
        <w:t>th</w:t>
      </w:r>
      <w:r w:rsidR="00787133">
        <w:t>e</w:t>
      </w:r>
      <w:r w:rsidR="00F8504D">
        <w:t xml:space="preserve"> a</w:t>
      </w:r>
      <w:r w:rsidRPr="003C363D">
        <w:t>uction.</w:t>
      </w:r>
      <w:r w:rsidRPr="003C363D">
        <w:rPr>
          <w:rStyle w:val="FootnoteReference"/>
        </w:rPr>
        <w:footnoteReference w:id="25"/>
      </w:r>
    </w:p>
    <w:p w:rsidR="003852D6" w:rsidRDefault="003852D6" w:rsidP="003852D6">
      <w:pPr>
        <w:pStyle w:val="Heading1"/>
      </w:pPr>
      <w:r>
        <w:t>discussion</w:t>
      </w:r>
    </w:p>
    <w:p w:rsidR="00C85639" w:rsidRDefault="00241D40" w:rsidP="002A63C3">
      <w:pPr>
        <w:pStyle w:val="ParaNum"/>
        <w:rPr>
          <w:sz w:val="24"/>
          <w:szCs w:val="24"/>
        </w:rPr>
      </w:pPr>
      <w:r>
        <w:t>Under section 1.106</w:t>
      </w:r>
      <w:r w:rsidR="00147C9A">
        <w:t>(c)</w:t>
      </w:r>
      <w:r>
        <w:t xml:space="preserve"> of our rules, </w:t>
      </w:r>
      <w:r w:rsidR="00DD52FC">
        <w:t xml:space="preserve">if </w:t>
      </w:r>
      <w:r>
        <w:t>a petition for reconsideration of any order other than an order denying an application for review</w:t>
      </w:r>
      <w:r w:rsidR="00EF1A8D">
        <w:t xml:space="preserve"> </w:t>
      </w:r>
      <w:r w:rsidR="00E44330">
        <w:t xml:space="preserve">relies on facts or arguments not previously presented to the Commission or </w:t>
      </w:r>
      <w:r w:rsidR="00A37AE3">
        <w:t xml:space="preserve">its </w:t>
      </w:r>
      <w:r w:rsidR="00E44330">
        <w:t xml:space="preserve">designated authority, </w:t>
      </w:r>
      <w:r w:rsidR="00B735A3">
        <w:t xml:space="preserve">it </w:t>
      </w:r>
      <w:r w:rsidR="00DD52FC">
        <w:t xml:space="preserve">may </w:t>
      </w:r>
      <w:r w:rsidR="00B735A3">
        <w:t xml:space="preserve">be </w:t>
      </w:r>
      <w:r w:rsidR="00DD52FC">
        <w:t>grant</w:t>
      </w:r>
      <w:r w:rsidR="00B735A3">
        <w:t>ed</w:t>
      </w:r>
      <w:r w:rsidR="00E44330">
        <w:t xml:space="preserve"> </w:t>
      </w:r>
      <w:r w:rsidR="004221B3">
        <w:t xml:space="preserve">only </w:t>
      </w:r>
      <w:r w:rsidR="00ED4FCD">
        <w:t>(1</w:t>
      </w:r>
      <w:r w:rsidR="00387966">
        <w:t xml:space="preserve">) </w:t>
      </w:r>
      <w:r w:rsidR="00E44330">
        <w:t xml:space="preserve">if those newly raised </w:t>
      </w:r>
      <w:r w:rsidR="006433F4">
        <w:t>facts or arguments concern events</w:t>
      </w:r>
      <w:r w:rsidR="00147C9A">
        <w:t xml:space="preserve"> (i)</w:t>
      </w:r>
      <w:r w:rsidR="006433F4">
        <w:t xml:space="preserve"> that have </w:t>
      </w:r>
      <w:r w:rsidR="006433F4" w:rsidRPr="002A63C3">
        <w:t>occurred</w:t>
      </w:r>
      <w:r w:rsidR="006433F4">
        <w:t xml:space="preserve"> or circumstances that have changed since the </w:t>
      </w:r>
      <w:r w:rsidR="006433F4" w:rsidRPr="00455F59">
        <w:t>petitioner’s</w:t>
      </w:r>
      <w:r w:rsidR="006433F4">
        <w:t xml:space="preserve"> last opportunity to present</w:t>
      </w:r>
      <w:r w:rsidR="00AB3D28">
        <w:t xml:space="preserve"> such </w:t>
      </w:r>
      <w:r w:rsidR="00AB3D28" w:rsidRPr="006E61C4">
        <w:t>matters</w:t>
      </w:r>
      <w:r w:rsidR="00AB3D28">
        <w:t xml:space="preserve"> to the Commission</w:t>
      </w:r>
      <w:r w:rsidR="00387966">
        <w:t xml:space="preserve"> or</w:t>
      </w:r>
      <w:r w:rsidR="006433F4">
        <w:t xml:space="preserve"> </w:t>
      </w:r>
      <w:r w:rsidR="00147C9A">
        <w:t xml:space="preserve">(ii) </w:t>
      </w:r>
      <w:r w:rsidR="006433F4">
        <w:t xml:space="preserve">that were unknown to the petitioner until after the last </w:t>
      </w:r>
      <w:r w:rsidR="006433F4" w:rsidRPr="006E61C4">
        <w:t>opportunity</w:t>
      </w:r>
      <w:r w:rsidR="006433F4">
        <w:t xml:space="preserve"> to present such matters and that the petitioner could not, through </w:t>
      </w:r>
      <w:r w:rsidR="006433F4" w:rsidRPr="00123BEB">
        <w:t>the</w:t>
      </w:r>
      <w:r w:rsidR="006433F4">
        <w:t xml:space="preserve"> exercise of ordinary diligence, have learned </w:t>
      </w:r>
      <w:r w:rsidR="00B735A3">
        <w:t xml:space="preserve">of </w:t>
      </w:r>
      <w:r w:rsidR="006433F4">
        <w:t>prior to such opportunity</w:t>
      </w:r>
      <w:r w:rsidR="00387966">
        <w:t>; or (</w:t>
      </w:r>
      <w:r w:rsidR="00ED4FCD">
        <w:t>2</w:t>
      </w:r>
      <w:r w:rsidR="00387966">
        <w:t xml:space="preserve">) </w:t>
      </w:r>
      <w:r w:rsidR="00E44330">
        <w:t xml:space="preserve">if </w:t>
      </w:r>
      <w:r w:rsidR="00FD7B90">
        <w:t>the Commission or the designated authority</w:t>
      </w:r>
      <w:r w:rsidR="00387966">
        <w:t xml:space="preserve"> determine</w:t>
      </w:r>
      <w:r w:rsidR="00FD7B90">
        <w:t>s</w:t>
      </w:r>
      <w:r w:rsidR="00387966">
        <w:t xml:space="preserve"> that consideration of the facts and arguments relied on is required in the public interest</w:t>
      </w:r>
      <w:r w:rsidR="006433F4">
        <w:t>.</w:t>
      </w:r>
      <w:r w:rsidR="006433F4">
        <w:rPr>
          <w:rStyle w:val="FootnoteReference"/>
        </w:rPr>
        <w:footnoteReference w:id="26"/>
      </w:r>
      <w:r w:rsidR="00784B98">
        <w:t xml:space="preserve">  </w:t>
      </w:r>
      <w:r w:rsidR="006424A4">
        <w:t xml:space="preserve">If </w:t>
      </w:r>
      <w:r w:rsidR="00BF374F">
        <w:t xml:space="preserve">a petitioner relies on new facts or circumstances, those </w:t>
      </w:r>
      <w:r w:rsidR="00784B98">
        <w:t>facts or circumstances must</w:t>
      </w:r>
      <w:r w:rsidR="00BF374F">
        <w:t xml:space="preserve">, in addition to being new, </w:t>
      </w:r>
      <w:r w:rsidR="00784B98">
        <w:t>be relevant to the question before the Commission.</w:t>
      </w:r>
      <w:r w:rsidR="00784B98">
        <w:rPr>
          <w:rStyle w:val="FootnoteReference"/>
        </w:rPr>
        <w:footnoteReference w:id="27"/>
      </w:r>
    </w:p>
    <w:p w:rsidR="003443D7" w:rsidRDefault="002112EF" w:rsidP="00FE3CC9">
      <w:pPr>
        <w:pStyle w:val="ParaNum"/>
      </w:pPr>
      <w:r>
        <w:rPr>
          <w:b/>
          <w:i/>
        </w:rPr>
        <w:t xml:space="preserve">Claims Based on </w:t>
      </w:r>
      <w:r>
        <w:rPr>
          <w:b/>
        </w:rPr>
        <w:t>Advance.</w:t>
      </w:r>
      <w:r w:rsidR="001B7BBF">
        <w:rPr>
          <w:b/>
        </w:rPr>
        <w:t xml:space="preserve">  </w:t>
      </w:r>
      <w:r w:rsidR="00E14467">
        <w:t>Most</w:t>
      </w:r>
      <w:r w:rsidR="00B559C7">
        <w:t xml:space="preserve"> of </w:t>
      </w:r>
      <w:r w:rsidR="003E0983">
        <w:t xml:space="preserve">Lunderville’s current arguments </w:t>
      </w:r>
      <w:r w:rsidR="00FE221A">
        <w:t>constitute</w:t>
      </w:r>
      <w:r w:rsidR="006B2D1C">
        <w:t xml:space="preserve"> a single </w:t>
      </w:r>
      <w:r w:rsidR="00410839">
        <w:t>claim</w:t>
      </w:r>
      <w:r w:rsidR="00FE0B25">
        <w:t xml:space="preserve"> – </w:t>
      </w:r>
      <w:r w:rsidR="00410839">
        <w:t xml:space="preserve">that </w:t>
      </w:r>
      <w:r w:rsidR="00C85639">
        <w:t xml:space="preserve">the Commission should have reduced his total withdrawal payment obligation to the amount of his interim payment because the Bureau had reduced the withdrawal payment </w:t>
      </w:r>
      <w:r w:rsidR="001B46A8">
        <w:t xml:space="preserve">for Advance Acquisition </w:t>
      </w:r>
      <w:r w:rsidR="00C85639">
        <w:t xml:space="preserve">in </w:t>
      </w:r>
      <w:r w:rsidR="00C85639" w:rsidRPr="00CD7A6D">
        <w:rPr>
          <w:i/>
        </w:rPr>
        <w:t>Advance</w:t>
      </w:r>
      <w:r w:rsidR="00C85639">
        <w:t>.</w:t>
      </w:r>
      <w:r w:rsidR="00C85639">
        <w:rPr>
          <w:rStyle w:val="FootnoteReference"/>
        </w:rPr>
        <w:footnoteReference w:id="28"/>
      </w:r>
      <w:r w:rsidR="00C85639">
        <w:t xml:space="preserve">  </w:t>
      </w:r>
      <w:r w:rsidR="003B7347">
        <w:t xml:space="preserve">Although </w:t>
      </w:r>
      <w:r w:rsidR="00A71310">
        <w:t xml:space="preserve">Lunderville acknowledges that the </w:t>
      </w:r>
      <w:r w:rsidR="00A71310" w:rsidRPr="007631A3">
        <w:rPr>
          <w:i/>
        </w:rPr>
        <w:t>Commission</w:t>
      </w:r>
      <w:r w:rsidR="00A71310">
        <w:t xml:space="preserve"> </w:t>
      </w:r>
      <w:r w:rsidR="00A71310">
        <w:rPr>
          <w:i/>
        </w:rPr>
        <w:t>Order</w:t>
      </w:r>
      <w:r w:rsidR="00A71310">
        <w:t xml:space="preserve"> overruled the Bureau’s waiver analysis in </w:t>
      </w:r>
      <w:r w:rsidR="00A71310" w:rsidRPr="00CD7A6D">
        <w:rPr>
          <w:i/>
        </w:rPr>
        <w:t>Advance</w:t>
      </w:r>
      <w:r w:rsidR="00A71310">
        <w:t>,</w:t>
      </w:r>
      <w:r w:rsidR="00A71310">
        <w:rPr>
          <w:rStyle w:val="FootnoteReference"/>
        </w:rPr>
        <w:footnoteReference w:id="29"/>
      </w:r>
      <w:r w:rsidR="00A71310">
        <w:t xml:space="preserve"> he </w:t>
      </w:r>
      <w:r w:rsidR="004E43C2">
        <w:t xml:space="preserve">persists in </w:t>
      </w:r>
      <w:r w:rsidR="0078565E">
        <w:t xml:space="preserve">relying on </w:t>
      </w:r>
      <w:r w:rsidR="001B7BBF" w:rsidRPr="002036A4">
        <w:rPr>
          <w:i/>
        </w:rPr>
        <w:t>Advance</w:t>
      </w:r>
      <w:r w:rsidR="001B7BBF">
        <w:t xml:space="preserve"> in his arguments</w:t>
      </w:r>
      <w:r w:rsidR="00A71310">
        <w:t xml:space="preserve">.  </w:t>
      </w:r>
      <w:r w:rsidR="00E41EAC">
        <w:t>Lunderville</w:t>
      </w:r>
      <w:r w:rsidR="00A71310">
        <w:t xml:space="preserve"> </w:t>
      </w:r>
      <w:r w:rsidR="00E14467">
        <w:t xml:space="preserve">appears to </w:t>
      </w:r>
      <w:r w:rsidR="00A71310">
        <w:t xml:space="preserve">disagree with the Commission’s explanation that </w:t>
      </w:r>
      <w:r w:rsidR="00A71310" w:rsidRPr="00297692">
        <w:rPr>
          <w:i/>
        </w:rPr>
        <w:t>Advance</w:t>
      </w:r>
      <w:r w:rsidR="00A71310">
        <w:t xml:space="preserve">, as a bureau-level </w:t>
      </w:r>
      <w:r w:rsidR="00F95AC5">
        <w:t>order</w:t>
      </w:r>
      <w:r w:rsidR="00A71310">
        <w:t>, was not binding on the Commission.</w:t>
      </w:r>
      <w:r w:rsidR="00A71310">
        <w:rPr>
          <w:rStyle w:val="FootnoteReference"/>
        </w:rPr>
        <w:footnoteReference w:id="30"/>
      </w:r>
      <w:r w:rsidR="00A71310">
        <w:t xml:space="preserve"> </w:t>
      </w:r>
      <w:r w:rsidR="00C85639">
        <w:t xml:space="preserve"> </w:t>
      </w:r>
      <w:r w:rsidR="00D7030F">
        <w:t xml:space="preserve">This position </w:t>
      </w:r>
      <w:r w:rsidR="008D2CE2">
        <w:t xml:space="preserve">ignores the judicial and Commission precedent cited by the Commission as the basis for </w:t>
      </w:r>
      <w:r w:rsidR="002B19DC">
        <w:t>its</w:t>
      </w:r>
      <w:r w:rsidR="00516085">
        <w:t xml:space="preserve"> </w:t>
      </w:r>
      <w:r w:rsidR="008D2CE2">
        <w:t>ruling</w:t>
      </w:r>
      <w:r w:rsidR="003B7347">
        <w:t>.  In particular</w:t>
      </w:r>
      <w:r w:rsidR="008D2CE2">
        <w:t xml:space="preserve">, </w:t>
      </w:r>
      <w:r w:rsidR="007F509E">
        <w:t xml:space="preserve">Lunderville </w:t>
      </w:r>
      <w:r w:rsidR="003B7347">
        <w:t xml:space="preserve">makes no mention of </w:t>
      </w:r>
      <w:r w:rsidR="00F312B1">
        <w:rPr>
          <w:i/>
        </w:rPr>
        <w:t>Comcast</w:t>
      </w:r>
      <w:r w:rsidR="008D2CE2">
        <w:t>, in which the D</w:t>
      </w:r>
      <w:r w:rsidR="00E14467">
        <w:t>.</w:t>
      </w:r>
      <w:r w:rsidR="008D2CE2">
        <w:t>C</w:t>
      </w:r>
      <w:r w:rsidR="00E14467">
        <w:t>.</w:t>
      </w:r>
      <w:r w:rsidR="008D2CE2">
        <w:t xml:space="preserve"> Circuit Court of Appeals explains its “well-established view that an agency is not bound by the actions of its staff if the agency has not endorsed those actions.”</w:t>
      </w:r>
      <w:r w:rsidR="008D2CE2">
        <w:rPr>
          <w:rStyle w:val="FootnoteReference"/>
        </w:rPr>
        <w:footnoteReference w:id="31"/>
      </w:r>
      <w:r w:rsidR="00C85639">
        <w:t xml:space="preserve">  Instead, </w:t>
      </w:r>
      <w:r w:rsidR="0019582C">
        <w:t xml:space="preserve">Lunderville </w:t>
      </w:r>
      <w:r w:rsidR="00E14467">
        <w:t>continues to rely</w:t>
      </w:r>
      <w:r w:rsidR="00C85639">
        <w:t xml:space="preserve"> </w:t>
      </w:r>
      <w:r w:rsidR="00D338A6">
        <w:t xml:space="preserve">on </w:t>
      </w:r>
      <w:r w:rsidR="00C85639" w:rsidRPr="0066393D">
        <w:rPr>
          <w:i/>
        </w:rPr>
        <w:t>Melody Music</w:t>
      </w:r>
      <w:r w:rsidR="002459BA">
        <w:t>.</w:t>
      </w:r>
      <w:r w:rsidR="002459BA">
        <w:rPr>
          <w:rStyle w:val="FootnoteReference"/>
        </w:rPr>
        <w:footnoteReference w:id="32"/>
      </w:r>
      <w:r w:rsidR="002459BA">
        <w:t xml:space="preserve">  </w:t>
      </w:r>
      <w:r w:rsidR="00516085">
        <w:t xml:space="preserve">However, </w:t>
      </w:r>
      <w:r w:rsidR="00CB658C">
        <w:rPr>
          <w:i/>
        </w:rPr>
        <w:t>Melody</w:t>
      </w:r>
      <w:r w:rsidR="00CB658C" w:rsidRPr="00CB658C">
        <w:rPr>
          <w:i/>
        </w:rPr>
        <w:t xml:space="preserve"> Music</w:t>
      </w:r>
      <w:r w:rsidR="00FD5496">
        <w:t>, which</w:t>
      </w:r>
      <w:r w:rsidR="00CB658C">
        <w:t xml:space="preserve"> </w:t>
      </w:r>
      <w:r w:rsidR="003B7347">
        <w:t xml:space="preserve">faulted </w:t>
      </w:r>
      <w:r w:rsidR="00CB658C">
        <w:t xml:space="preserve">the Commission </w:t>
      </w:r>
      <w:r w:rsidR="003B7347">
        <w:t xml:space="preserve">for failing to </w:t>
      </w:r>
      <w:r w:rsidR="00066A37">
        <w:t xml:space="preserve">explain </w:t>
      </w:r>
      <w:r w:rsidR="00CB658C">
        <w:t>apparent inconsistenc</w:t>
      </w:r>
      <w:r w:rsidR="00066A37">
        <w:t xml:space="preserve">ies </w:t>
      </w:r>
      <w:r w:rsidR="003B7347">
        <w:t xml:space="preserve">between two </w:t>
      </w:r>
      <w:r w:rsidR="00FD5496">
        <w:t xml:space="preserve">Commission-level </w:t>
      </w:r>
      <w:r w:rsidR="00066A37">
        <w:t>decisions</w:t>
      </w:r>
      <w:r w:rsidR="00FE3CC9">
        <w:t>,</w:t>
      </w:r>
      <w:r w:rsidR="00A71310">
        <w:t xml:space="preserve"> </w:t>
      </w:r>
      <w:r w:rsidR="005872D5">
        <w:t xml:space="preserve">did not </w:t>
      </w:r>
      <w:r w:rsidR="00580467">
        <w:t xml:space="preserve">implicate </w:t>
      </w:r>
      <w:r w:rsidR="00FD5496">
        <w:t xml:space="preserve">the </w:t>
      </w:r>
      <w:r w:rsidR="00144DE4">
        <w:t xml:space="preserve">ability </w:t>
      </w:r>
      <w:r w:rsidR="007F509E">
        <w:t xml:space="preserve">of </w:t>
      </w:r>
      <w:r w:rsidR="00FD5496">
        <w:t xml:space="preserve">an agency </w:t>
      </w:r>
      <w:r w:rsidR="003B7347">
        <w:t xml:space="preserve">to overrule </w:t>
      </w:r>
      <w:r w:rsidR="00FD5496">
        <w:t xml:space="preserve">a staff </w:t>
      </w:r>
      <w:r w:rsidR="00144DE4">
        <w:t xml:space="preserve">holding </w:t>
      </w:r>
      <w:r w:rsidR="00FE3CC9">
        <w:t xml:space="preserve">with </w:t>
      </w:r>
      <w:r w:rsidR="00FD5496">
        <w:t>which it disagrees</w:t>
      </w:r>
      <w:r w:rsidR="005B2AA1">
        <w:t>.</w:t>
      </w:r>
      <w:r w:rsidR="005B2AA1">
        <w:rPr>
          <w:rStyle w:val="FootnoteReference"/>
        </w:rPr>
        <w:footnoteReference w:id="33"/>
      </w:r>
      <w:r w:rsidR="005B2AA1">
        <w:t xml:space="preserve">  The decision </w:t>
      </w:r>
      <w:r w:rsidR="00FE3CC9">
        <w:t xml:space="preserve">therefore </w:t>
      </w:r>
      <w:r w:rsidR="00F92C47">
        <w:t xml:space="preserve">provides no support for </w:t>
      </w:r>
      <w:r w:rsidR="00FE3CC9">
        <w:t>Lunderville’s position</w:t>
      </w:r>
      <w:r w:rsidR="00FD5496">
        <w:t>.</w:t>
      </w:r>
      <w:r w:rsidR="00D33DC5">
        <w:rPr>
          <w:rStyle w:val="FootnoteReference"/>
        </w:rPr>
        <w:footnoteReference w:id="34"/>
      </w:r>
      <w:r w:rsidR="00BA2EAC">
        <w:t xml:space="preserve">  Moreover, the </w:t>
      </w:r>
      <w:r w:rsidR="00BA2EAC">
        <w:rPr>
          <w:i/>
        </w:rPr>
        <w:t xml:space="preserve">Commission Order </w:t>
      </w:r>
      <w:r w:rsidR="00BA2EAC">
        <w:t xml:space="preserve">contained precisely the kind of explanation that was found lacking in </w:t>
      </w:r>
      <w:r w:rsidR="00BA2EAC">
        <w:rPr>
          <w:i/>
        </w:rPr>
        <w:t>Melody Music</w:t>
      </w:r>
      <w:r w:rsidR="00515B61">
        <w:t xml:space="preserve">, i.e., </w:t>
      </w:r>
      <w:r w:rsidR="00493E94">
        <w:t xml:space="preserve">that </w:t>
      </w:r>
      <w:r w:rsidR="00BA5033">
        <w:t>the</w:t>
      </w:r>
      <w:r w:rsidR="0067321F">
        <w:t xml:space="preserve"> decision</w:t>
      </w:r>
      <w:r w:rsidR="00493E94">
        <w:t xml:space="preserve"> was </w:t>
      </w:r>
      <w:r w:rsidR="00B128AD">
        <w:t xml:space="preserve">a </w:t>
      </w:r>
      <w:r w:rsidR="00BA2EAC">
        <w:t>“correction of a previously erroneous ruling.”</w:t>
      </w:r>
      <w:r w:rsidR="00BA2EAC">
        <w:rPr>
          <w:rStyle w:val="FootnoteReference"/>
        </w:rPr>
        <w:footnoteReference w:id="35"/>
      </w:r>
      <w:r w:rsidR="008A3DDE">
        <w:t xml:space="preserve">  In light of this explanation, there is no lack of clarity about “what [the] decision means.”</w:t>
      </w:r>
      <w:r w:rsidR="008A3DDE">
        <w:rPr>
          <w:rStyle w:val="FootnoteReference"/>
        </w:rPr>
        <w:footnoteReference w:id="36"/>
      </w:r>
    </w:p>
    <w:p w:rsidR="00056567" w:rsidRDefault="00410839" w:rsidP="002A63C3">
      <w:pPr>
        <w:pStyle w:val="ParaNum"/>
      </w:pPr>
      <w:r>
        <w:t>Lunderville</w:t>
      </w:r>
      <w:r w:rsidR="00773D08">
        <w:t xml:space="preserve"> also </w:t>
      </w:r>
      <w:r w:rsidR="00E41EAC">
        <w:t>contend</w:t>
      </w:r>
      <w:r w:rsidR="004D4033">
        <w:t>s</w:t>
      </w:r>
      <w:r w:rsidR="00773D08">
        <w:t xml:space="preserve"> that </w:t>
      </w:r>
      <w:r w:rsidR="00D30A26">
        <w:t xml:space="preserve">the Commission violated the Constitution by retroactively applying </w:t>
      </w:r>
      <w:r w:rsidR="00087CE8">
        <w:t xml:space="preserve">to him </w:t>
      </w:r>
      <w:r w:rsidR="00D30A26">
        <w:t xml:space="preserve">a standard </w:t>
      </w:r>
      <w:r w:rsidR="00702286">
        <w:t xml:space="preserve">different </w:t>
      </w:r>
      <w:r w:rsidR="004F35FF">
        <w:t xml:space="preserve">from </w:t>
      </w:r>
      <w:r w:rsidR="00D30A26">
        <w:t>th</w:t>
      </w:r>
      <w:r w:rsidR="002459BA">
        <w:t>at</w:t>
      </w:r>
      <w:r w:rsidR="00D30A26">
        <w:t xml:space="preserve"> </w:t>
      </w:r>
      <w:r w:rsidR="009F3737">
        <w:t xml:space="preserve">applied by </w:t>
      </w:r>
      <w:r w:rsidR="005E4451">
        <w:t xml:space="preserve">the Bureau </w:t>
      </w:r>
      <w:r w:rsidR="00087CE8">
        <w:t>to Advance Acquisition</w:t>
      </w:r>
      <w:r w:rsidR="00D30A26">
        <w:t>.</w:t>
      </w:r>
      <w:r w:rsidR="00CE01A0">
        <w:rPr>
          <w:rStyle w:val="FootnoteReference"/>
        </w:rPr>
        <w:footnoteReference w:id="37"/>
      </w:r>
      <w:r w:rsidR="007B27CB">
        <w:t xml:space="preserve">  </w:t>
      </w:r>
      <w:r w:rsidR="004F5495">
        <w:t xml:space="preserve"> However</w:t>
      </w:r>
      <w:r w:rsidR="00CE03F8">
        <w:t xml:space="preserve">, </w:t>
      </w:r>
      <w:r w:rsidR="00A91B12">
        <w:t>appl</w:t>
      </w:r>
      <w:r w:rsidR="00A030EA">
        <w:t xml:space="preserve">ication of </w:t>
      </w:r>
      <w:r w:rsidR="00CE03F8">
        <w:t xml:space="preserve">the withdrawal payment rule to Lunderville was not retroactive, </w:t>
      </w:r>
      <w:r w:rsidR="00B04A40">
        <w:t xml:space="preserve">and </w:t>
      </w:r>
      <w:r w:rsidR="00CE03F8">
        <w:t xml:space="preserve">Lunderville </w:t>
      </w:r>
      <w:r w:rsidR="00791B83">
        <w:t xml:space="preserve">makes no </w:t>
      </w:r>
      <w:r w:rsidR="00CE03F8">
        <w:t>attempt to show that it was.</w:t>
      </w:r>
      <w:r w:rsidR="008B7936">
        <w:rPr>
          <w:rStyle w:val="FootnoteReference"/>
        </w:rPr>
        <w:footnoteReference w:id="38"/>
      </w:r>
      <w:r w:rsidR="00CE03F8">
        <w:t xml:space="preserve">  </w:t>
      </w:r>
      <w:r w:rsidR="004F5495">
        <w:t xml:space="preserve">Lunderville further </w:t>
      </w:r>
      <w:r w:rsidR="00B94F02">
        <w:t xml:space="preserve">characterizes </w:t>
      </w:r>
      <w:r w:rsidR="004F5495">
        <w:t xml:space="preserve">the </w:t>
      </w:r>
      <w:r w:rsidR="004F5495" w:rsidRPr="00C109F7">
        <w:rPr>
          <w:i/>
        </w:rPr>
        <w:t>Commission</w:t>
      </w:r>
      <w:r w:rsidR="004F5495">
        <w:t xml:space="preserve"> </w:t>
      </w:r>
      <w:r w:rsidR="004F5495">
        <w:rPr>
          <w:i/>
        </w:rPr>
        <w:t xml:space="preserve">Order </w:t>
      </w:r>
      <w:r w:rsidR="00B94F02">
        <w:t>a</w:t>
      </w:r>
      <w:r w:rsidR="004F5495">
        <w:t xml:space="preserve">s </w:t>
      </w:r>
      <w:r w:rsidR="00B94F02">
        <w:t>“</w:t>
      </w:r>
      <w:r w:rsidR="004F5495">
        <w:t>arbitrary and capricious</w:t>
      </w:r>
      <w:r w:rsidR="00B94F02">
        <w:t>”</w:t>
      </w:r>
      <w:r w:rsidR="004F5495">
        <w:t xml:space="preserve"> in that “it does not provide a single modicum or arguable difference between all the entities who withdrew their bids” in Auction 37 and Advance Acquisition.</w:t>
      </w:r>
      <w:r w:rsidR="004F5495">
        <w:rPr>
          <w:rStyle w:val="FootnoteReference"/>
        </w:rPr>
        <w:footnoteReference w:id="39"/>
      </w:r>
      <w:r w:rsidR="00F2416F">
        <w:t xml:space="preserve">  </w:t>
      </w:r>
      <w:r w:rsidR="00F03EE6">
        <w:t xml:space="preserve">Again, </w:t>
      </w:r>
      <w:r w:rsidR="00F2416F">
        <w:t xml:space="preserve">Lunderville </w:t>
      </w:r>
      <w:r w:rsidR="008B6A1A">
        <w:t>ignore</w:t>
      </w:r>
      <w:r w:rsidR="00F03EE6">
        <w:t>s</w:t>
      </w:r>
      <w:r w:rsidR="008B6A1A">
        <w:t xml:space="preserve"> the </w:t>
      </w:r>
      <w:r w:rsidR="00F2416F">
        <w:t>Commission</w:t>
      </w:r>
      <w:r w:rsidR="00F03EE6">
        <w:t>’s</w:t>
      </w:r>
      <w:r w:rsidR="00F2416F">
        <w:t xml:space="preserve"> </w:t>
      </w:r>
      <w:r w:rsidR="008B6A1A">
        <w:t>express overrul</w:t>
      </w:r>
      <w:r w:rsidR="00F03EE6">
        <w:t>ing</w:t>
      </w:r>
      <w:r w:rsidR="008B6A1A">
        <w:t xml:space="preserve"> </w:t>
      </w:r>
      <w:r w:rsidR="00F03EE6">
        <w:t xml:space="preserve">of </w:t>
      </w:r>
      <w:r w:rsidR="008B6A1A">
        <w:t xml:space="preserve">the Bureau’s analysis in </w:t>
      </w:r>
      <w:r w:rsidR="00414815">
        <w:rPr>
          <w:i/>
        </w:rPr>
        <w:t>Advance</w:t>
      </w:r>
      <w:r w:rsidR="00C77065">
        <w:t xml:space="preserve">.  </w:t>
      </w:r>
      <w:r w:rsidR="0047201B">
        <w:t>The Commission, h</w:t>
      </w:r>
      <w:r w:rsidR="008B6A1A">
        <w:t xml:space="preserve">aving determined that </w:t>
      </w:r>
      <w:r w:rsidR="008B6A1A">
        <w:rPr>
          <w:i/>
        </w:rPr>
        <w:t xml:space="preserve">Advance </w:t>
      </w:r>
      <w:r w:rsidR="008B6A1A">
        <w:t xml:space="preserve">was wrongly decided, </w:t>
      </w:r>
      <w:r w:rsidR="00C77065">
        <w:t xml:space="preserve">was not then </w:t>
      </w:r>
      <w:r w:rsidR="0047201B">
        <w:t>obligated</w:t>
      </w:r>
      <w:r w:rsidR="00C77065">
        <w:t xml:space="preserve"> to </w:t>
      </w:r>
      <w:r w:rsidR="00EF4DD2">
        <w:t>perpetuate</w:t>
      </w:r>
      <w:r w:rsidR="00C77065">
        <w:t xml:space="preserve"> the Bureau’s error in order to remain consistent with </w:t>
      </w:r>
      <w:r w:rsidR="00461441">
        <w:rPr>
          <w:i/>
        </w:rPr>
        <w:t>Advance</w:t>
      </w:r>
      <w:r w:rsidR="00C77065">
        <w:t>.</w:t>
      </w:r>
      <w:r w:rsidR="00C77065">
        <w:rPr>
          <w:rStyle w:val="FootnoteReference"/>
        </w:rPr>
        <w:footnoteReference w:id="40"/>
      </w:r>
    </w:p>
    <w:p w:rsidR="00043358" w:rsidRDefault="00A826F3" w:rsidP="00E72A4E">
      <w:pPr>
        <w:pStyle w:val="ParaNum"/>
      </w:pPr>
      <w:r>
        <w:t xml:space="preserve">In addition, </w:t>
      </w:r>
      <w:r w:rsidR="006376B8">
        <w:t xml:space="preserve">Lunderville’s </w:t>
      </w:r>
      <w:r w:rsidR="006376B8" w:rsidRPr="00E571D6">
        <w:t>argument</w:t>
      </w:r>
      <w:r w:rsidR="006376B8">
        <w:t xml:space="preserve">s based on </w:t>
      </w:r>
      <w:r w:rsidR="006376B8">
        <w:rPr>
          <w:i/>
        </w:rPr>
        <w:t>Advance</w:t>
      </w:r>
      <w:r w:rsidR="006376B8">
        <w:t xml:space="preserve"> </w:t>
      </w:r>
      <w:r w:rsidR="00E41EAC">
        <w:t xml:space="preserve">largely </w:t>
      </w:r>
      <w:r w:rsidR="00CC3A17">
        <w:t xml:space="preserve">repeat </w:t>
      </w:r>
      <w:r w:rsidR="00BD03FF">
        <w:t xml:space="preserve">those previously </w:t>
      </w:r>
      <w:r w:rsidR="002A5059">
        <w:t>rejected</w:t>
      </w:r>
      <w:r w:rsidR="00BD03FF">
        <w:t xml:space="preserve"> by the Commission</w:t>
      </w:r>
      <w:r w:rsidR="004463C6">
        <w:t xml:space="preserve"> in this proceeding</w:t>
      </w:r>
      <w:r w:rsidR="006376B8">
        <w:t>.</w:t>
      </w:r>
      <w:r w:rsidR="00785C54">
        <w:t xml:space="preserve">  </w:t>
      </w:r>
      <w:r w:rsidR="008A4D3A">
        <w:t xml:space="preserve">A petition that simply reiterates arguments previously considered and rejected will be </w:t>
      </w:r>
      <w:r w:rsidR="004B721B">
        <w:t>dismissed</w:t>
      </w:r>
      <w:r w:rsidR="008A4D3A">
        <w:t>.</w:t>
      </w:r>
      <w:r w:rsidR="008A4D3A">
        <w:rPr>
          <w:rStyle w:val="FootnoteReference"/>
        </w:rPr>
        <w:footnoteReference w:id="41"/>
      </w:r>
      <w:r w:rsidR="008A4D3A">
        <w:t xml:space="preserve">  Accordingly, in addition to denying these claims, </w:t>
      </w:r>
      <w:r w:rsidR="003E6CB3">
        <w:t xml:space="preserve">we </w:t>
      </w:r>
      <w:r w:rsidR="00A05DE9">
        <w:t>dismiss</w:t>
      </w:r>
      <w:r w:rsidR="00056567">
        <w:t xml:space="preserve"> </w:t>
      </w:r>
      <w:r w:rsidR="00C426D7">
        <w:t xml:space="preserve">them </w:t>
      </w:r>
      <w:r w:rsidR="00F93F6A">
        <w:t>as repetitious</w:t>
      </w:r>
      <w:r w:rsidR="009C58F4">
        <w:t>.</w:t>
      </w:r>
      <w:r w:rsidR="00D461DC">
        <w:rPr>
          <w:rStyle w:val="FootnoteReference"/>
        </w:rPr>
        <w:footnoteReference w:id="42"/>
      </w:r>
    </w:p>
    <w:p w:rsidR="00BE5191" w:rsidRDefault="00CF182E" w:rsidP="002A63C3">
      <w:pPr>
        <w:pStyle w:val="ParaNum"/>
      </w:pPr>
      <w:r>
        <w:rPr>
          <w:b/>
          <w:i/>
        </w:rPr>
        <w:t>Claims Based on Auction Procedure.</w:t>
      </w:r>
      <w:r w:rsidR="002112EF">
        <w:t xml:space="preserve">  </w:t>
      </w:r>
      <w:r w:rsidR="00785C54">
        <w:t xml:space="preserve">Lunderville </w:t>
      </w:r>
      <w:r w:rsidR="004D4033">
        <w:t xml:space="preserve">also </w:t>
      </w:r>
      <w:r w:rsidR="007C3BF8">
        <w:t xml:space="preserve">objects to </w:t>
      </w:r>
      <w:r w:rsidR="00785C54">
        <w:t xml:space="preserve">certain </w:t>
      </w:r>
      <w:r w:rsidR="003477DC">
        <w:t xml:space="preserve">of </w:t>
      </w:r>
      <w:r w:rsidR="00785C54">
        <w:t xml:space="preserve">the </w:t>
      </w:r>
      <w:r w:rsidR="00162080">
        <w:t>procedures</w:t>
      </w:r>
      <w:r w:rsidR="003477DC">
        <w:t xml:space="preserve"> under which Auction 37 was conducted</w:t>
      </w:r>
      <w:r w:rsidR="00785C54">
        <w:t xml:space="preserve">.  </w:t>
      </w:r>
      <w:r w:rsidR="00967011">
        <w:t>H</w:t>
      </w:r>
      <w:r w:rsidR="00C95B17">
        <w:t xml:space="preserve">e </w:t>
      </w:r>
      <w:r w:rsidR="007C3BF8">
        <w:t xml:space="preserve">criticizes </w:t>
      </w:r>
      <w:r w:rsidR="004641E4">
        <w:t xml:space="preserve">the Commission </w:t>
      </w:r>
      <w:r w:rsidR="00A31B54">
        <w:t xml:space="preserve">for </w:t>
      </w:r>
      <w:r w:rsidR="00D220A5">
        <w:t xml:space="preserve">not </w:t>
      </w:r>
      <w:r w:rsidR="00C22096">
        <w:t xml:space="preserve">addressing </w:t>
      </w:r>
      <w:r w:rsidR="00F710F6">
        <w:t xml:space="preserve">the </w:t>
      </w:r>
      <w:r w:rsidR="007969EB">
        <w:t xml:space="preserve">possibility </w:t>
      </w:r>
      <w:r w:rsidR="00F710F6">
        <w:t xml:space="preserve">of awarding a </w:t>
      </w:r>
      <w:r w:rsidR="003707E6">
        <w:t xml:space="preserve">construction </w:t>
      </w:r>
      <w:r w:rsidR="00F710F6">
        <w:t xml:space="preserve">permit </w:t>
      </w:r>
      <w:r w:rsidR="00EF34B5">
        <w:t xml:space="preserve">on </w:t>
      </w:r>
      <w:r w:rsidR="00F710F6">
        <w:t>which a bid ha</w:t>
      </w:r>
      <w:r w:rsidR="00AC617C">
        <w:t>s</w:t>
      </w:r>
      <w:r w:rsidR="00F710F6">
        <w:t xml:space="preserve"> been withdrawn to the next highest </w:t>
      </w:r>
      <w:r w:rsidR="00573E7E">
        <w:t xml:space="preserve">bidder or </w:t>
      </w:r>
      <w:r w:rsidR="008D163D">
        <w:t xml:space="preserve">to </w:t>
      </w:r>
      <w:r w:rsidR="006A5140">
        <w:t>a</w:t>
      </w:r>
      <w:r w:rsidR="0009433F">
        <w:t>nother</w:t>
      </w:r>
      <w:r w:rsidR="006A5140">
        <w:t xml:space="preserve"> bidder </w:t>
      </w:r>
      <w:r w:rsidR="0009433F">
        <w:t xml:space="preserve">that bid </w:t>
      </w:r>
      <w:r w:rsidR="006A5140">
        <w:t>the same amount</w:t>
      </w:r>
      <w:r w:rsidR="00F710F6">
        <w:t>.</w:t>
      </w:r>
      <w:r w:rsidR="004641E4">
        <w:rPr>
          <w:rStyle w:val="FootnoteReference"/>
        </w:rPr>
        <w:footnoteReference w:id="43"/>
      </w:r>
      <w:r w:rsidR="00AF0AE5">
        <w:t xml:space="preserve">  </w:t>
      </w:r>
      <w:r w:rsidR="00BD03FF">
        <w:t xml:space="preserve">While </w:t>
      </w:r>
      <w:r w:rsidR="00AC617C">
        <w:t xml:space="preserve">Lunderville </w:t>
      </w:r>
      <w:r w:rsidR="00AF0AE5">
        <w:t xml:space="preserve">suggests that the public interest could have been served if the Commission had </w:t>
      </w:r>
      <w:r w:rsidR="00CB1AF8">
        <w:t>employed this procedure</w:t>
      </w:r>
      <w:r w:rsidR="00111ADE">
        <w:t xml:space="preserve"> for Auction 37</w:t>
      </w:r>
      <w:r w:rsidR="00BD03FF">
        <w:t>,</w:t>
      </w:r>
      <w:r w:rsidR="003221F9">
        <w:t xml:space="preserve"> </w:t>
      </w:r>
      <w:r w:rsidR="00C972AA">
        <w:t>h</w:t>
      </w:r>
      <w:r w:rsidR="003221F9">
        <w:t xml:space="preserve">e </w:t>
      </w:r>
      <w:r w:rsidR="00967011">
        <w:t>does not</w:t>
      </w:r>
      <w:r w:rsidR="008C4F84">
        <w:t xml:space="preserve"> </w:t>
      </w:r>
      <w:r w:rsidR="00F65EE7">
        <w:t>describe h</w:t>
      </w:r>
      <w:r w:rsidR="00415EBF">
        <w:t>ow the public c</w:t>
      </w:r>
      <w:r w:rsidR="00F65EE7">
        <w:t>ould have benefited</w:t>
      </w:r>
      <w:r w:rsidR="00AF0AE5">
        <w:t>.</w:t>
      </w:r>
      <w:r w:rsidR="00B41A8A">
        <w:rPr>
          <w:rStyle w:val="FootnoteReference"/>
        </w:rPr>
        <w:footnoteReference w:id="44"/>
      </w:r>
      <w:r w:rsidR="003E60C7">
        <w:t xml:space="preserve">  </w:t>
      </w:r>
      <w:r w:rsidR="0051129C">
        <w:t xml:space="preserve">As we noted above, </w:t>
      </w:r>
      <w:r w:rsidR="003D21BA">
        <w:t xml:space="preserve">the </w:t>
      </w:r>
      <w:r w:rsidR="0040575D">
        <w:t xml:space="preserve">Bureau previously considered and rejected </w:t>
      </w:r>
      <w:r w:rsidR="00065888">
        <w:t>largely the same</w:t>
      </w:r>
      <w:r w:rsidR="003D21BA">
        <w:t xml:space="preserve"> argument</w:t>
      </w:r>
      <w:r w:rsidR="00F65EE7">
        <w:t xml:space="preserve"> in </w:t>
      </w:r>
      <w:r w:rsidR="0040575D">
        <w:t xml:space="preserve">the </w:t>
      </w:r>
      <w:r w:rsidR="00557A96">
        <w:rPr>
          <w:i/>
        </w:rPr>
        <w:t>Bureau Order</w:t>
      </w:r>
      <w:r w:rsidR="0051129C">
        <w:t>.</w:t>
      </w:r>
      <w:r w:rsidR="00A62843">
        <w:rPr>
          <w:rStyle w:val="FootnoteReference"/>
        </w:rPr>
        <w:footnoteReference w:id="45"/>
      </w:r>
      <w:r w:rsidR="000F0C3E">
        <w:t xml:space="preserve">  </w:t>
      </w:r>
      <w:r w:rsidR="00D727FC">
        <w:t xml:space="preserve">In so doing, the Bureau observed that the rules identified by the parties provide discretion to award a permit or license to the next highest bidder only when the winning bidder defaults on its winning bid </w:t>
      </w:r>
      <w:r w:rsidR="00D727FC" w:rsidRPr="007B7097">
        <w:rPr>
          <w:i/>
        </w:rPr>
        <w:t xml:space="preserve">after </w:t>
      </w:r>
      <w:r w:rsidR="00D727FC">
        <w:t>the auction closes, and that the rules provide for no such discretion in the context of a withdrawal of a bid during an auction.</w:t>
      </w:r>
      <w:r w:rsidR="00D727FC">
        <w:rPr>
          <w:rStyle w:val="FootnoteReference"/>
        </w:rPr>
        <w:footnoteReference w:id="46"/>
      </w:r>
      <w:r w:rsidR="00D727FC">
        <w:t xml:space="preserve">  </w:t>
      </w:r>
      <w:r w:rsidR="00326FFF">
        <w:t xml:space="preserve">Although </w:t>
      </w:r>
      <w:r w:rsidR="00985E2F">
        <w:t xml:space="preserve">Lunderville and </w:t>
      </w:r>
      <w:r w:rsidR="00432F0F">
        <w:t xml:space="preserve">his </w:t>
      </w:r>
      <w:r w:rsidR="00985E2F">
        <w:t xml:space="preserve">joint petitioners failed to </w:t>
      </w:r>
      <w:r w:rsidR="00CE3D95">
        <w:t xml:space="preserve">raise </w:t>
      </w:r>
      <w:r w:rsidR="00686A3E">
        <w:t>th</w:t>
      </w:r>
      <w:r w:rsidR="00872ACB">
        <w:t xml:space="preserve">e </w:t>
      </w:r>
      <w:r w:rsidR="00686A3E">
        <w:t xml:space="preserve">issue </w:t>
      </w:r>
      <w:r w:rsidR="00872ACB">
        <w:t xml:space="preserve">again </w:t>
      </w:r>
      <w:r w:rsidR="006A09E2">
        <w:t>in the</w:t>
      </w:r>
      <w:r w:rsidR="005E6EEE">
        <w:t>ir 2008 Petition,</w:t>
      </w:r>
      <w:r w:rsidR="005E6EEE">
        <w:rPr>
          <w:rStyle w:val="FootnoteReference"/>
        </w:rPr>
        <w:footnoteReference w:id="47"/>
      </w:r>
      <w:r w:rsidR="00573E7E">
        <w:t xml:space="preserve"> </w:t>
      </w:r>
      <w:r w:rsidR="00C446D3">
        <w:t>th</w:t>
      </w:r>
      <w:r w:rsidR="00613EC0">
        <w:t xml:space="preserve">e </w:t>
      </w:r>
      <w:r w:rsidR="00C446D3">
        <w:t xml:space="preserve">argument </w:t>
      </w:r>
      <w:r w:rsidR="005D3596">
        <w:t xml:space="preserve">had been presented </w:t>
      </w:r>
      <w:r w:rsidR="00C3280E">
        <w:t>previously</w:t>
      </w:r>
      <w:r w:rsidR="005D3596">
        <w:t xml:space="preserve">, so it </w:t>
      </w:r>
      <w:r w:rsidR="00C446D3">
        <w:t>is neither new nor previously unknown</w:t>
      </w:r>
      <w:r w:rsidR="005D3596">
        <w:t xml:space="preserve"> and t</w:t>
      </w:r>
      <w:r w:rsidR="00F7440C">
        <w:t xml:space="preserve">herefore </w:t>
      </w:r>
      <w:r w:rsidR="005C6C0C">
        <w:t xml:space="preserve">does not qualify for </w:t>
      </w:r>
      <w:r w:rsidR="00613EC0">
        <w:t>consideration</w:t>
      </w:r>
      <w:r w:rsidR="005C6C0C">
        <w:t xml:space="preserve"> under section 1.106(c)(1).</w:t>
      </w:r>
      <w:r w:rsidR="005C6C0C">
        <w:rPr>
          <w:rStyle w:val="FootnoteReference"/>
        </w:rPr>
        <w:footnoteReference w:id="48"/>
      </w:r>
      <w:r w:rsidR="005C6C0C">
        <w:t xml:space="preserve">  A</w:t>
      </w:r>
      <w:r w:rsidR="00C446D3">
        <w:t xml:space="preserve">nd as </w:t>
      </w:r>
      <w:r w:rsidR="00F17033">
        <w:t xml:space="preserve">Lunderville </w:t>
      </w:r>
      <w:r w:rsidR="00C446D3">
        <w:t xml:space="preserve">has not </w:t>
      </w:r>
      <w:r w:rsidR="00D96E61">
        <w:t>provided a</w:t>
      </w:r>
      <w:r w:rsidR="0009433F">
        <w:t xml:space="preserve"> </w:t>
      </w:r>
      <w:r w:rsidR="00D96E61">
        <w:t xml:space="preserve">rationale for why the procedure might be </w:t>
      </w:r>
      <w:r w:rsidR="00C446D3">
        <w:t xml:space="preserve">in the public interest, </w:t>
      </w:r>
      <w:r w:rsidR="00AE6163">
        <w:t xml:space="preserve">there is </w:t>
      </w:r>
      <w:r w:rsidR="00691B2E">
        <w:t xml:space="preserve">no basis for </w:t>
      </w:r>
      <w:r w:rsidR="007941B1">
        <w:t>consider</w:t>
      </w:r>
      <w:r w:rsidR="00691B2E">
        <w:t>ing</w:t>
      </w:r>
      <w:r w:rsidR="007941B1">
        <w:t xml:space="preserve"> </w:t>
      </w:r>
      <w:r w:rsidR="00D81207">
        <w:t xml:space="preserve">it </w:t>
      </w:r>
      <w:r w:rsidR="00691B2E">
        <w:t>under section 1.106(c)(2)</w:t>
      </w:r>
      <w:r w:rsidR="00EF34B5">
        <w:t>.</w:t>
      </w:r>
      <w:r w:rsidR="00AD68D1">
        <w:rPr>
          <w:rStyle w:val="FootnoteReference"/>
        </w:rPr>
        <w:footnoteReference w:id="49"/>
      </w:r>
      <w:r w:rsidR="002F7BDB">
        <w:t xml:space="preserve">  In any event, this argument would not be sufficient to establish the basis for a waiver under the standards set forth in the Commission’s rules.</w:t>
      </w:r>
      <w:r w:rsidR="00AF797A">
        <w:rPr>
          <w:rStyle w:val="FootnoteReference"/>
        </w:rPr>
        <w:footnoteReference w:id="50"/>
      </w:r>
    </w:p>
    <w:p w:rsidR="00427D0B" w:rsidRDefault="00CB4F96" w:rsidP="002A63C3">
      <w:pPr>
        <w:pStyle w:val="ParaNum"/>
      </w:pPr>
      <w:r>
        <w:t xml:space="preserve">Lunderville </w:t>
      </w:r>
      <w:r w:rsidR="008850DF">
        <w:t>also</w:t>
      </w:r>
      <w:r w:rsidR="001543EB">
        <w:t xml:space="preserve"> </w:t>
      </w:r>
      <w:r w:rsidR="00D727FC">
        <w:t xml:space="preserve">appears to </w:t>
      </w:r>
      <w:r w:rsidR="001543EB">
        <w:t>argue that the procedure for selecting among tied bids somehow singled him out unfairly or treated him differently.</w:t>
      </w:r>
      <w:r w:rsidR="001543EB">
        <w:rPr>
          <w:rStyle w:val="FootnoteReference"/>
        </w:rPr>
        <w:footnoteReference w:id="51"/>
      </w:r>
      <w:r w:rsidR="001543EB">
        <w:t xml:space="preserve">  Lunderville</w:t>
      </w:r>
      <w:r w:rsidR="008850DF">
        <w:t xml:space="preserve"> </w:t>
      </w:r>
      <w:r>
        <w:t xml:space="preserve">complains that the </w:t>
      </w:r>
      <w:r w:rsidRPr="001C48B7">
        <w:rPr>
          <w:i/>
        </w:rPr>
        <w:t>Commission</w:t>
      </w:r>
      <w:r w:rsidR="001543EB">
        <w:rPr>
          <w:i/>
        </w:rPr>
        <w:t xml:space="preserve"> Order</w:t>
      </w:r>
      <w:r w:rsidRPr="001C48B7">
        <w:rPr>
          <w:i/>
        </w:rPr>
        <w:t xml:space="preserve"> </w:t>
      </w:r>
      <w:r>
        <w:t>did not discuss “the virtual Lottery method of determining the provisionally high bid every round when more than one bidder bid the same amount.”</w:t>
      </w:r>
      <w:r>
        <w:rPr>
          <w:rStyle w:val="FootnoteReference"/>
        </w:rPr>
        <w:footnoteReference w:id="52"/>
      </w:r>
      <w:r>
        <w:t xml:space="preserve">  Lunderville evidently refers to the Auction 37 procedure of using a random number generator for </w:t>
      </w:r>
      <w:r w:rsidR="00BD03FF">
        <w:t xml:space="preserve">breaking ties </w:t>
      </w:r>
      <w:r>
        <w:t>in the event of identical high bids on a constru</w:t>
      </w:r>
      <w:r w:rsidR="00C95B17">
        <w:t>ction permit in a given round.</w:t>
      </w:r>
      <w:r w:rsidR="00C95B17">
        <w:rPr>
          <w:rStyle w:val="FootnoteReference"/>
        </w:rPr>
        <w:footnoteReference w:id="53"/>
      </w:r>
      <w:r w:rsidR="006C5E80">
        <w:t xml:space="preserve">  </w:t>
      </w:r>
      <w:r w:rsidR="00CE66F1">
        <w:t xml:space="preserve">Lunderville has not explained how or why this procedure for selecting among tied bids, which applied to all bidders in the auction, resulted in any disparate treatment of him. </w:t>
      </w:r>
      <w:r w:rsidR="00DF0222">
        <w:t xml:space="preserve"> </w:t>
      </w:r>
      <w:r w:rsidR="00CE66F1">
        <w:t xml:space="preserve">Further, </w:t>
      </w:r>
      <w:r w:rsidR="006C5E80">
        <w:t xml:space="preserve">Lunderville and his co-petitioners </w:t>
      </w:r>
      <w:r w:rsidR="00D873D0">
        <w:t xml:space="preserve">failed to </w:t>
      </w:r>
      <w:r w:rsidR="006C5E80">
        <w:t>raise this issue in the</w:t>
      </w:r>
      <w:r w:rsidR="00A3516B">
        <w:t xml:space="preserve">ir </w:t>
      </w:r>
      <w:r w:rsidR="00EC400D">
        <w:t xml:space="preserve">earlier </w:t>
      </w:r>
      <w:r w:rsidR="006C5E80">
        <w:t>petition</w:t>
      </w:r>
      <w:r w:rsidR="009A1963">
        <w:t xml:space="preserve"> </w:t>
      </w:r>
      <w:r w:rsidR="006C5E80">
        <w:t>considered by the Commission</w:t>
      </w:r>
      <w:r w:rsidR="00FB284B">
        <w:t xml:space="preserve">, and Lunderville has not offered any reason for </w:t>
      </w:r>
      <w:r w:rsidR="0000215D">
        <w:t>failing to have done so</w:t>
      </w:r>
      <w:r w:rsidR="006C5E80">
        <w:t>.</w:t>
      </w:r>
      <w:r w:rsidR="00A3516B">
        <w:rPr>
          <w:rStyle w:val="FootnoteReference"/>
        </w:rPr>
        <w:footnoteReference w:id="54"/>
      </w:r>
      <w:r w:rsidR="006C5E80">
        <w:t xml:space="preserve">  Accordingly, under section 1.106(c)(1), we may not </w:t>
      </w:r>
      <w:r w:rsidR="00A3516B">
        <w:t xml:space="preserve">now </w:t>
      </w:r>
      <w:r w:rsidR="006C5E80">
        <w:t>consider it.</w:t>
      </w:r>
      <w:r w:rsidR="00ED53CB">
        <w:rPr>
          <w:rStyle w:val="FootnoteReference"/>
        </w:rPr>
        <w:footnoteReference w:id="55"/>
      </w:r>
    </w:p>
    <w:p w:rsidR="00F46EEA" w:rsidRPr="003F107E" w:rsidRDefault="00AB556F" w:rsidP="002A63C3">
      <w:pPr>
        <w:pStyle w:val="ParaNum"/>
      </w:pPr>
      <w:r>
        <w:rPr>
          <w:b/>
          <w:i/>
        </w:rPr>
        <w:t>Conclusion.</w:t>
      </w:r>
      <w:r>
        <w:rPr>
          <w:b/>
        </w:rPr>
        <w:t xml:space="preserve">  </w:t>
      </w:r>
      <w:r w:rsidR="00F46EEA">
        <w:t>For the reasons discussed above, we conclude that Lunderville has</w:t>
      </w:r>
      <w:r w:rsidR="00776D7D">
        <w:t xml:space="preserve"> failed to</w:t>
      </w:r>
      <w:r w:rsidR="00F46EEA">
        <w:t xml:space="preserve"> show that the </w:t>
      </w:r>
      <w:r w:rsidR="00F46EEA">
        <w:rPr>
          <w:i/>
        </w:rPr>
        <w:t>Commission Order</w:t>
      </w:r>
      <w:r w:rsidR="00F46EEA">
        <w:rPr>
          <w:i/>
          <w:iCs/>
        </w:rPr>
        <w:t xml:space="preserve"> </w:t>
      </w:r>
      <w:r w:rsidR="00F46EEA">
        <w:t xml:space="preserve">was in error, and we </w:t>
      </w:r>
      <w:r w:rsidR="00F87B48">
        <w:t xml:space="preserve">accordingly </w:t>
      </w:r>
      <w:r w:rsidR="00AC7ACA">
        <w:t xml:space="preserve">dismiss </w:t>
      </w:r>
      <w:r w:rsidR="000E4C24">
        <w:t xml:space="preserve">in </w:t>
      </w:r>
      <w:r w:rsidR="00840863">
        <w:t xml:space="preserve">relevant </w:t>
      </w:r>
      <w:r w:rsidR="000E4C24">
        <w:t xml:space="preserve">part and </w:t>
      </w:r>
      <w:r w:rsidR="00776D7D">
        <w:t xml:space="preserve">otherwise </w:t>
      </w:r>
      <w:r w:rsidR="00AC7ACA">
        <w:t xml:space="preserve">deny </w:t>
      </w:r>
      <w:r w:rsidR="00F46EEA">
        <w:t>his petition for reconsideration.</w:t>
      </w:r>
    </w:p>
    <w:p w:rsidR="00E151E9" w:rsidRDefault="000A77F7" w:rsidP="000A77F7">
      <w:pPr>
        <w:pStyle w:val="Heading1"/>
      </w:pPr>
      <w:r>
        <w:t>ordering clause</w:t>
      </w:r>
    </w:p>
    <w:p w:rsidR="00B5668D" w:rsidRDefault="00726A51" w:rsidP="002A63C3">
      <w:pPr>
        <w:pStyle w:val="ParaNum"/>
      </w:pPr>
      <w:r>
        <w:t xml:space="preserve">Accordingly, IT IS ORDERED, pursuant to sections 4(i) and 405(a) of the Communications Act of 1934, as amended, 47 U.S.C. §§ 154(i) and 405(a), and section 1.106 of the Commission’s Rules, 47 C.F.R. § 1.106, that the Petition for </w:t>
      </w:r>
      <w:r w:rsidR="009C687F">
        <w:t>Reconsideration</w:t>
      </w:r>
      <w:r>
        <w:t xml:space="preserve"> filed by </w:t>
      </w:r>
      <w:r w:rsidR="009C687F">
        <w:t>Barry P. Lunderville</w:t>
      </w:r>
      <w:r>
        <w:t xml:space="preserve"> on February 1</w:t>
      </w:r>
      <w:r w:rsidR="009C687F">
        <w:t>3</w:t>
      </w:r>
      <w:r>
        <w:t>, 201</w:t>
      </w:r>
      <w:r w:rsidR="009C687F">
        <w:t>3</w:t>
      </w:r>
      <w:r>
        <w:t>, IS D</w:t>
      </w:r>
      <w:r w:rsidR="004867E5">
        <w:t>ISMISSED</w:t>
      </w:r>
      <w:r w:rsidR="00184C59">
        <w:t xml:space="preserve"> to the extent indicated herein and </w:t>
      </w:r>
      <w:r w:rsidR="0009558F">
        <w:t xml:space="preserve">otherwise </w:t>
      </w:r>
      <w:r w:rsidR="00184C59">
        <w:t>IS D</w:t>
      </w:r>
      <w:r w:rsidR="004867E5">
        <w:t>ENIED</w:t>
      </w:r>
      <w:r>
        <w:t>.</w:t>
      </w:r>
      <w:r w:rsidR="00B5668D" w:rsidRPr="00B5668D">
        <w:t xml:space="preserve"> </w:t>
      </w:r>
    </w:p>
    <w:p w:rsidR="00C25E75" w:rsidRDefault="00C25E75" w:rsidP="00B5668D"/>
    <w:p w:rsidR="00B5668D" w:rsidRPr="00F86272" w:rsidRDefault="00B5668D" w:rsidP="00B5668D">
      <w:r w:rsidRPr="00F86272">
        <w:tab/>
      </w:r>
      <w:r w:rsidRPr="00F86272">
        <w:tab/>
      </w:r>
      <w:r w:rsidRPr="00F86272">
        <w:tab/>
      </w:r>
      <w:r w:rsidRPr="00F86272">
        <w:tab/>
      </w:r>
      <w:r w:rsidRPr="00F86272">
        <w:tab/>
        <w:t>FEDERAL COM</w:t>
      </w:r>
      <w:r w:rsidR="00C25E75">
        <w:t>M</w:t>
      </w:r>
      <w:r w:rsidRPr="00F86272">
        <w:t>UNICATIONS COMMISSION</w:t>
      </w:r>
    </w:p>
    <w:p w:rsidR="00B5668D" w:rsidRPr="00F86272" w:rsidRDefault="00B5668D" w:rsidP="00B5668D"/>
    <w:p w:rsidR="00B5668D" w:rsidRPr="00F86272" w:rsidRDefault="00B5668D" w:rsidP="00B5668D"/>
    <w:p w:rsidR="00B5668D" w:rsidRPr="00F86272" w:rsidRDefault="00B5668D" w:rsidP="00B5668D"/>
    <w:p w:rsidR="00B5668D" w:rsidRPr="00F86272" w:rsidRDefault="00B5668D" w:rsidP="00B5668D"/>
    <w:p w:rsidR="00B5668D" w:rsidRPr="00F86272" w:rsidRDefault="00B5668D" w:rsidP="00B5668D">
      <w:r w:rsidRPr="00F86272">
        <w:tab/>
      </w:r>
      <w:r w:rsidRPr="00F86272">
        <w:tab/>
      </w:r>
      <w:r w:rsidRPr="00F86272">
        <w:tab/>
      </w:r>
      <w:r w:rsidRPr="00F86272">
        <w:tab/>
      </w:r>
      <w:r w:rsidRPr="00F86272">
        <w:tab/>
        <w:t>Marlene H. Dortch</w:t>
      </w:r>
    </w:p>
    <w:p w:rsidR="000A77F7" w:rsidRPr="000A77F7" w:rsidRDefault="00B5668D" w:rsidP="00B5668D">
      <w:pPr>
        <w:pStyle w:val="ParaNum"/>
        <w:numPr>
          <w:ilvl w:val="0"/>
          <w:numId w:val="0"/>
        </w:numPr>
        <w:ind w:firstLine="720"/>
      </w:pPr>
      <w:r>
        <w:tab/>
      </w:r>
      <w:r>
        <w:tab/>
      </w:r>
      <w:r>
        <w:tab/>
      </w:r>
      <w:r>
        <w:tab/>
        <w:t>Secretary</w:t>
      </w:r>
    </w:p>
    <w:sectPr w:rsidR="000A77F7" w:rsidRPr="000A77F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D2" w:rsidRDefault="00784AD2">
      <w:pPr>
        <w:spacing w:line="20" w:lineRule="exact"/>
      </w:pPr>
    </w:p>
  </w:endnote>
  <w:endnote w:type="continuationSeparator" w:id="0">
    <w:p w:rsidR="00784AD2" w:rsidRDefault="00784AD2">
      <w:r>
        <w:t xml:space="preserve"> </w:t>
      </w:r>
    </w:p>
  </w:endnote>
  <w:endnote w:type="continuationNotice" w:id="1">
    <w:p w:rsidR="00784AD2" w:rsidRDefault="00784A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DC" w:rsidRDefault="003477DC" w:rsidP="0055614C">
    <w:pPr>
      <w:pStyle w:val="Footer"/>
      <w:framePr w:wrap="around" w:vAnchor="text" w:hAnchor="margin" w:xAlign="center" w:y="1"/>
    </w:pPr>
    <w:r>
      <w:fldChar w:fldCharType="begin"/>
    </w:r>
    <w:r>
      <w:instrText xml:space="preserve">PAGE  </w:instrText>
    </w:r>
    <w:r>
      <w:fldChar w:fldCharType="end"/>
    </w:r>
  </w:p>
  <w:p w:rsidR="003477DC" w:rsidRDefault="0034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DC" w:rsidRDefault="003477DC" w:rsidP="0055614C">
    <w:pPr>
      <w:pStyle w:val="Footer"/>
      <w:framePr w:wrap="around" w:vAnchor="text" w:hAnchor="margin" w:xAlign="center" w:y="1"/>
    </w:pPr>
    <w:r>
      <w:fldChar w:fldCharType="begin"/>
    </w:r>
    <w:r>
      <w:instrText xml:space="preserve">PAGE  </w:instrText>
    </w:r>
    <w:r>
      <w:fldChar w:fldCharType="separate"/>
    </w:r>
    <w:r w:rsidR="00805541">
      <w:rPr>
        <w:noProof/>
      </w:rPr>
      <w:t>2</w:t>
    </w:r>
    <w:r>
      <w:fldChar w:fldCharType="end"/>
    </w:r>
  </w:p>
  <w:p w:rsidR="00F60AC9" w:rsidRPr="00B50655" w:rsidRDefault="00F60AC9" w:rsidP="00013EDA">
    <w:pPr>
      <w:suppressAutoHyphens/>
      <w:spacing w:line="227" w:lineRule="auto"/>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E6" w:rsidRDefault="0067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D2" w:rsidRDefault="00784AD2">
      <w:r>
        <w:separator/>
      </w:r>
    </w:p>
  </w:footnote>
  <w:footnote w:type="continuationSeparator" w:id="0">
    <w:p w:rsidR="00784AD2" w:rsidRDefault="00784AD2" w:rsidP="00C721AC">
      <w:pPr>
        <w:spacing w:before="120"/>
        <w:rPr>
          <w:sz w:val="20"/>
        </w:rPr>
      </w:pPr>
      <w:r>
        <w:rPr>
          <w:sz w:val="20"/>
        </w:rPr>
        <w:t xml:space="preserve">(Continued from previous page)  </w:t>
      </w:r>
      <w:r>
        <w:rPr>
          <w:sz w:val="20"/>
        </w:rPr>
        <w:separator/>
      </w:r>
    </w:p>
  </w:footnote>
  <w:footnote w:type="continuationNotice" w:id="1">
    <w:p w:rsidR="00784AD2" w:rsidRDefault="00784AD2" w:rsidP="00C721AC">
      <w:pPr>
        <w:jc w:val="right"/>
        <w:rPr>
          <w:sz w:val="20"/>
        </w:rPr>
      </w:pPr>
      <w:r>
        <w:rPr>
          <w:sz w:val="20"/>
        </w:rPr>
        <w:t>(continued….)</w:t>
      </w:r>
    </w:p>
  </w:footnote>
  <w:footnote w:id="2">
    <w:p w:rsidR="003477DC" w:rsidRDefault="003477DC" w:rsidP="00B32181">
      <w:pPr>
        <w:pStyle w:val="FootnoteText"/>
      </w:pPr>
      <w:r>
        <w:rPr>
          <w:rStyle w:val="FootnoteReference"/>
        </w:rPr>
        <w:footnoteRef/>
      </w:r>
      <w:r>
        <w:t xml:space="preserve"> 47 C.F.R. § 1.2104(g)(1).  </w:t>
      </w:r>
    </w:p>
  </w:footnote>
  <w:footnote w:id="3">
    <w:p w:rsidR="003477DC" w:rsidRDefault="003477DC">
      <w:pPr>
        <w:pStyle w:val="FootnoteText"/>
      </w:pPr>
      <w:r>
        <w:rPr>
          <w:rStyle w:val="FootnoteReference"/>
        </w:rPr>
        <w:footnoteRef/>
      </w:r>
      <w:r>
        <w:t xml:space="preserve"> </w:t>
      </w:r>
      <w:r w:rsidR="00C14C1A">
        <w:rPr>
          <w:i/>
        </w:rPr>
        <w:t>Id.</w:t>
      </w:r>
      <w:r>
        <w:t xml:space="preserve"> § 1.2104(g)(1).</w:t>
      </w:r>
    </w:p>
  </w:footnote>
  <w:footnote w:id="4">
    <w:p w:rsidR="003477DC" w:rsidRDefault="003477DC">
      <w:pPr>
        <w:pStyle w:val="FootnoteText"/>
      </w:pPr>
      <w:r>
        <w:rPr>
          <w:rStyle w:val="FootnoteReference"/>
        </w:rPr>
        <w:footnoteRef/>
      </w:r>
      <w:r>
        <w:t xml:space="preserve"> </w:t>
      </w:r>
      <w:r w:rsidR="00C14C1A">
        <w:rPr>
          <w:i/>
        </w:rPr>
        <w:t>Id.</w:t>
      </w:r>
      <w:r>
        <w:t xml:space="preserve"> § 1.2104(g)(1) (2004).  Under the current version of the rule, an interim payment percentage is set for each auction at between three and twenty percent of the withdrawn bid.  </w:t>
      </w:r>
      <w:r w:rsidR="00C14C1A">
        <w:rPr>
          <w:i/>
        </w:rPr>
        <w:t>Id.</w:t>
      </w:r>
      <w:r>
        <w:t xml:space="preserve"> § 1.2104(g)(1).</w:t>
      </w:r>
    </w:p>
  </w:footnote>
  <w:footnote w:id="5">
    <w:p w:rsidR="001201F3" w:rsidRDefault="001201F3">
      <w:pPr>
        <w:pStyle w:val="FootnoteText"/>
      </w:pPr>
      <w:r>
        <w:rPr>
          <w:rStyle w:val="FootnoteReference"/>
        </w:rPr>
        <w:footnoteRef/>
      </w:r>
      <w:r>
        <w:t xml:space="preserve"> A subsequent winning bid for the corresponding construction permit was not made until 2006, during the course of Auction 62.</w:t>
      </w:r>
    </w:p>
  </w:footnote>
  <w:footnote w:id="6">
    <w:p w:rsidR="00C124C2" w:rsidRDefault="00C124C2">
      <w:pPr>
        <w:pStyle w:val="FootnoteText"/>
      </w:pPr>
      <w:r>
        <w:rPr>
          <w:rStyle w:val="FootnoteReference"/>
        </w:rPr>
        <w:footnoteRef/>
      </w:r>
      <w:r>
        <w:t xml:space="preserve"> Lunderville appears to have made an error in the petition before us, suggesting that </w:t>
      </w:r>
      <w:r w:rsidR="003E5A3C">
        <w:t xml:space="preserve">the </w:t>
      </w:r>
      <w:r>
        <w:t>amount of his deposit is only $12,350, rather than the actual $12,660 amount.  Barry P. Lunderville, Petition for Reconsideration at 9 ¶ 17, filed Feb. 13, 2013 (“2013 Petition”).  In an earlier joint petition, Lunderville correctly described the amount as $12,660.  College Creek Broadcasting, Inc.; Cumulus Licensing, LLC; and Barry P. Lunderville, Petition for Reconsideration at 2, filed Aug. 1, 2008 (“2008 Petition”).  The $12,660 figure, which equals three percent of Lunderville’s withdrawn bid, accords with the specific requirements established for Auction 37 and, as reflected in the Commission’s records, is in fact the amount he submitted to the Commission as an interim deposit.</w:t>
      </w:r>
    </w:p>
  </w:footnote>
  <w:footnote w:id="7">
    <w:p w:rsidR="003477DC" w:rsidRDefault="003477DC">
      <w:pPr>
        <w:pStyle w:val="FootnoteText"/>
      </w:pPr>
      <w:r>
        <w:rPr>
          <w:rStyle w:val="FootnoteReference"/>
        </w:rPr>
        <w:footnoteRef/>
      </w:r>
      <w:r>
        <w:t xml:space="preserve"> FM Broadcast Construction Permits Auction Closes; Auction No. 37 Winning Bidders Announced; Payment and Application Deadlines Established, </w:t>
      </w:r>
      <w:r>
        <w:rPr>
          <w:i/>
        </w:rPr>
        <w:t>Public Notice</w:t>
      </w:r>
      <w:r>
        <w:t xml:space="preserve">, 20 FCC Rcd 1021, Attachment C (WTB/MB 2004). </w:t>
      </w:r>
    </w:p>
  </w:footnote>
  <w:footnote w:id="8">
    <w:p w:rsidR="003477DC" w:rsidRDefault="003477DC">
      <w:pPr>
        <w:pStyle w:val="FootnoteText"/>
      </w:pPr>
      <w:r>
        <w:rPr>
          <w:rStyle w:val="FootnoteReference"/>
        </w:rPr>
        <w:footnoteRef/>
      </w:r>
      <w:r>
        <w:t xml:space="preserve"> Barry P. Lunderville; Bigglesworth Broadcasting, LLC; College Creek Broadcasting, Inc.; Cumulus Licensing LLC; and Kemp Communications, Inc., Request for Reduction of Auction 37 Withdrawal Payments, dated Nov. 20, 2006 (“2006 Request”), at 1.  When the 2006 Request was filed, Bigglesworth Broadcasting, LLC, had recently been renamed as Connoisseur Media, LLC, but the filers chose to refer to it as “Bigglesworth” throughout the pleading.  2006 Request n.4.</w:t>
      </w:r>
    </w:p>
  </w:footnote>
  <w:footnote w:id="9">
    <w:p w:rsidR="003477DC" w:rsidRDefault="003477DC" w:rsidP="00835DC6">
      <w:pPr>
        <w:pStyle w:val="FootnoteText"/>
      </w:pPr>
      <w:r>
        <w:rPr>
          <w:rStyle w:val="FootnoteReference"/>
        </w:rPr>
        <w:footnoteRef/>
      </w:r>
      <w:r>
        <w:t xml:space="preserve"> 2006 Request at 1-2 n.4.</w:t>
      </w:r>
    </w:p>
  </w:footnote>
  <w:footnote w:id="10">
    <w:p w:rsidR="003477DC" w:rsidRPr="007955D7" w:rsidRDefault="003477DC">
      <w:pPr>
        <w:pStyle w:val="FootnoteText"/>
      </w:pPr>
      <w:r>
        <w:rPr>
          <w:rStyle w:val="FootnoteReference"/>
        </w:rPr>
        <w:footnoteRef/>
      </w:r>
      <w:r>
        <w:t xml:space="preserve"> </w:t>
      </w:r>
      <w:r w:rsidR="00B068BA">
        <w:t xml:space="preserve">Barry P. Lunderville, Connoisseur Media, LLC, College Creek Broadcasting, Inc., Cumulus Licensing LLC, and Kemp Communications, Inc. Request to Reduce Bid Withdrawal Payments; Connoisseur Media, LLC Petition for Reconsideration and Request for Refund of Bid Withdrawal Payment; Nassau Broadcasting Holdings, Inc. Petition for Reconsideration or, in the Alternative, Request for Waiver of Bid Withdrawal Payment Rule, </w:t>
      </w:r>
      <w:r w:rsidR="00B068BA">
        <w:rPr>
          <w:i/>
        </w:rPr>
        <w:t>Order</w:t>
      </w:r>
      <w:r>
        <w:t>, 23 FCC Rcd 10390 (WTB 2008)</w:t>
      </w:r>
      <w:r w:rsidR="00B068BA">
        <w:t xml:space="preserve"> (“</w:t>
      </w:r>
      <w:r w:rsidR="00B068BA">
        <w:rPr>
          <w:i/>
        </w:rPr>
        <w:t>Bureau Order</w:t>
      </w:r>
      <w:r w:rsidR="00B068BA">
        <w:t>”)</w:t>
      </w:r>
      <w:r>
        <w:t>.</w:t>
      </w:r>
    </w:p>
  </w:footnote>
  <w:footnote w:id="11">
    <w:p w:rsidR="00B068BA" w:rsidRPr="00E42115" w:rsidRDefault="00B068BA">
      <w:pPr>
        <w:pStyle w:val="FootnoteText"/>
      </w:pPr>
      <w:r>
        <w:rPr>
          <w:rStyle w:val="FootnoteReference"/>
        </w:rPr>
        <w:footnoteRef/>
      </w:r>
      <w:r>
        <w:t xml:space="preserve"> </w:t>
      </w:r>
      <w:r w:rsidR="00E42115">
        <w:rPr>
          <w:i/>
        </w:rPr>
        <w:t>Id.</w:t>
      </w:r>
      <w:r w:rsidR="00E42115">
        <w:t xml:space="preserve"> at 10400-01 ¶¶ 23-26, </w:t>
      </w:r>
      <w:r w:rsidR="0000426B">
        <w:t>10406-07 ¶¶ 39-41.</w:t>
      </w:r>
    </w:p>
  </w:footnote>
  <w:footnote w:id="12">
    <w:p w:rsidR="00F058DF" w:rsidRDefault="00F058DF">
      <w:pPr>
        <w:pStyle w:val="FootnoteText"/>
      </w:pPr>
      <w:r>
        <w:rPr>
          <w:rStyle w:val="FootnoteReference"/>
        </w:rPr>
        <w:footnoteRef/>
      </w:r>
      <w:r>
        <w:t xml:space="preserve"> Advance Acquisition, Inc. Request for Waiver of Bid Withdrawal Payment,</w:t>
      </w:r>
      <w:r w:rsidR="00AC3B18">
        <w:t xml:space="preserve"> </w:t>
      </w:r>
      <w:r w:rsidR="00AC3B18">
        <w:rPr>
          <w:i/>
        </w:rPr>
        <w:t>Order</w:t>
      </w:r>
      <w:r w:rsidR="00AC3B18">
        <w:t>,</w:t>
      </w:r>
      <w:r>
        <w:t xml:space="preserve"> 22 FCC Rcd 18846, 18851-52 </w:t>
      </w:r>
      <w:r w:rsidR="00734CB2">
        <w:t>¶ </w:t>
      </w:r>
      <w:r>
        <w:t>10</w:t>
      </w:r>
      <w:r w:rsidR="007119D9">
        <w:t>, 18853 ¶ 16</w:t>
      </w:r>
      <w:r w:rsidR="00625084">
        <w:t xml:space="preserve"> (WTB 2007)</w:t>
      </w:r>
      <w:r w:rsidR="008213E8">
        <w:t xml:space="preserve"> (“</w:t>
      </w:r>
      <w:r w:rsidR="008213E8">
        <w:rPr>
          <w:i/>
        </w:rPr>
        <w:t>Advance</w:t>
      </w:r>
      <w:r w:rsidR="008213E8">
        <w:t>”).</w:t>
      </w:r>
    </w:p>
  </w:footnote>
  <w:footnote w:id="13">
    <w:p w:rsidR="003477DC" w:rsidRPr="00567C8C" w:rsidRDefault="003477DC">
      <w:pPr>
        <w:pStyle w:val="FootnoteText"/>
      </w:pPr>
      <w:r>
        <w:rPr>
          <w:rStyle w:val="FootnoteReference"/>
        </w:rPr>
        <w:footnoteRef/>
      </w:r>
      <w:r>
        <w:t xml:space="preserve"> </w:t>
      </w:r>
      <w:r w:rsidR="00727716">
        <w:rPr>
          <w:i/>
        </w:rPr>
        <w:t>Id.</w:t>
      </w:r>
      <w:r w:rsidR="00727716">
        <w:t xml:space="preserve"> at</w:t>
      </w:r>
      <w:r>
        <w:t xml:space="preserve"> 18853 ¶ 16.</w:t>
      </w:r>
    </w:p>
  </w:footnote>
  <w:footnote w:id="14">
    <w:p w:rsidR="003E69AD" w:rsidRPr="003F6148" w:rsidRDefault="003E69AD" w:rsidP="003E69AD">
      <w:pPr>
        <w:pStyle w:val="FootnoteText"/>
      </w:pPr>
      <w:r>
        <w:rPr>
          <w:rStyle w:val="FootnoteReference"/>
        </w:rPr>
        <w:footnoteRef/>
      </w:r>
      <w:r>
        <w:t xml:space="preserve"> </w:t>
      </w:r>
      <w:r>
        <w:rPr>
          <w:i/>
        </w:rPr>
        <w:t>Bureau Order</w:t>
      </w:r>
      <w:r>
        <w:t>, 23 FCC Rcd</w:t>
      </w:r>
      <w:r>
        <w:rPr>
          <w:i/>
        </w:rPr>
        <w:t xml:space="preserve"> </w:t>
      </w:r>
      <w:r>
        <w:t>at 10401 ¶ 26.</w:t>
      </w:r>
    </w:p>
  </w:footnote>
  <w:footnote w:id="15">
    <w:p w:rsidR="00B110D0" w:rsidRDefault="00B110D0" w:rsidP="00B110D0">
      <w:pPr>
        <w:pStyle w:val="FootnoteText"/>
      </w:pPr>
      <w:r>
        <w:rPr>
          <w:rStyle w:val="FootnoteReference"/>
        </w:rPr>
        <w:footnoteRef/>
      </w:r>
      <w:r>
        <w:t xml:space="preserve"> 2006 Request at 7; </w:t>
      </w:r>
      <w:r>
        <w:rPr>
          <w:i/>
        </w:rPr>
        <w:t>Bureau Order</w:t>
      </w:r>
      <w:r>
        <w:t>, 23 FCC Rcd at 10402</w:t>
      </w:r>
      <w:r>
        <w:rPr>
          <w:i/>
        </w:rPr>
        <w:t xml:space="preserve"> </w:t>
      </w:r>
      <w:r>
        <w:t>¶ 29.</w:t>
      </w:r>
    </w:p>
  </w:footnote>
  <w:footnote w:id="16">
    <w:p w:rsidR="00B110D0" w:rsidRDefault="00B110D0" w:rsidP="00B110D0">
      <w:pPr>
        <w:pStyle w:val="FootnoteText"/>
      </w:pPr>
      <w:r>
        <w:rPr>
          <w:rStyle w:val="FootnoteReference"/>
        </w:rPr>
        <w:footnoteRef/>
      </w:r>
      <w:r>
        <w:t xml:space="preserve"> </w:t>
      </w:r>
      <w:r>
        <w:rPr>
          <w:i/>
        </w:rPr>
        <w:t>Bureau Order</w:t>
      </w:r>
      <w:r>
        <w:t>, 23 FCC Rcd at 10402</w:t>
      </w:r>
      <w:r>
        <w:rPr>
          <w:i/>
        </w:rPr>
        <w:t xml:space="preserve"> </w:t>
      </w:r>
      <w:r>
        <w:t xml:space="preserve">¶ 29; </w:t>
      </w:r>
      <w:r>
        <w:rPr>
          <w:i/>
        </w:rPr>
        <w:t xml:space="preserve">see </w:t>
      </w:r>
      <w:r>
        <w:t xml:space="preserve">47 C.F.R. §§ 1.2109(b), 1.2104(g).  </w:t>
      </w:r>
    </w:p>
  </w:footnote>
  <w:footnote w:id="17">
    <w:p w:rsidR="008463C0" w:rsidRDefault="008463C0">
      <w:pPr>
        <w:pStyle w:val="FootnoteText"/>
      </w:pPr>
      <w:r>
        <w:rPr>
          <w:rStyle w:val="FootnoteReference"/>
        </w:rPr>
        <w:footnoteRef/>
      </w:r>
      <w:r>
        <w:t xml:space="preserve"> 2008 Petition at 4-10.  The Commission considered the 2008 Petition along with the pleadings of two other parties whose requests had been denied in the </w:t>
      </w:r>
      <w:r>
        <w:rPr>
          <w:i/>
        </w:rPr>
        <w:t>Bureau Order</w:t>
      </w:r>
      <w:r>
        <w:t xml:space="preserve">.  </w:t>
      </w:r>
      <w:r>
        <w:rPr>
          <w:i/>
        </w:rPr>
        <w:t>See</w:t>
      </w:r>
      <w:r>
        <w:t xml:space="preserve"> Connoisseur Media, LLC, Application for Review (“Connoisseur”), filed Aug. 1, 2008; Nassau Broadcasting Holdings, Inc. (“Nassau”), Petition for Reconsideration of Denial of Request for Waiver of Bid Withdrawal Penalty Rule, filed Aug. 1, 2008.</w:t>
      </w:r>
    </w:p>
  </w:footnote>
  <w:footnote w:id="18">
    <w:p w:rsidR="00FB55BE" w:rsidRDefault="00FB55BE">
      <w:pPr>
        <w:pStyle w:val="FootnoteText"/>
      </w:pPr>
      <w:r>
        <w:rPr>
          <w:rStyle w:val="FootnoteReference"/>
        </w:rPr>
        <w:footnoteRef/>
      </w:r>
      <w:r>
        <w:t xml:space="preserve"> 47 C.F.R. § 1.106(a)(1).</w:t>
      </w:r>
    </w:p>
  </w:footnote>
  <w:footnote w:id="19">
    <w:p w:rsidR="003477DC" w:rsidRPr="00F64936" w:rsidRDefault="003477DC" w:rsidP="00210099">
      <w:pPr>
        <w:pStyle w:val="FootnoteText"/>
      </w:pPr>
      <w:r>
        <w:rPr>
          <w:rStyle w:val="FootnoteReference"/>
        </w:rPr>
        <w:footnoteRef/>
      </w:r>
      <w:r>
        <w:t xml:space="preserve"> Barry P. Lunderville, College Creek Broadcasting, Inc., and Cumulus Licensing, LLC; Connoisseur Media, LLC; and Nassau Broadcasting Holdings, Inc., </w:t>
      </w:r>
      <w:r>
        <w:rPr>
          <w:i/>
        </w:rPr>
        <w:t>Memorandum Opinion and Order</w:t>
      </w:r>
      <w:r>
        <w:t>, 28 FCC Rcd 665 (2013) (“</w:t>
      </w:r>
      <w:r>
        <w:rPr>
          <w:i/>
        </w:rPr>
        <w:t>Commission Order</w:t>
      </w:r>
      <w:r>
        <w:t>”).</w:t>
      </w:r>
    </w:p>
  </w:footnote>
  <w:footnote w:id="20">
    <w:p w:rsidR="003477DC" w:rsidRPr="000A778E" w:rsidRDefault="003477DC" w:rsidP="00210099">
      <w:pPr>
        <w:pStyle w:val="FootnoteText"/>
      </w:pPr>
      <w:r>
        <w:rPr>
          <w:rStyle w:val="FootnoteReference"/>
        </w:rPr>
        <w:footnoteRef/>
      </w:r>
      <w:r>
        <w:t xml:space="preserve"> </w:t>
      </w:r>
      <w:r w:rsidR="00E41E4A">
        <w:rPr>
          <w:i/>
        </w:rPr>
        <w:t>Id.</w:t>
      </w:r>
      <w:r>
        <w:t xml:space="preserve"> at 670 ¶ 10, 673 ¶ 18.</w:t>
      </w:r>
    </w:p>
  </w:footnote>
  <w:footnote w:id="21">
    <w:p w:rsidR="00FB55BE" w:rsidRPr="00FB55BE" w:rsidRDefault="00FB55BE">
      <w:pPr>
        <w:pStyle w:val="FootnoteText"/>
      </w:pPr>
      <w:r>
        <w:rPr>
          <w:rStyle w:val="FootnoteReference"/>
        </w:rPr>
        <w:footnoteRef/>
      </w:r>
      <w:r>
        <w:t xml:space="preserve"> </w:t>
      </w:r>
      <w:r w:rsidR="00C2566D">
        <w:rPr>
          <w:i/>
        </w:rPr>
        <w:t xml:space="preserve">Id. </w:t>
      </w:r>
      <w:r>
        <w:t xml:space="preserve">at </w:t>
      </w:r>
      <w:r w:rsidR="00C2566D">
        <w:t xml:space="preserve">673 </w:t>
      </w:r>
      <w:r>
        <w:t>n.63.</w:t>
      </w:r>
    </w:p>
  </w:footnote>
  <w:footnote w:id="22">
    <w:p w:rsidR="003477DC" w:rsidRDefault="003477DC" w:rsidP="00A749D5">
      <w:pPr>
        <w:pStyle w:val="FootnoteText"/>
      </w:pPr>
      <w:r>
        <w:rPr>
          <w:rStyle w:val="FootnoteReference"/>
        </w:rPr>
        <w:footnoteRef/>
      </w:r>
      <w:r>
        <w:t xml:space="preserve"> 2013 Petition.</w:t>
      </w:r>
    </w:p>
  </w:footnote>
  <w:footnote w:id="23">
    <w:p w:rsidR="006D50CD" w:rsidRPr="0094257B" w:rsidRDefault="006D50CD">
      <w:pPr>
        <w:pStyle w:val="FootnoteText"/>
        <w:rPr>
          <w:i/>
        </w:rPr>
      </w:pPr>
      <w:r>
        <w:rPr>
          <w:rStyle w:val="FootnoteReference"/>
        </w:rPr>
        <w:footnoteRef/>
      </w:r>
      <w:r>
        <w:t xml:space="preserve"> </w:t>
      </w:r>
      <w:r>
        <w:rPr>
          <w:i/>
        </w:rPr>
        <w:t xml:space="preserve">Melody Music, Inc. v. FCC, </w:t>
      </w:r>
      <w:r>
        <w:t>345 F.2d 730 (D.C. Cir. 1965)</w:t>
      </w:r>
      <w:r w:rsidR="0094257B">
        <w:t xml:space="preserve"> (“</w:t>
      </w:r>
      <w:r w:rsidR="0094257B" w:rsidRPr="00787133">
        <w:rPr>
          <w:i/>
        </w:rPr>
        <w:t>Melody Music</w:t>
      </w:r>
      <w:r w:rsidR="0094257B">
        <w:t>”).</w:t>
      </w:r>
      <w:r w:rsidR="00451401">
        <w:t xml:space="preserve">  Lunderville and his co-petitioners also cited </w:t>
      </w:r>
      <w:r w:rsidR="00451401">
        <w:rPr>
          <w:i/>
        </w:rPr>
        <w:t xml:space="preserve">Melody Music </w:t>
      </w:r>
      <w:r w:rsidR="00451401">
        <w:t xml:space="preserve">in their earlier petition for reconsideration.  </w:t>
      </w:r>
      <w:r w:rsidR="00451401">
        <w:rPr>
          <w:i/>
        </w:rPr>
        <w:t xml:space="preserve">See </w:t>
      </w:r>
      <w:r w:rsidR="00451401">
        <w:t>2008 Petition at 7.</w:t>
      </w:r>
    </w:p>
  </w:footnote>
  <w:footnote w:id="24">
    <w:p w:rsidR="00740BD4" w:rsidRDefault="00740BD4" w:rsidP="00740BD4">
      <w:pPr>
        <w:pStyle w:val="FootnoteText"/>
      </w:pPr>
      <w:r>
        <w:rPr>
          <w:rStyle w:val="FootnoteReference"/>
        </w:rPr>
        <w:footnoteRef/>
      </w:r>
      <w:r>
        <w:t xml:space="preserve"> </w:t>
      </w:r>
      <w:r w:rsidR="00975650">
        <w:t>2013 Petition</w:t>
      </w:r>
      <w:r w:rsidR="00975650" w:rsidDel="00975650">
        <w:rPr>
          <w:i/>
        </w:rPr>
        <w:t xml:space="preserve"> </w:t>
      </w:r>
      <w:r>
        <w:t xml:space="preserve">at 5-6 ¶ 8. </w:t>
      </w:r>
    </w:p>
  </w:footnote>
  <w:footnote w:id="25">
    <w:p w:rsidR="003477DC" w:rsidRDefault="003477DC" w:rsidP="00A749D5">
      <w:pPr>
        <w:pStyle w:val="FootnoteText"/>
      </w:pPr>
      <w:r>
        <w:rPr>
          <w:rStyle w:val="FootnoteReference"/>
        </w:rPr>
        <w:footnoteRef/>
      </w:r>
      <w:r>
        <w:t xml:space="preserve"> </w:t>
      </w:r>
      <w:r w:rsidR="002E5BB9">
        <w:rPr>
          <w:i/>
        </w:rPr>
        <w:t>Id.</w:t>
      </w:r>
      <w:r>
        <w:t xml:space="preserve"> at 9 ¶ 16.</w:t>
      </w:r>
    </w:p>
  </w:footnote>
  <w:footnote w:id="26">
    <w:p w:rsidR="003477DC" w:rsidRPr="006B6075" w:rsidRDefault="003477DC" w:rsidP="006433F4">
      <w:pPr>
        <w:pStyle w:val="FootnoteText"/>
      </w:pPr>
      <w:r>
        <w:rPr>
          <w:rStyle w:val="FootnoteReference"/>
        </w:rPr>
        <w:footnoteRef/>
      </w:r>
      <w:r>
        <w:t xml:space="preserve"> 47 C.F.R. § 1.106(c).</w:t>
      </w:r>
    </w:p>
  </w:footnote>
  <w:footnote w:id="27">
    <w:p w:rsidR="003477DC" w:rsidRPr="002E36F2" w:rsidRDefault="003477DC" w:rsidP="00784B98">
      <w:pPr>
        <w:pStyle w:val="FootnoteText"/>
        <w:rPr>
          <w:b/>
        </w:rPr>
      </w:pPr>
      <w:r>
        <w:rPr>
          <w:rStyle w:val="FootnoteReference"/>
        </w:rPr>
        <w:footnoteRef/>
      </w:r>
      <w:r>
        <w:t xml:space="preserve"> </w:t>
      </w:r>
      <w:r>
        <w:rPr>
          <w:i/>
        </w:rPr>
        <w:t xml:space="preserve">See </w:t>
      </w:r>
      <w:r>
        <w:t xml:space="preserve">Warren C. Havens, </w:t>
      </w:r>
      <w:r>
        <w:rPr>
          <w:i/>
        </w:rPr>
        <w:t>Third Order on Reconsideration</w:t>
      </w:r>
      <w:r>
        <w:t xml:space="preserve">, 26 FCC Rcd 10888, 10891 ¶ 9 (2011) (“[U]nder Section 1.106(b)(2), a petition for </w:t>
      </w:r>
      <w:r w:rsidRPr="00F33BEC">
        <w:rPr>
          <w:szCs w:val="22"/>
        </w:rPr>
        <w:t>reconsideration</w:t>
      </w:r>
      <w:r>
        <w:t xml:space="preserve"> of an order denying an application for review must rely on new facts or circumstances.  Such new facts or circumstances must also be relevant to the question before the Commission.”)</w:t>
      </w:r>
      <w:r w:rsidR="008A0F22">
        <w:t xml:space="preserve">  </w:t>
      </w:r>
      <w:r w:rsidR="003C5CF9">
        <w:t>By its terms, s</w:t>
      </w:r>
      <w:r w:rsidR="008A0F22">
        <w:t>ection 1.106(c)(1) incorporates the standard of section 1.106(b)(2)</w:t>
      </w:r>
      <w:r w:rsidR="00373BC3">
        <w:t>; accordingly,</w:t>
      </w:r>
      <w:r w:rsidR="008A0F22">
        <w:t xml:space="preserve"> the </w:t>
      </w:r>
      <w:r w:rsidR="008A0F22" w:rsidRPr="00D05573">
        <w:rPr>
          <w:i/>
        </w:rPr>
        <w:t>Havens</w:t>
      </w:r>
      <w:r w:rsidR="008A0F22">
        <w:t xml:space="preserve"> precedent applies </w:t>
      </w:r>
      <w:r w:rsidR="003C5CF9">
        <w:t xml:space="preserve">equally </w:t>
      </w:r>
      <w:r w:rsidR="008A0F22">
        <w:t>to decisions under section 1.106(c)(1).</w:t>
      </w:r>
    </w:p>
  </w:footnote>
  <w:footnote w:id="28">
    <w:p w:rsidR="003477DC" w:rsidRDefault="003477DC" w:rsidP="00C85639">
      <w:pPr>
        <w:pStyle w:val="FootnoteText"/>
      </w:pPr>
      <w:r>
        <w:rPr>
          <w:rStyle w:val="FootnoteReference"/>
        </w:rPr>
        <w:footnoteRef/>
      </w:r>
      <w:r>
        <w:t xml:space="preserve"> 2013 Petition at </w:t>
      </w:r>
      <w:r w:rsidR="003E0983">
        <w:t xml:space="preserve">2-3 ¶ 4, </w:t>
      </w:r>
      <w:r>
        <w:t xml:space="preserve">3-4 ¶ 5, </w:t>
      </w:r>
      <w:r w:rsidR="00764BF7">
        <w:t>5-8 ¶¶ 8-</w:t>
      </w:r>
      <w:r w:rsidR="007D6467">
        <w:t xml:space="preserve">14, </w:t>
      </w:r>
      <w:r>
        <w:t>8 ¶ 15</w:t>
      </w:r>
      <w:r w:rsidR="007D6467">
        <w:t>, 9 ¶ 17</w:t>
      </w:r>
      <w:r>
        <w:t>.</w:t>
      </w:r>
    </w:p>
  </w:footnote>
  <w:footnote w:id="29">
    <w:p w:rsidR="003477DC" w:rsidRDefault="003477DC" w:rsidP="00A71310">
      <w:pPr>
        <w:pStyle w:val="FootnoteText"/>
      </w:pPr>
      <w:r>
        <w:rPr>
          <w:rStyle w:val="FootnoteReference"/>
        </w:rPr>
        <w:footnoteRef/>
      </w:r>
      <w:r>
        <w:t xml:space="preserve"> </w:t>
      </w:r>
      <w:r w:rsidRPr="00D338A6">
        <w:rPr>
          <w:i/>
        </w:rPr>
        <w:t>See</w:t>
      </w:r>
      <w:r>
        <w:rPr>
          <w:i/>
        </w:rPr>
        <w:t xml:space="preserve"> </w:t>
      </w:r>
      <w:r w:rsidR="007235B7">
        <w:rPr>
          <w:i/>
        </w:rPr>
        <w:t>id.</w:t>
      </w:r>
      <w:r>
        <w:t xml:space="preserve"> at 3-4 ¶ 5 (“</w:t>
      </w:r>
      <w:r w:rsidR="00C423AC">
        <w:t>The Commission in FCC 13-7, says in footnote 63 that ‘it is well established that the Commission is not bound by the Bureau’s decision in “Advance”’. . . .”</w:t>
      </w:r>
      <w:r>
        <w:t>)</w:t>
      </w:r>
    </w:p>
  </w:footnote>
  <w:footnote w:id="30">
    <w:p w:rsidR="003477DC" w:rsidRDefault="003477DC" w:rsidP="00A71310">
      <w:pPr>
        <w:pStyle w:val="FootnoteText"/>
      </w:pPr>
      <w:r>
        <w:rPr>
          <w:rStyle w:val="FootnoteReference"/>
        </w:rPr>
        <w:footnoteRef/>
      </w:r>
      <w:r>
        <w:t xml:space="preserve"> </w:t>
      </w:r>
      <w:r>
        <w:rPr>
          <w:i/>
        </w:rPr>
        <w:t xml:space="preserve">See </w:t>
      </w:r>
      <w:r w:rsidR="00912F22">
        <w:rPr>
          <w:i/>
        </w:rPr>
        <w:t>id.</w:t>
      </w:r>
      <w:r>
        <w:t xml:space="preserve"> at 3-4 ¶ 5; </w:t>
      </w:r>
      <w:r>
        <w:rPr>
          <w:i/>
        </w:rPr>
        <w:t xml:space="preserve">Commission Order </w:t>
      </w:r>
      <w:r>
        <w:t xml:space="preserve">at 673 ¶18 n.63 (citing, </w:t>
      </w:r>
      <w:r>
        <w:rPr>
          <w:i/>
        </w:rPr>
        <w:t>inter alia</w:t>
      </w:r>
      <w:r>
        <w:t xml:space="preserve">, </w:t>
      </w:r>
      <w:r>
        <w:rPr>
          <w:i/>
        </w:rPr>
        <w:t xml:space="preserve">Comcast Corp. v. FCC, </w:t>
      </w:r>
      <w:r>
        <w:t>526 F.3d 763, 769-70 (D.C. Cir. 2008) (“</w:t>
      </w:r>
      <w:r>
        <w:rPr>
          <w:i/>
        </w:rPr>
        <w:t>Comcast</w:t>
      </w:r>
      <w:r>
        <w:t>”)</w:t>
      </w:r>
      <w:r w:rsidR="007329CA">
        <w:t>)</w:t>
      </w:r>
      <w:r>
        <w:t>.</w:t>
      </w:r>
    </w:p>
  </w:footnote>
  <w:footnote w:id="31">
    <w:p w:rsidR="003477DC" w:rsidRDefault="003477DC" w:rsidP="008D2CE2">
      <w:pPr>
        <w:pStyle w:val="FootnoteText"/>
      </w:pPr>
      <w:r>
        <w:rPr>
          <w:rStyle w:val="FootnoteReference"/>
        </w:rPr>
        <w:footnoteRef/>
      </w:r>
      <w:r>
        <w:t xml:space="preserve"> </w:t>
      </w:r>
      <w:r>
        <w:rPr>
          <w:i/>
        </w:rPr>
        <w:t xml:space="preserve">See </w:t>
      </w:r>
      <w:r w:rsidR="002D650E">
        <w:t xml:space="preserve">2013 Petition </w:t>
      </w:r>
      <w:r>
        <w:t xml:space="preserve">at 3-4 ¶ 5; </w:t>
      </w:r>
      <w:r>
        <w:rPr>
          <w:i/>
        </w:rPr>
        <w:t>Comcast</w:t>
      </w:r>
      <w:r w:rsidR="000E741D">
        <w:t xml:space="preserve">, </w:t>
      </w:r>
      <w:r w:rsidR="00F92C47">
        <w:t xml:space="preserve">526 F.3d </w:t>
      </w:r>
      <w:r w:rsidR="002D1B31">
        <w:t>at</w:t>
      </w:r>
      <w:r w:rsidR="00F92C47">
        <w:t xml:space="preserve"> 769-70</w:t>
      </w:r>
      <w:r>
        <w:t>.</w:t>
      </w:r>
    </w:p>
  </w:footnote>
  <w:footnote w:id="32">
    <w:p w:rsidR="003477DC" w:rsidRPr="00186D6D" w:rsidRDefault="003477DC" w:rsidP="002459BA">
      <w:pPr>
        <w:pStyle w:val="FootnoteText"/>
      </w:pPr>
      <w:r>
        <w:rPr>
          <w:rStyle w:val="FootnoteReference"/>
        </w:rPr>
        <w:footnoteRef/>
      </w:r>
      <w:r>
        <w:t xml:space="preserve"> </w:t>
      </w:r>
      <w:r w:rsidR="00060BBF">
        <w:t>2013 Petition</w:t>
      </w:r>
      <w:r w:rsidR="00060BBF" w:rsidDel="00F95CB6">
        <w:t xml:space="preserve"> </w:t>
      </w:r>
      <w:r>
        <w:t>at 3-4 ¶ 5.</w:t>
      </w:r>
    </w:p>
  </w:footnote>
  <w:footnote w:id="33">
    <w:p w:rsidR="003477DC" w:rsidRPr="00BA2EAC" w:rsidRDefault="003477DC" w:rsidP="005B2AA1">
      <w:pPr>
        <w:pStyle w:val="FootnoteText"/>
      </w:pPr>
      <w:r>
        <w:rPr>
          <w:rStyle w:val="FootnoteReference"/>
        </w:rPr>
        <w:footnoteRef/>
      </w:r>
      <w:r>
        <w:t xml:space="preserve"> </w:t>
      </w:r>
      <w:r w:rsidR="002F7BDB">
        <w:rPr>
          <w:i/>
        </w:rPr>
        <w:t xml:space="preserve">See </w:t>
      </w:r>
      <w:r>
        <w:rPr>
          <w:i/>
        </w:rPr>
        <w:t>Melody Music</w:t>
      </w:r>
      <w:r w:rsidRPr="00FD619D">
        <w:t>,</w:t>
      </w:r>
      <w:r>
        <w:rPr>
          <w:i/>
        </w:rPr>
        <w:t xml:space="preserve"> </w:t>
      </w:r>
      <w:r>
        <w:t>345 F.2d 730.</w:t>
      </w:r>
    </w:p>
  </w:footnote>
  <w:footnote w:id="34">
    <w:p w:rsidR="003477DC" w:rsidRDefault="003477DC">
      <w:pPr>
        <w:pStyle w:val="FootnoteText"/>
      </w:pPr>
      <w:r>
        <w:rPr>
          <w:rStyle w:val="FootnoteReference"/>
        </w:rPr>
        <w:footnoteRef/>
      </w:r>
      <w:r>
        <w:t xml:space="preserve"> </w:t>
      </w:r>
      <w:r w:rsidRPr="003443D7">
        <w:t xml:space="preserve">Lunderville </w:t>
      </w:r>
      <w:r>
        <w:t xml:space="preserve">additionally argues </w:t>
      </w:r>
      <w:r w:rsidRPr="003443D7">
        <w:t>that two other Auction 37 bidders</w:t>
      </w:r>
      <w:r>
        <w:t>, Fireside Media and Nassau</w:t>
      </w:r>
      <w:r w:rsidR="008A3DDE">
        <w:t>,</w:t>
      </w:r>
      <w:r w:rsidR="00F54711">
        <w:t xml:space="preserve"> </w:t>
      </w:r>
      <w:r w:rsidRPr="003443D7">
        <w:t xml:space="preserve">received </w:t>
      </w:r>
      <w:r w:rsidR="00FB7C6D">
        <w:t>more favorable</w:t>
      </w:r>
      <w:r w:rsidRPr="003443D7">
        <w:t xml:space="preserve"> treatment than he did</w:t>
      </w:r>
      <w:r>
        <w:t xml:space="preserve">.  2013 Petition at 4-5 ¶¶ 6-7.  </w:t>
      </w:r>
      <w:r w:rsidR="004713C7">
        <w:t>We find no merit in this argument.  N</w:t>
      </w:r>
      <w:r>
        <w:t xml:space="preserve">either bidder’s situation is </w:t>
      </w:r>
      <w:r w:rsidR="004713C7">
        <w:t xml:space="preserve">analogous </w:t>
      </w:r>
      <w:r>
        <w:t xml:space="preserve">to Lunderville’s, because neither </w:t>
      </w:r>
      <w:r w:rsidR="001B4A06">
        <w:t xml:space="preserve">bidder </w:t>
      </w:r>
      <w:r>
        <w:t>was granted a waiver of the Commission</w:t>
      </w:r>
      <w:r w:rsidR="008D254A">
        <w:t>’</w:t>
      </w:r>
      <w:r>
        <w:t xml:space="preserve">s bid withdrawal payment rules.  </w:t>
      </w:r>
      <w:r w:rsidR="000A4ADA">
        <w:t xml:space="preserve">The principal </w:t>
      </w:r>
      <w:r w:rsidR="004713C7">
        <w:t xml:space="preserve">of </w:t>
      </w:r>
      <w:r>
        <w:t xml:space="preserve">Fireside Media sought and received elimination of his bid withdrawal obligation under federal debt compromise provisions after establishing, consistent with </w:t>
      </w:r>
      <w:r w:rsidR="00252918">
        <w:t>those provisions</w:t>
      </w:r>
      <w:r>
        <w:t>,</w:t>
      </w:r>
      <w:r w:rsidR="000A4ADA">
        <w:t xml:space="preserve"> </w:t>
      </w:r>
      <w:r>
        <w:t xml:space="preserve">that he could not afford to pay.  </w:t>
      </w:r>
      <w:r w:rsidRPr="008047C8">
        <w:t>Fireside Media,</w:t>
      </w:r>
      <w:r>
        <w:t xml:space="preserve"> </w:t>
      </w:r>
      <w:r>
        <w:rPr>
          <w:i/>
        </w:rPr>
        <w:t>Order</w:t>
      </w:r>
      <w:r>
        <w:t>,</w:t>
      </w:r>
      <w:r w:rsidRPr="008047C8">
        <w:t xml:space="preserve"> 23 FCC Rcd 13138 (2008)</w:t>
      </w:r>
      <w:r w:rsidR="008A3DDE">
        <w:t xml:space="preserve"> (citing 31 U.S.C. § 3711)</w:t>
      </w:r>
      <w:r>
        <w:t xml:space="preserve">.  </w:t>
      </w:r>
      <w:r w:rsidR="000A4ADA">
        <w:t xml:space="preserve">Nassau owed no bid withdrawal payments on the two Auction 37 construction permits </w:t>
      </w:r>
      <w:r w:rsidR="00F4595F">
        <w:t xml:space="preserve">on which </w:t>
      </w:r>
      <w:r w:rsidR="000A4ADA">
        <w:t>Lunderville</w:t>
      </w:r>
      <w:r w:rsidR="00F4595F">
        <w:t xml:space="preserve"> focuses</w:t>
      </w:r>
      <w:r w:rsidR="000A4ADA">
        <w:t>, because Nassau did not withdraw its winning bids for those permits.</w:t>
      </w:r>
      <w:r>
        <w:t xml:space="preserve">  Rather, </w:t>
      </w:r>
      <w:r w:rsidR="000A4ADA">
        <w:t>Nassau</w:t>
      </w:r>
      <w:r>
        <w:t xml:space="preserve"> later failed to meet the environmental requirements for the tower sites associated with the permits, and, as a result, its applications for the two FM facilities were dismissed.  Letter from James D. Bradshaw, Deputy Chief, Audio Division, Media Bureau, Federal Communications Commission (Jul. 14, 2011) (Facility ID No. 164219, Jefferson, NH); letter from James D. Bradshaw, Deputy Chief, Audio Division, Media Bureau, Federal Communications Commission (Jul. 14, 2011) (Facility ID No. 164220, Hardwick, VT).  </w:t>
      </w:r>
      <w:r w:rsidR="008A3DDE">
        <w:t>Th</w:t>
      </w:r>
      <w:r w:rsidR="00426F31">
        <w:t>us th</w:t>
      </w:r>
      <w:r w:rsidR="00582592">
        <w:t>e</w:t>
      </w:r>
      <w:r w:rsidR="008A3DDE">
        <w:t xml:space="preserve"> </w:t>
      </w:r>
      <w:r w:rsidR="00582592">
        <w:t xml:space="preserve">proceedings involving Nassau </w:t>
      </w:r>
      <w:r w:rsidR="008A3DDE">
        <w:t>implicate none of the policies for ensuring fair and efficient auction bidding procedures at issue here.  Moreover, notwithstanding Nassau’s continued listing</w:t>
      </w:r>
      <w:r w:rsidR="008D031F">
        <w:t xml:space="preserve"> in the Commission’s Consolidated Database System as the “</w:t>
      </w:r>
      <w:r w:rsidR="00D100A6">
        <w:t>Permittee</w:t>
      </w:r>
      <w:r w:rsidR="008D031F">
        <w:t>” of the two stations</w:t>
      </w:r>
      <w:r w:rsidR="00D100A6">
        <w:t xml:space="preserve">, </w:t>
      </w:r>
      <w:r w:rsidR="00431D7C" w:rsidRPr="00431D7C">
        <w:rPr>
          <w:i/>
        </w:rPr>
        <w:t>s</w:t>
      </w:r>
      <w:r w:rsidR="00431D7C">
        <w:rPr>
          <w:i/>
        </w:rPr>
        <w:t xml:space="preserve">ee </w:t>
      </w:r>
      <w:r w:rsidR="00431D7C">
        <w:t xml:space="preserve">2013 Petition at 4-5 ¶¶ 6-7, </w:t>
      </w:r>
      <w:r w:rsidR="008D031F">
        <w:t xml:space="preserve">the database </w:t>
      </w:r>
      <w:r w:rsidR="00F4307F">
        <w:t xml:space="preserve">also states that </w:t>
      </w:r>
      <w:r w:rsidR="00924644">
        <w:t>Nassau’s application</w:t>
      </w:r>
      <w:r w:rsidR="00EC72D7">
        <w:t>s</w:t>
      </w:r>
      <w:r w:rsidR="00924644">
        <w:t xml:space="preserve"> for these two permits ha</w:t>
      </w:r>
      <w:r w:rsidR="00EC72D7">
        <w:t>ve</w:t>
      </w:r>
      <w:r w:rsidR="00924644">
        <w:t xml:space="preserve"> been dismissed</w:t>
      </w:r>
      <w:r w:rsidR="00086701">
        <w:t>.</w:t>
      </w:r>
      <w:r w:rsidR="008D031F">
        <w:t xml:space="preserve">  </w:t>
      </w:r>
      <w:r w:rsidR="000A4ADA">
        <w:t>Lunderville</w:t>
      </w:r>
      <w:r w:rsidR="00203451">
        <w:t>’s concern</w:t>
      </w:r>
      <w:r w:rsidR="000A4ADA">
        <w:t xml:space="preserve"> </w:t>
      </w:r>
      <w:r w:rsidR="00E842B7">
        <w:t xml:space="preserve">that Nassau has not yet fully paid the amounts </w:t>
      </w:r>
      <w:r w:rsidR="00203451">
        <w:t xml:space="preserve">of </w:t>
      </w:r>
      <w:r w:rsidR="00E06191">
        <w:t>the two winning bids</w:t>
      </w:r>
      <w:r w:rsidR="00984F46">
        <w:t xml:space="preserve"> is </w:t>
      </w:r>
      <w:r w:rsidR="00EA06D5">
        <w:t>misplaced</w:t>
      </w:r>
      <w:r w:rsidR="00984F46">
        <w:t xml:space="preserve">, </w:t>
      </w:r>
      <w:r w:rsidR="00C555A1">
        <w:t>because</w:t>
      </w:r>
      <w:r w:rsidR="00E06191">
        <w:t xml:space="preserve"> </w:t>
      </w:r>
      <w:r w:rsidR="00EA06D5">
        <w:t xml:space="preserve">Nassau, having defaulted on its winning bids, is obligated to make a default payment, and </w:t>
      </w:r>
      <w:r w:rsidR="00E06191">
        <w:t xml:space="preserve">the Commission </w:t>
      </w:r>
      <w:r w:rsidR="00924644">
        <w:t xml:space="preserve">has </w:t>
      </w:r>
      <w:r w:rsidR="00C555A1">
        <w:t xml:space="preserve">not </w:t>
      </w:r>
      <w:r w:rsidR="00924644">
        <w:t xml:space="preserve">waived </w:t>
      </w:r>
      <w:r w:rsidR="00EA06D5">
        <w:t xml:space="preserve">that </w:t>
      </w:r>
      <w:r w:rsidR="00C555A1">
        <w:t>obligation</w:t>
      </w:r>
      <w:r w:rsidR="00E06191">
        <w:t>.</w:t>
      </w:r>
      <w:r w:rsidR="00E203D1">
        <w:t xml:space="preserve">  </w:t>
      </w:r>
      <w:r w:rsidR="00E203D1">
        <w:rPr>
          <w:i/>
        </w:rPr>
        <w:t xml:space="preserve">See </w:t>
      </w:r>
      <w:r w:rsidR="00E203D1">
        <w:t xml:space="preserve">Nassau Broadcasting Holdings, Inc., </w:t>
      </w:r>
      <w:r w:rsidR="00E203D1">
        <w:rPr>
          <w:i/>
        </w:rPr>
        <w:t>Notice of Interim Default Payment Obligation for Auction 37 Construction Permits FM216-A (Jefferson, NH) and FM325-A (Hardwick, VT)</w:t>
      </w:r>
      <w:r w:rsidR="00E203D1">
        <w:t>, DA 15-126 (rel. Jan. 29, 2015) (assessing an interim default payment against Nassau and ordering that funds Nassau has on deposit with the Commission be applied toward that payment obligation).</w:t>
      </w:r>
    </w:p>
  </w:footnote>
  <w:footnote w:id="35">
    <w:p w:rsidR="00BA2EAC" w:rsidRPr="00BA2EAC" w:rsidRDefault="00BA2EAC">
      <w:pPr>
        <w:pStyle w:val="FootnoteText"/>
      </w:pPr>
      <w:r>
        <w:rPr>
          <w:rStyle w:val="FootnoteReference"/>
        </w:rPr>
        <w:footnoteRef/>
      </w:r>
      <w:r>
        <w:t xml:space="preserve"> </w:t>
      </w:r>
      <w:r>
        <w:rPr>
          <w:i/>
        </w:rPr>
        <w:t xml:space="preserve">See </w:t>
      </w:r>
      <w:r w:rsidR="008A3DDE">
        <w:t>345 F.2d at 732 n.4.</w:t>
      </w:r>
    </w:p>
  </w:footnote>
  <w:footnote w:id="36">
    <w:p w:rsidR="008A3DDE" w:rsidRPr="008A3DDE" w:rsidRDefault="008A3DDE">
      <w:pPr>
        <w:pStyle w:val="FootnoteText"/>
      </w:pPr>
      <w:r>
        <w:rPr>
          <w:rStyle w:val="FootnoteReference"/>
        </w:rPr>
        <w:footnoteRef/>
      </w:r>
      <w:r>
        <w:t xml:space="preserve"> </w:t>
      </w:r>
      <w:r w:rsidR="00DD4AFC">
        <w:rPr>
          <w:i/>
        </w:rPr>
        <w:t>See i</w:t>
      </w:r>
      <w:r>
        <w:rPr>
          <w:i/>
        </w:rPr>
        <w:t xml:space="preserve">d. </w:t>
      </w:r>
      <w:r>
        <w:t>at 733.</w:t>
      </w:r>
    </w:p>
  </w:footnote>
  <w:footnote w:id="37">
    <w:p w:rsidR="003477DC" w:rsidRDefault="003477DC">
      <w:pPr>
        <w:pStyle w:val="FootnoteText"/>
      </w:pPr>
      <w:r>
        <w:rPr>
          <w:rStyle w:val="FootnoteReference"/>
        </w:rPr>
        <w:footnoteRef/>
      </w:r>
      <w:r>
        <w:t xml:space="preserve"> 2013 Petition at 5-6 ¶ 8, 7 ¶ 11.</w:t>
      </w:r>
    </w:p>
  </w:footnote>
  <w:footnote w:id="38">
    <w:p w:rsidR="008B7936" w:rsidRPr="00867736" w:rsidRDefault="008B7936" w:rsidP="008B7936">
      <w:pPr>
        <w:pStyle w:val="FootnoteText"/>
      </w:pPr>
      <w:r>
        <w:rPr>
          <w:rStyle w:val="FootnoteReference"/>
        </w:rPr>
        <w:footnoteRef/>
      </w:r>
      <w:r>
        <w:t xml:space="preserve"> The withdrawal payment rule was in effect when Lunderville applied to participate in Auction 37, and therefore its application to him could not have been retroactive.  </w:t>
      </w:r>
      <w:r>
        <w:rPr>
          <w:i/>
        </w:rPr>
        <w:t xml:space="preserve">See </w:t>
      </w:r>
      <w:r w:rsidRPr="004C7C44">
        <w:t xml:space="preserve">Implementation of Section 309(j) of the Communications Act – Competitive Bidding, </w:t>
      </w:r>
      <w:r w:rsidRPr="004C7C44">
        <w:rPr>
          <w:i/>
        </w:rPr>
        <w:t>Second Report and Order</w:t>
      </w:r>
      <w:r w:rsidRPr="004C7C44">
        <w:t>, 9 FCC Rcd 2348, 2373-75 ¶¶</w:t>
      </w:r>
      <w:r>
        <w:t> </w:t>
      </w:r>
      <w:r w:rsidRPr="004C7C44">
        <w:t>146-147, 2407 (1994)</w:t>
      </w:r>
      <w:r>
        <w:t xml:space="preserve"> (adopting the withdrawal payment rule). </w:t>
      </w:r>
    </w:p>
  </w:footnote>
  <w:footnote w:id="39">
    <w:p w:rsidR="004F5495" w:rsidRPr="002A0AD0" w:rsidRDefault="004F5495" w:rsidP="004F5495">
      <w:pPr>
        <w:pStyle w:val="FootnoteText"/>
      </w:pPr>
      <w:r>
        <w:rPr>
          <w:rStyle w:val="FootnoteReference"/>
        </w:rPr>
        <w:footnoteRef/>
      </w:r>
      <w:r>
        <w:t xml:space="preserve"> </w:t>
      </w:r>
      <w:r w:rsidR="00D91C9D">
        <w:t xml:space="preserve">2013 Petition </w:t>
      </w:r>
      <w:r>
        <w:t xml:space="preserve">at 2-3 ¶ 4. </w:t>
      </w:r>
    </w:p>
  </w:footnote>
  <w:footnote w:id="40">
    <w:p w:rsidR="00C77065" w:rsidRDefault="00C77065">
      <w:pPr>
        <w:pStyle w:val="FootnoteText"/>
      </w:pPr>
      <w:r>
        <w:rPr>
          <w:rStyle w:val="FootnoteReference"/>
        </w:rPr>
        <w:footnoteRef/>
      </w:r>
      <w:r>
        <w:t xml:space="preserve"> </w:t>
      </w:r>
      <w:r>
        <w:rPr>
          <w:i/>
        </w:rPr>
        <w:t>See</w:t>
      </w:r>
      <w:r>
        <w:t xml:space="preserve"> Alpine PCS, Inc., </w:t>
      </w:r>
      <w:r>
        <w:rPr>
          <w:i/>
        </w:rPr>
        <w:t>Memorandum Opinion and Order</w:t>
      </w:r>
      <w:r>
        <w:t xml:space="preserve">, 25 FCC Rcd 469 498 ¶ 52 &amp; n.201 (2010); </w:t>
      </w:r>
      <w:r>
        <w:rPr>
          <w:i/>
        </w:rPr>
        <w:t>Chem-Haulers, Inc. v. ICC</w:t>
      </w:r>
      <w:r>
        <w:t>, 565 F.2d 728, 730 (D.C. Cir. 1977).</w:t>
      </w:r>
      <w:r w:rsidR="005617F4">
        <w:t xml:space="preserve">  </w:t>
      </w:r>
      <w:r w:rsidR="00B65001">
        <w:t>N</w:t>
      </w:r>
      <w:r w:rsidR="005617F4">
        <w:t xml:space="preserve">one of the judicial decisions Lunderville cites in support of these arguments applies to the situation at hand, where a government agency has refused to perpetuate an incorrect standard applied by its staff, and thus none is relevant.  </w:t>
      </w:r>
      <w:r w:rsidR="005617F4" w:rsidRPr="00B05EFA">
        <w:rPr>
          <w:i/>
        </w:rPr>
        <w:t>See</w:t>
      </w:r>
      <w:r w:rsidR="005617F4" w:rsidRPr="0052021E">
        <w:t xml:space="preserve"> </w:t>
      </w:r>
      <w:r w:rsidR="005617F4">
        <w:t xml:space="preserve">2013 Petition at 5-8 ¶¶ 8-14 (citing, </w:t>
      </w:r>
      <w:r w:rsidR="005617F4">
        <w:rPr>
          <w:i/>
        </w:rPr>
        <w:t>e.g.</w:t>
      </w:r>
      <w:r w:rsidR="005617F4">
        <w:t xml:space="preserve">, </w:t>
      </w:r>
      <w:r w:rsidR="005617F4" w:rsidRPr="003D04F4">
        <w:rPr>
          <w:i/>
        </w:rPr>
        <w:t>CBS Corp. v. FCC</w:t>
      </w:r>
      <w:r w:rsidR="005617F4">
        <w:t>, 535 F.3d 167 (3</w:t>
      </w:r>
      <w:r w:rsidR="005617F4" w:rsidRPr="0052021E">
        <w:t>rd</w:t>
      </w:r>
      <w:r w:rsidR="005617F4">
        <w:t xml:space="preserve"> Cir. 2008); </w:t>
      </w:r>
      <w:r w:rsidR="005617F4" w:rsidRPr="003D04F4">
        <w:rPr>
          <w:i/>
        </w:rPr>
        <w:t>Ramaprakash v. FAA</w:t>
      </w:r>
      <w:r w:rsidR="005617F4">
        <w:t xml:space="preserve">, 346 F.3d 1121 (D.C. Cir. 2003); </w:t>
      </w:r>
      <w:hyperlink r:id="rId1" w:tgtFrame="_top" w:history="1">
        <w:r w:rsidR="005617F4" w:rsidRPr="003D04F4">
          <w:rPr>
            <w:i/>
          </w:rPr>
          <w:t>Motor Vehicle Mfrs. Ass'n v. State Farm Mutual Auto. Ins. Co.</w:t>
        </w:r>
        <w:r w:rsidR="005617F4" w:rsidRPr="0052021E">
          <w:t>, 463 U.S. 29 (1983)</w:t>
        </w:r>
      </w:hyperlink>
      <w:r w:rsidR="005617F4">
        <w:t xml:space="preserve">; </w:t>
      </w:r>
      <w:r w:rsidR="005617F4">
        <w:rPr>
          <w:i/>
        </w:rPr>
        <w:t>Fox Television Stations, Inc. v. FCC</w:t>
      </w:r>
      <w:r w:rsidR="005617F4">
        <w:t xml:space="preserve">, 489 F.3d 444, 459 n.8 (2d Cir. 2007); </w:t>
      </w:r>
      <w:r w:rsidR="000F2E6D">
        <w:rPr>
          <w:i/>
        </w:rPr>
        <w:t xml:space="preserve">ICO Global Communications (Holdings) Ltd. </w:t>
      </w:r>
      <w:r w:rsidR="00A819ED">
        <w:rPr>
          <w:i/>
        </w:rPr>
        <w:t>v</w:t>
      </w:r>
      <w:r w:rsidR="000F2E6D">
        <w:rPr>
          <w:i/>
        </w:rPr>
        <w:t xml:space="preserve">. FCC, </w:t>
      </w:r>
      <w:r w:rsidR="000F2E6D">
        <w:t>428 F.3d 264 (D.C. Cir. 2005</w:t>
      </w:r>
      <w:r w:rsidR="005617F4">
        <w:t>)).</w:t>
      </w:r>
    </w:p>
  </w:footnote>
  <w:footnote w:id="41">
    <w:p w:rsidR="008A4D3A" w:rsidRDefault="008A4D3A" w:rsidP="008A4D3A">
      <w:pPr>
        <w:pStyle w:val="FootnoteText"/>
      </w:pPr>
      <w:r>
        <w:rPr>
          <w:rStyle w:val="FootnoteReference"/>
        </w:rPr>
        <w:footnoteRef/>
      </w:r>
      <w:r>
        <w:t xml:space="preserve"> </w:t>
      </w:r>
      <w:r w:rsidR="00E91080">
        <w:rPr>
          <w:i/>
        </w:rPr>
        <w:t xml:space="preserve">See </w:t>
      </w:r>
      <w:r>
        <w:t xml:space="preserve">WQAM License Limited Partnership, </w:t>
      </w:r>
      <w:r>
        <w:rPr>
          <w:i/>
        </w:rPr>
        <w:t>Memorandum Opinion and Order</w:t>
      </w:r>
      <w:r>
        <w:t xml:space="preserve">, 15 FCC Rcd 13549, 13549 ¶ 2 (2000). </w:t>
      </w:r>
      <w:r>
        <w:rPr>
          <w:i/>
        </w:rPr>
        <w:t xml:space="preserve"> See also</w:t>
      </w:r>
      <w:r w:rsidRPr="008A4D3A">
        <w:rPr>
          <w:i/>
        </w:rPr>
        <w:t>,</w:t>
      </w:r>
      <w:r>
        <w:t xml:space="preserve"> </w:t>
      </w:r>
      <w:r>
        <w:rPr>
          <w:i/>
        </w:rPr>
        <w:t>e.g</w:t>
      </w:r>
      <w:r>
        <w:t>.,</w:t>
      </w:r>
      <w:r>
        <w:rPr>
          <w:i/>
        </w:rPr>
        <w:t xml:space="preserve"> </w:t>
      </w:r>
      <w:r>
        <w:t xml:space="preserve">Bennett Gilbert Gaines, Interlocutory Receiver for Magic 680, Inc., for Renewal of License for Station WCBM(AM), Baltimore, Maryland, </w:t>
      </w:r>
      <w:r>
        <w:rPr>
          <w:i/>
        </w:rPr>
        <w:t>et al</w:t>
      </w:r>
      <w:r>
        <w:t xml:space="preserve">., </w:t>
      </w:r>
      <w:r>
        <w:rPr>
          <w:i/>
        </w:rPr>
        <w:t>Memorandum Opinion and Order</w:t>
      </w:r>
      <w:r>
        <w:t>, 8 FCC Rcd 3986 ¶ 3 (Rev. Bd. 1993).</w:t>
      </w:r>
    </w:p>
  </w:footnote>
  <w:footnote w:id="42">
    <w:p w:rsidR="003477DC" w:rsidRPr="000E2C07" w:rsidRDefault="003477DC">
      <w:pPr>
        <w:pStyle w:val="FootnoteText"/>
      </w:pPr>
      <w:r>
        <w:rPr>
          <w:rStyle w:val="FootnoteReference"/>
        </w:rPr>
        <w:footnoteRef/>
      </w:r>
      <w:r>
        <w:t xml:space="preserve"> </w:t>
      </w:r>
      <w:r w:rsidR="00947C1B">
        <w:rPr>
          <w:i/>
        </w:rPr>
        <w:t xml:space="preserve">See Commission Order </w:t>
      </w:r>
      <w:r w:rsidR="00947C1B">
        <w:t xml:space="preserve">¶ 9 &amp; n.34.  </w:t>
      </w:r>
      <w:r w:rsidR="009C58F4">
        <w:rPr>
          <w:i/>
        </w:rPr>
        <w:t xml:space="preserve">See also </w:t>
      </w:r>
      <w:r w:rsidR="009C58F4">
        <w:t xml:space="preserve">James A. Kay, Jr., </w:t>
      </w:r>
      <w:r w:rsidR="009C58F4">
        <w:rPr>
          <w:i/>
        </w:rPr>
        <w:t>Second Memorandum Opinion and Order</w:t>
      </w:r>
      <w:r w:rsidR="009C58F4">
        <w:t xml:space="preserve">, 25 FCC Rcd 7639, 7640-41 ¶ 4 &amp; n.5 (2010).  </w:t>
      </w:r>
      <w:r w:rsidR="000F2E6D">
        <w:t xml:space="preserve">The repetitious nature of Lunderville’s arguments, coupled with the failure to identify any material error in the </w:t>
      </w:r>
      <w:r w:rsidR="000F2E6D">
        <w:rPr>
          <w:i/>
        </w:rPr>
        <w:t xml:space="preserve">Commission Order </w:t>
      </w:r>
      <w:r w:rsidR="00E722A1">
        <w:t xml:space="preserve">or to provide a basis for failing previously to raise his new arguments, would warrant dismissal or denial of his petition by the staff.  47 C.F.R. § 1.106(p).  However, we have taken this action ourselves “in order to achieve absolute finality in this matter.”  </w:t>
      </w:r>
      <w:r w:rsidR="00E722A1">
        <w:rPr>
          <w:i/>
        </w:rPr>
        <w:t xml:space="preserve">See Kay, </w:t>
      </w:r>
      <w:r w:rsidR="00E722A1">
        <w:t xml:space="preserve">25 FCC Rcd </w:t>
      </w:r>
      <w:r>
        <w:t>at 7641 n.8</w:t>
      </w:r>
      <w:r w:rsidR="005C165D">
        <w:t>.</w:t>
      </w:r>
    </w:p>
  </w:footnote>
  <w:footnote w:id="43">
    <w:p w:rsidR="003477DC" w:rsidRPr="00B71383" w:rsidRDefault="003477DC">
      <w:pPr>
        <w:pStyle w:val="FootnoteText"/>
        <w:rPr>
          <w:b/>
          <w:color w:val="00B0F0"/>
        </w:rPr>
      </w:pPr>
      <w:r>
        <w:rPr>
          <w:rStyle w:val="FootnoteReference"/>
        </w:rPr>
        <w:footnoteRef/>
      </w:r>
      <w:r>
        <w:t xml:space="preserve"> 2013 Petition at 9 ¶ 16</w:t>
      </w:r>
      <w:r w:rsidR="001B46A8">
        <w:t xml:space="preserve">.  </w:t>
      </w:r>
    </w:p>
  </w:footnote>
  <w:footnote w:id="44">
    <w:p w:rsidR="003477DC" w:rsidRDefault="003477DC" w:rsidP="00B41A8A">
      <w:pPr>
        <w:pStyle w:val="FootnoteText"/>
      </w:pPr>
      <w:r>
        <w:rPr>
          <w:rStyle w:val="FootnoteReference"/>
        </w:rPr>
        <w:footnoteRef/>
      </w:r>
      <w:r>
        <w:t xml:space="preserve"> </w:t>
      </w:r>
      <w:r w:rsidR="0042541D">
        <w:rPr>
          <w:i/>
        </w:rPr>
        <w:t>Id.</w:t>
      </w:r>
      <w:r>
        <w:t xml:space="preserve"> at 9 ¶ 16.</w:t>
      </w:r>
    </w:p>
  </w:footnote>
  <w:footnote w:id="45">
    <w:p w:rsidR="003477DC" w:rsidRDefault="003477DC" w:rsidP="00A62843">
      <w:pPr>
        <w:pStyle w:val="FootnoteText"/>
      </w:pPr>
      <w:r>
        <w:rPr>
          <w:rStyle w:val="FootnoteReference"/>
        </w:rPr>
        <w:footnoteRef/>
      </w:r>
      <w:r>
        <w:t xml:space="preserve"> </w:t>
      </w:r>
      <w:r>
        <w:rPr>
          <w:i/>
        </w:rPr>
        <w:t xml:space="preserve">See supra </w:t>
      </w:r>
      <w:r>
        <w:t>¶ 5.</w:t>
      </w:r>
    </w:p>
  </w:footnote>
  <w:footnote w:id="46">
    <w:p w:rsidR="00D727FC" w:rsidRDefault="00D727FC" w:rsidP="00D727FC">
      <w:pPr>
        <w:pStyle w:val="FootnoteText"/>
      </w:pPr>
      <w:r>
        <w:rPr>
          <w:rStyle w:val="FootnoteReference"/>
        </w:rPr>
        <w:footnoteRef/>
      </w:r>
      <w:r>
        <w:t xml:space="preserve"> </w:t>
      </w:r>
      <w:r>
        <w:rPr>
          <w:i/>
        </w:rPr>
        <w:t>Bureau Order</w:t>
      </w:r>
      <w:r>
        <w:t>, 23 FCC Rcd at 10402</w:t>
      </w:r>
      <w:r>
        <w:rPr>
          <w:i/>
        </w:rPr>
        <w:t xml:space="preserve"> </w:t>
      </w:r>
      <w:r>
        <w:t xml:space="preserve">¶ 29; </w:t>
      </w:r>
      <w:r>
        <w:rPr>
          <w:i/>
        </w:rPr>
        <w:t xml:space="preserve">see </w:t>
      </w:r>
      <w:r>
        <w:t xml:space="preserve">47 C.F.R. §§ 1.2109(b), 1.2104(g).  </w:t>
      </w:r>
      <w:r>
        <w:rPr>
          <w:i/>
        </w:rPr>
        <w:t xml:space="preserve">See also supra </w:t>
      </w:r>
      <w:r>
        <w:t xml:space="preserve">¶ 5.    </w:t>
      </w:r>
    </w:p>
  </w:footnote>
  <w:footnote w:id="47">
    <w:p w:rsidR="005E6EEE" w:rsidRDefault="005E6EEE">
      <w:pPr>
        <w:pStyle w:val="FootnoteText"/>
      </w:pPr>
      <w:r>
        <w:rPr>
          <w:rStyle w:val="FootnoteReference"/>
        </w:rPr>
        <w:footnoteRef/>
      </w:r>
      <w:r>
        <w:t xml:space="preserve"> 2008 Petition.</w:t>
      </w:r>
    </w:p>
  </w:footnote>
  <w:footnote w:id="48">
    <w:p w:rsidR="003477DC" w:rsidRDefault="003477DC">
      <w:pPr>
        <w:pStyle w:val="FootnoteText"/>
      </w:pPr>
      <w:r>
        <w:rPr>
          <w:rStyle w:val="FootnoteReference"/>
        </w:rPr>
        <w:footnoteRef/>
      </w:r>
      <w:r>
        <w:t xml:space="preserve"> 47 C.F.R. § 1.106(c)(1), (b)(2).</w:t>
      </w:r>
    </w:p>
  </w:footnote>
  <w:footnote w:id="49">
    <w:p w:rsidR="003477DC" w:rsidRPr="00DF6B76" w:rsidRDefault="003477DC" w:rsidP="00AD68D1">
      <w:pPr>
        <w:pStyle w:val="FootnoteText"/>
      </w:pPr>
      <w:r>
        <w:rPr>
          <w:rStyle w:val="FootnoteReference"/>
        </w:rPr>
        <w:footnoteRef/>
      </w:r>
      <w:r>
        <w:t xml:space="preserve"> </w:t>
      </w:r>
      <w:r w:rsidR="00931983">
        <w:rPr>
          <w:i/>
        </w:rPr>
        <w:t>Id.</w:t>
      </w:r>
      <w:r>
        <w:t xml:space="preserve"> § 1.106(c)(2). </w:t>
      </w:r>
    </w:p>
  </w:footnote>
  <w:footnote w:id="50">
    <w:p w:rsidR="00AF797A" w:rsidRPr="002B06A8" w:rsidRDefault="00AF797A">
      <w:pPr>
        <w:pStyle w:val="FootnoteText"/>
      </w:pPr>
      <w:r>
        <w:rPr>
          <w:rStyle w:val="FootnoteReference"/>
        </w:rPr>
        <w:footnoteRef/>
      </w:r>
      <w:r>
        <w:t xml:space="preserve"> </w:t>
      </w:r>
      <w:r w:rsidR="002B06A8">
        <w:rPr>
          <w:i/>
        </w:rPr>
        <w:t>See</w:t>
      </w:r>
      <w:r w:rsidR="002F7C31">
        <w:t xml:space="preserve"> Letter from Margaret W. Wiener, Chief, Auctions and Industry Analysis Division, Wireless Telecommunications Bureau, to Gregory M. Schmidt, Vice-President, </w:t>
      </w:r>
      <w:bookmarkStart w:id="1" w:name="SR;3630"/>
      <w:bookmarkStart w:id="2" w:name="SearchTerm"/>
      <w:bookmarkEnd w:id="1"/>
      <w:r w:rsidR="002F7C31">
        <w:t xml:space="preserve">Banks </w:t>
      </w:r>
      <w:bookmarkStart w:id="3" w:name="SR;3631"/>
      <w:bookmarkEnd w:id="3"/>
      <w:r w:rsidR="002F7C31">
        <w:t xml:space="preserve">Broadcasting, Inc. and </w:t>
      </w:r>
      <w:bookmarkStart w:id="4" w:name="SR;3639"/>
      <w:bookmarkEnd w:id="2"/>
      <w:bookmarkEnd w:id="4"/>
      <w:r w:rsidR="002F7C31">
        <w:t>Jonathan D. Blake, Counsel to Banks Broadcasting, Inc., 18 FCC Rcd 10431, 10434-37 (WTB/A</w:t>
      </w:r>
      <w:r w:rsidR="00BD27DB">
        <w:t>I</w:t>
      </w:r>
      <w:r w:rsidR="002F7C31">
        <w:t>AD 2003) (rejecting claim that public interest would be served by offering unsold licenses to auction’s second-highest bidder rather than re-auctioning them).</w:t>
      </w:r>
    </w:p>
  </w:footnote>
  <w:footnote w:id="51">
    <w:p w:rsidR="001543EB" w:rsidRDefault="001543EB" w:rsidP="001543EB">
      <w:pPr>
        <w:pStyle w:val="FootnoteText"/>
      </w:pPr>
      <w:r>
        <w:rPr>
          <w:rStyle w:val="FootnoteReference"/>
        </w:rPr>
        <w:footnoteRef/>
      </w:r>
      <w:r>
        <w:t xml:space="preserve"> 2013 Petition at 9 ¶ 16.</w:t>
      </w:r>
    </w:p>
  </w:footnote>
  <w:footnote w:id="52">
    <w:p w:rsidR="003477DC" w:rsidRDefault="003477DC">
      <w:pPr>
        <w:pStyle w:val="FootnoteText"/>
      </w:pPr>
      <w:r>
        <w:rPr>
          <w:rStyle w:val="FootnoteReference"/>
        </w:rPr>
        <w:footnoteRef/>
      </w:r>
      <w:r>
        <w:t xml:space="preserve"> </w:t>
      </w:r>
      <w:r w:rsidR="001543EB">
        <w:rPr>
          <w:i/>
        </w:rPr>
        <w:t>Id</w:t>
      </w:r>
      <w:r>
        <w:t>.</w:t>
      </w:r>
    </w:p>
  </w:footnote>
  <w:footnote w:id="53">
    <w:p w:rsidR="003477DC" w:rsidRPr="00C95B17" w:rsidRDefault="003477DC">
      <w:pPr>
        <w:pStyle w:val="FootnoteText"/>
      </w:pPr>
      <w:r>
        <w:rPr>
          <w:rStyle w:val="FootnoteReference"/>
        </w:rPr>
        <w:footnoteRef/>
      </w:r>
      <w:r>
        <w:t xml:space="preserve"> </w:t>
      </w:r>
      <w:r>
        <w:rPr>
          <w:i/>
        </w:rPr>
        <w:t xml:space="preserve">See </w:t>
      </w:r>
      <w:r w:rsidRPr="00C95B17">
        <w:t>Auction of FM Broadcast Construction Permits Scheduled for November 3, 2004; Notice and Filing Requirements, Minimum Opening Bids, Upfront Payments and Other Auction Procedures, Public Notice, 19 FCC Rcd 10570, 1060</w:t>
      </w:r>
      <w:r w:rsidR="00885C19">
        <w:t xml:space="preserve">1 </w:t>
      </w:r>
      <w:r w:rsidRPr="00C95B17">
        <w:t>(WTB 2004)</w:t>
      </w:r>
      <w:r w:rsidR="007E0F08">
        <w:t xml:space="preserve"> (</w:t>
      </w:r>
      <w:r w:rsidR="00F64A41">
        <w:t xml:space="preserve">announcing </w:t>
      </w:r>
      <w:r w:rsidR="007E0F08" w:rsidRPr="00752E72">
        <w:rPr>
          <w:szCs w:val="22"/>
        </w:rPr>
        <w:t xml:space="preserve">use </w:t>
      </w:r>
      <w:r w:rsidR="00F64A41">
        <w:rPr>
          <w:szCs w:val="22"/>
        </w:rPr>
        <w:t xml:space="preserve">of </w:t>
      </w:r>
      <w:r w:rsidR="007E0F08" w:rsidRPr="00752E72">
        <w:rPr>
          <w:szCs w:val="22"/>
        </w:rPr>
        <w:t xml:space="preserve">a random number generator to </w:t>
      </w:r>
      <w:r w:rsidR="00F64A41">
        <w:rPr>
          <w:szCs w:val="22"/>
        </w:rPr>
        <w:t xml:space="preserve">break tied </w:t>
      </w:r>
      <w:r w:rsidR="007E0F08" w:rsidRPr="00752E72">
        <w:rPr>
          <w:szCs w:val="22"/>
        </w:rPr>
        <w:t>bid</w:t>
      </w:r>
      <w:r w:rsidR="00F64A41">
        <w:rPr>
          <w:szCs w:val="22"/>
        </w:rPr>
        <w:t>s</w:t>
      </w:r>
      <w:r w:rsidR="007E0F08">
        <w:rPr>
          <w:szCs w:val="22"/>
        </w:rPr>
        <w:t>)</w:t>
      </w:r>
      <w:r w:rsidRPr="00C95B17">
        <w:t>.</w:t>
      </w:r>
    </w:p>
  </w:footnote>
  <w:footnote w:id="54">
    <w:p w:rsidR="003477DC" w:rsidRPr="00D2740B" w:rsidRDefault="003477DC">
      <w:pPr>
        <w:pStyle w:val="FootnoteText"/>
      </w:pPr>
      <w:r>
        <w:rPr>
          <w:rStyle w:val="FootnoteReference"/>
        </w:rPr>
        <w:footnoteRef/>
      </w:r>
      <w:r>
        <w:t xml:space="preserve"> </w:t>
      </w:r>
      <w:r w:rsidR="005F5193">
        <w:t xml:space="preserve">The Bureaus sought comment </w:t>
      </w:r>
      <w:r>
        <w:t xml:space="preserve">on </w:t>
      </w:r>
      <w:r w:rsidR="005F5193">
        <w:t xml:space="preserve">using a </w:t>
      </w:r>
      <w:r>
        <w:t xml:space="preserve">random number generator </w:t>
      </w:r>
      <w:r w:rsidR="005F5193">
        <w:t xml:space="preserve">to break ties prior to adopting that </w:t>
      </w:r>
      <w:r>
        <w:t>procedure for Auction 37.</w:t>
      </w:r>
      <w:r w:rsidR="005F5193">
        <w:t xml:space="preserve">  No comments were received on that proposal.</w:t>
      </w:r>
      <w:r>
        <w:t xml:space="preserve">  </w:t>
      </w:r>
      <w:r>
        <w:rPr>
          <w:i/>
        </w:rPr>
        <w:t>Id.</w:t>
      </w:r>
    </w:p>
  </w:footnote>
  <w:footnote w:id="55">
    <w:p w:rsidR="003477DC" w:rsidRDefault="003477DC">
      <w:pPr>
        <w:pStyle w:val="FootnoteText"/>
      </w:pPr>
      <w:r>
        <w:rPr>
          <w:rStyle w:val="FootnoteReference"/>
        </w:rPr>
        <w:footnoteRef/>
      </w:r>
      <w:r>
        <w:t xml:space="preserve"> 47 C.F.R. § 1.106(c)(1), (b)(2).</w:t>
      </w:r>
      <w:r w:rsidR="004F28C6">
        <w:t xml:space="preserve">  </w:t>
      </w:r>
      <w:r w:rsidR="00117EE6">
        <w:t xml:space="preserve">Lunderville has not explained </w:t>
      </w:r>
      <w:r w:rsidR="00FB2281">
        <w:t xml:space="preserve">why the tie-breaker procedure adopted for </w:t>
      </w:r>
      <w:r w:rsidR="004D2C4E">
        <w:t>Auction </w:t>
      </w:r>
      <w:r w:rsidR="00FB2281">
        <w:t xml:space="preserve">37 </w:t>
      </w:r>
      <w:r w:rsidR="00575037">
        <w:t xml:space="preserve">disserves the </w:t>
      </w:r>
      <w:r w:rsidR="00117EE6">
        <w:t>public interest</w:t>
      </w:r>
      <w:r w:rsidR="00090FCF">
        <w:t xml:space="preserve">.  We </w:t>
      </w:r>
      <w:r w:rsidR="006F453F">
        <w:t xml:space="preserve">accordingly </w:t>
      </w:r>
      <w:r w:rsidR="00090FCF">
        <w:t>do not consider this argument under section 1.106(c)(2).</w:t>
      </w:r>
      <w:r w:rsidR="00A82E83">
        <w:t xml:space="preserve">  </w:t>
      </w:r>
      <w:r w:rsidR="00A82E83">
        <w:rPr>
          <w:i/>
        </w:rPr>
        <w:t xml:space="preserve">Id. </w:t>
      </w:r>
      <w:r w:rsidR="00A82E83">
        <w:t xml:space="preserve">at </w:t>
      </w:r>
      <w:r w:rsidR="004D2C4E">
        <w:t>§ </w:t>
      </w:r>
      <w:r w:rsidR="00A82E83">
        <w:t>1.106(c)(2).</w:t>
      </w:r>
      <w:r w:rsidR="004F28C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E6" w:rsidRDefault="00677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1" w:rsidRDefault="00805541" w:rsidP="00805541">
    <w:pPr>
      <w:pStyle w:val="Header"/>
      <w:rPr>
        <w:b w:val="0"/>
      </w:rPr>
    </w:pPr>
    <w:r>
      <w:rPr>
        <w:noProof/>
        <w:snapToGrid/>
      </w:rPr>
      <mc:AlternateContent>
        <mc:Choice Requires="wps">
          <w:drawing>
            <wp:anchor distT="0" distB="0" distL="114300" distR="114300" simplePos="0" relativeHeight="251661312" behindDoc="1" locked="0" layoutInCell="0" allowOverlap="1" wp14:anchorId="7CF0DCBD" wp14:editId="3F51441C">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15-48</w:t>
    </w:r>
  </w:p>
  <w:p w:rsidR="003477DC" w:rsidRDefault="003477DC">
    <w:pPr>
      <w:tabs>
        <w:tab w:val="left" w:pos="-720"/>
      </w:tabs>
      <w:suppressAutoHyphens/>
      <w:spacing w:line="19" w:lineRule="exact"/>
      <w:rPr>
        <w:spacing w:val="-2"/>
      </w:rPr>
    </w:pPr>
  </w:p>
  <w:p w:rsidR="003477DC" w:rsidRDefault="003477D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1" w:rsidRDefault="00805541" w:rsidP="00805541">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15-48</w:t>
    </w:r>
  </w:p>
  <w:p w:rsidR="003477DC" w:rsidRDefault="003477DC"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5A90530"/>
    <w:multiLevelType w:val="multilevel"/>
    <w:tmpl w:val="D60E8A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E4"/>
    <w:rsid w:val="000008D5"/>
    <w:rsid w:val="00000C50"/>
    <w:rsid w:val="00001306"/>
    <w:rsid w:val="0000215D"/>
    <w:rsid w:val="0000426B"/>
    <w:rsid w:val="00004F66"/>
    <w:rsid w:val="00005706"/>
    <w:rsid w:val="00006913"/>
    <w:rsid w:val="00007AF9"/>
    <w:rsid w:val="00007EFB"/>
    <w:rsid w:val="00010B8C"/>
    <w:rsid w:val="00011269"/>
    <w:rsid w:val="00013EDA"/>
    <w:rsid w:val="00016908"/>
    <w:rsid w:val="00016957"/>
    <w:rsid w:val="00016EFB"/>
    <w:rsid w:val="000236DA"/>
    <w:rsid w:val="00023BCD"/>
    <w:rsid w:val="00027230"/>
    <w:rsid w:val="0002795F"/>
    <w:rsid w:val="00027C91"/>
    <w:rsid w:val="00033030"/>
    <w:rsid w:val="00033751"/>
    <w:rsid w:val="0003413F"/>
    <w:rsid w:val="0003505E"/>
    <w:rsid w:val="00036039"/>
    <w:rsid w:val="00037F90"/>
    <w:rsid w:val="00043358"/>
    <w:rsid w:val="000441C7"/>
    <w:rsid w:val="000456F7"/>
    <w:rsid w:val="0005217C"/>
    <w:rsid w:val="00052376"/>
    <w:rsid w:val="00053F3C"/>
    <w:rsid w:val="000555DB"/>
    <w:rsid w:val="00056567"/>
    <w:rsid w:val="0005721E"/>
    <w:rsid w:val="000603A9"/>
    <w:rsid w:val="00060BBF"/>
    <w:rsid w:val="000626BD"/>
    <w:rsid w:val="00063B6A"/>
    <w:rsid w:val="00065888"/>
    <w:rsid w:val="000663FA"/>
    <w:rsid w:val="00066A37"/>
    <w:rsid w:val="0006748F"/>
    <w:rsid w:val="00071AF8"/>
    <w:rsid w:val="0007518D"/>
    <w:rsid w:val="0008052C"/>
    <w:rsid w:val="000816ED"/>
    <w:rsid w:val="0008189C"/>
    <w:rsid w:val="00081FBA"/>
    <w:rsid w:val="00083EAC"/>
    <w:rsid w:val="00084EFE"/>
    <w:rsid w:val="00086701"/>
    <w:rsid w:val="000875BF"/>
    <w:rsid w:val="00087CE8"/>
    <w:rsid w:val="00090BEA"/>
    <w:rsid w:val="00090FCF"/>
    <w:rsid w:val="0009109F"/>
    <w:rsid w:val="000922D7"/>
    <w:rsid w:val="00093818"/>
    <w:rsid w:val="0009433F"/>
    <w:rsid w:val="00094809"/>
    <w:rsid w:val="0009558F"/>
    <w:rsid w:val="00096AF5"/>
    <w:rsid w:val="00096D8C"/>
    <w:rsid w:val="000A06F9"/>
    <w:rsid w:val="000A0908"/>
    <w:rsid w:val="000A117D"/>
    <w:rsid w:val="000A1507"/>
    <w:rsid w:val="000A25F7"/>
    <w:rsid w:val="000A2620"/>
    <w:rsid w:val="000A3C7E"/>
    <w:rsid w:val="000A41F3"/>
    <w:rsid w:val="000A4ADA"/>
    <w:rsid w:val="000A69B8"/>
    <w:rsid w:val="000A7636"/>
    <w:rsid w:val="000A778E"/>
    <w:rsid w:val="000A77F7"/>
    <w:rsid w:val="000A7C79"/>
    <w:rsid w:val="000B05FC"/>
    <w:rsid w:val="000B17D2"/>
    <w:rsid w:val="000B2CA7"/>
    <w:rsid w:val="000B463C"/>
    <w:rsid w:val="000B5618"/>
    <w:rsid w:val="000B5F02"/>
    <w:rsid w:val="000B6144"/>
    <w:rsid w:val="000B7FB9"/>
    <w:rsid w:val="000C0B65"/>
    <w:rsid w:val="000C1107"/>
    <w:rsid w:val="000C326F"/>
    <w:rsid w:val="000C40FD"/>
    <w:rsid w:val="000C495E"/>
    <w:rsid w:val="000C6B1B"/>
    <w:rsid w:val="000D12BF"/>
    <w:rsid w:val="000D3636"/>
    <w:rsid w:val="000D4807"/>
    <w:rsid w:val="000D4FEB"/>
    <w:rsid w:val="000D5BC0"/>
    <w:rsid w:val="000E05FE"/>
    <w:rsid w:val="000E15CA"/>
    <w:rsid w:val="000E212B"/>
    <w:rsid w:val="000E2C07"/>
    <w:rsid w:val="000E2FDE"/>
    <w:rsid w:val="000E38C4"/>
    <w:rsid w:val="000E3D42"/>
    <w:rsid w:val="000E4C24"/>
    <w:rsid w:val="000E51D2"/>
    <w:rsid w:val="000E656C"/>
    <w:rsid w:val="000E741D"/>
    <w:rsid w:val="000F0C2E"/>
    <w:rsid w:val="000F0C3E"/>
    <w:rsid w:val="000F1F51"/>
    <w:rsid w:val="000F2A24"/>
    <w:rsid w:val="000F2E6D"/>
    <w:rsid w:val="000F5F75"/>
    <w:rsid w:val="000F75A7"/>
    <w:rsid w:val="00101DB0"/>
    <w:rsid w:val="00102135"/>
    <w:rsid w:val="00103B38"/>
    <w:rsid w:val="00103CED"/>
    <w:rsid w:val="001070D7"/>
    <w:rsid w:val="00111ADE"/>
    <w:rsid w:val="00113AAF"/>
    <w:rsid w:val="0011540E"/>
    <w:rsid w:val="0011631B"/>
    <w:rsid w:val="00117EE6"/>
    <w:rsid w:val="001201F3"/>
    <w:rsid w:val="001206B7"/>
    <w:rsid w:val="001211C4"/>
    <w:rsid w:val="00122BD5"/>
    <w:rsid w:val="00123BEB"/>
    <w:rsid w:val="0012590C"/>
    <w:rsid w:val="0012711B"/>
    <w:rsid w:val="00127130"/>
    <w:rsid w:val="0012748E"/>
    <w:rsid w:val="001314E6"/>
    <w:rsid w:val="00131E87"/>
    <w:rsid w:val="00132F98"/>
    <w:rsid w:val="001332D7"/>
    <w:rsid w:val="00133F79"/>
    <w:rsid w:val="001360EB"/>
    <w:rsid w:val="001368F8"/>
    <w:rsid w:val="001372B3"/>
    <w:rsid w:val="0013733F"/>
    <w:rsid w:val="001408AE"/>
    <w:rsid w:val="00141C74"/>
    <w:rsid w:val="0014385C"/>
    <w:rsid w:val="00144060"/>
    <w:rsid w:val="00144DE4"/>
    <w:rsid w:val="001464BE"/>
    <w:rsid w:val="00146C35"/>
    <w:rsid w:val="00147B24"/>
    <w:rsid w:val="00147C9A"/>
    <w:rsid w:val="00150003"/>
    <w:rsid w:val="00151FF6"/>
    <w:rsid w:val="001543EB"/>
    <w:rsid w:val="00154F1D"/>
    <w:rsid w:val="00156117"/>
    <w:rsid w:val="0015683C"/>
    <w:rsid w:val="00156A67"/>
    <w:rsid w:val="0016000D"/>
    <w:rsid w:val="0016176A"/>
    <w:rsid w:val="00162080"/>
    <w:rsid w:val="00162AB3"/>
    <w:rsid w:val="00163311"/>
    <w:rsid w:val="00164002"/>
    <w:rsid w:val="001645C9"/>
    <w:rsid w:val="00164999"/>
    <w:rsid w:val="00164B48"/>
    <w:rsid w:val="00165303"/>
    <w:rsid w:val="00165522"/>
    <w:rsid w:val="0016708C"/>
    <w:rsid w:val="0017044A"/>
    <w:rsid w:val="001707D5"/>
    <w:rsid w:val="00170AB4"/>
    <w:rsid w:val="001710F8"/>
    <w:rsid w:val="00172804"/>
    <w:rsid w:val="0017345C"/>
    <w:rsid w:val="0017393D"/>
    <w:rsid w:val="0017524A"/>
    <w:rsid w:val="00180ACC"/>
    <w:rsid w:val="00181056"/>
    <w:rsid w:val="001835D8"/>
    <w:rsid w:val="00184C59"/>
    <w:rsid w:val="00186596"/>
    <w:rsid w:val="001869A1"/>
    <w:rsid w:val="00186D6D"/>
    <w:rsid w:val="00187A60"/>
    <w:rsid w:val="0019070F"/>
    <w:rsid w:val="00194A66"/>
    <w:rsid w:val="0019582C"/>
    <w:rsid w:val="00197A89"/>
    <w:rsid w:val="001A0A22"/>
    <w:rsid w:val="001A0E55"/>
    <w:rsid w:val="001A2632"/>
    <w:rsid w:val="001A3ABC"/>
    <w:rsid w:val="001A46EE"/>
    <w:rsid w:val="001A4C6B"/>
    <w:rsid w:val="001B1005"/>
    <w:rsid w:val="001B46A8"/>
    <w:rsid w:val="001B4A06"/>
    <w:rsid w:val="001B6ABD"/>
    <w:rsid w:val="001B6EB3"/>
    <w:rsid w:val="001B707D"/>
    <w:rsid w:val="001B7BBF"/>
    <w:rsid w:val="001B7D66"/>
    <w:rsid w:val="001C2653"/>
    <w:rsid w:val="001C27DA"/>
    <w:rsid w:val="001C3C96"/>
    <w:rsid w:val="001C48B7"/>
    <w:rsid w:val="001C7CBC"/>
    <w:rsid w:val="001D0324"/>
    <w:rsid w:val="001D041A"/>
    <w:rsid w:val="001D05D7"/>
    <w:rsid w:val="001D13D6"/>
    <w:rsid w:val="001D1F80"/>
    <w:rsid w:val="001D43CA"/>
    <w:rsid w:val="001D509B"/>
    <w:rsid w:val="001D5A85"/>
    <w:rsid w:val="001D6129"/>
    <w:rsid w:val="001D6BCF"/>
    <w:rsid w:val="001D6EBA"/>
    <w:rsid w:val="001D7BCA"/>
    <w:rsid w:val="001E01CA"/>
    <w:rsid w:val="001E01DA"/>
    <w:rsid w:val="001E421F"/>
    <w:rsid w:val="001E4CAE"/>
    <w:rsid w:val="001E4F20"/>
    <w:rsid w:val="001E5FF0"/>
    <w:rsid w:val="001E733D"/>
    <w:rsid w:val="001F0944"/>
    <w:rsid w:val="001F0CA4"/>
    <w:rsid w:val="001F2739"/>
    <w:rsid w:val="001F4411"/>
    <w:rsid w:val="00203451"/>
    <w:rsid w:val="002036A4"/>
    <w:rsid w:val="00203CB7"/>
    <w:rsid w:val="00204DA7"/>
    <w:rsid w:val="00210099"/>
    <w:rsid w:val="00210B0A"/>
    <w:rsid w:val="002112EF"/>
    <w:rsid w:val="002119BC"/>
    <w:rsid w:val="00211E8C"/>
    <w:rsid w:val="00212496"/>
    <w:rsid w:val="002158CD"/>
    <w:rsid w:val="00216199"/>
    <w:rsid w:val="00216D06"/>
    <w:rsid w:val="00217EA6"/>
    <w:rsid w:val="00224A91"/>
    <w:rsid w:val="00226860"/>
    <w:rsid w:val="00230E22"/>
    <w:rsid w:val="00233009"/>
    <w:rsid w:val="00233A85"/>
    <w:rsid w:val="0023708A"/>
    <w:rsid w:val="0023728C"/>
    <w:rsid w:val="002375B3"/>
    <w:rsid w:val="00241D40"/>
    <w:rsid w:val="002433D7"/>
    <w:rsid w:val="00245991"/>
    <w:rsid w:val="002459BA"/>
    <w:rsid w:val="00251A1F"/>
    <w:rsid w:val="00252918"/>
    <w:rsid w:val="002539CD"/>
    <w:rsid w:val="002542BA"/>
    <w:rsid w:val="0025595B"/>
    <w:rsid w:val="00257061"/>
    <w:rsid w:val="0026069B"/>
    <w:rsid w:val="00261828"/>
    <w:rsid w:val="00265240"/>
    <w:rsid w:val="002676E6"/>
    <w:rsid w:val="002720A6"/>
    <w:rsid w:val="00273571"/>
    <w:rsid w:val="00273AB2"/>
    <w:rsid w:val="00273DE2"/>
    <w:rsid w:val="0027422D"/>
    <w:rsid w:val="00274939"/>
    <w:rsid w:val="00275CF5"/>
    <w:rsid w:val="002761F4"/>
    <w:rsid w:val="00276B1C"/>
    <w:rsid w:val="00277844"/>
    <w:rsid w:val="0028301F"/>
    <w:rsid w:val="0028327D"/>
    <w:rsid w:val="00285017"/>
    <w:rsid w:val="00291481"/>
    <w:rsid w:val="002954CF"/>
    <w:rsid w:val="00297172"/>
    <w:rsid w:val="00297692"/>
    <w:rsid w:val="002A0AD0"/>
    <w:rsid w:val="002A15F4"/>
    <w:rsid w:val="002A169A"/>
    <w:rsid w:val="002A189F"/>
    <w:rsid w:val="002A2D2E"/>
    <w:rsid w:val="002A3655"/>
    <w:rsid w:val="002A3DF3"/>
    <w:rsid w:val="002A5059"/>
    <w:rsid w:val="002A586A"/>
    <w:rsid w:val="002A5B73"/>
    <w:rsid w:val="002A63C3"/>
    <w:rsid w:val="002A69F5"/>
    <w:rsid w:val="002A7C64"/>
    <w:rsid w:val="002B06A8"/>
    <w:rsid w:val="002B091C"/>
    <w:rsid w:val="002B0EB8"/>
    <w:rsid w:val="002B19DC"/>
    <w:rsid w:val="002B331D"/>
    <w:rsid w:val="002B4130"/>
    <w:rsid w:val="002B5DCD"/>
    <w:rsid w:val="002C00E8"/>
    <w:rsid w:val="002C0B94"/>
    <w:rsid w:val="002C67D1"/>
    <w:rsid w:val="002C67E7"/>
    <w:rsid w:val="002C7E1D"/>
    <w:rsid w:val="002D1B31"/>
    <w:rsid w:val="002D26F4"/>
    <w:rsid w:val="002D2F40"/>
    <w:rsid w:val="002D36F3"/>
    <w:rsid w:val="002D45F4"/>
    <w:rsid w:val="002D5558"/>
    <w:rsid w:val="002D5888"/>
    <w:rsid w:val="002D650E"/>
    <w:rsid w:val="002D70EF"/>
    <w:rsid w:val="002D7AC4"/>
    <w:rsid w:val="002E0BF4"/>
    <w:rsid w:val="002E1BF8"/>
    <w:rsid w:val="002E1DCD"/>
    <w:rsid w:val="002E2098"/>
    <w:rsid w:val="002E294C"/>
    <w:rsid w:val="002E36F2"/>
    <w:rsid w:val="002E3E4E"/>
    <w:rsid w:val="002E5BB9"/>
    <w:rsid w:val="002E6870"/>
    <w:rsid w:val="002E70E1"/>
    <w:rsid w:val="002F0A69"/>
    <w:rsid w:val="002F1F07"/>
    <w:rsid w:val="002F4A20"/>
    <w:rsid w:val="002F54F2"/>
    <w:rsid w:val="002F7BDB"/>
    <w:rsid w:val="002F7C31"/>
    <w:rsid w:val="00300232"/>
    <w:rsid w:val="00300595"/>
    <w:rsid w:val="00302A95"/>
    <w:rsid w:val="00303496"/>
    <w:rsid w:val="00303972"/>
    <w:rsid w:val="00305E6D"/>
    <w:rsid w:val="003129D9"/>
    <w:rsid w:val="00313843"/>
    <w:rsid w:val="00314644"/>
    <w:rsid w:val="00315826"/>
    <w:rsid w:val="0031721D"/>
    <w:rsid w:val="003204E4"/>
    <w:rsid w:val="00320F25"/>
    <w:rsid w:val="00321765"/>
    <w:rsid w:val="003221F9"/>
    <w:rsid w:val="003222A2"/>
    <w:rsid w:val="003241B5"/>
    <w:rsid w:val="00326FFF"/>
    <w:rsid w:val="00327DA6"/>
    <w:rsid w:val="003314EB"/>
    <w:rsid w:val="00331EA7"/>
    <w:rsid w:val="0033325A"/>
    <w:rsid w:val="00333B3C"/>
    <w:rsid w:val="003342F5"/>
    <w:rsid w:val="003364AE"/>
    <w:rsid w:val="00341EFD"/>
    <w:rsid w:val="00343749"/>
    <w:rsid w:val="00343852"/>
    <w:rsid w:val="003443D7"/>
    <w:rsid w:val="003477DC"/>
    <w:rsid w:val="003511AA"/>
    <w:rsid w:val="003532A8"/>
    <w:rsid w:val="00353D7C"/>
    <w:rsid w:val="00356781"/>
    <w:rsid w:val="00361219"/>
    <w:rsid w:val="00363F9F"/>
    <w:rsid w:val="00365022"/>
    <w:rsid w:val="00365F40"/>
    <w:rsid w:val="003660ED"/>
    <w:rsid w:val="003665F4"/>
    <w:rsid w:val="003668F7"/>
    <w:rsid w:val="003707E6"/>
    <w:rsid w:val="0037146F"/>
    <w:rsid w:val="003714FE"/>
    <w:rsid w:val="00371F3E"/>
    <w:rsid w:val="0037242D"/>
    <w:rsid w:val="00373BC3"/>
    <w:rsid w:val="00374130"/>
    <w:rsid w:val="0037494F"/>
    <w:rsid w:val="00374B61"/>
    <w:rsid w:val="003756EF"/>
    <w:rsid w:val="003763E3"/>
    <w:rsid w:val="00376A78"/>
    <w:rsid w:val="00376B59"/>
    <w:rsid w:val="0038188D"/>
    <w:rsid w:val="00381A1C"/>
    <w:rsid w:val="0038201F"/>
    <w:rsid w:val="003821D2"/>
    <w:rsid w:val="0038439C"/>
    <w:rsid w:val="003852D6"/>
    <w:rsid w:val="003869C0"/>
    <w:rsid w:val="00387966"/>
    <w:rsid w:val="00393BAE"/>
    <w:rsid w:val="00394058"/>
    <w:rsid w:val="00394E32"/>
    <w:rsid w:val="0039556C"/>
    <w:rsid w:val="00395922"/>
    <w:rsid w:val="003A0213"/>
    <w:rsid w:val="003A0402"/>
    <w:rsid w:val="003A2B9B"/>
    <w:rsid w:val="003A3375"/>
    <w:rsid w:val="003A51B7"/>
    <w:rsid w:val="003A7494"/>
    <w:rsid w:val="003B0550"/>
    <w:rsid w:val="003B56DB"/>
    <w:rsid w:val="003B58D1"/>
    <w:rsid w:val="003B6154"/>
    <w:rsid w:val="003B694F"/>
    <w:rsid w:val="003B6A4F"/>
    <w:rsid w:val="003B6FD3"/>
    <w:rsid w:val="003B7347"/>
    <w:rsid w:val="003B75B1"/>
    <w:rsid w:val="003B7CB6"/>
    <w:rsid w:val="003B7F87"/>
    <w:rsid w:val="003C00CF"/>
    <w:rsid w:val="003C075E"/>
    <w:rsid w:val="003C111B"/>
    <w:rsid w:val="003C2DE3"/>
    <w:rsid w:val="003C363D"/>
    <w:rsid w:val="003C4EF4"/>
    <w:rsid w:val="003C5CF9"/>
    <w:rsid w:val="003C6431"/>
    <w:rsid w:val="003C7068"/>
    <w:rsid w:val="003C7AA3"/>
    <w:rsid w:val="003D03FA"/>
    <w:rsid w:val="003D04F4"/>
    <w:rsid w:val="003D0596"/>
    <w:rsid w:val="003D21BA"/>
    <w:rsid w:val="003D2E74"/>
    <w:rsid w:val="003D38BE"/>
    <w:rsid w:val="003D41B7"/>
    <w:rsid w:val="003D697B"/>
    <w:rsid w:val="003D72F0"/>
    <w:rsid w:val="003D7459"/>
    <w:rsid w:val="003E0983"/>
    <w:rsid w:val="003E2687"/>
    <w:rsid w:val="003E3886"/>
    <w:rsid w:val="003E457A"/>
    <w:rsid w:val="003E5A3C"/>
    <w:rsid w:val="003E60C7"/>
    <w:rsid w:val="003E69AD"/>
    <w:rsid w:val="003E6CB3"/>
    <w:rsid w:val="003F107E"/>
    <w:rsid w:val="003F171C"/>
    <w:rsid w:val="003F1836"/>
    <w:rsid w:val="003F330E"/>
    <w:rsid w:val="003F6148"/>
    <w:rsid w:val="003F6955"/>
    <w:rsid w:val="004037E4"/>
    <w:rsid w:val="00404176"/>
    <w:rsid w:val="0040575D"/>
    <w:rsid w:val="00406320"/>
    <w:rsid w:val="00406C17"/>
    <w:rsid w:val="004078B7"/>
    <w:rsid w:val="0041059D"/>
    <w:rsid w:val="00410839"/>
    <w:rsid w:val="00412653"/>
    <w:rsid w:val="00412FC5"/>
    <w:rsid w:val="00413313"/>
    <w:rsid w:val="00414815"/>
    <w:rsid w:val="00415D60"/>
    <w:rsid w:val="00415EBF"/>
    <w:rsid w:val="00420B5E"/>
    <w:rsid w:val="004221B3"/>
    <w:rsid w:val="0042225F"/>
    <w:rsid w:val="00422276"/>
    <w:rsid w:val="004242F1"/>
    <w:rsid w:val="0042541D"/>
    <w:rsid w:val="00425AB6"/>
    <w:rsid w:val="00426F31"/>
    <w:rsid w:val="00427D0B"/>
    <w:rsid w:val="00431D7C"/>
    <w:rsid w:val="00432F0F"/>
    <w:rsid w:val="004336AB"/>
    <w:rsid w:val="00433996"/>
    <w:rsid w:val="00433A3A"/>
    <w:rsid w:val="0043531C"/>
    <w:rsid w:val="00435672"/>
    <w:rsid w:val="004367DC"/>
    <w:rsid w:val="00436B0D"/>
    <w:rsid w:val="00437A83"/>
    <w:rsid w:val="00441C86"/>
    <w:rsid w:val="00442579"/>
    <w:rsid w:val="00443955"/>
    <w:rsid w:val="00445A00"/>
    <w:rsid w:val="00445F77"/>
    <w:rsid w:val="004463C6"/>
    <w:rsid w:val="00450465"/>
    <w:rsid w:val="00451401"/>
    <w:rsid w:val="00451B0F"/>
    <w:rsid w:val="00452ED2"/>
    <w:rsid w:val="00453534"/>
    <w:rsid w:val="00455F59"/>
    <w:rsid w:val="00457691"/>
    <w:rsid w:val="00457728"/>
    <w:rsid w:val="00457883"/>
    <w:rsid w:val="00460C3C"/>
    <w:rsid w:val="00461441"/>
    <w:rsid w:val="00461547"/>
    <w:rsid w:val="0046235D"/>
    <w:rsid w:val="004628FE"/>
    <w:rsid w:val="004641E4"/>
    <w:rsid w:val="0046478D"/>
    <w:rsid w:val="00464838"/>
    <w:rsid w:val="00466C19"/>
    <w:rsid w:val="00470BA1"/>
    <w:rsid w:val="004713C7"/>
    <w:rsid w:val="0047201B"/>
    <w:rsid w:val="004728E0"/>
    <w:rsid w:val="00472C18"/>
    <w:rsid w:val="0047705B"/>
    <w:rsid w:val="00477401"/>
    <w:rsid w:val="00481AA2"/>
    <w:rsid w:val="00481B95"/>
    <w:rsid w:val="00482057"/>
    <w:rsid w:val="00483DAA"/>
    <w:rsid w:val="00484810"/>
    <w:rsid w:val="00484E54"/>
    <w:rsid w:val="004867E5"/>
    <w:rsid w:val="0048725C"/>
    <w:rsid w:val="004916DE"/>
    <w:rsid w:val="00491B9B"/>
    <w:rsid w:val="00491FF4"/>
    <w:rsid w:val="00493E94"/>
    <w:rsid w:val="00496AC0"/>
    <w:rsid w:val="00496DC7"/>
    <w:rsid w:val="004978F9"/>
    <w:rsid w:val="004A0477"/>
    <w:rsid w:val="004A10B7"/>
    <w:rsid w:val="004A37E5"/>
    <w:rsid w:val="004A3FBC"/>
    <w:rsid w:val="004A5656"/>
    <w:rsid w:val="004B0FAD"/>
    <w:rsid w:val="004B3EB7"/>
    <w:rsid w:val="004B49A1"/>
    <w:rsid w:val="004B4C02"/>
    <w:rsid w:val="004B721B"/>
    <w:rsid w:val="004C2EE3"/>
    <w:rsid w:val="004C550A"/>
    <w:rsid w:val="004D2C4E"/>
    <w:rsid w:val="004D4033"/>
    <w:rsid w:val="004D469B"/>
    <w:rsid w:val="004D5EA8"/>
    <w:rsid w:val="004D748A"/>
    <w:rsid w:val="004D7E60"/>
    <w:rsid w:val="004E0A0A"/>
    <w:rsid w:val="004E1F1C"/>
    <w:rsid w:val="004E26AC"/>
    <w:rsid w:val="004E3270"/>
    <w:rsid w:val="004E3AB6"/>
    <w:rsid w:val="004E3AEB"/>
    <w:rsid w:val="004E3EFE"/>
    <w:rsid w:val="004E43C2"/>
    <w:rsid w:val="004E4A22"/>
    <w:rsid w:val="004E4FFC"/>
    <w:rsid w:val="004E5AAB"/>
    <w:rsid w:val="004E67D1"/>
    <w:rsid w:val="004F0D9F"/>
    <w:rsid w:val="004F1BF0"/>
    <w:rsid w:val="004F28C6"/>
    <w:rsid w:val="004F35FF"/>
    <w:rsid w:val="004F5495"/>
    <w:rsid w:val="0050037A"/>
    <w:rsid w:val="00501435"/>
    <w:rsid w:val="00502B72"/>
    <w:rsid w:val="00506711"/>
    <w:rsid w:val="0050692B"/>
    <w:rsid w:val="00507D8B"/>
    <w:rsid w:val="00510E19"/>
    <w:rsid w:val="00511087"/>
    <w:rsid w:val="0051129C"/>
    <w:rsid w:val="00511968"/>
    <w:rsid w:val="00513EE8"/>
    <w:rsid w:val="00515B61"/>
    <w:rsid w:val="00516085"/>
    <w:rsid w:val="0052021E"/>
    <w:rsid w:val="00520E23"/>
    <w:rsid w:val="00520E9B"/>
    <w:rsid w:val="00521A79"/>
    <w:rsid w:val="00526387"/>
    <w:rsid w:val="00526FA6"/>
    <w:rsid w:val="00527AC6"/>
    <w:rsid w:val="00530B9A"/>
    <w:rsid w:val="00532418"/>
    <w:rsid w:val="005354D4"/>
    <w:rsid w:val="00536AE3"/>
    <w:rsid w:val="0054154D"/>
    <w:rsid w:val="00541634"/>
    <w:rsid w:val="005419D8"/>
    <w:rsid w:val="00546507"/>
    <w:rsid w:val="00546680"/>
    <w:rsid w:val="005474C5"/>
    <w:rsid w:val="00550C84"/>
    <w:rsid w:val="00551BDD"/>
    <w:rsid w:val="00553750"/>
    <w:rsid w:val="00553B1F"/>
    <w:rsid w:val="00553CEE"/>
    <w:rsid w:val="00554729"/>
    <w:rsid w:val="0055614C"/>
    <w:rsid w:val="00557A96"/>
    <w:rsid w:val="0056010F"/>
    <w:rsid w:val="00560204"/>
    <w:rsid w:val="00560577"/>
    <w:rsid w:val="00560F4E"/>
    <w:rsid w:val="005612EA"/>
    <w:rsid w:val="005617F4"/>
    <w:rsid w:val="005637AF"/>
    <w:rsid w:val="00564077"/>
    <w:rsid w:val="00565A10"/>
    <w:rsid w:val="00566457"/>
    <w:rsid w:val="00566714"/>
    <w:rsid w:val="005675D7"/>
    <w:rsid w:val="00567C8C"/>
    <w:rsid w:val="00570604"/>
    <w:rsid w:val="00571CE5"/>
    <w:rsid w:val="0057263C"/>
    <w:rsid w:val="00573AB8"/>
    <w:rsid w:val="00573E7E"/>
    <w:rsid w:val="005746BB"/>
    <w:rsid w:val="00575037"/>
    <w:rsid w:val="005764E8"/>
    <w:rsid w:val="00580467"/>
    <w:rsid w:val="00582526"/>
    <w:rsid w:val="00582592"/>
    <w:rsid w:val="00582C1C"/>
    <w:rsid w:val="00582E78"/>
    <w:rsid w:val="00585D49"/>
    <w:rsid w:val="00586A3C"/>
    <w:rsid w:val="005872D5"/>
    <w:rsid w:val="005877BC"/>
    <w:rsid w:val="00590B54"/>
    <w:rsid w:val="00593A8D"/>
    <w:rsid w:val="005942B5"/>
    <w:rsid w:val="0059480B"/>
    <w:rsid w:val="0059600F"/>
    <w:rsid w:val="00596EE7"/>
    <w:rsid w:val="005A0872"/>
    <w:rsid w:val="005A5C89"/>
    <w:rsid w:val="005A6E96"/>
    <w:rsid w:val="005A707A"/>
    <w:rsid w:val="005B0EEC"/>
    <w:rsid w:val="005B11FE"/>
    <w:rsid w:val="005B2AA1"/>
    <w:rsid w:val="005B2C83"/>
    <w:rsid w:val="005B2DB2"/>
    <w:rsid w:val="005B341E"/>
    <w:rsid w:val="005B58A4"/>
    <w:rsid w:val="005C03C0"/>
    <w:rsid w:val="005C065D"/>
    <w:rsid w:val="005C096F"/>
    <w:rsid w:val="005C0C98"/>
    <w:rsid w:val="005C0FF4"/>
    <w:rsid w:val="005C13FD"/>
    <w:rsid w:val="005C160C"/>
    <w:rsid w:val="005C165D"/>
    <w:rsid w:val="005C17C8"/>
    <w:rsid w:val="005C3C81"/>
    <w:rsid w:val="005C4788"/>
    <w:rsid w:val="005C60D7"/>
    <w:rsid w:val="005C6C0C"/>
    <w:rsid w:val="005D00EF"/>
    <w:rsid w:val="005D19E1"/>
    <w:rsid w:val="005D1DB8"/>
    <w:rsid w:val="005D22F5"/>
    <w:rsid w:val="005D3596"/>
    <w:rsid w:val="005D4777"/>
    <w:rsid w:val="005D48BC"/>
    <w:rsid w:val="005D5136"/>
    <w:rsid w:val="005D7CA3"/>
    <w:rsid w:val="005E14C2"/>
    <w:rsid w:val="005E419F"/>
    <w:rsid w:val="005E4451"/>
    <w:rsid w:val="005E473B"/>
    <w:rsid w:val="005E51FE"/>
    <w:rsid w:val="005E6EEE"/>
    <w:rsid w:val="005F043F"/>
    <w:rsid w:val="005F266C"/>
    <w:rsid w:val="005F4767"/>
    <w:rsid w:val="005F5193"/>
    <w:rsid w:val="006004F5"/>
    <w:rsid w:val="00600A4E"/>
    <w:rsid w:val="00602764"/>
    <w:rsid w:val="006032A9"/>
    <w:rsid w:val="006033D2"/>
    <w:rsid w:val="0060401A"/>
    <w:rsid w:val="00604B73"/>
    <w:rsid w:val="00606311"/>
    <w:rsid w:val="00606313"/>
    <w:rsid w:val="006065F9"/>
    <w:rsid w:val="00606CC5"/>
    <w:rsid w:val="00607BA5"/>
    <w:rsid w:val="006100D3"/>
    <w:rsid w:val="0061180A"/>
    <w:rsid w:val="00613EC0"/>
    <w:rsid w:val="0061496C"/>
    <w:rsid w:val="00614F82"/>
    <w:rsid w:val="006159AD"/>
    <w:rsid w:val="00615F83"/>
    <w:rsid w:val="006166B9"/>
    <w:rsid w:val="00617118"/>
    <w:rsid w:val="00620355"/>
    <w:rsid w:val="00624A24"/>
    <w:rsid w:val="00625084"/>
    <w:rsid w:val="006268E4"/>
    <w:rsid w:val="00626EB6"/>
    <w:rsid w:val="0062779D"/>
    <w:rsid w:val="00630B9F"/>
    <w:rsid w:val="006319D3"/>
    <w:rsid w:val="00632BA0"/>
    <w:rsid w:val="006331A5"/>
    <w:rsid w:val="0063419E"/>
    <w:rsid w:val="00634B4E"/>
    <w:rsid w:val="00635562"/>
    <w:rsid w:val="006376B8"/>
    <w:rsid w:val="00640F42"/>
    <w:rsid w:val="0064145F"/>
    <w:rsid w:val="00641DCF"/>
    <w:rsid w:val="006424A4"/>
    <w:rsid w:val="006433F4"/>
    <w:rsid w:val="006441B1"/>
    <w:rsid w:val="00645858"/>
    <w:rsid w:val="00646349"/>
    <w:rsid w:val="00646EE7"/>
    <w:rsid w:val="00650099"/>
    <w:rsid w:val="00650264"/>
    <w:rsid w:val="006512FB"/>
    <w:rsid w:val="0065577B"/>
    <w:rsid w:val="00655D03"/>
    <w:rsid w:val="006574E2"/>
    <w:rsid w:val="006618F3"/>
    <w:rsid w:val="00661A8F"/>
    <w:rsid w:val="00662D88"/>
    <w:rsid w:val="0066393D"/>
    <w:rsid w:val="00665EA4"/>
    <w:rsid w:val="00667459"/>
    <w:rsid w:val="006675F1"/>
    <w:rsid w:val="0067321F"/>
    <w:rsid w:val="00675C8A"/>
    <w:rsid w:val="00676AB0"/>
    <w:rsid w:val="0067738A"/>
    <w:rsid w:val="006773B2"/>
    <w:rsid w:val="00677A17"/>
    <w:rsid w:val="00677EE6"/>
    <w:rsid w:val="006802B2"/>
    <w:rsid w:val="006819BE"/>
    <w:rsid w:val="00683388"/>
    <w:rsid w:val="00683F84"/>
    <w:rsid w:val="0068488C"/>
    <w:rsid w:val="00684ADA"/>
    <w:rsid w:val="00686A3E"/>
    <w:rsid w:val="006903DF"/>
    <w:rsid w:val="00691B2E"/>
    <w:rsid w:val="00692839"/>
    <w:rsid w:val="00694A35"/>
    <w:rsid w:val="00695F6F"/>
    <w:rsid w:val="006A09E2"/>
    <w:rsid w:val="006A3604"/>
    <w:rsid w:val="006A40C2"/>
    <w:rsid w:val="006A4DD3"/>
    <w:rsid w:val="006A5140"/>
    <w:rsid w:val="006A6A81"/>
    <w:rsid w:val="006A785E"/>
    <w:rsid w:val="006B010E"/>
    <w:rsid w:val="006B06AC"/>
    <w:rsid w:val="006B2D1C"/>
    <w:rsid w:val="006B6075"/>
    <w:rsid w:val="006B77DF"/>
    <w:rsid w:val="006B79B7"/>
    <w:rsid w:val="006C0561"/>
    <w:rsid w:val="006C0988"/>
    <w:rsid w:val="006C0C99"/>
    <w:rsid w:val="006C0EA2"/>
    <w:rsid w:val="006C135C"/>
    <w:rsid w:val="006C2ED2"/>
    <w:rsid w:val="006C543E"/>
    <w:rsid w:val="006C5815"/>
    <w:rsid w:val="006C5E80"/>
    <w:rsid w:val="006C6368"/>
    <w:rsid w:val="006D1648"/>
    <w:rsid w:val="006D1F35"/>
    <w:rsid w:val="006D50AD"/>
    <w:rsid w:val="006D50CD"/>
    <w:rsid w:val="006D5415"/>
    <w:rsid w:val="006D56F9"/>
    <w:rsid w:val="006D5D2C"/>
    <w:rsid w:val="006D6702"/>
    <w:rsid w:val="006D686B"/>
    <w:rsid w:val="006E0007"/>
    <w:rsid w:val="006E1152"/>
    <w:rsid w:val="006E224F"/>
    <w:rsid w:val="006E335C"/>
    <w:rsid w:val="006E4ED8"/>
    <w:rsid w:val="006E546F"/>
    <w:rsid w:val="006E5D6A"/>
    <w:rsid w:val="006E61C4"/>
    <w:rsid w:val="006F149E"/>
    <w:rsid w:val="006F164F"/>
    <w:rsid w:val="006F2514"/>
    <w:rsid w:val="006F3347"/>
    <w:rsid w:val="006F3A35"/>
    <w:rsid w:val="006F3E68"/>
    <w:rsid w:val="006F40BC"/>
    <w:rsid w:val="006F453F"/>
    <w:rsid w:val="006F5858"/>
    <w:rsid w:val="006F669D"/>
    <w:rsid w:val="006F7116"/>
    <w:rsid w:val="006F7393"/>
    <w:rsid w:val="0070224F"/>
    <w:rsid w:val="00702286"/>
    <w:rsid w:val="00706621"/>
    <w:rsid w:val="007115F7"/>
    <w:rsid w:val="007119D9"/>
    <w:rsid w:val="0071377F"/>
    <w:rsid w:val="007142D5"/>
    <w:rsid w:val="0071522A"/>
    <w:rsid w:val="00715F2B"/>
    <w:rsid w:val="007170A4"/>
    <w:rsid w:val="00717E5E"/>
    <w:rsid w:val="00722A8E"/>
    <w:rsid w:val="007235B7"/>
    <w:rsid w:val="007241B0"/>
    <w:rsid w:val="007257FC"/>
    <w:rsid w:val="00726A51"/>
    <w:rsid w:val="00727716"/>
    <w:rsid w:val="007307A5"/>
    <w:rsid w:val="007329CA"/>
    <w:rsid w:val="00733F38"/>
    <w:rsid w:val="007340D3"/>
    <w:rsid w:val="00734CB2"/>
    <w:rsid w:val="00737355"/>
    <w:rsid w:val="00740100"/>
    <w:rsid w:val="00740BD4"/>
    <w:rsid w:val="0074334E"/>
    <w:rsid w:val="00743D8D"/>
    <w:rsid w:val="007447A0"/>
    <w:rsid w:val="0074574F"/>
    <w:rsid w:val="007474B0"/>
    <w:rsid w:val="00751859"/>
    <w:rsid w:val="007518F3"/>
    <w:rsid w:val="0075194C"/>
    <w:rsid w:val="00751DB0"/>
    <w:rsid w:val="007539EC"/>
    <w:rsid w:val="00753BC9"/>
    <w:rsid w:val="0075400E"/>
    <w:rsid w:val="00754702"/>
    <w:rsid w:val="00756A7A"/>
    <w:rsid w:val="00756B6F"/>
    <w:rsid w:val="00757142"/>
    <w:rsid w:val="007600CE"/>
    <w:rsid w:val="00760F97"/>
    <w:rsid w:val="00761241"/>
    <w:rsid w:val="007631A3"/>
    <w:rsid w:val="007637AC"/>
    <w:rsid w:val="00764BF7"/>
    <w:rsid w:val="00765FD2"/>
    <w:rsid w:val="0077022E"/>
    <w:rsid w:val="007708CA"/>
    <w:rsid w:val="00773D08"/>
    <w:rsid w:val="00773EE2"/>
    <w:rsid w:val="00774E59"/>
    <w:rsid w:val="00775CA0"/>
    <w:rsid w:val="00776039"/>
    <w:rsid w:val="00776844"/>
    <w:rsid w:val="00776D7D"/>
    <w:rsid w:val="00777583"/>
    <w:rsid w:val="00780AD2"/>
    <w:rsid w:val="007837B4"/>
    <w:rsid w:val="00784AD2"/>
    <w:rsid w:val="00784B98"/>
    <w:rsid w:val="0078565E"/>
    <w:rsid w:val="00785689"/>
    <w:rsid w:val="00785C19"/>
    <w:rsid w:val="00785C54"/>
    <w:rsid w:val="00787133"/>
    <w:rsid w:val="00791B83"/>
    <w:rsid w:val="007936F8"/>
    <w:rsid w:val="007941B1"/>
    <w:rsid w:val="0079464A"/>
    <w:rsid w:val="007955D7"/>
    <w:rsid w:val="00795D34"/>
    <w:rsid w:val="007969EB"/>
    <w:rsid w:val="0079754B"/>
    <w:rsid w:val="007A174D"/>
    <w:rsid w:val="007A1E6D"/>
    <w:rsid w:val="007A1FDC"/>
    <w:rsid w:val="007A51DB"/>
    <w:rsid w:val="007A6123"/>
    <w:rsid w:val="007A6391"/>
    <w:rsid w:val="007A6737"/>
    <w:rsid w:val="007A6994"/>
    <w:rsid w:val="007A6F28"/>
    <w:rsid w:val="007A7278"/>
    <w:rsid w:val="007B0EB2"/>
    <w:rsid w:val="007B1016"/>
    <w:rsid w:val="007B27CB"/>
    <w:rsid w:val="007B5A91"/>
    <w:rsid w:val="007B7097"/>
    <w:rsid w:val="007B714C"/>
    <w:rsid w:val="007B725E"/>
    <w:rsid w:val="007C09A1"/>
    <w:rsid w:val="007C159A"/>
    <w:rsid w:val="007C1965"/>
    <w:rsid w:val="007C20CA"/>
    <w:rsid w:val="007C3BF8"/>
    <w:rsid w:val="007C4EAA"/>
    <w:rsid w:val="007C6D3C"/>
    <w:rsid w:val="007D10D9"/>
    <w:rsid w:val="007D4060"/>
    <w:rsid w:val="007D4474"/>
    <w:rsid w:val="007D591D"/>
    <w:rsid w:val="007D5C14"/>
    <w:rsid w:val="007D6467"/>
    <w:rsid w:val="007E0F08"/>
    <w:rsid w:val="007E1457"/>
    <w:rsid w:val="007E2FE0"/>
    <w:rsid w:val="007E4977"/>
    <w:rsid w:val="007E4CE2"/>
    <w:rsid w:val="007E61AD"/>
    <w:rsid w:val="007E7E7D"/>
    <w:rsid w:val="007F0C22"/>
    <w:rsid w:val="007F2D67"/>
    <w:rsid w:val="007F3563"/>
    <w:rsid w:val="007F3B17"/>
    <w:rsid w:val="007F4039"/>
    <w:rsid w:val="007F509E"/>
    <w:rsid w:val="007F5A30"/>
    <w:rsid w:val="007F688F"/>
    <w:rsid w:val="0080018E"/>
    <w:rsid w:val="008020E8"/>
    <w:rsid w:val="00804624"/>
    <w:rsid w:val="008047C8"/>
    <w:rsid w:val="00805541"/>
    <w:rsid w:val="00805FCF"/>
    <w:rsid w:val="00806202"/>
    <w:rsid w:val="00810B6F"/>
    <w:rsid w:val="00811600"/>
    <w:rsid w:val="008158AA"/>
    <w:rsid w:val="00820BC8"/>
    <w:rsid w:val="008213E8"/>
    <w:rsid w:val="00822218"/>
    <w:rsid w:val="00822601"/>
    <w:rsid w:val="00822CE0"/>
    <w:rsid w:val="0082301B"/>
    <w:rsid w:val="00823449"/>
    <w:rsid w:val="008242B3"/>
    <w:rsid w:val="0082584A"/>
    <w:rsid w:val="00825B62"/>
    <w:rsid w:val="00825FCA"/>
    <w:rsid w:val="00827784"/>
    <w:rsid w:val="00830633"/>
    <w:rsid w:val="00830BA4"/>
    <w:rsid w:val="00830D34"/>
    <w:rsid w:val="0083119A"/>
    <w:rsid w:val="00832901"/>
    <w:rsid w:val="008341EB"/>
    <w:rsid w:val="00835DC6"/>
    <w:rsid w:val="0083662B"/>
    <w:rsid w:val="00837830"/>
    <w:rsid w:val="00840863"/>
    <w:rsid w:val="00840C4D"/>
    <w:rsid w:val="00841AB1"/>
    <w:rsid w:val="00841D1D"/>
    <w:rsid w:val="0084224A"/>
    <w:rsid w:val="0084375A"/>
    <w:rsid w:val="00844DDC"/>
    <w:rsid w:val="008463C0"/>
    <w:rsid w:val="00846FD5"/>
    <w:rsid w:val="00847625"/>
    <w:rsid w:val="00847BE8"/>
    <w:rsid w:val="008546E8"/>
    <w:rsid w:val="0085598F"/>
    <w:rsid w:val="0085625F"/>
    <w:rsid w:val="008676B9"/>
    <w:rsid w:val="00867736"/>
    <w:rsid w:val="00872ACB"/>
    <w:rsid w:val="00872F5E"/>
    <w:rsid w:val="008740F0"/>
    <w:rsid w:val="008772F2"/>
    <w:rsid w:val="008776AA"/>
    <w:rsid w:val="00877E31"/>
    <w:rsid w:val="00880981"/>
    <w:rsid w:val="00881BAE"/>
    <w:rsid w:val="008850DF"/>
    <w:rsid w:val="008857DC"/>
    <w:rsid w:val="00885B88"/>
    <w:rsid w:val="00885C19"/>
    <w:rsid w:val="008905CF"/>
    <w:rsid w:val="00890F85"/>
    <w:rsid w:val="00892832"/>
    <w:rsid w:val="008942CF"/>
    <w:rsid w:val="008972E2"/>
    <w:rsid w:val="008A0726"/>
    <w:rsid w:val="008A0F22"/>
    <w:rsid w:val="008A110D"/>
    <w:rsid w:val="008A28C3"/>
    <w:rsid w:val="008A3DDE"/>
    <w:rsid w:val="008A4D3A"/>
    <w:rsid w:val="008A5240"/>
    <w:rsid w:val="008A6B26"/>
    <w:rsid w:val="008B0E32"/>
    <w:rsid w:val="008B278A"/>
    <w:rsid w:val="008B34AC"/>
    <w:rsid w:val="008B3B14"/>
    <w:rsid w:val="008B4F7C"/>
    <w:rsid w:val="008B53BB"/>
    <w:rsid w:val="008B591A"/>
    <w:rsid w:val="008B59EA"/>
    <w:rsid w:val="008B5BB2"/>
    <w:rsid w:val="008B5DE0"/>
    <w:rsid w:val="008B6859"/>
    <w:rsid w:val="008B6A1A"/>
    <w:rsid w:val="008B6F75"/>
    <w:rsid w:val="008B7936"/>
    <w:rsid w:val="008B7F4F"/>
    <w:rsid w:val="008C11B4"/>
    <w:rsid w:val="008C2A8D"/>
    <w:rsid w:val="008C2BA2"/>
    <w:rsid w:val="008C418A"/>
    <w:rsid w:val="008C4387"/>
    <w:rsid w:val="008C4F84"/>
    <w:rsid w:val="008C5975"/>
    <w:rsid w:val="008C68F1"/>
    <w:rsid w:val="008C7A77"/>
    <w:rsid w:val="008D031F"/>
    <w:rsid w:val="008D077E"/>
    <w:rsid w:val="008D09C6"/>
    <w:rsid w:val="008D163D"/>
    <w:rsid w:val="008D21D9"/>
    <w:rsid w:val="008D254A"/>
    <w:rsid w:val="008D2CE2"/>
    <w:rsid w:val="008D51DD"/>
    <w:rsid w:val="008D783A"/>
    <w:rsid w:val="008E160F"/>
    <w:rsid w:val="008E2213"/>
    <w:rsid w:val="008E3D3C"/>
    <w:rsid w:val="008E64A6"/>
    <w:rsid w:val="008E6548"/>
    <w:rsid w:val="008E76F3"/>
    <w:rsid w:val="008E7F89"/>
    <w:rsid w:val="008F6C1C"/>
    <w:rsid w:val="0090034B"/>
    <w:rsid w:val="00900D3E"/>
    <w:rsid w:val="00903173"/>
    <w:rsid w:val="009043B5"/>
    <w:rsid w:val="0090560F"/>
    <w:rsid w:val="009103DD"/>
    <w:rsid w:val="00910CB9"/>
    <w:rsid w:val="00912993"/>
    <w:rsid w:val="00912F0A"/>
    <w:rsid w:val="00912F17"/>
    <w:rsid w:val="00912F22"/>
    <w:rsid w:val="00914CC5"/>
    <w:rsid w:val="009150B2"/>
    <w:rsid w:val="00915891"/>
    <w:rsid w:val="009217F8"/>
    <w:rsid w:val="00921803"/>
    <w:rsid w:val="00921F55"/>
    <w:rsid w:val="009229D5"/>
    <w:rsid w:val="00923DEC"/>
    <w:rsid w:val="00924330"/>
    <w:rsid w:val="00924644"/>
    <w:rsid w:val="00925FF1"/>
    <w:rsid w:val="00926503"/>
    <w:rsid w:val="00931983"/>
    <w:rsid w:val="00932A25"/>
    <w:rsid w:val="009341F6"/>
    <w:rsid w:val="009344AD"/>
    <w:rsid w:val="00935FE9"/>
    <w:rsid w:val="0094257B"/>
    <w:rsid w:val="00943442"/>
    <w:rsid w:val="0094349A"/>
    <w:rsid w:val="009451EE"/>
    <w:rsid w:val="0094733E"/>
    <w:rsid w:val="00947C1B"/>
    <w:rsid w:val="00951CB3"/>
    <w:rsid w:val="009536B5"/>
    <w:rsid w:val="00953A2A"/>
    <w:rsid w:val="00953B2C"/>
    <w:rsid w:val="00957FEB"/>
    <w:rsid w:val="0096045F"/>
    <w:rsid w:val="00960774"/>
    <w:rsid w:val="00960C8B"/>
    <w:rsid w:val="00960D40"/>
    <w:rsid w:val="00963940"/>
    <w:rsid w:val="009652F0"/>
    <w:rsid w:val="00967011"/>
    <w:rsid w:val="00970397"/>
    <w:rsid w:val="009726D8"/>
    <w:rsid w:val="00973A3B"/>
    <w:rsid w:val="00973D3B"/>
    <w:rsid w:val="00975650"/>
    <w:rsid w:val="00975789"/>
    <w:rsid w:val="009764EB"/>
    <w:rsid w:val="00976A1D"/>
    <w:rsid w:val="00980F4B"/>
    <w:rsid w:val="00980F68"/>
    <w:rsid w:val="009814C0"/>
    <w:rsid w:val="009818F9"/>
    <w:rsid w:val="00982934"/>
    <w:rsid w:val="00984F46"/>
    <w:rsid w:val="00985E2F"/>
    <w:rsid w:val="00985F7A"/>
    <w:rsid w:val="00987FC7"/>
    <w:rsid w:val="00990203"/>
    <w:rsid w:val="00992D2B"/>
    <w:rsid w:val="00995CA7"/>
    <w:rsid w:val="00995D96"/>
    <w:rsid w:val="00996EEF"/>
    <w:rsid w:val="009A019A"/>
    <w:rsid w:val="009A0517"/>
    <w:rsid w:val="009A0744"/>
    <w:rsid w:val="009A1963"/>
    <w:rsid w:val="009A1C9B"/>
    <w:rsid w:val="009A575A"/>
    <w:rsid w:val="009B08EC"/>
    <w:rsid w:val="009B1FF9"/>
    <w:rsid w:val="009B2BC7"/>
    <w:rsid w:val="009B3B5C"/>
    <w:rsid w:val="009B3BFA"/>
    <w:rsid w:val="009B4C6A"/>
    <w:rsid w:val="009B4F48"/>
    <w:rsid w:val="009B5221"/>
    <w:rsid w:val="009B587D"/>
    <w:rsid w:val="009B72DD"/>
    <w:rsid w:val="009C1667"/>
    <w:rsid w:val="009C18F0"/>
    <w:rsid w:val="009C280C"/>
    <w:rsid w:val="009C4A2A"/>
    <w:rsid w:val="009C58F4"/>
    <w:rsid w:val="009C5D70"/>
    <w:rsid w:val="009C687F"/>
    <w:rsid w:val="009C6FE4"/>
    <w:rsid w:val="009C74D4"/>
    <w:rsid w:val="009C7639"/>
    <w:rsid w:val="009D2F34"/>
    <w:rsid w:val="009D41D8"/>
    <w:rsid w:val="009D7A6B"/>
    <w:rsid w:val="009E102F"/>
    <w:rsid w:val="009E4E6F"/>
    <w:rsid w:val="009E50D7"/>
    <w:rsid w:val="009E5375"/>
    <w:rsid w:val="009E65F9"/>
    <w:rsid w:val="009F13BB"/>
    <w:rsid w:val="009F3737"/>
    <w:rsid w:val="009F3749"/>
    <w:rsid w:val="009F5B91"/>
    <w:rsid w:val="009F76DB"/>
    <w:rsid w:val="009F775F"/>
    <w:rsid w:val="00A00278"/>
    <w:rsid w:val="00A006A7"/>
    <w:rsid w:val="00A019A7"/>
    <w:rsid w:val="00A01FFE"/>
    <w:rsid w:val="00A030EA"/>
    <w:rsid w:val="00A05DE9"/>
    <w:rsid w:val="00A06447"/>
    <w:rsid w:val="00A0654B"/>
    <w:rsid w:val="00A06647"/>
    <w:rsid w:val="00A075AB"/>
    <w:rsid w:val="00A10330"/>
    <w:rsid w:val="00A130D4"/>
    <w:rsid w:val="00A13AEC"/>
    <w:rsid w:val="00A1479F"/>
    <w:rsid w:val="00A1702F"/>
    <w:rsid w:val="00A23439"/>
    <w:rsid w:val="00A235CC"/>
    <w:rsid w:val="00A2495A"/>
    <w:rsid w:val="00A24D7F"/>
    <w:rsid w:val="00A25D75"/>
    <w:rsid w:val="00A27AF5"/>
    <w:rsid w:val="00A31B54"/>
    <w:rsid w:val="00A32C3B"/>
    <w:rsid w:val="00A336A5"/>
    <w:rsid w:val="00A3516B"/>
    <w:rsid w:val="00A357D9"/>
    <w:rsid w:val="00A37AE3"/>
    <w:rsid w:val="00A4198A"/>
    <w:rsid w:val="00A42112"/>
    <w:rsid w:val="00A4256D"/>
    <w:rsid w:val="00A45138"/>
    <w:rsid w:val="00A45E96"/>
    <w:rsid w:val="00A45F4F"/>
    <w:rsid w:val="00A46018"/>
    <w:rsid w:val="00A476B1"/>
    <w:rsid w:val="00A50F91"/>
    <w:rsid w:val="00A54814"/>
    <w:rsid w:val="00A5533A"/>
    <w:rsid w:val="00A5584A"/>
    <w:rsid w:val="00A5596F"/>
    <w:rsid w:val="00A600A9"/>
    <w:rsid w:val="00A605E7"/>
    <w:rsid w:val="00A60DFC"/>
    <w:rsid w:val="00A60E7B"/>
    <w:rsid w:val="00A611A4"/>
    <w:rsid w:val="00A62843"/>
    <w:rsid w:val="00A6566F"/>
    <w:rsid w:val="00A675A6"/>
    <w:rsid w:val="00A71310"/>
    <w:rsid w:val="00A739C3"/>
    <w:rsid w:val="00A749D5"/>
    <w:rsid w:val="00A7522D"/>
    <w:rsid w:val="00A76C1F"/>
    <w:rsid w:val="00A77220"/>
    <w:rsid w:val="00A77B6B"/>
    <w:rsid w:val="00A8110A"/>
    <w:rsid w:val="00A819ED"/>
    <w:rsid w:val="00A826F3"/>
    <w:rsid w:val="00A82DCC"/>
    <w:rsid w:val="00A82E83"/>
    <w:rsid w:val="00A8309D"/>
    <w:rsid w:val="00A835D5"/>
    <w:rsid w:val="00A83D94"/>
    <w:rsid w:val="00A849D5"/>
    <w:rsid w:val="00A85287"/>
    <w:rsid w:val="00A85F97"/>
    <w:rsid w:val="00A863F4"/>
    <w:rsid w:val="00A86A5F"/>
    <w:rsid w:val="00A91B12"/>
    <w:rsid w:val="00A92C65"/>
    <w:rsid w:val="00A92E26"/>
    <w:rsid w:val="00A93559"/>
    <w:rsid w:val="00A94B9B"/>
    <w:rsid w:val="00AA0073"/>
    <w:rsid w:val="00AA0192"/>
    <w:rsid w:val="00AA0C92"/>
    <w:rsid w:val="00AA32EA"/>
    <w:rsid w:val="00AA3855"/>
    <w:rsid w:val="00AA4351"/>
    <w:rsid w:val="00AA55B7"/>
    <w:rsid w:val="00AA5A28"/>
    <w:rsid w:val="00AA5B9E"/>
    <w:rsid w:val="00AA6A94"/>
    <w:rsid w:val="00AA757D"/>
    <w:rsid w:val="00AB2407"/>
    <w:rsid w:val="00AB3D28"/>
    <w:rsid w:val="00AB53DF"/>
    <w:rsid w:val="00AB556F"/>
    <w:rsid w:val="00AB5760"/>
    <w:rsid w:val="00AB6235"/>
    <w:rsid w:val="00AC362F"/>
    <w:rsid w:val="00AC38FB"/>
    <w:rsid w:val="00AC3B18"/>
    <w:rsid w:val="00AC4E7A"/>
    <w:rsid w:val="00AC617C"/>
    <w:rsid w:val="00AC69EC"/>
    <w:rsid w:val="00AC6E97"/>
    <w:rsid w:val="00AC7A4D"/>
    <w:rsid w:val="00AC7ACA"/>
    <w:rsid w:val="00AD0458"/>
    <w:rsid w:val="00AD2507"/>
    <w:rsid w:val="00AD2D9F"/>
    <w:rsid w:val="00AD2E8E"/>
    <w:rsid w:val="00AD3475"/>
    <w:rsid w:val="00AD3822"/>
    <w:rsid w:val="00AD3B9B"/>
    <w:rsid w:val="00AD4653"/>
    <w:rsid w:val="00AD50B1"/>
    <w:rsid w:val="00AD61C4"/>
    <w:rsid w:val="00AD68D1"/>
    <w:rsid w:val="00AE0DAA"/>
    <w:rsid w:val="00AE1D8D"/>
    <w:rsid w:val="00AE47A4"/>
    <w:rsid w:val="00AE6163"/>
    <w:rsid w:val="00AE7DA6"/>
    <w:rsid w:val="00AF0731"/>
    <w:rsid w:val="00AF0AE5"/>
    <w:rsid w:val="00AF1B46"/>
    <w:rsid w:val="00AF1FE9"/>
    <w:rsid w:val="00AF2C2B"/>
    <w:rsid w:val="00AF53AE"/>
    <w:rsid w:val="00AF70ED"/>
    <w:rsid w:val="00AF797A"/>
    <w:rsid w:val="00AF7D7C"/>
    <w:rsid w:val="00AF7EF0"/>
    <w:rsid w:val="00B00216"/>
    <w:rsid w:val="00B0184A"/>
    <w:rsid w:val="00B032ED"/>
    <w:rsid w:val="00B04A40"/>
    <w:rsid w:val="00B0520D"/>
    <w:rsid w:val="00B05EFA"/>
    <w:rsid w:val="00B06233"/>
    <w:rsid w:val="00B068BA"/>
    <w:rsid w:val="00B07021"/>
    <w:rsid w:val="00B07E5C"/>
    <w:rsid w:val="00B110D0"/>
    <w:rsid w:val="00B112AF"/>
    <w:rsid w:val="00B118CB"/>
    <w:rsid w:val="00B128AD"/>
    <w:rsid w:val="00B15041"/>
    <w:rsid w:val="00B15414"/>
    <w:rsid w:val="00B155E2"/>
    <w:rsid w:val="00B20209"/>
    <w:rsid w:val="00B21561"/>
    <w:rsid w:val="00B25658"/>
    <w:rsid w:val="00B25CA9"/>
    <w:rsid w:val="00B26E3A"/>
    <w:rsid w:val="00B30687"/>
    <w:rsid w:val="00B30CCA"/>
    <w:rsid w:val="00B31B55"/>
    <w:rsid w:val="00B32082"/>
    <w:rsid w:val="00B32181"/>
    <w:rsid w:val="00B32A7D"/>
    <w:rsid w:val="00B35508"/>
    <w:rsid w:val="00B37C02"/>
    <w:rsid w:val="00B37DEF"/>
    <w:rsid w:val="00B40BFA"/>
    <w:rsid w:val="00B416AF"/>
    <w:rsid w:val="00B41A8A"/>
    <w:rsid w:val="00B4230A"/>
    <w:rsid w:val="00B42AD9"/>
    <w:rsid w:val="00B43259"/>
    <w:rsid w:val="00B45426"/>
    <w:rsid w:val="00B458BC"/>
    <w:rsid w:val="00B4716D"/>
    <w:rsid w:val="00B50655"/>
    <w:rsid w:val="00B5160D"/>
    <w:rsid w:val="00B51FA9"/>
    <w:rsid w:val="00B527A5"/>
    <w:rsid w:val="00B52A3F"/>
    <w:rsid w:val="00B52BE2"/>
    <w:rsid w:val="00B55899"/>
    <w:rsid w:val="00B559C7"/>
    <w:rsid w:val="00B56208"/>
    <w:rsid w:val="00B5668D"/>
    <w:rsid w:val="00B56797"/>
    <w:rsid w:val="00B57B7D"/>
    <w:rsid w:val="00B57F7E"/>
    <w:rsid w:val="00B60D63"/>
    <w:rsid w:val="00B62FAF"/>
    <w:rsid w:val="00B63552"/>
    <w:rsid w:val="00B63FD2"/>
    <w:rsid w:val="00B64926"/>
    <w:rsid w:val="00B64E1C"/>
    <w:rsid w:val="00B65001"/>
    <w:rsid w:val="00B656BC"/>
    <w:rsid w:val="00B70D11"/>
    <w:rsid w:val="00B711AB"/>
    <w:rsid w:val="00B71383"/>
    <w:rsid w:val="00B72CFA"/>
    <w:rsid w:val="00B735A3"/>
    <w:rsid w:val="00B74864"/>
    <w:rsid w:val="00B74C08"/>
    <w:rsid w:val="00B75CD8"/>
    <w:rsid w:val="00B76E8F"/>
    <w:rsid w:val="00B7706E"/>
    <w:rsid w:val="00B77179"/>
    <w:rsid w:val="00B777F3"/>
    <w:rsid w:val="00B811F7"/>
    <w:rsid w:val="00B84838"/>
    <w:rsid w:val="00B8488E"/>
    <w:rsid w:val="00B84952"/>
    <w:rsid w:val="00B87A5E"/>
    <w:rsid w:val="00B918D2"/>
    <w:rsid w:val="00B9218E"/>
    <w:rsid w:val="00B93EB7"/>
    <w:rsid w:val="00B94F02"/>
    <w:rsid w:val="00B96484"/>
    <w:rsid w:val="00B97168"/>
    <w:rsid w:val="00BA0B2E"/>
    <w:rsid w:val="00BA1D2F"/>
    <w:rsid w:val="00BA2EAC"/>
    <w:rsid w:val="00BA3E16"/>
    <w:rsid w:val="00BA5033"/>
    <w:rsid w:val="00BA5DC6"/>
    <w:rsid w:val="00BA5E0F"/>
    <w:rsid w:val="00BA602E"/>
    <w:rsid w:val="00BA6196"/>
    <w:rsid w:val="00BB18E4"/>
    <w:rsid w:val="00BB31E8"/>
    <w:rsid w:val="00BB3FFA"/>
    <w:rsid w:val="00BB425C"/>
    <w:rsid w:val="00BB427B"/>
    <w:rsid w:val="00BB5ABA"/>
    <w:rsid w:val="00BB5C13"/>
    <w:rsid w:val="00BB5D5A"/>
    <w:rsid w:val="00BB733E"/>
    <w:rsid w:val="00BC1671"/>
    <w:rsid w:val="00BC275B"/>
    <w:rsid w:val="00BC2B60"/>
    <w:rsid w:val="00BC53C0"/>
    <w:rsid w:val="00BC67BA"/>
    <w:rsid w:val="00BC6D8C"/>
    <w:rsid w:val="00BD03FF"/>
    <w:rsid w:val="00BD0D70"/>
    <w:rsid w:val="00BD27DB"/>
    <w:rsid w:val="00BD2A36"/>
    <w:rsid w:val="00BD2D2F"/>
    <w:rsid w:val="00BD35F6"/>
    <w:rsid w:val="00BD4DD2"/>
    <w:rsid w:val="00BD5172"/>
    <w:rsid w:val="00BD658F"/>
    <w:rsid w:val="00BD73A9"/>
    <w:rsid w:val="00BE0951"/>
    <w:rsid w:val="00BE2EB7"/>
    <w:rsid w:val="00BE35F8"/>
    <w:rsid w:val="00BE5191"/>
    <w:rsid w:val="00BE62D8"/>
    <w:rsid w:val="00BE67D9"/>
    <w:rsid w:val="00BE6A16"/>
    <w:rsid w:val="00BE6A54"/>
    <w:rsid w:val="00BF270A"/>
    <w:rsid w:val="00BF2937"/>
    <w:rsid w:val="00BF2F8C"/>
    <w:rsid w:val="00BF374F"/>
    <w:rsid w:val="00BF44A4"/>
    <w:rsid w:val="00BF4ACC"/>
    <w:rsid w:val="00BF5589"/>
    <w:rsid w:val="00BF5CC7"/>
    <w:rsid w:val="00C020AB"/>
    <w:rsid w:val="00C057B8"/>
    <w:rsid w:val="00C06423"/>
    <w:rsid w:val="00C07303"/>
    <w:rsid w:val="00C124C2"/>
    <w:rsid w:val="00C13735"/>
    <w:rsid w:val="00C14C1A"/>
    <w:rsid w:val="00C1533A"/>
    <w:rsid w:val="00C15C94"/>
    <w:rsid w:val="00C211A4"/>
    <w:rsid w:val="00C21F27"/>
    <w:rsid w:val="00C22096"/>
    <w:rsid w:val="00C2566D"/>
    <w:rsid w:val="00C25E75"/>
    <w:rsid w:val="00C27D3F"/>
    <w:rsid w:val="00C3074A"/>
    <w:rsid w:val="00C30AD3"/>
    <w:rsid w:val="00C3280E"/>
    <w:rsid w:val="00C32BA2"/>
    <w:rsid w:val="00C34006"/>
    <w:rsid w:val="00C34C67"/>
    <w:rsid w:val="00C359A9"/>
    <w:rsid w:val="00C360EB"/>
    <w:rsid w:val="00C37017"/>
    <w:rsid w:val="00C423AC"/>
    <w:rsid w:val="00C426B1"/>
    <w:rsid w:val="00C426D7"/>
    <w:rsid w:val="00C446D3"/>
    <w:rsid w:val="00C4696E"/>
    <w:rsid w:val="00C5028E"/>
    <w:rsid w:val="00C50CD9"/>
    <w:rsid w:val="00C510BD"/>
    <w:rsid w:val="00C51B30"/>
    <w:rsid w:val="00C52DDE"/>
    <w:rsid w:val="00C540AD"/>
    <w:rsid w:val="00C54EA3"/>
    <w:rsid w:val="00C552B0"/>
    <w:rsid w:val="00C555A1"/>
    <w:rsid w:val="00C5677F"/>
    <w:rsid w:val="00C567FA"/>
    <w:rsid w:val="00C5685B"/>
    <w:rsid w:val="00C56F02"/>
    <w:rsid w:val="00C56F3B"/>
    <w:rsid w:val="00C57157"/>
    <w:rsid w:val="00C63670"/>
    <w:rsid w:val="00C66160"/>
    <w:rsid w:val="00C67BC4"/>
    <w:rsid w:val="00C7084F"/>
    <w:rsid w:val="00C713AF"/>
    <w:rsid w:val="00C721AC"/>
    <w:rsid w:val="00C7270E"/>
    <w:rsid w:val="00C73917"/>
    <w:rsid w:val="00C7578C"/>
    <w:rsid w:val="00C75C4B"/>
    <w:rsid w:val="00C77065"/>
    <w:rsid w:val="00C81856"/>
    <w:rsid w:val="00C821D3"/>
    <w:rsid w:val="00C83040"/>
    <w:rsid w:val="00C85639"/>
    <w:rsid w:val="00C90D6A"/>
    <w:rsid w:val="00C90DEB"/>
    <w:rsid w:val="00C93141"/>
    <w:rsid w:val="00C9530A"/>
    <w:rsid w:val="00C95B17"/>
    <w:rsid w:val="00C967FC"/>
    <w:rsid w:val="00C96C3E"/>
    <w:rsid w:val="00C972AA"/>
    <w:rsid w:val="00CA0DC3"/>
    <w:rsid w:val="00CA1F58"/>
    <w:rsid w:val="00CA247E"/>
    <w:rsid w:val="00CA4029"/>
    <w:rsid w:val="00CA4205"/>
    <w:rsid w:val="00CA5D93"/>
    <w:rsid w:val="00CB019D"/>
    <w:rsid w:val="00CB03BB"/>
    <w:rsid w:val="00CB1AF8"/>
    <w:rsid w:val="00CB221E"/>
    <w:rsid w:val="00CB4F96"/>
    <w:rsid w:val="00CB658C"/>
    <w:rsid w:val="00CB66F5"/>
    <w:rsid w:val="00CB7FF0"/>
    <w:rsid w:val="00CC01B8"/>
    <w:rsid w:val="00CC0890"/>
    <w:rsid w:val="00CC0898"/>
    <w:rsid w:val="00CC0E7A"/>
    <w:rsid w:val="00CC3A17"/>
    <w:rsid w:val="00CC3AA5"/>
    <w:rsid w:val="00CC561C"/>
    <w:rsid w:val="00CC72B6"/>
    <w:rsid w:val="00CC7E76"/>
    <w:rsid w:val="00CD0D8B"/>
    <w:rsid w:val="00CD34E7"/>
    <w:rsid w:val="00CD357E"/>
    <w:rsid w:val="00CD4695"/>
    <w:rsid w:val="00CD57DD"/>
    <w:rsid w:val="00CD7138"/>
    <w:rsid w:val="00CD7A6D"/>
    <w:rsid w:val="00CE01A0"/>
    <w:rsid w:val="00CE03F8"/>
    <w:rsid w:val="00CE10BE"/>
    <w:rsid w:val="00CE1A31"/>
    <w:rsid w:val="00CE1D50"/>
    <w:rsid w:val="00CE2006"/>
    <w:rsid w:val="00CE3252"/>
    <w:rsid w:val="00CE36D7"/>
    <w:rsid w:val="00CE3D95"/>
    <w:rsid w:val="00CE5C3A"/>
    <w:rsid w:val="00CE66F1"/>
    <w:rsid w:val="00CF06B7"/>
    <w:rsid w:val="00CF182E"/>
    <w:rsid w:val="00CF1BCD"/>
    <w:rsid w:val="00CF24AC"/>
    <w:rsid w:val="00CF2F3B"/>
    <w:rsid w:val="00CF3D65"/>
    <w:rsid w:val="00CF3E02"/>
    <w:rsid w:val="00CF4E0C"/>
    <w:rsid w:val="00CF5545"/>
    <w:rsid w:val="00CF701B"/>
    <w:rsid w:val="00CF737A"/>
    <w:rsid w:val="00D00291"/>
    <w:rsid w:val="00D01D6A"/>
    <w:rsid w:val="00D0215C"/>
    <w:rsid w:val="00D0218D"/>
    <w:rsid w:val="00D039D4"/>
    <w:rsid w:val="00D03D55"/>
    <w:rsid w:val="00D05573"/>
    <w:rsid w:val="00D05C11"/>
    <w:rsid w:val="00D060B6"/>
    <w:rsid w:val="00D06560"/>
    <w:rsid w:val="00D100A6"/>
    <w:rsid w:val="00D102F3"/>
    <w:rsid w:val="00D10943"/>
    <w:rsid w:val="00D10E46"/>
    <w:rsid w:val="00D12BCB"/>
    <w:rsid w:val="00D132C9"/>
    <w:rsid w:val="00D13FFB"/>
    <w:rsid w:val="00D15365"/>
    <w:rsid w:val="00D206A1"/>
    <w:rsid w:val="00D21C69"/>
    <w:rsid w:val="00D220A5"/>
    <w:rsid w:val="00D22587"/>
    <w:rsid w:val="00D25FB5"/>
    <w:rsid w:val="00D2740B"/>
    <w:rsid w:val="00D30A26"/>
    <w:rsid w:val="00D30FF8"/>
    <w:rsid w:val="00D31042"/>
    <w:rsid w:val="00D31D44"/>
    <w:rsid w:val="00D32519"/>
    <w:rsid w:val="00D338A6"/>
    <w:rsid w:val="00D33DC5"/>
    <w:rsid w:val="00D34107"/>
    <w:rsid w:val="00D355AD"/>
    <w:rsid w:val="00D43C50"/>
    <w:rsid w:val="00D4404E"/>
    <w:rsid w:val="00D44223"/>
    <w:rsid w:val="00D44470"/>
    <w:rsid w:val="00D461DC"/>
    <w:rsid w:val="00D46484"/>
    <w:rsid w:val="00D508F6"/>
    <w:rsid w:val="00D5123D"/>
    <w:rsid w:val="00D51669"/>
    <w:rsid w:val="00D52EA5"/>
    <w:rsid w:val="00D62729"/>
    <w:rsid w:val="00D62868"/>
    <w:rsid w:val="00D62A6F"/>
    <w:rsid w:val="00D638B0"/>
    <w:rsid w:val="00D64D21"/>
    <w:rsid w:val="00D7030F"/>
    <w:rsid w:val="00D709C2"/>
    <w:rsid w:val="00D71D45"/>
    <w:rsid w:val="00D727FC"/>
    <w:rsid w:val="00D7353D"/>
    <w:rsid w:val="00D740C8"/>
    <w:rsid w:val="00D7787C"/>
    <w:rsid w:val="00D81207"/>
    <w:rsid w:val="00D81485"/>
    <w:rsid w:val="00D81BF5"/>
    <w:rsid w:val="00D85636"/>
    <w:rsid w:val="00D85B6B"/>
    <w:rsid w:val="00D86E77"/>
    <w:rsid w:val="00D873D0"/>
    <w:rsid w:val="00D877F3"/>
    <w:rsid w:val="00D91C9D"/>
    <w:rsid w:val="00D91DAC"/>
    <w:rsid w:val="00D920B0"/>
    <w:rsid w:val="00D937E3"/>
    <w:rsid w:val="00D9436F"/>
    <w:rsid w:val="00D944C5"/>
    <w:rsid w:val="00D947C9"/>
    <w:rsid w:val="00D94C52"/>
    <w:rsid w:val="00D94E81"/>
    <w:rsid w:val="00D958A2"/>
    <w:rsid w:val="00D96E61"/>
    <w:rsid w:val="00D97557"/>
    <w:rsid w:val="00D97CEA"/>
    <w:rsid w:val="00D97D94"/>
    <w:rsid w:val="00DA1051"/>
    <w:rsid w:val="00DA1FE3"/>
    <w:rsid w:val="00DA2529"/>
    <w:rsid w:val="00DA2578"/>
    <w:rsid w:val="00DA311F"/>
    <w:rsid w:val="00DA3700"/>
    <w:rsid w:val="00DA4B1B"/>
    <w:rsid w:val="00DA5525"/>
    <w:rsid w:val="00DA5E4F"/>
    <w:rsid w:val="00DA7762"/>
    <w:rsid w:val="00DB05E0"/>
    <w:rsid w:val="00DB130A"/>
    <w:rsid w:val="00DB2946"/>
    <w:rsid w:val="00DB2EBB"/>
    <w:rsid w:val="00DB3823"/>
    <w:rsid w:val="00DB39BE"/>
    <w:rsid w:val="00DC10A1"/>
    <w:rsid w:val="00DC1775"/>
    <w:rsid w:val="00DC3D4F"/>
    <w:rsid w:val="00DC53E6"/>
    <w:rsid w:val="00DC655F"/>
    <w:rsid w:val="00DC682D"/>
    <w:rsid w:val="00DC7F4E"/>
    <w:rsid w:val="00DD0B59"/>
    <w:rsid w:val="00DD1ABE"/>
    <w:rsid w:val="00DD4797"/>
    <w:rsid w:val="00DD4AFC"/>
    <w:rsid w:val="00DD52FC"/>
    <w:rsid w:val="00DD5DEA"/>
    <w:rsid w:val="00DD5E75"/>
    <w:rsid w:val="00DD64BA"/>
    <w:rsid w:val="00DD7070"/>
    <w:rsid w:val="00DD7EBD"/>
    <w:rsid w:val="00DE0EE2"/>
    <w:rsid w:val="00DE377B"/>
    <w:rsid w:val="00DE438B"/>
    <w:rsid w:val="00DE6C3A"/>
    <w:rsid w:val="00DF0222"/>
    <w:rsid w:val="00DF212B"/>
    <w:rsid w:val="00DF2A10"/>
    <w:rsid w:val="00DF3EA3"/>
    <w:rsid w:val="00DF3F7D"/>
    <w:rsid w:val="00DF5196"/>
    <w:rsid w:val="00DF62B6"/>
    <w:rsid w:val="00DF6B76"/>
    <w:rsid w:val="00E03E37"/>
    <w:rsid w:val="00E0554D"/>
    <w:rsid w:val="00E06191"/>
    <w:rsid w:val="00E06B4F"/>
    <w:rsid w:val="00E07225"/>
    <w:rsid w:val="00E10AB2"/>
    <w:rsid w:val="00E11690"/>
    <w:rsid w:val="00E11BF9"/>
    <w:rsid w:val="00E11E9C"/>
    <w:rsid w:val="00E13D54"/>
    <w:rsid w:val="00E14467"/>
    <w:rsid w:val="00E151E9"/>
    <w:rsid w:val="00E169EB"/>
    <w:rsid w:val="00E16BA4"/>
    <w:rsid w:val="00E177C7"/>
    <w:rsid w:val="00E17C3D"/>
    <w:rsid w:val="00E203D1"/>
    <w:rsid w:val="00E203D4"/>
    <w:rsid w:val="00E2185A"/>
    <w:rsid w:val="00E224C0"/>
    <w:rsid w:val="00E245B8"/>
    <w:rsid w:val="00E24EFB"/>
    <w:rsid w:val="00E26AAE"/>
    <w:rsid w:val="00E26FBF"/>
    <w:rsid w:val="00E356EE"/>
    <w:rsid w:val="00E37434"/>
    <w:rsid w:val="00E41E4A"/>
    <w:rsid w:val="00E41EAC"/>
    <w:rsid w:val="00E42115"/>
    <w:rsid w:val="00E42581"/>
    <w:rsid w:val="00E43CEE"/>
    <w:rsid w:val="00E4417B"/>
    <w:rsid w:val="00E44330"/>
    <w:rsid w:val="00E445C4"/>
    <w:rsid w:val="00E44FEB"/>
    <w:rsid w:val="00E45ED9"/>
    <w:rsid w:val="00E464EF"/>
    <w:rsid w:val="00E472C6"/>
    <w:rsid w:val="00E47F59"/>
    <w:rsid w:val="00E50102"/>
    <w:rsid w:val="00E504D2"/>
    <w:rsid w:val="00E5239A"/>
    <w:rsid w:val="00E52627"/>
    <w:rsid w:val="00E534FC"/>
    <w:rsid w:val="00E5409F"/>
    <w:rsid w:val="00E546C7"/>
    <w:rsid w:val="00E55D1C"/>
    <w:rsid w:val="00E60019"/>
    <w:rsid w:val="00E61042"/>
    <w:rsid w:val="00E61572"/>
    <w:rsid w:val="00E62621"/>
    <w:rsid w:val="00E641AF"/>
    <w:rsid w:val="00E64D38"/>
    <w:rsid w:val="00E64E84"/>
    <w:rsid w:val="00E66820"/>
    <w:rsid w:val="00E6689C"/>
    <w:rsid w:val="00E7116F"/>
    <w:rsid w:val="00E722A1"/>
    <w:rsid w:val="00E72A4E"/>
    <w:rsid w:val="00E7310B"/>
    <w:rsid w:val="00E81B2B"/>
    <w:rsid w:val="00E8297E"/>
    <w:rsid w:val="00E831F0"/>
    <w:rsid w:val="00E83227"/>
    <w:rsid w:val="00E8400F"/>
    <w:rsid w:val="00E842B7"/>
    <w:rsid w:val="00E85BD2"/>
    <w:rsid w:val="00E85D67"/>
    <w:rsid w:val="00E87A9E"/>
    <w:rsid w:val="00E91080"/>
    <w:rsid w:val="00E91B55"/>
    <w:rsid w:val="00E94E52"/>
    <w:rsid w:val="00E965B7"/>
    <w:rsid w:val="00E9681E"/>
    <w:rsid w:val="00E96E61"/>
    <w:rsid w:val="00E96E95"/>
    <w:rsid w:val="00E97AE2"/>
    <w:rsid w:val="00EA06D5"/>
    <w:rsid w:val="00EA1271"/>
    <w:rsid w:val="00EA2466"/>
    <w:rsid w:val="00EA2C14"/>
    <w:rsid w:val="00EA3DC5"/>
    <w:rsid w:val="00EA4361"/>
    <w:rsid w:val="00EA5104"/>
    <w:rsid w:val="00EA5140"/>
    <w:rsid w:val="00EA5786"/>
    <w:rsid w:val="00EA5B8B"/>
    <w:rsid w:val="00EA6E5A"/>
    <w:rsid w:val="00EB2BA4"/>
    <w:rsid w:val="00EB436B"/>
    <w:rsid w:val="00EB483B"/>
    <w:rsid w:val="00EB4CFC"/>
    <w:rsid w:val="00EB6476"/>
    <w:rsid w:val="00EB7E5E"/>
    <w:rsid w:val="00EC400D"/>
    <w:rsid w:val="00EC62F1"/>
    <w:rsid w:val="00EC72D7"/>
    <w:rsid w:val="00EC7914"/>
    <w:rsid w:val="00ED0A20"/>
    <w:rsid w:val="00ED1336"/>
    <w:rsid w:val="00ED27E1"/>
    <w:rsid w:val="00ED2912"/>
    <w:rsid w:val="00ED35E9"/>
    <w:rsid w:val="00ED49B6"/>
    <w:rsid w:val="00ED4FCD"/>
    <w:rsid w:val="00ED53CB"/>
    <w:rsid w:val="00ED5827"/>
    <w:rsid w:val="00ED6565"/>
    <w:rsid w:val="00ED709B"/>
    <w:rsid w:val="00ED786C"/>
    <w:rsid w:val="00ED79DA"/>
    <w:rsid w:val="00EE0B38"/>
    <w:rsid w:val="00EE2282"/>
    <w:rsid w:val="00EE2BA5"/>
    <w:rsid w:val="00EE3241"/>
    <w:rsid w:val="00EE4441"/>
    <w:rsid w:val="00EE547D"/>
    <w:rsid w:val="00EE556C"/>
    <w:rsid w:val="00EE6416"/>
    <w:rsid w:val="00EE6488"/>
    <w:rsid w:val="00EE7008"/>
    <w:rsid w:val="00EE7A43"/>
    <w:rsid w:val="00EF1151"/>
    <w:rsid w:val="00EF15DF"/>
    <w:rsid w:val="00EF1A8D"/>
    <w:rsid w:val="00EF1E0D"/>
    <w:rsid w:val="00EF2413"/>
    <w:rsid w:val="00EF34B5"/>
    <w:rsid w:val="00EF41E9"/>
    <w:rsid w:val="00EF4D21"/>
    <w:rsid w:val="00EF4DD2"/>
    <w:rsid w:val="00EF5681"/>
    <w:rsid w:val="00EF7818"/>
    <w:rsid w:val="00F0077A"/>
    <w:rsid w:val="00F021FA"/>
    <w:rsid w:val="00F025A7"/>
    <w:rsid w:val="00F03B5A"/>
    <w:rsid w:val="00F03EE6"/>
    <w:rsid w:val="00F0502D"/>
    <w:rsid w:val="00F058DF"/>
    <w:rsid w:val="00F06CD2"/>
    <w:rsid w:val="00F07A23"/>
    <w:rsid w:val="00F10799"/>
    <w:rsid w:val="00F1131E"/>
    <w:rsid w:val="00F122BD"/>
    <w:rsid w:val="00F127A3"/>
    <w:rsid w:val="00F12813"/>
    <w:rsid w:val="00F140EB"/>
    <w:rsid w:val="00F14951"/>
    <w:rsid w:val="00F17033"/>
    <w:rsid w:val="00F17D10"/>
    <w:rsid w:val="00F20339"/>
    <w:rsid w:val="00F20455"/>
    <w:rsid w:val="00F2416F"/>
    <w:rsid w:val="00F24475"/>
    <w:rsid w:val="00F256CA"/>
    <w:rsid w:val="00F25FCC"/>
    <w:rsid w:val="00F27914"/>
    <w:rsid w:val="00F312B1"/>
    <w:rsid w:val="00F324BB"/>
    <w:rsid w:val="00F32B8D"/>
    <w:rsid w:val="00F33118"/>
    <w:rsid w:val="00F34EB2"/>
    <w:rsid w:val="00F35719"/>
    <w:rsid w:val="00F40913"/>
    <w:rsid w:val="00F42C39"/>
    <w:rsid w:val="00F4307F"/>
    <w:rsid w:val="00F447D5"/>
    <w:rsid w:val="00F4595F"/>
    <w:rsid w:val="00F4689D"/>
    <w:rsid w:val="00F46EEA"/>
    <w:rsid w:val="00F47660"/>
    <w:rsid w:val="00F50334"/>
    <w:rsid w:val="00F50787"/>
    <w:rsid w:val="00F520D0"/>
    <w:rsid w:val="00F523F9"/>
    <w:rsid w:val="00F52516"/>
    <w:rsid w:val="00F54711"/>
    <w:rsid w:val="00F553C4"/>
    <w:rsid w:val="00F56F03"/>
    <w:rsid w:val="00F60AC9"/>
    <w:rsid w:val="00F6209A"/>
    <w:rsid w:val="00F6251B"/>
    <w:rsid w:val="00F62E97"/>
    <w:rsid w:val="00F63645"/>
    <w:rsid w:val="00F64209"/>
    <w:rsid w:val="00F64297"/>
    <w:rsid w:val="00F64936"/>
    <w:rsid w:val="00F64A41"/>
    <w:rsid w:val="00F65EE7"/>
    <w:rsid w:val="00F6696E"/>
    <w:rsid w:val="00F671B6"/>
    <w:rsid w:val="00F6735E"/>
    <w:rsid w:val="00F67518"/>
    <w:rsid w:val="00F70E01"/>
    <w:rsid w:val="00F710F6"/>
    <w:rsid w:val="00F72F7C"/>
    <w:rsid w:val="00F73CE2"/>
    <w:rsid w:val="00F7440C"/>
    <w:rsid w:val="00F7464D"/>
    <w:rsid w:val="00F75F4B"/>
    <w:rsid w:val="00F7617A"/>
    <w:rsid w:val="00F80160"/>
    <w:rsid w:val="00F80532"/>
    <w:rsid w:val="00F824EA"/>
    <w:rsid w:val="00F83956"/>
    <w:rsid w:val="00F8460A"/>
    <w:rsid w:val="00F84C90"/>
    <w:rsid w:val="00F8504D"/>
    <w:rsid w:val="00F8612A"/>
    <w:rsid w:val="00F86272"/>
    <w:rsid w:val="00F86F9A"/>
    <w:rsid w:val="00F87B48"/>
    <w:rsid w:val="00F90A56"/>
    <w:rsid w:val="00F926F1"/>
    <w:rsid w:val="00F92C47"/>
    <w:rsid w:val="00F92D5D"/>
    <w:rsid w:val="00F93BF5"/>
    <w:rsid w:val="00F93F6A"/>
    <w:rsid w:val="00F94317"/>
    <w:rsid w:val="00F95023"/>
    <w:rsid w:val="00F95AC5"/>
    <w:rsid w:val="00F95CB6"/>
    <w:rsid w:val="00F95E57"/>
    <w:rsid w:val="00FA2494"/>
    <w:rsid w:val="00FA3EAE"/>
    <w:rsid w:val="00FA48F3"/>
    <w:rsid w:val="00FA5474"/>
    <w:rsid w:val="00FA6999"/>
    <w:rsid w:val="00FA735A"/>
    <w:rsid w:val="00FB08BA"/>
    <w:rsid w:val="00FB2281"/>
    <w:rsid w:val="00FB284B"/>
    <w:rsid w:val="00FB46EC"/>
    <w:rsid w:val="00FB4AD9"/>
    <w:rsid w:val="00FB55BE"/>
    <w:rsid w:val="00FB597A"/>
    <w:rsid w:val="00FB75BD"/>
    <w:rsid w:val="00FB7C6D"/>
    <w:rsid w:val="00FC0452"/>
    <w:rsid w:val="00FC076C"/>
    <w:rsid w:val="00FC2AAE"/>
    <w:rsid w:val="00FC2C3B"/>
    <w:rsid w:val="00FC3431"/>
    <w:rsid w:val="00FC4FEB"/>
    <w:rsid w:val="00FC5B04"/>
    <w:rsid w:val="00FC7522"/>
    <w:rsid w:val="00FC7C41"/>
    <w:rsid w:val="00FC7DC5"/>
    <w:rsid w:val="00FD50C0"/>
    <w:rsid w:val="00FD5286"/>
    <w:rsid w:val="00FD5496"/>
    <w:rsid w:val="00FD54A7"/>
    <w:rsid w:val="00FD5596"/>
    <w:rsid w:val="00FD619D"/>
    <w:rsid w:val="00FD665F"/>
    <w:rsid w:val="00FD6E2A"/>
    <w:rsid w:val="00FD7B90"/>
    <w:rsid w:val="00FD7F97"/>
    <w:rsid w:val="00FE0B25"/>
    <w:rsid w:val="00FE221A"/>
    <w:rsid w:val="00FE3CC9"/>
    <w:rsid w:val="00FE50A8"/>
    <w:rsid w:val="00FE5DCD"/>
    <w:rsid w:val="00FF012B"/>
    <w:rsid w:val="00FF33CA"/>
    <w:rsid w:val="00FF63F8"/>
    <w:rsid w:val="00FF7015"/>
    <w:rsid w:val="00FF776C"/>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91C"/>
    <w:pPr>
      <w:widowControl w:val="0"/>
    </w:pPr>
    <w:rPr>
      <w:snapToGrid w:val="0"/>
      <w:kern w:val="28"/>
      <w:sz w:val="22"/>
    </w:rPr>
  </w:style>
  <w:style w:type="paragraph" w:styleId="Heading1">
    <w:name w:val="heading 1"/>
    <w:basedOn w:val="Normal"/>
    <w:next w:val="ParaNum"/>
    <w:link w:val="Heading1Char"/>
    <w:qFormat/>
    <w:rsid w:val="002B091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091C"/>
    <w:pPr>
      <w:keepNext/>
      <w:numPr>
        <w:ilvl w:val="1"/>
        <w:numId w:val="2"/>
      </w:numPr>
      <w:spacing w:after="120"/>
      <w:outlineLvl w:val="1"/>
    </w:pPr>
    <w:rPr>
      <w:b/>
    </w:rPr>
  </w:style>
  <w:style w:type="paragraph" w:styleId="Heading3">
    <w:name w:val="heading 3"/>
    <w:basedOn w:val="Normal"/>
    <w:next w:val="ParaNum"/>
    <w:qFormat/>
    <w:rsid w:val="002B091C"/>
    <w:pPr>
      <w:keepNext/>
      <w:numPr>
        <w:ilvl w:val="2"/>
        <w:numId w:val="2"/>
      </w:numPr>
      <w:tabs>
        <w:tab w:val="left" w:pos="2160"/>
      </w:tabs>
      <w:spacing w:after="120"/>
      <w:outlineLvl w:val="2"/>
    </w:pPr>
    <w:rPr>
      <w:b/>
    </w:rPr>
  </w:style>
  <w:style w:type="paragraph" w:styleId="Heading4">
    <w:name w:val="heading 4"/>
    <w:basedOn w:val="Normal"/>
    <w:next w:val="ParaNum"/>
    <w:qFormat/>
    <w:rsid w:val="002B091C"/>
    <w:pPr>
      <w:keepNext/>
      <w:numPr>
        <w:ilvl w:val="3"/>
        <w:numId w:val="2"/>
      </w:numPr>
      <w:tabs>
        <w:tab w:val="left" w:pos="2880"/>
      </w:tabs>
      <w:spacing w:after="120"/>
      <w:outlineLvl w:val="3"/>
    </w:pPr>
    <w:rPr>
      <w:b/>
    </w:rPr>
  </w:style>
  <w:style w:type="paragraph" w:styleId="Heading5">
    <w:name w:val="heading 5"/>
    <w:basedOn w:val="Normal"/>
    <w:next w:val="ParaNum"/>
    <w:qFormat/>
    <w:rsid w:val="002B091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B091C"/>
    <w:pPr>
      <w:numPr>
        <w:ilvl w:val="5"/>
        <w:numId w:val="2"/>
      </w:numPr>
      <w:tabs>
        <w:tab w:val="left" w:pos="4320"/>
      </w:tabs>
      <w:spacing w:after="120"/>
      <w:outlineLvl w:val="5"/>
    </w:pPr>
    <w:rPr>
      <w:b/>
    </w:rPr>
  </w:style>
  <w:style w:type="paragraph" w:styleId="Heading7">
    <w:name w:val="heading 7"/>
    <w:basedOn w:val="Normal"/>
    <w:next w:val="ParaNum"/>
    <w:qFormat/>
    <w:rsid w:val="002B091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B091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B091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09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091C"/>
  </w:style>
  <w:style w:type="paragraph" w:customStyle="1" w:styleId="ParaNum">
    <w:name w:val="ParaNum"/>
    <w:basedOn w:val="Normal"/>
    <w:link w:val="ParaNumChar"/>
    <w:rsid w:val="002B091C"/>
    <w:pPr>
      <w:numPr>
        <w:numId w:val="1"/>
      </w:numPr>
      <w:tabs>
        <w:tab w:val="clear" w:pos="1080"/>
        <w:tab w:val="num" w:pos="1440"/>
      </w:tabs>
      <w:spacing w:after="120"/>
    </w:pPr>
  </w:style>
  <w:style w:type="paragraph" w:styleId="EndnoteText">
    <w:name w:val="endnote text"/>
    <w:basedOn w:val="Normal"/>
    <w:semiHidden/>
    <w:rsid w:val="002B091C"/>
    <w:rPr>
      <w:sz w:val="20"/>
    </w:rPr>
  </w:style>
  <w:style w:type="character" w:styleId="EndnoteReference">
    <w:name w:val="endnote reference"/>
    <w:semiHidden/>
    <w:rsid w:val="002B091C"/>
    <w:rPr>
      <w:vertAlign w:val="superscript"/>
    </w:rPr>
  </w:style>
  <w:style w:type="paragraph" w:styleId="FootnoteText">
    <w:name w:val="footnote text"/>
    <w:aliases w:val="Footnote Text Char3,Footnote Text Char Char3,Footnote Text Char1 Char Char3,Footnote Text Char Char Char Char3,Footnote Text Char1 Char Char3 Char Char,Footnote Text Char Char Char Char3 Char Char,Footnote Text Char,Footnote Text Char1,ft"/>
    <w:link w:val="FootnoteTextChar2"/>
    <w:rsid w:val="002B091C"/>
    <w:pPr>
      <w:spacing w:after="120"/>
    </w:pPr>
  </w:style>
  <w:style w:type="character" w:styleId="FootnoteReference">
    <w:name w:val="footnote reference"/>
    <w:aliases w:val="Appel note de bas de p"/>
    <w:rsid w:val="002B091C"/>
    <w:rPr>
      <w:rFonts w:ascii="Times New Roman" w:hAnsi="Times New Roman"/>
      <w:dstrike w:val="0"/>
      <w:color w:val="auto"/>
      <w:sz w:val="20"/>
      <w:vertAlign w:val="superscript"/>
    </w:rPr>
  </w:style>
  <w:style w:type="paragraph" w:styleId="TOC1">
    <w:name w:val="toc 1"/>
    <w:basedOn w:val="Normal"/>
    <w:next w:val="Normal"/>
    <w:semiHidden/>
    <w:rsid w:val="002B09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091C"/>
    <w:pPr>
      <w:tabs>
        <w:tab w:val="left" w:pos="720"/>
        <w:tab w:val="right" w:leader="dot" w:pos="9360"/>
      </w:tabs>
      <w:suppressAutoHyphens/>
      <w:ind w:left="720" w:right="720" w:hanging="360"/>
    </w:pPr>
    <w:rPr>
      <w:noProof/>
    </w:rPr>
  </w:style>
  <w:style w:type="paragraph" w:styleId="TOC3">
    <w:name w:val="toc 3"/>
    <w:basedOn w:val="Normal"/>
    <w:next w:val="Normal"/>
    <w:semiHidden/>
    <w:rsid w:val="002B09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09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09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09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09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09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09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091C"/>
    <w:pPr>
      <w:tabs>
        <w:tab w:val="right" w:pos="9360"/>
      </w:tabs>
      <w:suppressAutoHyphens/>
    </w:pPr>
  </w:style>
  <w:style w:type="character" w:customStyle="1" w:styleId="EquationCaption">
    <w:name w:val="_Equation Caption"/>
    <w:rsid w:val="002B091C"/>
  </w:style>
  <w:style w:type="paragraph" w:styleId="Header">
    <w:name w:val="header"/>
    <w:basedOn w:val="Normal"/>
    <w:autoRedefine/>
    <w:rsid w:val="002B091C"/>
    <w:pPr>
      <w:tabs>
        <w:tab w:val="center" w:pos="4680"/>
        <w:tab w:val="right" w:pos="9360"/>
      </w:tabs>
    </w:pPr>
    <w:rPr>
      <w:b/>
    </w:rPr>
  </w:style>
  <w:style w:type="paragraph" w:styleId="Footer">
    <w:name w:val="footer"/>
    <w:basedOn w:val="Normal"/>
    <w:rsid w:val="002B091C"/>
    <w:pPr>
      <w:tabs>
        <w:tab w:val="center" w:pos="4320"/>
        <w:tab w:val="right" w:pos="8640"/>
      </w:tabs>
    </w:pPr>
  </w:style>
  <w:style w:type="character" w:styleId="PageNumber">
    <w:name w:val="page number"/>
    <w:basedOn w:val="DefaultParagraphFont"/>
    <w:rsid w:val="002B091C"/>
  </w:style>
  <w:style w:type="paragraph" w:styleId="BlockText">
    <w:name w:val="Block Text"/>
    <w:basedOn w:val="Normal"/>
    <w:rsid w:val="002B091C"/>
    <w:pPr>
      <w:spacing w:after="240"/>
      <w:ind w:left="1440" w:right="1440"/>
    </w:pPr>
  </w:style>
  <w:style w:type="paragraph" w:customStyle="1" w:styleId="Paratitle">
    <w:name w:val="Para title"/>
    <w:basedOn w:val="Normal"/>
    <w:rsid w:val="002B091C"/>
    <w:pPr>
      <w:tabs>
        <w:tab w:val="center" w:pos="9270"/>
      </w:tabs>
      <w:spacing w:after="240"/>
    </w:pPr>
    <w:rPr>
      <w:spacing w:val="-2"/>
    </w:rPr>
  </w:style>
  <w:style w:type="paragraph" w:customStyle="1" w:styleId="Bullet">
    <w:name w:val="Bullet"/>
    <w:basedOn w:val="Normal"/>
    <w:rsid w:val="002B091C"/>
    <w:pPr>
      <w:tabs>
        <w:tab w:val="left" w:pos="2160"/>
      </w:tabs>
      <w:spacing w:after="220"/>
      <w:ind w:left="2160" w:hanging="720"/>
    </w:pPr>
  </w:style>
  <w:style w:type="paragraph" w:customStyle="1" w:styleId="TableFormat">
    <w:name w:val="TableFormat"/>
    <w:basedOn w:val="Bullet"/>
    <w:rsid w:val="002B091C"/>
    <w:pPr>
      <w:tabs>
        <w:tab w:val="clear" w:pos="2160"/>
        <w:tab w:val="left" w:pos="5040"/>
      </w:tabs>
      <w:ind w:left="5040" w:hanging="3600"/>
    </w:pPr>
  </w:style>
  <w:style w:type="paragraph" w:customStyle="1" w:styleId="TOCTitle">
    <w:name w:val="TOC Title"/>
    <w:basedOn w:val="Normal"/>
    <w:rsid w:val="002B09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091C"/>
    <w:pPr>
      <w:jc w:val="center"/>
    </w:pPr>
    <w:rPr>
      <w:rFonts w:ascii="Times New Roman Bold" w:hAnsi="Times New Roman Bold"/>
      <w:b/>
      <w:bCs/>
      <w:caps/>
      <w:szCs w:val="22"/>
    </w:rPr>
  </w:style>
  <w:style w:type="character" w:styleId="Hyperlink">
    <w:name w:val="Hyperlink"/>
    <w:rsid w:val="002B091C"/>
    <w:rPr>
      <w:color w:val="0000FF"/>
      <w:u w:val="single"/>
    </w:rPr>
  </w:style>
  <w:style w:type="character" w:customStyle="1" w:styleId="FootnoteTextChar2">
    <w:name w:val="Footnote Text Char2"/>
    <w:aliases w:val="Footnote Text Char3 Char,Footnote Text Char Char3 Char,Footnote Text Char1 Char Char3 Char,Footnote Text Char Char Char Char3 Char,Footnote Text Char1 Char Char3 Char Char Char,Footnote Text Char Char Char Char3 Char Char Char"/>
    <w:link w:val="FootnoteText"/>
    <w:rsid w:val="00B32181"/>
  </w:style>
  <w:style w:type="paragraph" w:styleId="Caption">
    <w:name w:val="caption"/>
    <w:basedOn w:val="Normal"/>
    <w:next w:val="Normal"/>
    <w:qFormat/>
    <w:rsid w:val="005C0FF4"/>
    <w:pPr>
      <w:spacing w:before="120" w:after="120"/>
    </w:pPr>
    <w:rPr>
      <w:b/>
    </w:rPr>
  </w:style>
  <w:style w:type="character" w:customStyle="1" w:styleId="FootnoteTextChar1CharChar">
    <w:name w:val="Footnote Text Char1 Char Char"/>
    <w:aliases w:val="Footnote Text Char Char Char Char,Footnote Text Char1 Char Char Char Char,Footnote Text Char Char Char Char Char Char,Footnote Text Char1 Char Char Char Char Char Char,ft Char Char Char1"/>
    <w:semiHidden/>
    <w:locked/>
    <w:rsid w:val="006433F4"/>
  </w:style>
  <w:style w:type="paragraph" w:styleId="BalloonText">
    <w:name w:val="Balloon Text"/>
    <w:basedOn w:val="Normal"/>
    <w:link w:val="BalloonTextChar"/>
    <w:rsid w:val="0011540E"/>
    <w:rPr>
      <w:rFonts w:ascii="Tahoma" w:hAnsi="Tahoma" w:cs="Tahoma"/>
      <w:snapToGrid/>
      <w:sz w:val="16"/>
      <w:szCs w:val="16"/>
    </w:rPr>
  </w:style>
  <w:style w:type="character" w:customStyle="1" w:styleId="BalloonTextChar">
    <w:name w:val="Balloon Text Char"/>
    <w:basedOn w:val="DefaultParagraphFont"/>
    <w:link w:val="BalloonText"/>
    <w:rsid w:val="0011540E"/>
    <w:rPr>
      <w:rFonts w:ascii="Tahoma" w:hAnsi="Tahoma" w:cs="Tahoma"/>
      <w:snapToGrid w:val="0"/>
      <w:kern w:val="28"/>
      <w:sz w:val="16"/>
      <w:szCs w:val="16"/>
    </w:rPr>
  </w:style>
  <w:style w:type="character" w:customStyle="1" w:styleId="ParaNumChar">
    <w:name w:val="ParaNum Char"/>
    <w:basedOn w:val="DefaultParagraphFont"/>
    <w:link w:val="ParaNum"/>
    <w:locked/>
    <w:rsid w:val="00B5668D"/>
    <w:rPr>
      <w:snapToGrid w:val="0"/>
      <w:kern w:val="28"/>
      <w:sz w:val="22"/>
    </w:rPr>
  </w:style>
  <w:style w:type="character" w:customStyle="1" w:styleId="searchterm">
    <w:name w:val="searchterm"/>
    <w:basedOn w:val="DefaultParagraphFont"/>
    <w:rsid w:val="0052021E"/>
  </w:style>
  <w:style w:type="character" w:styleId="CommentReference">
    <w:name w:val="annotation reference"/>
    <w:basedOn w:val="DefaultParagraphFont"/>
    <w:rsid w:val="00E06B4F"/>
    <w:rPr>
      <w:sz w:val="16"/>
      <w:szCs w:val="16"/>
    </w:rPr>
  </w:style>
  <w:style w:type="paragraph" w:styleId="CommentText">
    <w:name w:val="annotation text"/>
    <w:basedOn w:val="Normal"/>
    <w:link w:val="CommentTextChar"/>
    <w:rsid w:val="00E06B4F"/>
    <w:rPr>
      <w:sz w:val="20"/>
    </w:rPr>
  </w:style>
  <w:style w:type="character" w:customStyle="1" w:styleId="CommentTextChar">
    <w:name w:val="Comment Text Char"/>
    <w:basedOn w:val="DefaultParagraphFont"/>
    <w:link w:val="CommentText"/>
    <w:rsid w:val="00E06B4F"/>
    <w:rPr>
      <w:snapToGrid w:val="0"/>
      <w:kern w:val="28"/>
    </w:rPr>
  </w:style>
  <w:style w:type="paragraph" w:styleId="CommentSubject">
    <w:name w:val="annotation subject"/>
    <w:basedOn w:val="CommentText"/>
    <w:next w:val="CommentText"/>
    <w:link w:val="CommentSubjectChar"/>
    <w:rsid w:val="00E06B4F"/>
    <w:rPr>
      <w:b/>
      <w:bCs/>
    </w:rPr>
  </w:style>
  <w:style w:type="character" w:customStyle="1" w:styleId="CommentSubjectChar">
    <w:name w:val="Comment Subject Char"/>
    <w:basedOn w:val="CommentTextChar"/>
    <w:link w:val="CommentSubject"/>
    <w:rsid w:val="00E06B4F"/>
    <w:rPr>
      <w:b/>
      <w:bCs/>
      <w:snapToGrid w:val="0"/>
      <w:kern w:val="28"/>
    </w:rPr>
  </w:style>
  <w:style w:type="character" w:customStyle="1" w:styleId="Heading1Char">
    <w:name w:val="Heading 1 Char"/>
    <w:basedOn w:val="DefaultParagraphFont"/>
    <w:link w:val="Heading1"/>
    <w:rsid w:val="00442579"/>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91C"/>
    <w:pPr>
      <w:widowControl w:val="0"/>
    </w:pPr>
    <w:rPr>
      <w:snapToGrid w:val="0"/>
      <w:kern w:val="28"/>
      <w:sz w:val="22"/>
    </w:rPr>
  </w:style>
  <w:style w:type="paragraph" w:styleId="Heading1">
    <w:name w:val="heading 1"/>
    <w:basedOn w:val="Normal"/>
    <w:next w:val="ParaNum"/>
    <w:link w:val="Heading1Char"/>
    <w:qFormat/>
    <w:rsid w:val="002B091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091C"/>
    <w:pPr>
      <w:keepNext/>
      <w:numPr>
        <w:ilvl w:val="1"/>
        <w:numId w:val="2"/>
      </w:numPr>
      <w:spacing w:after="120"/>
      <w:outlineLvl w:val="1"/>
    </w:pPr>
    <w:rPr>
      <w:b/>
    </w:rPr>
  </w:style>
  <w:style w:type="paragraph" w:styleId="Heading3">
    <w:name w:val="heading 3"/>
    <w:basedOn w:val="Normal"/>
    <w:next w:val="ParaNum"/>
    <w:qFormat/>
    <w:rsid w:val="002B091C"/>
    <w:pPr>
      <w:keepNext/>
      <w:numPr>
        <w:ilvl w:val="2"/>
        <w:numId w:val="2"/>
      </w:numPr>
      <w:tabs>
        <w:tab w:val="left" w:pos="2160"/>
      </w:tabs>
      <w:spacing w:after="120"/>
      <w:outlineLvl w:val="2"/>
    </w:pPr>
    <w:rPr>
      <w:b/>
    </w:rPr>
  </w:style>
  <w:style w:type="paragraph" w:styleId="Heading4">
    <w:name w:val="heading 4"/>
    <w:basedOn w:val="Normal"/>
    <w:next w:val="ParaNum"/>
    <w:qFormat/>
    <w:rsid w:val="002B091C"/>
    <w:pPr>
      <w:keepNext/>
      <w:numPr>
        <w:ilvl w:val="3"/>
        <w:numId w:val="2"/>
      </w:numPr>
      <w:tabs>
        <w:tab w:val="left" w:pos="2880"/>
      </w:tabs>
      <w:spacing w:after="120"/>
      <w:outlineLvl w:val="3"/>
    </w:pPr>
    <w:rPr>
      <w:b/>
    </w:rPr>
  </w:style>
  <w:style w:type="paragraph" w:styleId="Heading5">
    <w:name w:val="heading 5"/>
    <w:basedOn w:val="Normal"/>
    <w:next w:val="ParaNum"/>
    <w:qFormat/>
    <w:rsid w:val="002B091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B091C"/>
    <w:pPr>
      <w:numPr>
        <w:ilvl w:val="5"/>
        <w:numId w:val="2"/>
      </w:numPr>
      <w:tabs>
        <w:tab w:val="left" w:pos="4320"/>
      </w:tabs>
      <w:spacing w:after="120"/>
      <w:outlineLvl w:val="5"/>
    </w:pPr>
    <w:rPr>
      <w:b/>
    </w:rPr>
  </w:style>
  <w:style w:type="paragraph" w:styleId="Heading7">
    <w:name w:val="heading 7"/>
    <w:basedOn w:val="Normal"/>
    <w:next w:val="ParaNum"/>
    <w:qFormat/>
    <w:rsid w:val="002B091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B091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B091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09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091C"/>
  </w:style>
  <w:style w:type="paragraph" w:customStyle="1" w:styleId="ParaNum">
    <w:name w:val="ParaNum"/>
    <w:basedOn w:val="Normal"/>
    <w:link w:val="ParaNumChar"/>
    <w:rsid w:val="002B091C"/>
    <w:pPr>
      <w:numPr>
        <w:numId w:val="1"/>
      </w:numPr>
      <w:tabs>
        <w:tab w:val="clear" w:pos="1080"/>
        <w:tab w:val="num" w:pos="1440"/>
      </w:tabs>
      <w:spacing w:after="120"/>
    </w:pPr>
  </w:style>
  <w:style w:type="paragraph" w:styleId="EndnoteText">
    <w:name w:val="endnote text"/>
    <w:basedOn w:val="Normal"/>
    <w:semiHidden/>
    <w:rsid w:val="002B091C"/>
    <w:rPr>
      <w:sz w:val="20"/>
    </w:rPr>
  </w:style>
  <w:style w:type="character" w:styleId="EndnoteReference">
    <w:name w:val="endnote reference"/>
    <w:semiHidden/>
    <w:rsid w:val="002B091C"/>
    <w:rPr>
      <w:vertAlign w:val="superscript"/>
    </w:rPr>
  </w:style>
  <w:style w:type="paragraph" w:styleId="FootnoteText">
    <w:name w:val="footnote text"/>
    <w:aliases w:val="Footnote Text Char3,Footnote Text Char Char3,Footnote Text Char1 Char Char3,Footnote Text Char Char Char Char3,Footnote Text Char1 Char Char3 Char Char,Footnote Text Char Char Char Char3 Char Char,Footnote Text Char,Footnote Text Char1,ft"/>
    <w:link w:val="FootnoteTextChar2"/>
    <w:rsid w:val="002B091C"/>
    <w:pPr>
      <w:spacing w:after="120"/>
    </w:pPr>
  </w:style>
  <w:style w:type="character" w:styleId="FootnoteReference">
    <w:name w:val="footnote reference"/>
    <w:aliases w:val="Appel note de bas de p"/>
    <w:rsid w:val="002B091C"/>
    <w:rPr>
      <w:rFonts w:ascii="Times New Roman" w:hAnsi="Times New Roman"/>
      <w:dstrike w:val="0"/>
      <w:color w:val="auto"/>
      <w:sz w:val="20"/>
      <w:vertAlign w:val="superscript"/>
    </w:rPr>
  </w:style>
  <w:style w:type="paragraph" w:styleId="TOC1">
    <w:name w:val="toc 1"/>
    <w:basedOn w:val="Normal"/>
    <w:next w:val="Normal"/>
    <w:semiHidden/>
    <w:rsid w:val="002B09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091C"/>
    <w:pPr>
      <w:tabs>
        <w:tab w:val="left" w:pos="720"/>
        <w:tab w:val="right" w:leader="dot" w:pos="9360"/>
      </w:tabs>
      <w:suppressAutoHyphens/>
      <w:ind w:left="720" w:right="720" w:hanging="360"/>
    </w:pPr>
    <w:rPr>
      <w:noProof/>
    </w:rPr>
  </w:style>
  <w:style w:type="paragraph" w:styleId="TOC3">
    <w:name w:val="toc 3"/>
    <w:basedOn w:val="Normal"/>
    <w:next w:val="Normal"/>
    <w:semiHidden/>
    <w:rsid w:val="002B09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09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09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09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09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09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09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091C"/>
    <w:pPr>
      <w:tabs>
        <w:tab w:val="right" w:pos="9360"/>
      </w:tabs>
      <w:suppressAutoHyphens/>
    </w:pPr>
  </w:style>
  <w:style w:type="character" w:customStyle="1" w:styleId="EquationCaption">
    <w:name w:val="_Equation Caption"/>
    <w:rsid w:val="002B091C"/>
  </w:style>
  <w:style w:type="paragraph" w:styleId="Header">
    <w:name w:val="header"/>
    <w:basedOn w:val="Normal"/>
    <w:autoRedefine/>
    <w:rsid w:val="002B091C"/>
    <w:pPr>
      <w:tabs>
        <w:tab w:val="center" w:pos="4680"/>
        <w:tab w:val="right" w:pos="9360"/>
      </w:tabs>
    </w:pPr>
    <w:rPr>
      <w:b/>
    </w:rPr>
  </w:style>
  <w:style w:type="paragraph" w:styleId="Footer">
    <w:name w:val="footer"/>
    <w:basedOn w:val="Normal"/>
    <w:rsid w:val="002B091C"/>
    <w:pPr>
      <w:tabs>
        <w:tab w:val="center" w:pos="4320"/>
        <w:tab w:val="right" w:pos="8640"/>
      </w:tabs>
    </w:pPr>
  </w:style>
  <w:style w:type="character" w:styleId="PageNumber">
    <w:name w:val="page number"/>
    <w:basedOn w:val="DefaultParagraphFont"/>
    <w:rsid w:val="002B091C"/>
  </w:style>
  <w:style w:type="paragraph" w:styleId="BlockText">
    <w:name w:val="Block Text"/>
    <w:basedOn w:val="Normal"/>
    <w:rsid w:val="002B091C"/>
    <w:pPr>
      <w:spacing w:after="240"/>
      <w:ind w:left="1440" w:right="1440"/>
    </w:pPr>
  </w:style>
  <w:style w:type="paragraph" w:customStyle="1" w:styleId="Paratitle">
    <w:name w:val="Para title"/>
    <w:basedOn w:val="Normal"/>
    <w:rsid w:val="002B091C"/>
    <w:pPr>
      <w:tabs>
        <w:tab w:val="center" w:pos="9270"/>
      </w:tabs>
      <w:spacing w:after="240"/>
    </w:pPr>
    <w:rPr>
      <w:spacing w:val="-2"/>
    </w:rPr>
  </w:style>
  <w:style w:type="paragraph" w:customStyle="1" w:styleId="Bullet">
    <w:name w:val="Bullet"/>
    <w:basedOn w:val="Normal"/>
    <w:rsid w:val="002B091C"/>
    <w:pPr>
      <w:tabs>
        <w:tab w:val="left" w:pos="2160"/>
      </w:tabs>
      <w:spacing w:after="220"/>
      <w:ind w:left="2160" w:hanging="720"/>
    </w:pPr>
  </w:style>
  <w:style w:type="paragraph" w:customStyle="1" w:styleId="TableFormat">
    <w:name w:val="TableFormat"/>
    <w:basedOn w:val="Bullet"/>
    <w:rsid w:val="002B091C"/>
    <w:pPr>
      <w:tabs>
        <w:tab w:val="clear" w:pos="2160"/>
        <w:tab w:val="left" w:pos="5040"/>
      </w:tabs>
      <w:ind w:left="5040" w:hanging="3600"/>
    </w:pPr>
  </w:style>
  <w:style w:type="paragraph" w:customStyle="1" w:styleId="TOCTitle">
    <w:name w:val="TOC Title"/>
    <w:basedOn w:val="Normal"/>
    <w:rsid w:val="002B09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091C"/>
    <w:pPr>
      <w:jc w:val="center"/>
    </w:pPr>
    <w:rPr>
      <w:rFonts w:ascii="Times New Roman Bold" w:hAnsi="Times New Roman Bold"/>
      <w:b/>
      <w:bCs/>
      <w:caps/>
      <w:szCs w:val="22"/>
    </w:rPr>
  </w:style>
  <w:style w:type="character" w:styleId="Hyperlink">
    <w:name w:val="Hyperlink"/>
    <w:rsid w:val="002B091C"/>
    <w:rPr>
      <w:color w:val="0000FF"/>
      <w:u w:val="single"/>
    </w:rPr>
  </w:style>
  <w:style w:type="character" w:customStyle="1" w:styleId="FootnoteTextChar2">
    <w:name w:val="Footnote Text Char2"/>
    <w:aliases w:val="Footnote Text Char3 Char,Footnote Text Char Char3 Char,Footnote Text Char1 Char Char3 Char,Footnote Text Char Char Char Char3 Char,Footnote Text Char1 Char Char3 Char Char Char,Footnote Text Char Char Char Char3 Char Char Char"/>
    <w:link w:val="FootnoteText"/>
    <w:rsid w:val="00B32181"/>
  </w:style>
  <w:style w:type="paragraph" w:styleId="Caption">
    <w:name w:val="caption"/>
    <w:basedOn w:val="Normal"/>
    <w:next w:val="Normal"/>
    <w:qFormat/>
    <w:rsid w:val="005C0FF4"/>
    <w:pPr>
      <w:spacing w:before="120" w:after="120"/>
    </w:pPr>
    <w:rPr>
      <w:b/>
    </w:rPr>
  </w:style>
  <w:style w:type="character" w:customStyle="1" w:styleId="FootnoteTextChar1CharChar">
    <w:name w:val="Footnote Text Char1 Char Char"/>
    <w:aliases w:val="Footnote Text Char Char Char Char,Footnote Text Char1 Char Char Char Char,Footnote Text Char Char Char Char Char Char,Footnote Text Char1 Char Char Char Char Char Char,ft Char Char Char1"/>
    <w:semiHidden/>
    <w:locked/>
    <w:rsid w:val="006433F4"/>
  </w:style>
  <w:style w:type="paragraph" w:styleId="BalloonText">
    <w:name w:val="Balloon Text"/>
    <w:basedOn w:val="Normal"/>
    <w:link w:val="BalloonTextChar"/>
    <w:rsid w:val="0011540E"/>
    <w:rPr>
      <w:rFonts w:ascii="Tahoma" w:hAnsi="Tahoma" w:cs="Tahoma"/>
      <w:snapToGrid/>
      <w:sz w:val="16"/>
      <w:szCs w:val="16"/>
    </w:rPr>
  </w:style>
  <w:style w:type="character" w:customStyle="1" w:styleId="BalloonTextChar">
    <w:name w:val="Balloon Text Char"/>
    <w:basedOn w:val="DefaultParagraphFont"/>
    <w:link w:val="BalloonText"/>
    <w:rsid w:val="0011540E"/>
    <w:rPr>
      <w:rFonts w:ascii="Tahoma" w:hAnsi="Tahoma" w:cs="Tahoma"/>
      <w:snapToGrid w:val="0"/>
      <w:kern w:val="28"/>
      <w:sz w:val="16"/>
      <w:szCs w:val="16"/>
    </w:rPr>
  </w:style>
  <w:style w:type="character" w:customStyle="1" w:styleId="ParaNumChar">
    <w:name w:val="ParaNum Char"/>
    <w:basedOn w:val="DefaultParagraphFont"/>
    <w:link w:val="ParaNum"/>
    <w:locked/>
    <w:rsid w:val="00B5668D"/>
    <w:rPr>
      <w:snapToGrid w:val="0"/>
      <w:kern w:val="28"/>
      <w:sz w:val="22"/>
    </w:rPr>
  </w:style>
  <w:style w:type="character" w:customStyle="1" w:styleId="searchterm">
    <w:name w:val="searchterm"/>
    <w:basedOn w:val="DefaultParagraphFont"/>
    <w:rsid w:val="0052021E"/>
  </w:style>
  <w:style w:type="character" w:styleId="CommentReference">
    <w:name w:val="annotation reference"/>
    <w:basedOn w:val="DefaultParagraphFont"/>
    <w:rsid w:val="00E06B4F"/>
    <w:rPr>
      <w:sz w:val="16"/>
      <w:szCs w:val="16"/>
    </w:rPr>
  </w:style>
  <w:style w:type="paragraph" w:styleId="CommentText">
    <w:name w:val="annotation text"/>
    <w:basedOn w:val="Normal"/>
    <w:link w:val="CommentTextChar"/>
    <w:rsid w:val="00E06B4F"/>
    <w:rPr>
      <w:sz w:val="20"/>
    </w:rPr>
  </w:style>
  <w:style w:type="character" w:customStyle="1" w:styleId="CommentTextChar">
    <w:name w:val="Comment Text Char"/>
    <w:basedOn w:val="DefaultParagraphFont"/>
    <w:link w:val="CommentText"/>
    <w:rsid w:val="00E06B4F"/>
    <w:rPr>
      <w:snapToGrid w:val="0"/>
      <w:kern w:val="28"/>
    </w:rPr>
  </w:style>
  <w:style w:type="paragraph" w:styleId="CommentSubject">
    <w:name w:val="annotation subject"/>
    <w:basedOn w:val="CommentText"/>
    <w:next w:val="CommentText"/>
    <w:link w:val="CommentSubjectChar"/>
    <w:rsid w:val="00E06B4F"/>
    <w:rPr>
      <w:b/>
      <w:bCs/>
    </w:rPr>
  </w:style>
  <w:style w:type="character" w:customStyle="1" w:styleId="CommentSubjectChar">
    <w:name w:val="Comment Subject Char"/>
    <w:basedOn w:val="CommentTextChar"/>
    <w:link w:val="CommentSubject"/>
    <w:rsid w:val="00E06B4F"/>
    <w:rPr>
      <w:b/>
      <w:bCs/>
      <w:snapToGrid w:val="0"/>
      <w:kern w:val="28"/>
    </w:rPr>
  </w:style>
  <w:style w:type="character" w:customStyle="1" w:styleId="Heading1Char">
    <w:name w:val="Heading 1 Char"/>
    <w:basedOn w:val="DefaultParagraphFont"/>
    <w:link w:val="Heading1"/>
    <w:rsid w:val="00442579"/>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935">
      <w:bodyDiv w:val="1"/>
      <w:marLeft w:val="0"/>
      <w:marRight w:val="0"/>
      <w:marTop w:val="0"/>
      <w:marBottom w:val="0"/>
      <w:divBdr>
        <w:top w:val="none" w:sz="0" w:space="0" w:color="auto"/>
        <w:left w:val="none" w:sz="0" w:space="0" w:color="auto"/>
        <w:bottom w:val="none" w:sz="0" w:space="0" w:color="auto"/>
        <w:right w:val="none" w:sz="0" w:space="0" w:color="auto"/>
      </w:divBdr>
    </w:div>
    <w:div w:id="1279947252">
      <w:bodyDiv w:val="1"/>
      <w:marLeft w:val="0"/>
      <w:marRight w:val="0"/>
      <w:marTop w:val="0"/>
      <w:marBottom w:val="0"/>
      <w:divBdr>
        <w:top w:val="none" w:sz="0" w:space="0" w:color="auto"/>
        <w:left w:val="none" w:sz="0" w:space="0" w:color="auto"/>
        <w:bottom w:val="none" w:sz="0" w:space="0" w:color="auto"/>
        <w:right w:val="none" w:sz="0" w:space="0" w:color="auto"/>
      </w:divBdr>
    </w:div>
    <w:div w:id="1580286954">
      <w:bodyDiv w:val="1"/>
      <w:marLeft w:val="0"/>
      <w:marRight w:val="0"/>
      <w:marTop w:val="0"/>
      <w:marBottom w:val="0"/>
      <w:divBdr>
        <w:top w:val="none" w:sz="0" w:space="0" w:color="auto"/>
        <w:left w:val="none" w:sz="0" w:space="0" w:color="auto"/>
        <w:bottom w:val="none" w:sz="0" w:space="0" w:color="auto"/>
        <w:right w:val="none" w:sz="0" w:space="0" w:color="auto"/>
      </w:divBdr>
    </w:div>
    <w:div w:id="1845590763">
      <w:bodyDiv w:val="1"/>
      <w:marLeft w:val="0"/>
      <w:marRight w:val="0"/>
      <w:marTop w:val="0"/>
      <w:marBottom w:val="0"/>
      <w:divBdr>
        <w:top w:val="none" w:sz="0" w:space="0" w:color="auto"/>
        <w:left w:val="none" w:sz="0" w:space="0" w:color="auto"/>
        <w:bottom w:val="none" w:sz="0" w:space="0" w:color="auto"/>
        <w:right w:val="none" w:sz="0" w:space="0" w:color="auto"/>
      </w:divBdr>
    </w:div>
    <w:div w:id="20388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780&amp;tc=-1&amp;rp=%2ffind%2fdefault.wl&amp;findtype=Y&amp;ordoc=2029482599&amp;serialnum=1983129661&amp;vr=2.0&amp;fn=_top&amp;sv=Split&amp;tf=-1&amp;referencepositiontype=S&amp;pbc=A758ADAC&amp;referenceposition=43&amp;rs=WLW1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2052</Words>
  <Characters>11157</Characters>
  <Application>Microsoft Office Word</Application>
  <DocSecurity>0</DocSecurity>
  <Lines>173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2015-04-17T15:03:00Z</dcterms:created>
  <dcterms:modified xsi:type="dcterms:W3CDTF">2015-04-17T15:03:00Z</dcterms:modified>
  <cp:category> </cp:category>
  <cp:contentStatus> </cp:contentStatus>
</cp:coreProperties>
</file>