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Pr="006D73F2" w:rsidRDefault="00467653">
      <w:pPr>
        <w:pStyle w:val="Title"/>
        <w:rPr>
          <w:szCs w:val="22"/>
        </w:rPr>
      </w:pPr>
      <w:bookmarkStart w:id="0" w:name="_GoBack"/>
      <w:bookmarkEnd w:id="0"/>
      <w:r w:rsidRPr="006D73F2">
        <w:rPr>
          <w:szCs w:val="22"/>
        </w:rPr>
        <w:t>Before the</w:t>
      </w:r>
    </w:p>
    <w:p w:rsidR="00467653" w:rsidRPr="006D73F2" w:rsidRDefault="00467653">
      <w:pPr>
        <w:tabs>
          <w:tab w:val="center" w:pos="4680"/>
        </w:tabs>
        <w:spacing w:line="226" w:lineRule="auto"/>
        <w:jc w:val="center"/>
        <w:rPr>
          <w:b/>
          <w:szCs w:val="22"/>
        </w:rPr>
      </w:pPr>
      <w:r w:rsidRPr="006D73F2">
        <w:rPr>
          <w:b/>
          <w:szCs w:val="22"/>
        </w:rPr>
        <w:t>Federal Communications Commission</w:t>
      </w:r>
    </w:p>
    <w:p w:rsidR="00467653" w:rsidRPr="006D73F2" w:rsidRDefault="00467653">
      <w:pPr>
        <w:tabs>
          <w:tab w:val="center" w:pos="4680"/>
        </w:tabs>
        <w:spacing w:line="226" w:lineRule="auto"/>
        <w:jc w:val="center"/>
        <w:rPr>
          <w:szCs w:val="22"/>
        </w:rPr>
      </w:pPr>
      <w:r w:rsidRPr="006D73F2">
        <w:rPr>
          <w:b/>
          <w:szCs w:val="22"/>
        </w:rPr>
        <w:t>Washington, DC 20554</w:t>
      </w:r>
    </w:p>
    <w:p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rsidTr="00677CC4">
        <w:tc>
          <w:tcPr>
            <w:tcW w:w="4590" w:type="dxa"/>
          </w:tcPr>
          <w:p w:rsidR="003264EC" w:rsidRPr="006D73F2" w:rsidRDefault="003264EC" w:rsidP="00303553">
            <w:pPr>
              <w:rPr>
                <w:szCs w:val="22"/>
              </w:rPr>
            </w:pPr>
            <w:r w:rsidRPr="006D73F2">
              <w:rPr>
                <w:spacing w:val="-2"/>
                <w:szCs w:val="22"/>
              </w:rPr>
              <w:t>In the Matter of</w:t>
            </w:r>
            <w:r w:rsidRPr="006D73F2">
              <w:rPr>
                <w:szCs w:val="22"/>
              </w:rPr>
              <w:t xml:space="preserve"> </w:t>
            </w:r>
          </w:p>
          <w:p w:rsidR="003264EC" w:rsidRPr="006D73F2" w:rsidRDefault="003264EC" w:rsidP="00303553">
            <w:pPr>
              <w:rPr>
                <w:szCs w:val="22"/>
              </w:rPr>
            </w:pPr>
          </w:p>
          <w:p w:rsidR="003264EC" w:rsidRPr="006D73F2" w:rsidRDefault="0012171E" w:rsidP="00303553">
            <w:pPr>
              <w:rPr>
                <w:spacing w:val="-2"/>
                <w:szCs w:val="22"/>
              </w:rPr>
            </w:pPr>
            <w:r>
              <w:rPr>
                <w:spacing w:val="-2"/>
                <w:szCs w:val="22"/>
              </w:rPr>
              <w:t>Security First of Alabama, LLC</w:t>
            </w:r>
          </w:p>
        </w:tc>
        <w:tc>
          <w:tcPr>
            <w:tcW w:w="270" w:type="dxa"/>
          </w:tcPr>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rsidR="003264EC" w:rsidRPr="006D73F2" w:rsidRDefault="003264EC" w:rsidP="00303553">
            <w:pPr>
              <w:tabs>
                <w:tab w:val="center" w:pos="4680"/>
              </w:tabs>
              <w:suppressAutoHyphens/>
              <w:spacing w:line="240" w:lineRule="atLeast"/>
              <w:jc w:val="both"/>
              <w:outlineLvl w:val="0"/>
              <w:rPr>
                <w:szCs w:val="22"/>
              </w:rPr>
            </w:pPr>
          </w:p>
        </w:tc>
        <w:tc>
          <w:tcPr>
            <w:tcW w:w="4680" w:type="dxa"/>
          </w:tcPr>
          <w:p w:rsidR="003264EC" w:rsidRDefault="003264EC" w:rsidP="00303553">
            <w:pPr>
              <w:rPr>
                <w:spacing w:val="-2"/>
                <w:szCs w:val="22"/>
              </w:rPr>
            </w:pPr>
          </w:p>
          <w:p w:rsidR="00013CCB" w:rsidRPr="006D73F2" w:rsidRDefault="00013CCB" w:rsidP="00303553">
            <w:pPr>
              <w:rPr>
                <w:spacing w:val="-2"/>
                <w:szCs w:val="22"/>
              </w:rPr>
            </w:pPr>
          </w:p>
          <w:p w:rsidR="003264EC" w:rsidRPr="006D73F2" w:rsidRDefault="003264EC" w:rsidP="00303553">
            <w:pPr>
              <w:ind w:left="702"/>
              <w:rPr>
                <w:szCs w:val="22"/>
              </w:rPr>
            </w:pPr>
            <w:r w:rsidRPr="006D73F2">
              <w:rPr>
                <w:szCs w:val="22"/>
              </w:rPr>
              <w:t>File No.:  EB-</w:t>
            </w:r>
            <w:r w:rsidR="0012171E">
              <w:rPr>
                <w:szCs w:val="22"/>
              </w:rPr>
              <w:t>TCD-12-00000258</w:t>
            </w:r>
            <w:r w:rsidR="00824132" w:rsidRPr="00B27008">
              <w:rPr>
                <w:rStyle w:val="FootnoteReference"/>
                <w:spacing w:val="-2"/>
                <w:sz w:val="22"/>
              </w:rPr>
              <w:footnoteReference w:id="2"/>
            </w:r>
          </w:p>
          <w:p w:rsidR="003264EC" w:rsidRPr="006D73F2" w:rsidRDefault="003264EC" w:rsidP="00303553">
            <w:pPr>
              <w:ind w:left="702"/>
              <w:rPr>
                <w:szCs w:val="22"/>
              </w:rPr>
            </w:pPr>
            <w:r w:rsidRPr="006D73F2">
              <w:rPr>
                <w:szCs w:val="22"/>
              </w:rPr>
              <w:t xml:space="preserve">NAL/Acct. No.:  </w:t>
            </w:r>
            <w:r w:rsidR="0012171E">
              <w:rPr>
                <w:szCs w:val="22"/>
              </w:rPr>
              <w:t>201132170017</w:t>
            </w:r>
          </w:p>
          <w:p w:rsidR="003264EC" w:rsidRPr="006D73F2" w:rsidRDefault="003264EC" w:rsidP="0012171E">
            <w:pPr>
              <w:ind w:left="702"/>
              <w:rPr>
                <w:szCs w:val="22"/>
              </w:rPr>
            </w:pPr>
            <w:r w:rsidRPr="006D73F2">
              <w:rPr>
                <w:szCs w:val="22"/>
              </w:rPr>
              <w:t xml:space="preserve">FRN:  </w:t>
            </w:r>
            <w:r w:rsidR="0012171E">
              <w:rPr>
                <w:szCs w:val="22"/>
              </w:rPr>
              <w:t>0020780128</w:t>
            </w:r>
            <w:r w:rsidRPr="006D73F2">
              <w:rPr>
                <w:szCs w:val="22"/>
              </w:rPr>
              <w:t xml:space="preserve">    </w:t>
            </w:r>
          </w:p>
        </w:tc>
      </w:tr>
    </w:tbl>
    <w:p w:rsidR="00467653" w:rsidRPr="00A92341" w:rsidRDefault="00467653" w:rsidP="00A92341">
      <w:pPr>
        <w:jc w:val="center"/>
        <w:rPr>
          <w:b/>
        </w:rPr>
      </w:pPr>
      <w:r w:rsidRPr="00A92341">
        <w:rPr>
          <w:b/>
        </w:rPr>
        <w:t>FORFEITURE ORDER</w:t>
      </w:r>
    </w:p>
    <w:p w:rsidR="00EE33F3" w:rsidRPr="006D73F2" w:rsidRDefault="00EE33F3" w:rsidP="005362D6">
      <w:pPr>
        <w:spacing w:line="226" w:lineRule="auto"/>
        <w:jc w:val="both"/>
        <w:rPr>
          <w:b/>
          <w:szCs w:val="22"/>
        </w:rPr>
      </w:pPr>
    </w:p>
    <w:p w:rsidR="00467653" w:rsidRPr="00B27008" w:rsidRDefault="000B4327" w:rsidP="00BE3B9A">
      <w:pPr>
        <w:spacing w:line="226" w:lineRule="auto"/>
        <w:rPr>
          <w:b/>
        </w:rPr>
      </w:pPr>
      <w:r>
        <w:rPr>
          <w:b/>
          <w:szCs w:val="22"/>
        </w:rPr>
        <w:t xml:space="preserve">Adopted: </w:t>
      </w:r>
      <w:r w:rsidR="00EA76A7">
        <w:rPr>
          <w:b/>
          <w:szCs w:val="22"/>
        </w:rPr>
        <w:t>February 13, 2015</w:t>
      </w:r>
      <w:r w:rsidR="00467653" w:rsidRPr="00B27008">
        <w:rPr>
          <w:b/>
        </w:rPr>
        <w:tab/>
      </w:r>
      <w:r w:rsidR="00467653" w:rsidRPr="00816F70">
        <w:rPr>
          <w:b/>
          <w:szCs w:val="22"/>
        </w:rPr>
        <w:tab/>
      </w:r>
      <w:r w:rsidR="00467653" w:rsidRPr="00816F70">
        <w:rPr>
          <w:b/>
          <w:szCs w:val="22"/>
        </w:rPr>
        <w:tab/>
      </w:r>
      <w:r w:rsidR="00467653" w:rsidRPr="00816F70">
        <w:rPr>
          <w:b/>
          <w:szCs w:val="22"/>
        </w:rPr>
        <w:tab/>
      </w:r>
      <w:r w:rsidR="00467653" w:rsidRPr="00816F70">
        <w:rPr>
          <w:b/>
          <w:szCs w:val="22"/>
        </w:rPr>
        <w:tab/>
        <w:t xml:space="preserve">        </w:t>
      </w:r>
      <w:r w:rsidR="00EA76A7">
        <w:rPr>
          <w:b/>
          <w:szCs w:val="22"/>
        </w:rPr>
        <w:tab/>
        <w:t xml:space="preserve">   </w:t>
      </w:r>
      <w:r w:rsidR="00467653" w:rsidRPr="00816F70">
        <w:rPr>
          <w:b/>
          <w:szCs w:val="22"/>
        </w:rPr>
        <w:t>Released:</w:t>
      </w:r>
      <w:r>
        <w:rPr>
          <w:b/>
          <w:szCs w:val="22"/>
        </w:rPr>
        <w:t xml:space="preserve"> </w:t>
      </w:r>
      <w:r w:rsidR="00EA76A7">
        <w:rPr>
          <w:b/>
        </w:rPr>
        <w:t>February</w:t>
      </w:r>
      <w:r w:rsidR="00823FF9">
        <w:rPr>
          <w:b/>
        </w:rPr>
        <w:t xml:space="preserve"> </w:t>
      </w:r>
      <w:r w:rsidR="00EA76A7">
        <w:rPr>
          <w:b/>
        </w:rPr>
        <w:t>18, 2015</w:t>
      </w:r>
    </w:p>
    <w:p w:rsidR="00467653" w:rsidRPr="006D73F2" w:rsidRDefault="00467653">
      <w:pPr>
        <w:spacing w:line="226" w:lineRule="auto"/>
        <w:jc w:val="both"/>
        <w:rPr>
          <w:b/>
          <w:szCs w:val="22"/>
        </w:rPr>
      </w:pPr>
    </w:p>
    <w:p w:rsidR="00467653" w:rsidRPr="006D73F2" w:rsidRDefault="00467653">
      <w:pPr>
        <w:tabs>
          <w:tab w:val="left" w:pos="720"/>
          <w:tab w:val="left" w:pos="5760"/>
        </w:tabs>
        <w:suppressAutoHyphens/>
        <w:spacing w:line="227" w:lineRule="auto"/>
        <w:jc w:val="both"/>
        <w:rPr>
          <w:spacing w:val="-2"/>
          <w:szCs w:val="22"/>
        </w:rPr>
      </w:pPr>
      <w:r w:rsidRPr="006D73F2">
        <w:rPr>
          <w:spacing w:val="-2"/>
          <w:szCs w:val="22"/>
        </w:rPr>
        <w:t>By the</w:t>
      </w:r>
      <w:r w:rsidR="0012171E">
        <w:rPr>
          <w:spacing w:val="-2"/>
          <w:szCs w:val="22"/>
        </w:rPr>
        <w:t xml:space="preserve"> </w:t>
      </w:r>
      <w:r w:rsidR="004867FB" w:rsidRPr="006D73F2">
        <w:rPr>
          <w:spacing w:val="-2"/>
          <w:szCs w:val="22"/>
        </w:rPr>
        <w:t>Commission</w:t>
      </w:r>
      <w:r w:rsidRPr="006D73F2">
        <w:rPr>
          <w:spacing w:val="-2"/>
          <w:szCs w:val="22"/>
        </w:rPr>
        <w:t>:</w:t>
      </w:r>
    </w:p>
    <w:p w:rsidR="00467653" w:rsidRPr="006D73F2" w:rsidRDefault="00467653">
      <w:pPr>
        <w:tabs>
          <w:tab w:val="left" w:pos="0"/>
        </w:tabs>
        <w:suppressAutoHyphens/>
        <w:spacing w:line="240" w:lineRule="atLeast"/>
        <w:jc w:val="both"/>
        <w:rPr>
          <w:spacing w:val="-2"/>
          <w:szCs w:val="22"/>
        </w:rPr>
      </w:pPr>
    </w:p>
    <w:p w:rsidR="00824132" w:rsidRDefault="00824132" w:rsidP="00A92341">
      <w:pPr>
        <w:pStyle w:val="ParaNum"/>
      </w:pPr>
      <w:r w:rsidRPr="006D73F2">
        <w:t>We impose a penalty of $</w:t>
      </w:r>
      <w:r>
        <w:t>342,000</w:t>
      </w:r>
      <w:r w:rsidRPr="006D73F2">
        <w:t xml:space="preserve"> against </w:t>
      </w:r>
      <w:r>
        <w:t>Security First of Alabama, LLC</w:t>
      </w:r>
      <w:r w:rsidRPr="006D73F2">
        <w:t xml:space="preserve"> (</w:t>
      </w:r>
      <w:r>
        <w:t>Security First</w:t>
      </w:r>
      <w:r w:rsidRPr="006D73F2">
        <w:t xml:space="preserve">) for </w:t>
      </w:r>
      <w:r>
        <w:t>delivering 43 unsolicited, prerecorded advertising messages to 33 consumers</w:t>
      </w:r>
      <w:r w:rsidRPr="006D73F2">
        <w:t>.</w:t>
      </w:r>
      <w:r>
        <w:t xml:space="preserve">  </w:t>
      </w:r>
      <w:r w:rsidR="0063255A">
        <w:t>The Telephone Consumer Protection Act (TCPA) generally requires telemarketers to obtain a consumer’s prior express consent before making calls using prerecorded voice</w:t>
      </w:r>
      <w:r w:rsidR="00FD2470">
        <w:t xml:space="preserve"> message</w:t>
      </w:r>
      <w:r w:rsidR="0063255A">
        <w:t xml:space="preserve">s.  The Commission has adopted rules implementing the TCPA, and we </w:t>
      </w:r>
      <w:r>
        <w:t>hold Security First accountable for its violations of these rules.</w:t>
      </w:r>
    </w:p>
    <w:p w:rsidR="006D73F2" w:rsidRPr="006D73F2" w:rsidRDefault="008E0506" w:rsidP="00CD60EE">
      <w:pPr>
        <w:pStyle w:val="ParaNum"/>
        <w:widowControl/>
      </w:pPr>
      <w:r w:rsidRPr="006D73F2">
        <w:t>O</w:t>
      </w:r>
      <w:r w:rsidR="003264EC" w:rsidRPr="006D73F2">
        <w:t xml:space="preserve">n </w:t>
      </w:r>
      <w:r w:rsidR="00824132">
        <w:t>April 14, 2011</w:t>
      </w:r>
      <w:r w:rsidR="00EC393B" w:rsidRPr="006D73F2">
        <w:t xml:space="preserve">, the </w:t>
      </w:r>
      <w:r w:rsidR="00172FB7" w:rsidRPr="006D73F2">
        <w:t xml:space="preserve">Commission </w:t>
      </w:r>
      <w:r w:rsidR="00467653" w:rsidRPr="006D73F2">
        <w:t xml:space="preserve">issued </w:t>
      </w:r>
      <w:r w:rsidR="00816F70">
        <w:t>a</w:t>
      </w:r>
      <w:r w:rsidR="00172FB7" w:rsidRPr="006D73F2">
        <w:t xml:space="preserve"> </w:t>
      </w:r>
      <w:r w:rsidR="00816F70">
        <w:t>Notice of Apparent Liability for Forfeiture (</w:t>
      </w:r>
      <w:r w:rsidR="00467653" w:rsidRPr="006D73F2">
        <w:rPr>
          <w:i/>
        </w:rPr>
        <w:t>NAL</w:t>
      </w:r>
      <w:r w:rsidR="00816F70">
        <w:t>)</w:t>
      </w:r>
      <w:r w:rsidR="009F11A1" w:rsidRPr="006D73F2">
        <w:t xml:space="preserve"> </w:t>
      </w:r>
      <w:r w:rsidR="008F7F2E" w:rsidRPr="006D73F2">
        <w:t>proposing a $</w:t>
      </w:r>
      <w:r w:rsidR="00824132">
        <w:t>342,000</w:t>
      </w:r>
      <w:r w:rsidR="007C0C63" w:rsidRPr="006D73F2">
        <w:t xml:space="preserve"> </w:t>
      </w:r>
      <w:r w:rsidR="008F7F2E" w:rsidRPr="006D73F2">
        <w:t>forfeiture against</w:t>
      </w:r>
      <w:r w:rsidR="007C0C63" w:rsidRPr="006D73F2">
        <w:t xml:space="preserve"> </w:t>
      </w:r>
      <w:r w:rsidR="00824132">
        <w:t>Security First</w:t>
      </w:r>
      <w:r w:rsidR="00824132" w:rsidRPr="00B27008">
        <w:rPr>
          <w:rStyle w:val="FootnoteReference"/>
          <w:spacing w:val="-2"/>
          <w:sz w:val="22"/>
        </w:rPr>
        <w:footnoteReference w:id="3"/>
      </w:r>
      <w:r w:rsidR="00824132" w:rsidRPr="006D73F2">
        <w:rPr>
          <w:i/>
          <w:color w:val="000000"/>
        </w:rPr>
        <w:t xml:space="preserve"> </w:t>
      </w:r>
      <w:r w:rsidRPr="006D73F2">
        <w:rPr>
          <w:color w:val="000000"/>
        </w:rPr>
        <w:t xml:space="preserve">for willful and repeated violation of </w:t>
      </w:r>
      <w:r w:rsidR="00322608">
        <w:rPr>
          <w:color w:val="000000"/>
        </w:rPr>
        <w:t>Section 227(b)(1)(B) of the Communications Act of 1934, as amended</w:t>
      </w:r>
      <w:r w:rsidR="00CF2E84">
        <w:rPr>
          <w:color w:val="000000"/>
        </w:rPr>
        <w:t xml:space="preserve"> (Act)</w:t>
      </w:r>
      <w:r w:rsidR="00C07134">
        <w:rPr>
          <w:color w:val="000000"/>
        </w:rPr>
        <w:t>,</w:t>
      </w:r>
      <w:r w:rsidR="00322608" w:rsidRPr="00B27008">
        <w:rPr>
          <w:rStyle w:val="FootnoteReference"/>
          <w:spacing w:val="-2"/>
          <w:sz w:val="22"/>
        </w:rPr>
        <w:footnoteReference w:id="4"/>
      </w:r>
      <w:r w:rsidR="00322608" w:rsidRPr="006D73F2">
        <w:rPr>
          <w:i/>
          <w:color w:val="000000"/>
        </w:rPr>
        <w:t xml:space="preserve"> </w:t>
      </w:r>
      <w:r w:rsidR="00322608">
        <w:rPr>
          <w:color w:val="000000"/>
        </w:rPr>
        <w:t>and Section 64.1200(a)(2) of the Commission’s rules</w:t>
      </w:r>
      <w:r w:rsidR="00CF2E84">
        <w:rPr>
          <w:color w:val="000000"/>
        </w:rPr>
        <w:t xml:space="preserve"> (Rules)</w:t>
      </w:r>
      <w:r w:rsidR="00322608">
        <w:rPr>
          <w:color w:val="000000"/>
        </w:rPr>
        <w:t>, as that section existed at the time of the violations,</w:t>
      </w:r>
      <w:r w:rsidR="00322608" w:rsidRPr="00322608">
        <w:rPr>
          <w:rStyle w:val="FootnoteReference"/>
          <w:sz w:val="22"/>
          <w:szCs w:val="22"/>
        </w:rPr>
        <w:t xml:space="preserve"> </w:t>
      </w:r>
      <w:r w:rsidR="00322608" w:rsidRPr="006D73F2">
        <w:rPr>
          <w:rStyle w:val="FootnoteReference"/>
          <w:sz w:val="22"/>
          <w:szCs w:val="22"/>
        </w:rPr>
        <w:footnoteReference w:id="5"/>
      </w:r>
      <w:r w:rsidR="00322608">
        <w:rPr>
          <w:color w:val="000000"/>
        </w:rPr>
        <w:t xml:space="preserve"> </w:t>
      </w:r>
      <w:r w:rsidR="008F7F2E" w:rsidRPr="006D73F2">
        <w:rPr>
          <w:color w:val="000000"/>
        </w:rPr>
        <w:t xml:space="preserve">by </w:t>
      </w:r>
      <w:r w:rsidR="00322608">
        <w:rPr>
          <w:color w:val="000000"/>
        </w:rPr>
        <w:t>delivering 43 prerecorded advertising calls to 33 consumers</w:t>
      </w:r>
      <w:r w:rsidR="0069587D">
        <w:rPr>
          <w:color w:val="000000"/>
        </w:rPr>
        <w:t xml:space="preserve"> without either prior express consent or an established business relationship</w:t>
      </w:r>
      <w:r w:rsidR="008F7F2E" w:rsidRPr="006D73F2">
        <w:rPr>
          <w:i/>
          <w:color w:val="000000"/>
        </w:rPr>
        <w:t>.</w:t>
      </w:r>
      <w:r w:rsidR="00CB3197" w:rsidRPr="00B27008">
        <w:rPr>
          <w:rStyle w:val="FootnoteReference"/>
          <w:spacing w:val="-2"/>
          <w:sz w:val="22"/>
        </w:rPr>
        <w:footnoteReference w:id="6"/>
      </w:r>
      <w:r w:rsidR="008F7F2E" w:rsidRPr="006D73F2">
        <w:rPr>
          <w:i/>
          <w:color w:val="000000"/>
        </w:rPr>
        <w:t xml:space="preserve">  </w:t>
      </w:r>
      <w:r w:rsidR="0069587D">
        <w:rPr>
          <w:color w:val="000000"/>
        </w:rPr>
        <w:t>Security First</w:t>
      </w:r>
      <w:r w:rsidR="004B2792" w:rsidRPr="006D73F2">
        <w:t xml:space="preserve"> </w:t>
      </w:r>
      <w:r w:rsidR="00467653" w:rsidRPr="006D73F2">
        <w:t xml:space="preserve">has not filed a </w:t>
      </w:r>
      <w:r w:rsidR="0069587D">
        <w:t xml:space="preserve">timely </w:t>
      </w:r>
      <w:r w:rsidR="00467653" w:rsidRPr="006D73F2">
        <w:t xml:space="preserve">response to the </w:t>
      </w:r>
      <w:r w:rsidR="00467653" w:rsidRPr="006D73F2">
        <w:rPr>
          <w:i/>
        </w:rPr>
        <w:t>NAL</w:t>
      </w:r>
      <w:r w:rsidR="00467653" w:rsidRPr="006D73F2">
        <w:t>.</w:t>
      </w:r>
      <w:r w:rsidR="0069587D" w:rsidRPr="0069587D">
        <w:rPr>
          <w:rStyle w:val="FootnoteReference"/>
          <w:sz w:val="22"/>
          <w:szCs w:val="22"/>
        </w:rPr>
        <w:t xml:space="preserve"> </w:t>
      </w:r>
      <w:r w:rsidR="0069587D" w:rsidRPr="006D73F2">
        <w:rPr>
          <w:rStyle w:val="FootnoteReference"/>
          <w:sz w:val="22"/>
          <w:szCs w:val="22"/>
        </w:rPr>
        <w:footnoteReference w:id="7"/>
      </w:r>
      <w:r w:rsidR="00467653" w:rsidRPr="006D73F2">
        <w:t xml:space="preserve">  Based on the information before us, we affirm the forfeiture</w:t>
      </w:r>
      <w:r w:rsidRPr="006D73F2">
        <w:t xml:space="preserve"> proposed in the </w:t>
      </w:r>
      <w:r w:rsidRPr="006D73F2">
        <w:rPr>
          <w:i/>
        </w:rPr>
        <w:t>NAL</w:t>
      </w:r>
      <w:r w:rsidR="00467653" w:rsidRPr="006D73F2">
        <w:t>.</w:t>
      </w:r>
    </w:p>
    <w:p w:rsidR="006D73F2" w:rsidRPr="006D73F2" w:rsidRDefault="008F7F2E" w:rsidP="00A92341">
      <w:pPr>
        <w:pStyle w:val="ParaNum"/>
        <w:rPr>
          <w:spacing w:val="-2"/>
        </w:rPr>
      </w:pPr>
      <w:r w:rsidRPr="006D73F2">
        <w:lastRenderedPageBreak/>
        <w:t xml:space="preserve">Accordingly, </w:t>
      </w:r>
      <w:r w:rsidRPr="006D73F2">
        <w:rPr>
          <w:b/>
        </w:rPr>
        <w:t>IT IS ORDERED</w:t>
      </w:r>
      <w:r w:rsidRPr="006D73F2">
        <w:t xml:space="preserve"> </w:t>
      </w:r>
      <w:r w:rsidR="00077577">
        <w:t>that</w:t>
      </w:r>
      <w:r w:rsidRPr="006D73F2">
        <w:t>, pursuant to Section 503(b) of the Act</w:t>
      </w:r>
      <w:r w:rsidRPr="006D73F2">
        <w:rPr>
          <w:rStyle w:val="FootnoteReference"/>
          <w:sz w:val="22"/>
          <w:szCs w:val="22"/>
        </w:rPr>
        <w:footnoteReference w:id="8"/>
      </w:r>
      <w:r w:rsidRPr="006D73F2">
        <w:t xml:space="preserve"> and Section 1.80 of the </w:t>
      </w:r>
      <w:r w:rsidR="00C63243">
        <w:t>Rules</w:t>
      </w:r>
      <w:r w:rsidRPr="006D73F2">
        <w:t>,</w:t>
      </w:r>
      <w:r w:rsidRPr="006D73F2">
        <w:rPr>
          <w:rStyle w:val="FootnoteReference"/>
          <w:sz w:val="22"/>
          <w:szCs w:val="22"/>
        </w:rPr>
        <w:footnoteReference w:id="9"/>
      </w:r>
      <w:r w:rsidR="0069587D">
        <w:t xml:space="preserve"> Security First of Alabama, LLC</w:t>
      </w:r>
      <w:r w:rsidRPr="006D73F2">
        <w:rPr>
          <w:b/>
        </w:rPr>
        <w:t xml:space="preserve"> </w:t>
      </w:r>
      <w:r w:rsidR="007A4841">
        <w:rPr>
          <w:b/>
        </w:rPr>
        <w:t xml:space="preserve">IS </w:t>
      </w:r>
      <w:r w:rsidRPr="006D73F2">
        <w:rPr>
          <w:b/>
        </w:rPr>
        <w:t>LIABLE FOR A MONETARY FORFEITURE</w:t>
      </w:r>
      <w:r w:rsidRPr="006D73F2">
        <w:t xml:space="preserve"> in the amount of </w:t>
      </w:r>
      <w:r w:rsidR="0012171E">
        <w:t>three hundred forty-two thousand</w:t>
      </w:r>
      <w:r w:rsidRPr="006D73F2">
        <w:t xml:space="preserve"> dollars ($</w:t>
      </w:r>
      <w:r w:rsidR="0012171E">
        <w:t>342,000</w:t>
      </w:r>
      <w:r w:rsidRPr="006D73F2">
        <w:t xml:space="preserve">) for willfully </w:t>
      </w:r>
      <w:r w:rsidR="00816F70">
        <w:t xml:space="preserve">and repeatedly </w:t>
      </w:r>
      <w:r w:rsidRPr="006D73F2">
        <w:t xml:space="preserve">violating </w:t>
      </w:r>
      <w:r w:rsidR="0012171E">
        <w:t>Section 227(b)(1)(B)</w:t>
      </w:r>
      <w:r w:rsidR="0012171E" w:rsidRPr="006D73F2">
        <w:t xml:space="preserve"> of the Act</w:t>
      </w:r>
      <w:r w:rsidR="0012171E" w:rsidRPr="006D73F2">
        <w:rPr>
          <w:rStyle w:val="FootnoteReference"/>
          <w:sz w:val="22"/>
          <w:szCs w:val="22"/>
        </w:rPr>
        <w:footnoteReference w:id="10"/>
      </w:r>
      <w:r w:rsidR="0012171E" w:rsidRPr="006D73F2">
        <w:t xml:space="preserve"> and Section </w:t>
      </w:r>
      <w:r w:rsidR="0012171E">
        <w:t xml:space="preserve">64.1200(a)(2) </w:t>
      </w:r>
      <w:r w:rsidR="0012171E" w:rsidRPr="006D73F2">
        <w:t xml:space="preserve">of the </w:t>
      </w:r>
      <w:r w:rsidR="0012171E">
        <w:t>R</w:t>
      </w:r>
      <w:r w:rsidR="0012171E" w:rsidRPr="006D73F2">
        <w:t>ules</w:t>
      </w:r>
      <w:r w:rsidR="0012171E">
        <w:t>, as that section existed at the time of the violations</w:t>
      </w:r>
      <w:r w:rsidR="0012171E" w:rsidRPr="006D73F2">
        <w:t>.</w:t>
      </w:r>
      <w:r w:rsidR="0012171E" w:rsidRPr="006D73F2">
        <w:rPr>
          <w:rStyle w:val="FootnoteReference"/>
          <w:sz w:val="22"/>
          <w:szCs w:val="22"/>
        </w:rPr>
        <w:footnoteReference w:id="11"/>
      </w:r>
      <w:r w:rsidR="0012171E" w:rsidRPr="006D73F2">
        <w:t xml:space="preserve"> </w:t>
      </w:r>
    </w:p>
    <w:p w:rsidR="006D73F2" w:rsidRPr="006D73F2" w:rsidRDefault="008F7F2E" w:rsidP="00A92341">
      <w:pPr>
        <w:pStyle w:val="ParaNum"/>
        <w:rPr>
          <w:spacing w:val="-2"/>
        </w:rPr>
      </w:pPr>
      <w:r w:rsidRPr="006D73F2">
        <w:t xml:space="preserve">Payment of the forfeiture shall be made in the manner provided for in Section 1.80 of the Rules within </w:t>
      </w:r>
      <w:r w:rsidR="006C3014">
        <w:t>fifteen</w:t>
      </w:r>
      <w:r w:rsidRPr="006D73F2">
        <w:t xml:space="preserve"> (</w:t>
      </w:r>
      <w:r w:rsidR="006C3014">
        <w:t>15</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12"/>
      </w:r>
      <w:r w:rsidRPr="006D73F2">
        <w:t xml:space="preserve">  If the 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13"/>
      </w:r>
      <w:r w:rsidRPr="006D73F2">
        <w:t xml:space="preserve">  </w:t>
      </w:r>
    </w:p>
    <w:p w:rsidR="008F7F2E" w:rsidRPr="006D73F2" w:rsidRDefault="00077577" w:rsidP="00A92341">
      <w:pPr>
        <w:pStyle w:val="ParaNum"/>
        <w:rPr>
          <w:spacing w:val="-2"/>
        </w:rPr>
      </w:pPr>
      <w:r>
        <w:t xml:space="preserve">Payment of the forfeiture </w:t>
      </w:r>
      <w:r w:rsidR="008F7F2E" w:rsidRPr="006D73F2">
        <w:t xml:space="preserve">must be made by check or similar instrument, wire transfer, or credit card, and must include the NAL/Account Number and FRN referenced </w:t>
      </w:r>
      <w:r>
        <w:t>above</w:t>
      </w:r>
      <w:r w:rsidR="008F7F2E" w:rsidRPr="006D73F2">
        <w:t xml:space="preserve">.  </w:t>
      </w:r>
      <w:r w:rsidR="007A4841">
        <w:t>Security First of Alabama, LLC</w:t>
      </w:r>
      <w:r w:rsidRPr="006D73F2">
        <w:t xml:space="preserve"> shall send electronic notification </w:t>
      </w:r>
      <w:r>
        <w:t xml:space="preserve">of </w:t>
      </w:r>
      <w:r w:rsidRPr="006D73F2">
        <w:t xml:space="preserve">payment to </w:t>
      </w:r>
      <w:r w:rsidR="007A4841">
        <w:t>Johnny Drake</w:t>
      </w:r>
      <w:r w:rsidRPr="006D73F2">
        <w:t xml:space="preserve"> at </w:t>
      </w:r>
      <w:r w:rsidR="007A4841">
        <w:t>johnny.drake</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14"/>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6D73F2" w:rsidRPr="00B27008" w:rsidRDefault="008F7F2E" w:rsidP="00B27008">
      <w:pPr>
        <w:pStyle w:val="par1"/>
        <w:widowControl/>
        <w:numPr>
          <w:ilvl w:val="0"/>
          <w:numId w:val="11"/>
        </w:numPr>
        <w:tabs>
          <w:tab w:val="clear" w:pos="1440"/>
        </w:tabs>
        <w:spacing w:after="120"/>
        <w:ind w:left="1267"/>
      </w:pPr>
      <w:r w:rsidRPr="006D73F2">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r w:rsidRPr="006D73F2">
        <w:rPr>
          <w:szCs w:val="22"/>
        </w:rPr>
        <w:lastRenderedPageBreak/>
        <w:t>P.O. Box 979088, St. Louis, MO 63197-9000, or sent via overnight mail to U.S. Bank – Government Lockbox #979088, SL-MO-C2-GL, 1005 Convention Plaza, St. Louis, MO 63101.</w:t>
      </w:r>
    </w:p>
    <w:p w:rsidR="006D73F2" w:rsidRPr="00816F70" w:rsidRDefault="008F7F2E" w:rsidP="002A53F0">
      <w:pPr>
        <w:pStyle w:val="ParaNum"/>
        <w:widowControl/>
      </w:pPr>
      <w:r w:rsidRPr="006D73F2">
        <w:t xml:space="preserve">Any request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w:t>
      </w:r>
      <w:r w:rsidR="00C63243">
        <w:t>.</w:t>
      </w:r>
      <w:r w:rsidRPr="006D73F2">
        <w:t>C</w:t>
      </w:r>
      <w:r w:rsidR="00C63243">
        <w:t>.</w:t>
      </w:r>
      <w:r w:rsidRPr="006D73F2">
        <w:t xml:space="preserve"> 20554.</w:t>
      </w:r>
      <w:r w:rsidRPr="006D73F2">
        <w:rPr>
          <w:rStyle w:val="FootnoteReference"/>
          <w:sz w:val="22"/>
          <w:szCs w:val="22"/>
        </w:rPr>
        <w:footnoteReference w:id="15"/>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r w:rsidR="00C63243" w:rsidRPr="004C4397">
        <w:t>ARINQUIRIES@</w:t>
      </w:r>
      <w:r w:rsidR="00C63243" w:rsidRPr="00B27008">
        <w:t>fcc.gov</w:t>
      </w:r>
      <w:r w:rsidRPr="00373669">
        <w:t>.</w:t>
      </w:r>
    </w:p>
    <w:p w:rsidR="008F7F2E" w:rsidRPr="006D73F2" w:rsidRDefault="008F7F2E" w:rsidP="00A92341">
      <w:pPr>
        <w:pStyle w:val="ParaNum"/>
      </w:pPr>
      <w:r w:rsidRPr="006D73F2">
        <w:rPr>
          <w:b/>
        </w:rPr>
        <w:t>IT IS FURTHER ORDERED</w:t>
      </w:r>
      <w:r w:rsidRPr="006D73F2">
        <w:t xml:space="preserve"> </w:t>
      </w:r>
      <w:r w:rsidRPr="005109E0">
        <w:t xml:space="preserve">that a copy of this Forfeiture Order </w:t>
      </w:r>
      <w:r w:rsidR="005109E0" w:rsidRPr="00BD5A2B">
        <w:rPr>
          <w:color w:val="000000" w:themeColor="text1"/>
        </w:rPr>
        <w:t xml:space="preserve">shall be sent by first class mail and certified mail, return receipt requested, </w:t>
      </w:r>
      <w:r w:rsidR="005109E0" w:rsidRPr="00CF2E84">
        <w:rPr>
          <w:color w:val="000000" w:themeColor="text1"/>
        </w:rPr>
        <w:t xml:space="preserve">to </w:t>
      </w:r>
      <w:r w:rsidR="00A54B70">
        <w:rPr>
          <w:color w:val="000000" w:themeColor="text1"/>
        </w:rPr>
        <w:t xml:space="preserve">Raul L. Baguer II, Member, </w:t>
      </w:r>
      <w:r w:rsidR="007A4841" w:rsidRPr="00CF2E84">
        <w:t>Security First of Alabama, LLC</w:t>
      </w:r>
      <w:r w:rsidR="00A54B70">
        <w:t xml:space="preserve">, </w:t>
      </w:r>
      <w:r w:rsidR="007A4841" w:rsidRPr="00CF2E84">
        <w:t xml:space="preserve">4068 Crossings Lane, Birmingham, AL 35242; </w:t>
      </w:r>
      <w:r w:rsidR="00A54B70">
        <w:rPr>
          <w:color w:val="000000" w:themeColor="text1"/>
        </w:rPr>
        <w:t xml:space="preserve">Raul L. Baguer II, Member, </w:t>
      </w:r>
      <w:r w:rsidR="007A4841" w:rsidRPr="00CF2E84">
        <w:t>Security First of Alabama, LLC</w:t>
      </w:r>
      <w:r w:rsidR="00A54B70">
        <w:t xml:space="preserve">, </w:t>
      </w:r>
      <w:r w:rsidR="007A4841" w:rsidRPr="00CF2E84">
        <w:t xml:space="preserve">2308 Colony Park Dr., Birmingham, AL 35243; </w:t>
      </w:r>
      <w:r w:rsidR="00A54B70">
        <w:rPr>
          <w:color w:val="000000" w:themeColor="text1"/>
        </w:rPr>
        <w:t xml:space="preserve">Raul L. Baguer II, Member, </w:t>
      </w:r>
      <w:r w:rsidR="007A4841" w:rsidRPr="00CF2E84">
        <w:t>Security First of Alabama, LLC</w:t>
      </w:r>
      <w:r w:rsidR="00A54B70">
        <w:t>,</w:t>
      </w:r>
      <w:r w:rsidR="007A4841" w:rsidRPr="00CF2E84">
        <w:t xml:space="preserve"> 622 Cahaba River Parc, Birmingham, AL 35243</w:t>
      </w:r>
      <w:r w:rsidR="00013CCB">
        <w:t xml:space="preserve">; </w:t>
      </w:r>
      <w:r w:rsidR="00A54B70">
        <w:t xml:space="preserve">Security First of Alabama, LLC, c/o </w:t>
      </w:r>
      <w:r w:rsidR="00013CCB">
        <w:t>CSC</w:t>
      </w:r>
      <w:r w:rsidR="00A54B70">
        <w:t>-</w:t>
      </w:r>
      <w:r w:rsidR="00013CCB">
        <w:t>Lawyers Incor</w:t>
      </w:r>
      <w:r w:rsidR="00A54B70">
        <w:t>porating Service, 1</w:t>
      </w:r>
      <w:r w:rsidR="00013CCB">
        <w:t>50 S Perry Street, Montgomery, AL 36104</w:t>
      </w:r>
      <w:r w:rsidR="005109E0" w:rsidRPr="00CF2E84">
        <w:rPr>
          <w:color w:val="000000" w:themeColor="text1"/>
        </w:rPr>
        <w:t>.</w:t>
      </w:r>
    </w:p>
    <w:p w:rsidR="008F7F2E" w:rsidRPr="006D73F2" w:rsidRDefault="008F7F2E" w:rsidP="008F7F2E">
      <w:pPr>
        <w:rPr>
          <w:szCs w:val="22"/>
        </w:rPr>
      </w:pPr>
    </w:p>
    <w:p w:rsidR="008F7F2E" w:rsidRPr="006D73F2" w:rsidRDefault="008F7F2E" w:rsidP="008F7F2E">
      <w:pPr>
        <w:rPr>
          <w:szCs w:val="22"/>
        </w:rPr>
      </w:pPr>
    </w:p>
    <w:p w:rsidR="008F7F2E" w:rsidRPr="00BD5A2B" w:rsidRDefault="008F7F2E" w:rsidP="008F7F2E">
      <w:pPr>
        <w:ind w:left="4410"/>
      </w:pPr>
      <w:r w:rsidRPr="00BD5A2B">
        <w:t>FEDERAL COMMUNICATIONS COMMISSION</w:t>
      </w: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p>
    <w:p w:rsidR="008F7F2E" w:rsidRPr="006D73F2" w:rsidRDefault="008F7F2E" w:rsidP="008F7F2E">
      <w:pPr>
        <w:ind w:left="4410"/>
        <w:rPr>
          <w:szCs w:val="22"/>
        </w:rPr>
      </w:pPr>
      <w:r w:rsidRPr="006D73F2">
        <w:rPr>
          <w:szCs w:val="22"/>
        </w:rPr>
        <w:t>Marlene H. Dortch</w:t>
      </w:r>
    </w:p>
    <w:p w:rsidR="008F7F2E" w:rsidRPr="006D73F2" w:rsidRDefault="008F7F2E" w:rsidP="008F7F2E">
      <w:pPr>
        <w:ind w:left="4410"/>
        <w:rPr>
          <w:szCs w:val="22"/>
        </w:rPr>
      </w:pPr>
      <w:r w:rsidRPr="006D73F2">
        <w:rPr>
          <w:szCs w:val="22"/>
        </w:rPr>
        <w:t>Secretary</w:t>
      </w:r>
    </w:p>
    <w:sectPr w:rsidR="008F7F2E" w:rsidRPr="006D73F2" w:rsidSect="009B1D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DA" w:rsidRDefault="008A50DA">
      <w:r>
        <w:separator/>
      </w:r>
    </w:p>
  </w:endnote>
  <w:endnote w:type="continuationSeparator" w:id="0">
    <w:p w:rsidR="008A50DA" w:rsidRDefault="008A50DA">
      <w:r>
        <w:continuationSeparator/>
      </w:r>
    </w:p>
  </w:endnote>
  <w:endnote w:type="continuationNotice" w:id="1">
    <w:p w:rsidR="008A50DA" w:rsidRDefault="008A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7839"/>
      <w:docPartObj>
        <w:docPartGallery w:val="Page Numbers (Bottom of Page)"/>
        <w:docPartUnique/>
      </w:docPartObj>
    </w:sdtPr>
    <w:sdtEndPr>
      <w:rPr>
        <w:noProof/>
      </w:rPr>
    </w:sdtEndPr>
    <w:sdtContent>
      <w:p w:rsidR="00DA7689" w:rsidRDefault="00DA7689">
        <w:pPr>
          <w:pStyle w:val="Footer"/>
          <w:jc w:val="center"/>
        </w:pPr>
        <w:r>
          <w:fldChar w:fldCharType="begin"/>
        </w:r>
        <w:r>
          <w:instrText xml:space="preserve"> PAGE   \* MERGEFORMAT </w:instrText>
        </w:r>
        <w:r>
          <w:fldChar w:fldCharType="separate"/>
        </w:r>
        <w:r w:rsidR="00BB684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22" w:rsidRDefault="00411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DA" w:rsidRPr="00BE3B9A" w:rsidRDefault="008A50DA" w:rsidP="00BE3B9A">
      <w:pPr>
        <w:pStyle w:val="Footer"/>
      </w:pPr>
      <w:r>
        <w:separator/>
      </w:r>
    </w:p>
  </w:footnote>
  <w:footnote w:type="continuationSeparator" w:id="0">
    <w:p w:rsidR="008A50DA" w:rsidRPr="00BE3B9A" w:rsidRDefault="008A50DA" w:rsidP="00BE3B9A">
      <w:pPr>
        <w:spacing w:before="120"/>
        <w:rPr>
          <w:sz w:val="20"/>
        </w:rPr>
      </w:pPr>
      <w:r>
        <w:rPr>
          <w:sz w:val="20"/>
        </w:rPr>
        <w:t xml:space="preserve">(Continued from previous page)  </w:t>
      </w:r>
      <w:r>
        <w:rPr>
          <w:sz w:val="20"/>
        </w:rPr>
        <w:separator/>
      </w:r>
    </w:p>
  </w:footnote>
  <w:footnote w:type="continuationNotice" w:id="1">
    <w:p w:rsidR="008A50DA" w:rsidRPr="00BE3B9A" w:rsidRDefault="008A50DA" w:rsidP="00BE3B9A">
      <w:pPr>
        <w:jc w:val="right"/>
        <w:rPr>
          <w:sz w:val="20"/>
        </w:rPr>
      </w:pPr>
      <w:r>
        <w:rPr>
          <w:sz w:val="20"/>
        </w:rPr>
        <w:t>(continued….)</w:t>
      </w:r>
    </w:p>
  </w:footnote>
  <w:footnote w:id="2">
    <w:p w:rsidR="00824132" w:rsidRDefault="00824132" w:rsidP="00824132">
      <w:pPr>
        <w:pStyle w:val="FootnoteText"/>
      </w:pPr>
      <w:r>
        <w:rPr>
          <w:rStyle w:val="FootnoteReference"/>
        </w:rPr>
        <w:footnoteRef/>
      </w:r>
      <w:r>
        <w:t xml:space="preserve"> The investigation began under EB-08-TC-6825 and was subsequently assigned File No. EB-TCD-12-00000258.  Any future correspondence with the Commission concerning this matter should reflect the new case number.</w:t>
      </w:r>
      <w:r w:rsidRPr="00140ABB">
        <w:t xml:space="preserve">  </w:t>
      </w:r>
    </w:p>
  </w:footnote>
  <w:footnote w:id="3">
    <w:p w:rsidR="00824132" w:rsidRDefault="00824132" w:rsidP="00824132">
      <w:pPr>
        <w:pStyle w:val="FootnoteText"/>
      </w:pPr>
      <w:r>
        <w:rPr>
          <w:rStyle w:val="FootnoteReference"/>
        </w:rPr>
        <w:footnoteRef/>
      </w:r>
      <w:r>
        <w:t xml:space="preserve"> </w:t>
      </w:r>
      <w:r w:rsidR="00322608">
        <w:rPr>
          <w:i/>
        </w:rPr>
        <w:t>Security First of Alabama, LLC</w:t>
      </w:r>
      <w:r w:rsidR="00322608">
        <w:t>, Notice of Apparent Liability for Forfeiture, 26 FCC Rcd 6490 (2011)</w:t>
      </w:r>
      <w:r w:rsidR="00C07134">
        <w:t xml:space="preserve"> (</w:t>
      </w:r>
      <w:r w:rsidR="00C07134">
        <w:rPr>
          <w:i/>
        </w:rPr>
        <w:t>NAL</w:t>
      </w:r>
      <w:r w:rsidR="00C07134">
        <w:t>)</w:t>
      </w:r>
      <w:r w:rsidR="00322608">
        <w:t xml:space="preserve">.  The </w:t>
      </w:r>
      <w:r w:rsidR="00322608">
        <w:rPr>
          <w:i/>
        </w:rPr>
        <w:t>NAL</w:t>
      </w:r>
      <w:r w:rsidR="00322608">
        <w:t xml:space="preserve"> noted that the proposed forfeiture penalty applied to both the corporate entity and all principals and officers, including the designated contact person Raul L. Baguer II</w:t>
      </w:r>
      <w:r w:rsidR="009426A8">
        <w:t>,</w:t>
      </w:r>
      <w:r w:rsidR="00322608">
        <w:t xml:space="preserve"> who is the owner and Chief Executive Officer of Security First.</w:t>
      </w:r>
      <w:r w:rsidRPr="00140ABB">
        <w:t xml:space="preserve">  </w:t>
      </w:r>
      <w:r w:rsidR="009426A8">
        <w:t xml:space="preserve">This forfeiture order also applies to the corporate entity and these individuals.  </w:t>
      </w:r>
    </w:p>
  </w:footnote>
  <w:footnote w:id="4">
    <w:p w:rsidR="00322608" w:rsidRDefault="00322608" w:rsidP="00322608">
      <w:pPr>
        <w:pStyle w:val="FootnoteText"/>
      </w:pPr>
      <w:r>
        <w:rPr>
          <w:rStyle w:val="FootnoteReference"/>
        </w:rPr>
        <w:footnoteRef/>
      </w:r>
      <w:r>
        <w:t xml:space="preserve"> 47 U.S.C. § 227(b)(1)(B).</w:t>
      </w:r>
    </w:p>
  </w:footnote>
  <w:footnote w:id="5">
    <w:p w:rsidR="00322608" w:rsidRPr="00344C0B" w:rsidRDefault="00322608" w:rsidP="00322608">
      <w:pPr>
        <w:pStyle w:val="FootnoteText"/>
      </w:pPr>
      <w:r w:rsidRPr="00344C0B">
        <w:rPr>
          <w:rStyle w:val="FootnoteReference"/>
        </w:rPr>
        <w:footnoteRef/>
      </w:r>
      <w:r>
        <w:t xml:space="preserve"> At the time of the violations and when the </w:t>
      </w:r>
      <w:r>
        <w:rPr>
          <w:i/>
        </w:rPr>
        <w:t xml:space="preserve">NAL </w:t>
      </w:r>
      <w:r>
        <w:t xml:space="preserve">was issued, the Commission’s rules governing prerecorded calls to residential telephone lines were codified at 47 C.F.R. </w:t>
      </w:r>
      <w:r w:rsidRPr="00344C0B">
        <w:t>§</w:t>
      </w:r>
      <w:r>
        <w:t xml:space="preserve"> 64.1200(a)(2).  Since then, the Commission has amended and renumbered the provisions contained therein as 47 C.F.R. </w:t>
      </w:r>
      <w:r w:rsidRPr="00344C0B">
        <w:t>§</w:t>
      </w:r>
      <w:r>
        <w:t xml:space="preserve"> 64.1200(a)(3).  </w:t>
      </w:r>
      <w:r>
        <w:rPr>
          <w:i/>
        </w:rPr>
        <w:t>Rules and Regulations Implementing the Telephone Consumer Protection Act of 1991</w:t>
      </w:r>
      <w:r>
        <w:t>, Report and Order, 27 FCC Rcd 1830 (2012) (amending rules governing prerecorded advertising calls to require that prior express consent to receive such calls must be in writing and to remove the exemption for calls made under an established business relationship).</w:t>
      </w:r>
    </w:p>
  </w:footnote>
  <w:footnote w:id="6">
    <w:p w:rsidR="00CB3197" w:rsidRDefault="00CB3197" w:rsidP="00607AA0">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007A4841">
        <w:t xml:space="preserve">  </w:t>
      </w:r>
      <w:r w:rsidR="007A4841">
        <w:rPr>
          <w:i/>
        </w:rPr>
        <w:t>NAL</w:t>
      </w:r>
      <w:r w:rsidR="007A4841">
        <w:t>, 26 FCC Rcd at 6491-93</w:t>
      </w:r>
      <w:r w:rsidR="007E0121">
        <w:t>, paras. 5-9</w:t>
      </w:r>
      <w:r w:rsidR="007A4841">
        <w:t>.</w:t>
      </w:r>
      <w:r w:rsidR="00077577">
        <w:t xml:space="preserve"> </w:t>
      </w:r>
      <w:r w:rsidRPr="00140ABB">
        <w:t xml:space="preserve">  </w:t>
      </w:r>
    </w:p>
  </w:footnote>
  <w:footnote w:id="7">
    <w:p w:rsidR="0069587D" w:rsidRPr="0069587D" w:rsidRDefault="0069587D" w:rsidP="0069587D">
      <w:pPr>
        <w:pStyle w:val="FootnoteText"/>
      </w:pPr>
      <w:r w:rsidRPr="00344C0B">
        <w:rPr>
          <w:rStyle w:val="FootnoteReference"/>
        </w:rPr>
        <w:footnoteRef/>
      </w:r>
      <w:r>
        <w:t xml:space="preserve"> Neither Security First nor Mr. Baguer filed a motion requesting an extension of time to respond to the </w:t>
      </w:r>
      <w:r>
        <w:rPr>
          <w:i/>
        </w:rPr>
        <w:t>NAL</w:t>
      </w:r>
      <w:r>
        <w:t xml:space="preserve">.  </w:t>
      </w:r>
      <w:r>
        <w:rPr>
          <w:i/>
        </w:rPr>
        <w:t xml:space="preserve">See </w:t>
      </w:r>
      <w:r>
        <w:t xml:space="preserve">47 C.F.R. </w:t>
      </w:r>
      <w:r w:rsidRPr="00344C0B">
        <w:t>§</w:t>
      </w:r>
      <w:r>
        <w:t xml:space="preserve"> 1.46.  Nonetheless, on June 10, 2011, the Commission received a letter from Mr. Baguer claiming that neither he nor Security First w</w:t>
      </w:r>
      <w:r w:rsidR="007331CA">
        <w:t>as</w:t>
      </w:r>
      <w:r>
        <w:t xml:space="preserve"> responsible for making the calls at issue in the </w:t>
      </w:r>
      <w:r>
        <w:rPr>
          <w:i/>
        </w:rPr>
        <w:t>NAL</w:t>
      </w:r>
      <w:r>
        <w:t xml:space="preserve">.  Letter from Raul L. Baguer II, Owner/CEO, Security First, to Marlene H. Dortch, Secretary, FCC (May 7, 2011) (Baguer Letter).  Although the Baguer Letter is dated May 7, 2011, within the time frame for a timely response to the </w:t>
      </w:r>
      <w:r>
        <w:rPr>
          <w:i/>
        </w:rPr>
        <w:t>NAL</w:t>
      </w:r>
      <w:r>
        <w:t xml:space="preserve">, the postmark shows that it was not mailed until June 3, 2011, 18 days after the response deadline.  Further, </w:t>
      </w:r>
      <w:r w:rsidR="00CF2E84">
        <w:t>the May 7, 2011 date on the Baguer Letter predates an attachment to that letter, which itself is dated after the de</w:t>
      </w:r>
      <w:r w:rsidR="006C3014">
        <w:t xml:space="preserve">adline to respond to the NAL.  </w:t>
      </w:r>
      <w:r>
        <w:t>Accordingly, we reject the Baguer Letter as untimely.  Moreover, even if the Baguer Letter had been timely, it is meritless—</w:t>
      </w:r>
      <w:r w:rsidR="001E0B34">
        <w:t>Mr. Baguer’s claim that neither he nor Security First made the prerecorded calls at issue but instead by a third party is belied by the fact that consumer complainants expressly state that the callback number provided in the prerecorded call is one assigned to Security First.  An unrelated telemarketer would have no incentive to leave a callback number other than one at which it could be contacted by would-be purchasers of its product.  Mr. Baguer’s further suggestion that someone else made the calls at issue because he conten</w:t>
      </w:r>
      <w:r w:rsidR="00447738">
        <w:t>d</w:t>
      </w:r>
      <w:r w:rsidR="001E0B34">
        <w:t xml:space="preserve">s that Security First markets only in Alabama yet some complainants were located outside of the state is belied by the fact that </w:t>
      </w:r>
      <w:r w:rsidR="004B6167">
        <w:t>30 of the 33 complaints on which the NAL was based were from Alabamans.  The remaining three were from South Carolinians.  As a result, Mr. Baguer’s</w:t>
      </w:r>
      <w:r>
        <w:t xml:space="preserve"> claims are unsubstantiated and are at odds with the facts reported by consumers and discussed in the </w:t>
      </w:r>
      <w:r>
        <w:rPr>
          <w:i/>
        </w:rPr>
        <w:t>NAL</w:t>
      </w:r>
      <w:r>
        <w:t>.</w:t>
      </w:r>
    </w:p>
  </w:footnote>
  <w:footnote w:id="8">
    <w:p w:rsidR="008F7F2E" w:rsidRPr="00344C0B" w:rsidRDefault="008F7F2E" w:rsidP="00607AA0">
      <w:pPr>
        <w:pStyle w:val="FootnoteText"/>
      </w:pPr>
      <w:r w:rsidRPr="00344C0B">
        <w:rPr>
          <w:rStyle w:val="FootnoteReference"/>
        </w:rPr>
        <w:footnoteRef/>
      </w:r>
      <w:r w:rsidRPr="00344C0B">
        <w:t xml:space="preserve"> 47 U.S.C. § 503(b).</w:t>
      </w:r>
    </w:p>
  </w:footnote>
  <w:footnote w:id="9">
    <w:p w:rsidR="008F7F2E" w:rsidRPr="00344C0B" w:rsidRDefault="008F7F2E" w:rsidP="00607AA0">
      <w:pPr>
        <w:pStyle w:val="FootnoteText"/>
      </w:pPr>
      <w:r w:rsidRPr="00344C0B">
        <w:rPr>
          <w:rStyle w:val="FootnoteReference"/>
        </w:rPr>
        <w:footnoteRef/>
      </w:r>
      <w:r w:rsidRPr="00344C0B">
        <w:t xml:space="preserve"> 47 C.F.R. § 1.80.</w:t>
      </w:r>
    </w:p>
  </w:footnote>
  <w:footnote w:id="10">
    <w:p w:rsidR="0012171E" w:rsidRDefault="0012171E" w:rsidP="0012171E">
      <w:pPr>
        <w:pStyle w:val="FootnoteText"/>
      </w:pPr>
      <w:r>
        <w:rPr>
          <w:rStyle w:val="FootnoteReference"/>
        </w:rPr>
        <w:footnoteRef/>
      </w:r>
      <w:r>
        <w:t xml:space="preserve"> 47 U.S.C. </w:t>
      </w:r>
      <w:r w:rsidRPr="00344C0B">
        <w:t>§</w:t>
      </w:r>
      <w:r>
        <w:t xml:space="preserve"> 227(b)(1)(B). </w:t>
      </w:r>
    </w:p>
  </w:footnote>
  <w:footnote w:id="11">
    <w:p w:rsidR="0012171E" w:rsidRDefault="0012171E" w:rsidP="0012171E">
      <w:pPr>
        <w:pStyle w:val="FootnoteText"/>
      </w:pPr>
      <w:r>
        <w:rPr>
          <w:rStyle w:val="FootnoteReference"/>
        </w:rPr>
        <w:footnoteRef/>
      </w:r>
      <w:r>
        <w:t xml:space="preserve"> 47 C.F.R. </w:t>
      </w:r>
      <w:r w:rsidRPr="00344C0B">
        <w:t>§</w:t>
      </w:r>
      <w:r>
        <w:t xml:space="preserve"> 64.1200(a)(2) (2003).     </w:t>
      </w:r>
    </w:p>
  </w:footnote>
  <w:footnote w:id="12">
    <w:p w:rsidR="008F7F2E" w:rsidRPr="007D40D2" w:rsidRDefault="008F7F2E" w:rsidP="00607AA0">
      <w:pPr>
        <w:pStyle w:val="FootnoteText"/>
      </w:pPr>
      <w:r w:rsidRPr="00344C0B">
        <w:rPr>
          <w:rStyle w:val="FootnoteReference"/>
        </w:rPr>
        <w:footnoteRef/>
      </w:r>
      <w:r w:rsidRPr="00344C0B">
        <w:t xml:space="preserve"> 47 C.F.R. § 1.80.</w:t>
      </w:r>
    </w:p>
  </w:footnote>
  <w:footnote w:id="13">
    <w:p w:rsidR="008F7F2E" w:rsidRPr="00344C0B" w:rsidRDefault="008F7F2E" w:rsidP="00607AA0">
      <w:pPr>
        <w:pStyle w:val="FootnoteText"/>
      </w:pPr>
      <w:r w:rsidRPr="00344C0B">
        <w:rPr>
          <w:rStyle w:val="FootnoteReference"/>
        </w:rPr>
        <w:footnoteRef/>
      </w:r>
      <w:r w:rsidRPr="00344C0B">
        <w:t xml:space="preserve"> 47 U.S.C. § 504(a).</w:t>
      </w:r>
    </w:p>
  </w:footnote>
  <w:footnote w:id="14">
    <w:p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5">
    <w:p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22" w:rsidRDefault="00411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 xml:space="preserve">FCC </w:t>
    </w:r>
    <w:r w:rsidR="0062576A">
      <w:rPr>
        <w:b/>
        <w:spacing w:val="-2"/>
      </w:rPr>
      <w:t>15</w:t>
    </w:r>
    <w:r w:rsidR="00816F70">
      <w:rPr>
        <w:b/>
        <w:spacing w:val="-2"/>
      </w:rPr>
      <w:t>-</w:t>
    </w:r>
    <w:r w:rsidR="00D07E0C">
      <w:rPr>
        <w:b/>
        <w:spacing w:val="-2"/>
      </w:rPr>
      <w:t>20</w:t>
    </w:r>
  </w:p>
  <w:p w:rsidR="00303553" w:rsidRDefault="00BB684B" w:rsidP="00810B3F">
    <w:pPr>
      <w:tabs>
        <w:tab w:val="left" w:pos="-1440"/>
        <w:tab w:val="left" w:pos="-720"/>
      </w:tabs>
      <w:suppressAutoHyphens/>
      <w:spacing w:line="19" w:lineRule="exact"/>
      <w:jc w:val="both"/>
      <w:rPr>
        <w:spacing w:val="-2"/>
      </w:rPr>
    </w:pPr>
    <w:r>
      <w:rPr>
        <w:noProof/>
      </w:rPr>
      <w:pict>
        <v:rect id="_x0000_s2051" style="position:absolute;left:0;text-align:left;margin-left:0;margin-top:0;width:468pt;height:.95pt;z-index:-251658240;mso-position-horizontal-relative:margin" o:allowincell="f" fillcolor="black" stroked="f" strokeweight=".05pt">
          <v:fill color2="black"/>
          <v:textbox style="mso-next-textbox:#_x0000_s2051">
            <w:txbxContent>
              <w:p w:rsidR="00303553" w:rsidRDefault="00303553" w:rsidP="00810B3F"/>
            </w:txbxContent>
          </v:textbox>
          <w10:wrap anchorx="margin"/>
        </v:rect>
      </w:pict>
    </w:r>
  </w:p>
  <w:p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53" w:rsidRDefault="00303553">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FCC</w:t>
    </w:r>
    <w:r>
      <w:rPr>
        <w:b/>
        <w:spacing w:val="-2"/>
      </w:rPr>
      <w:t xml:space="preserve"> </w:t>
    </w:r>
    <w:r w:rsidR="0062576A">
      <w:rPr>
        <w:b/>
        <w:spacing w:val="-2"/>
      </w:rPr>
      <w:t>15</w:t>
    </w:r>
    <w:r>
      <w:rPr>
        <w:b/>
        <w:spacing w:val="-2"/>
      </w:rPr>
      <w:t>-</w:t>
    </w:r>
    <w:r w:rsidR="00D07E0C">
      <w:rPr>
        <w:b/>
        <w:spacing w:val="-2"/>
      </w:rPr>
      <w:t>20</w:t>
    </w:r>
  </w:p>
  <w:p w:rsidR="00303553" w:rsidRDefault="00BB684B">
    <w:pPr>
      <w:tabs>
        <w:tab w:val="left" w:pos="-1440"/>
        <w:tab w:val="left" w:pos="-720"/>
      </w:tabs>
      <w:suppressAutoHyphens/>
      <w:spacing w:line="19" w:lineRule="exact"/>
      <w:jc w:val="both"/>
      <w:rPr>
        <w:spacing w:val="-2"/>
      </w:rPr>
    </w:pPr>
    <w:r>
      <w:rPr>
        <w:noProof/>
      </w:rPr>
      <w:pict>
        <v:rect id="_x0000_s2049" style="position:absolute;left:0;text-align:left;margin-left:0;margin-top:0;width:468pt;height:.95pt;z-index:-251659264;mso-position-horizontal-relative:margin" o:allowincell="f" fillcolor="black" stroked="f" strokeweight=".05pt">
          <v:fill color2="black"/>
          <v:textbox style="mso-next-textbox:#_x0000_s2049">
            <w:txbxContent>
              <w:p w:rsidR="00303553" w:rsidRDefault="00303553"/>
            </w:txbxContent>
          </v:textbox>
          <w10:wrap anchorx="margin"/>
        </v:rect>
      </w:pict>
    </w:r>
  </w:p>
  <w:p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328A"/>
    <w:rsid w:val="00013CCB"/>
    <w:rsid w:val="00016EE8"/>
    <w:rsid w:val="0002016C"/>
    <w:rsid w:val="000214B8"/>
    <w:rsid w:val="0002156B"/>
    <w:rsid w:val="000426B5"/>
    <w:rsid w:val="00053111"/>
    <w:rsid w:val="00065988"/>
    <w:rsid w:val="000732A2"/>
    <w:rsid w:val="00077577"/>
    <w:rsid w:val="00096FC3"/>
    <w:rsid w:val="00097B41"/>
    <w:rsid w:val="000A6B4F"/>
    <w:rsid w:val="000B4327"/>
    <w:rsid w:val="000C4BF8"/>
    <w:rsid w:val="000D0910"/>
    <w:rsid w:val="000D532F"/>
    <w:rsid w:val="0010276E"/>
    <w:rsid w:val="00104F80"/>
    <w:rsid w:val="0012171E"/>
    <w:rsid w:val="00122015"/>
    <w:rsid w:val="001536C5"/>
    <w:rsid w:val="0016387C"/>
    <w:rsid w:val="0017294B"/>
    <w:rsid w:val="001729D4"/>
    <w:rsid w:val="00172FB7"/>
    <w:rsid w:val="00175DE5"/>
    <w:rsid w:val="00175E75"/>
    <w:rsid w:val="001946C5"/>
    <w:rsid w:val="00197375"/>
    <w:rsid w:val="001A312E"/>
    <w:rsid w:val="001A697A"/>
    <w:rsid w:val="001B17F8"/>
    <w:rsid w:val="001B51E3"/>
    <w:rsid w:val="001C2119"/>
    <w:rsid w:val="001E0B34"/>
    <w:rsid w:val="00211BC2"/>
    <w:rsid w:val="00213BBA"/>
    <w:rsid w:val="00216794"/>
    <w:rsid w:val="002459A8"/>
    <w:rsid w:val="00265427"/>
    <w:rsid w:val="0027200E"/>
    <w:rsid w:val="002735F3"/>
    <w:rsid w:val="0028281D"/>
    <w:rsid w:val="00282F70"/>
    <w:rsid w:val="00286DE4"/>
    <w:rsid w:val="00287E26"/>
    <w:rsid w:val="00296029"/>
    <w:rsid w:val="002A111B"/>
    <w:rsid w:val="002A3DCD"/>
    <w:rsid w:val="002A53F0"/>
    <w:rsid w:val="002A71F5"/>
    <w:rsid w:val="002A7519"/>
    <w:rsid w:val="002D0551"/>
    <w:rsid w:val="002D2A0F"/>
    <w:rsid w:val="002D5913"/>
    <w:rsid w:val="002E5A87"/>
    <w:rsid w:val="002E6043"/>
    <w:rsid w:val="00303553"/>
    <w:rsid w:val="00305CD3"/>
    <w:rsid w:val="00305EB5"/>
    <w:rsid w:val="003158B8"/>
    <w:rsid w:val="00322608"/>
    <w:rsid w:val="00325767"/>
    <w:rsid w:val="003264EC"/>
    <w:rsid w:val="00331129"/>
    <w:rsid w:val="0034003D"/>
    <w:rsid w:val="00340B78"/>
    <w:rsid w:val="00340BC7"/>
    <w:rsid w:val="00357476"/>
    <w:rsid w:val="003648A8"/>
    <w:rsid w:val="00373669"/>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51A1"/>
    <w:rsid w:val="003F601F"/>
    <w:rsid w:val="00410C76"/>
    <w:rsid w:val="00411122"/>
    <w:rsid w:val="00413AC3"/>
    <w:rsid w:val="00427171"/>
    <w:rsid w:val="00427309"/>
    <w:rsid w:val="00430E52"/>
    <w:rsid w:val="0043483D"/>
    <w:rsid w:val="00436905"/>
    <w:rsid w:val="004415E4"/>
    <w:rsid w:val="00447738"/>
    <w:rsid w:val="00455B41"/>
    <w:rsid w:val="00467653"/>
    <w:rsid w:val="0047375C"/>
    <w:rsid w:val="00475662"/>
    <w:rsid w:val="0047761D"/>
    <w:rsid w:val="00480E7D"/>
    <w:rsid w:val="004851CD"/>
    <w:rsid w:val="004867FB"/>
    <w:rsid w:val="00487356"/>
    <w:rsid w:val="0049372F"/>
    <w:rsid w:val="004A563B"/>
    <w:rsid w:val="004A6274"/>
    <w:rsid w:val="004A6492"/>
    <w:rsid w:val="004B2792"/>
    <w:rsid w:val="004B45A7"/>
    <w:rsid w:val="004B6167"/>
    <w:rsid w:val="004B6E19"/>
    <w:rsid w:val="004C19E6"/>
    <w:rsid w:val="004C4397"/>
    <w:rsid w:val="004D36B5"/>
    <w:rsid w:val="004D7B4E"/>
    <w:rsid w:val="004E129A"/>
    <w:rsid w:val="004E493B"/>
    <w:rsid w:val="005109E0"/>
    <w:rsid w:val="005219C0"/>
    <w:rsid w:val="00523047"/>
    <w:rsid w:val="005233A6"/>
    <w:rsid w:val="005362D6"/>
    <w:rsid w:val="005411F4"/>
    <w:rsid w:val="005444E7"/>
    <w:rsid w:val="00547DF7"/>
    <w:rsid w:val="005557F9"/>
    <w:rsid w:val="005619FD"/>
    <w:rsid w:val="00564984"/>
    <w:rsid w:val="00573CFE"/>
    <w:rsid w:val="00573E9F"/>
    <w:rsid w:val="00584872"/>
    <w:rsid w:val="005915CD"/>
    <w:rsid w:val="00596AF1"/>
    <w:rsid w:val="005A2B10"/>
    <w:rsid w:val="005A7F89"/>
    <w:rsid w:val="005C20E6"/>
    <w:rsid w:val="005E3445"/>
    <w:rsid w:val="005E4B5E"/>
    <w:rsid w:val="005F1550"/>
    <w:rsid w:val="005F5DAD"/>
    <w:rsid w:val="005F761E"/>
    <w:rsid w:val="0060275B"/>
    <w:rsid w:val="00607AA0"/>
    <w:rsid w:val="00610838"/>
    <w:rsid w:val="006126ED"/>
    <w:rsid w:val="00620146"/>
    <w:rsid w:val="00624E00"/>
    <w:rsid w:val="0062576A"/>
    <w:rsid w:val="00625BA0"/>
    <w:rsid w:val="0063255A"/>
    <w:rsid w:val="0065394E"/>
    <w:rsid w:val="00660762"/>
    <w:rsid w:val="006608B7"/>
    <w:rsid w:val="00671093"/>
    <w:rsid w:val="00674E3A"/>
    <w:rsid w:val="00677CC4"/>
    <w:rsid w:val="00681CCD"/>
    <w:rsid w:val="00687CF0"/>
    <w:rsid w:val="0069587D"/>
    <w:rsid w:val="006A0C23"/>
    <w:rsid w:val="006A38F5"/>
    <w:rsid w:val="006A4F92"/>
    <w:rsid w:val="006B7326"/>
    <w:rsid w:val="006C3014"/>
    <w:rsid w:val="006D0F92"/>
    <w:rsid w:val="006D1783"/>
    <w:rsid w:val="006D3073"/>
    <w:rsid w:val="006D73F2"/>
    <w:rsid w:val="006E2274"/>
    <w:rsid w:val="006E33E0"/>
    <w:rsid w:val="006E45C3"/>
    <w:rsid w:val="006F6EEC"/>
    <w:rsid w:val="00704D2A"/>
    <w:rsid w:val="00712B90"/>
    <w:rsid w:val="007143C9"/>
    <w:rsid w:val="00716D74"/>
    <w:rsid w:val="00722452"/>
    <w:rsid w:val="00726175"/>
    <w:rsid w:val="00727819"/>
    <w:rsid w:val="00727AA8"/>
    <w:rsid w:val="007331CA"/>
    <w:rsid w:val="00754DE8"/>
    <w:rsid w:val="00754F52"/>
    <w:rsid w:val="007550AD"/>
    <w:rsid w:val="0075606F"/>
    <w:rsid w:val="007560F3"/>
    <w:rsid w:val="00772DDD"/>
    <w:rsid w:val="00774F5A"/>
    <w:rsid w:val="007A4841"/>
    <w:rsid w:val="007B1E9A"/>
    <w:rsid w:val="007B3224"/>
    <w:rsid w:val="007C0C63"/>
    <w:rsid w:val="007C568D"/>
    <w:rsid w:val="007D3897"/>
    <w:rsid w:val="007D5402"/>
    <w:rsid w:val="007E0121"/>
    <w:rsid w:val="007E52F2"/>
    <w:rsid w:val="007E53B8"/>
    <w:rsid w:val="00802B77"/>
    <w:rsid w:val="00804BF5"/>
    <w:rsid w:val="00810B3F"/>
    <w:rsid w:val="00816F70"/>
    <w:rsid w:val="00823FF9"/>
    <w:rsid w:val="00824132"/>
    <w:rsid w:val="008274F6"/>
    <w:rsid w:val="00831B8F"/>
    <w:rsid w:val="00835A57"/>
    <w:rsid w:val="00843138"/>
    <w:rsid w:val="00843EC9"/>
    <w:rsid w:val="00844A7B"/>
    <w:rsid w:val="00846BC0"/>
    <w:rsid w:val="00846FBF"/>
    <w:rsid w:val="00847175"/>
    <w:rsid w:val="00850748"/>
    <w:rsid w:val="00880472"/>
    <w:rsid w:val="00882921"/>
    <w:rsid w:val="008A50DA"/>
    <w:rsid w:val="008A7EE3"/>
    <w:rsid w:val="008B1CAC"/>
    <w:rsid w:val="008B6EE7"/>
    <w:rsid w:val="008D2207"/>
    <w:rsid w:val="008E0506"/>
    <w:rsid w:val="008E69E9"/>
    <w:rsid w:val="008E727A"/>
    <w:rsid w:val="008F05BB"/>
    <w:rsid w:val="008F0BE8"/>
    <w:rsid w:val="008F3246"/>
    <w:rsid w:val="008F7F2E"/>
    <w:rsid w:val="00906393"/>
    <w:rsid w:val="00914587"/>
    <w:rsid w:val="00915770"/>
    <w:rsid w:val="00923FEC"/>
    <w:rsid w:val="009246B1"/>
    <w:rsid w:val="00926DC8"/>
    <w:rsid w:val="00926DFA"/>
    <w:rsid w:val="009426A8"/>
    <w:rsid w:val="00943DCE"/>
    <w:rsid w:val="00954880"/>
    <w:rsid w:val="00954E26"/>
    <w:rsid w:val="009574C7"/>
    <w:rsid w:val="00960613"/>
    <w:rsid w:val="0096278A"/>
    <w:rsid w:val="00963499"/>
    <w:rsid w:val="009752DF"/>
    <w:rsid w:val="00976954"/>
    <w:rsid w:val="0098215F"/>
    <w:rsid w:val="00984CAB"/>
    <w:rsid w:val="009A37E6"/>
    <w:rsid w:val="009A79A8"/>
    <w:rsid w:val="009B1DCA"/>
    <w:rsid w:val="009C5D7E"/>
    <w:rsid w:val="009D0541"/>
    <w:rsid w:val="009D2ABC"/>
    <w:rsid w:val="009E2F52"/>
    <w:rsid w:val="009F084F"/>
    <w:rsid w:val="009F0926"/>
    <w:rsid w:val="009F11A1"/>
    <w:rsid w:val="00A007F6"/>
    <w:rsid w:val="00A07DA6"/>
    <w:rsid w:val="00A14A2D"/>
    <w:rsid w:val="00A16299"/>
    <w:rsid w:val="00A304A9"/>
    <w:rsid w:val="00A369C1"/>
    <w:rsid w:val="00A3777B"/>
    <w:rsid w:val="00A4555F"/>
    <w:rsid w:val="00A46613"/>
    <w:rsid w:val="00A52D7B"/>
    <w:rsid w:val="00A538FA"/>
    <w:rsid w:val="00A54B70"/>
    <w:rsid w:val="00A57778"/>
    <w:rsid w:val="00A640B0"/>
    <w:rsid w:val="00A75FA7"/>
    <w:rsid w:val="00A769E8"/>
    <w:rsid w:val="00A772FC"/>
    <w:rsid w:val="00A82D00"/>
    <w:rsid w:val="00A92341"/>
    <w:rsid w:val="00A955E0"/>
    <w:rsid w:val="00AA5E72"/>
    <w:rsid w:val="00AB7264"/>
    <w:rsid w:val="00AC014F"/>
    <w:rsid w:val="00AC0692"/>
    <w:rsid w:val="00AC5CA4"/>
    <w:rsid w:val="00AE3A9C"/>
    <w:rsid w:val="00AE6BB8"/>
    <w:rsid w:val="00AF01E1"/>
    <w:rsid w:val="00AF1995"/>
    <w:rsid w:val="00AF3C28"/>
    <w:rsid w:val="00B0066E"/>
    <w:rsid w:val="00B064BC"/>
    <w:rsid w:val="00B13F06"/>
    <w:rsid w:val="00B14681"/>
    <w:rsid w:val="00B27008"/>
    <w:rsid w:val="00B27060"/>
    <w:rsid w:val="00B339ED"/>
    <w:rsid w:val="00B41F9C"/>
    <w:rsid w:val="00B45389"/>
    <w:rsid w:val="00B53B04"/>
    <w:rsid w:val="00B540F5"/>
    <w:rsid w:val="00B63F46"/>
    <w:rsid w:val="00B6524D"/>
    <w:rsid w:val="00B74A41"/>
    <w:rsid w:val="00B76704"/>
    <w:rsid w:val="00B925E3"/>
    <w:rsid w:val="00B93820"/>
    <w:rsid w:val="00B95829"/>
    <w:rsid w:val="00B95DCD"/>
    <w:rsid w:val="00BB684B"/>
    <w:rsid w:val="00BC1C93"/>
    <w:rsid w:val="00BC5B64"/>
    <w:rsid w:val="00BD4CCB"/>
    <w:rsid w:val="00BD5A2B"/>
    <w:rsid w:val="00BE3B9A"/>
    <w:rsid w:val="00BF3B58"/>
    <w:rsid w:val="00BF4014"/>
    <w:rsid w:val="00BF4987"/>
    <w:rsid w:val="00C03DA5"/>
    <w:rsid w:val="00C03E29"/>
    <w:rsid w:val="00C07134"/>
    <w:rsid w:val="00C1625F"/>
    <w:rsid w:val="00C244DF"/>
    <w:rsid w:val="00C32931"/>
    <w:rsid w:val="00C32F47"/>
    <w:rsid w:val="00C63243"/>
    <w:rsid w:val="00C644D4"/>
    <w:rsid w:val="00C71E9F"/>
    <w:rsid w:val="00C916D0"/>
    <w:rsid w:val="00C97A34"/>
    <w:rsid w:val="00CA6AD7"/>
    <w:rsid w:val="00CA796D"/>
    <w:rsid w:val="00CB0C3B"/>
    <w:rsid w:val="00CB3197"/>
    <w:rsid w:val="00CC1731"/>
    <w:rsid w:val="00CD2F78"/>
    <w:rsid w:val="00CD3527"/>
    <w:rsid w:val="00CD60EE"/>
    <w:rsid w:val="00CE6436"/>
    <w:rsid w:val="00CF29F3"/>
    <w:rsid w:val="00CF2E84"/>
    <w:rsid w:val="00CF5414"/>
    <w:rsid w:val="00D015F1"/>
    <w:rsid w:val="00D05FDD"/>
    <w:rsid w:val="00D07E0C"/>
    <w:rsid w:val="00D12C53"/>
    <w:rsid w:val="00D14185"/>
    <w:rsid w:val="00D16BAA"/>
    <w:rsid w:val="00D2320D"/>
    <w:rsid w:val="00D321F7"/>
    <w:rsid w:val="00D43111"/>
    <w:rsid w:val="00D65042"/>
    <w:rsid w:val="00D66787"/>
    <w:rsid w:val="00D85612"/>
    <w:rsid w:val="00D87306"/>
    <w:rsid w:val="00DA17CB"/>
    <w:rsid w:val="00DA7689"/>
    <w:rsid w:val="00DB27A2"/>
    <w:rsid w:val="00DF5146"/>
    <w:rsid w:val="00E043F8"/>
    <w:rsid w:val="00E055F0"/>
    <w:rsid w:val="00E16B06"/>
    <w:rsid w:val="00E2064A"/>
    <w:rsid w:val="00E2138B"/>
    <w:rsid w:val="00E6565D"/>
    <w:rsid w:val="00E677B4"/>
    <w:rsid w:val="00E76BB4"/>
    <w:rsid w:val="00E9036A"/>
    <w:rsid w:val="00EA1CB0"/>
    <w:rsid w:val="00EA3D71"/>
    <w:rsid w:val="00EA671C"/>
    <w:rsid w:val="00EA76A7"/>
    <w:rsid w:val="00EB1E35"/>
    <w:rsid w:val="00EB2B7A"/>
    <w:rsid w:val="00EB3C8B"/>
    <w:rsid w:val="00EC393B"/>
    <w:rsid w:val="00EC3F96"/>
    <w:rsid w:val="00EC412C"/>
    <w:rsid w:val="00ED2A01"/>
    <w:rsid w:val="00ED6ECA"/>
    <w:rsid w:val="00EE33F3"/>
    <w:rsid w:val="00EE68E4"/>
    <w:rsid w:val="00EE7AA5"/>
    <w:rsid w:val="00EF4E46"/>
    <w:rsid w:val="00EF5F55"/>
    <w:rsid w:val="00F0180A"/>
    <w:rsid w:val="00F06E41"/>
    <w:rsid w:val="00F12D6F"/>
    <w:rsid w:val="00F165FC"/>
    <w:rsid w:val="00F25F0C"/>
    <w:rsid w:val="00F31408"/>
    <w:rsid w:val="00F370BE"/>
    <w:rsid w:val="00F53E7E"/>
    <w:rsid w:val="00F65D94"/>
    <w:rsid w:val="00F812C5"/>
    <w:rsid w:val="00F8325E"/>
    <w:rsid w:val="00F8618A"/>
    <w:rsid w:val="00FB332B"/>
    <w:rsid w:val="00FC4ABC"/>
    <w:rsid w:val="00FD2470"/>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84B"/>
    <w:pPr>
      <w:widowControl w:val="0"/>
    </w:pPr>
    <w:rPr>
      <w:snapToGrid w:val="0"/>
      <w:kern w:val="28"/>
      <w:sz w:val="22"/>
    </w:rPr>
  </w:style>
  <w:style w:type="paragraph" w:styleId="Heading1">
    <w:name w:val="heading 1"/>
    <w:basedOn w:val="Normal"/>
    <w:next w:val="ParaNum"/>
    <w:qFormat/>
    <w:rsid w:val="00BB684B"/>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684B"/>
    <w:pPr>
      <w:keepNext/>
      <w:numPr>
        <w:ilvl w:val="1"/>
        <w:numId w:val="13"/>
      </w:numPr>
      <w:spacing w:after="120"/>
      <w:outlineLvl w:val="1"/>
    </w:pPr>
    <w:rPr>
      <w:b/>
    </w:rPr>
  </w:style>
  <w:style w:type="paragraph" w:styleId="Heading3">
    <w:name w:val="heading 3"/>
    <w:basedOn w:val="Normal"/>
    <w:next w:val="ParaNum"/>
    <w:link w:val="Heading3Char"/>
    <w:qFormat/>
    <w:rsid w:val="00BB684B"/>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B684B"/>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B684B"/>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B684B"/>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B684B"/>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B684B"/>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84B"/>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84B"/>
  </w:style>
  <w:style w:type="paragraph" w:styleId="Header">
    <w:name w:val="header"/>
    <w:basedOn w:val="Normal"/>
    <w:link w:val="HeaderChar"/>
    <w:autoRedefine/>
    <w:rsid w:val="00BB684B"/>
    <w:pPr>
      <w:tabs>
        <w:tab w:val="center" w:pos="4680"/>
        <w:tab w:val="right" w:pos="9360"/>
      </w:tabs>
    </w:pPr>
    <w:rPr>
      <w:b/>
    </w:rPr>
  </w:style>
  <w:style w:type="paragraph" w:styleId="Footer">
    <w:name w:val="footer"/>
    <w:basedOn w:val="Normal"/>
    <w:link w:val="FooterChar"/>
    <w:rsid w:val="00BB684B"/>
    <w:pPr>
      <w:tabs>
        <w:tab w:val="center" w:pos="4320"/>
        <w:tab w:val="right" w:pos="8640"/>
      </w:tabs>
    </w:pPr>
  </w:style>
  <w:style w:type="character" w:styleId="PageNumber">
    <w:name w:val="page number"/>
    <w:basedOn w:val="DefaultParagraphFont"/>
    <w:rsid w:val="00BB684B"/>
  </w:style>
  <w:style w:type="character" w:styleId="FootnoteReference">
    <w:name w:val="footnote reference"/>
    <w:aliases w:val="Style 12,(NECG) Footnote Reference,Appel note de bas de p,Style 124,Style 4,Style 13,o,fr,Style 3,FR,Style 17,Style 6,Footnote Reference/"/>
    <w:rsid w:val="00BB684B"/>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BB684B"/>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BB684B"/>
    <w:rPr>
      <w:sz w:val="20"/>
    </w:rPr>
  </w:style>
  <w:style w:type="character" w:styleId="EndnoteReference">
    <w:name w:val="endnote reference"/>
    <w:semiHidden/>
    <w:rsid w:val="00BB684B"/>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BB684B"/>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BB684B"/>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BB684B"/>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erChar">
    <w:name w:val="Header Char"/>
    <w:basedOn w:val="DefaultParagraphFont"/>
    <w:link w:val="Header"/>
    <w:rsid w:val="00F370BE"/>
    <w:rPr>
      <w:b/>
      <w:snapToGrid w:val="0"/>
      <w:kern w:val="28"/>
      <w:sz w:val="22"/>
    </w:rPr>
  </w:style>
  <w:style w:type="character" w:customStyle="1" w:styleId="FooterChar">
    <w:name w:val="Footer Char"/>
    <w:basedOn w:val="DefaultParagraphFont"/>
    <w:link w:val="Footer"/>
    <w:rsid w:val="00F370BE"/>
    <w:rPr>
      <w:snapToGrid w:val="0"/>
      <w:kern w:val="28"/>
      <w:sz w:val="22"/>
    </w:rPr>
  </w:style>
  <w:style w:type="character" w:customStyle="1" w:styleId="Heading3Char">
    <w:name w:val="Heading 3 Char"/>
    <w:basedOn w:val="DefaultParagraphFont"/>
    <w:link w:val="Heading3"/>
    <w:rsid w:val="00A92341"/>
    <w:rPr>
      <w:b/>
      <w:snapToGrid w:val="0"/>
      <w:kern w:val="28"/>
      <w:sz w:val="22"/>
    </w:rPr>
  </w:style>
  <w:style w:type="character" w:customStyle="1" w:styleId="Heading4Char">
    <w:name w:val="Heading 4 Char"/>
    <w:basedOn w:val="DefaultParagraphFont"/>
    <w:link w:val="Heading4"/>
    <w:rsid w:val="00A92341"/>
    <w:rPr>
      <w:b/>
      <w:snapToGrid w:val="0"/>
      <w:kern w:val="28"/>
      <w:sz w:val="22"/>
    </w:rPr>
  </w:style>
  <w:style w:type="character" w:customStyle="1" w:styleId="Heading5Char">
    <w:name w:val="Heading 5 Char"/>
    <w:basedOn w:val="DefaultParagraphFont"/>
    <w:link w:val="Heading5"/>
    <w:rsid w:val="00A92341"/>
    <w:rPr>
      <w:b/>
      <w:snapToGrid w:val="0"/>
      <w:kern w:val="28"/>
      <w:sz w:val="22"/>
    </w:rPr>
  </w:style>
  <w:style w:type="character" w:customStyle="1" w:styleId="Heading6Char">
    <w:name w:val="Heading 6 Char"/>
    <w:basedOn w:val="DefaultParagraphFont"/>
    <w:link w:val="Heading6"/>
    <w:rsid w:val="00A92341"/>
    <w:rPr>
      <w:b/>
      <w:snapToGrid w:val="0"/>
      <w:kern w:val="28"/>
      <w:sz w:val="22"/>
    </w:rPr>
  </w:style>
  <w:style w:type="character" w:customStyle="1" w:styleId="Heading7Char">
    <w:name w:val="Heading 7 Char"/>
    <w:basedOn w:val="DefaultParagraphFont"/>
    <w:link w:val="Heading7"/>
    <w:rsid w:val="00A92341"/>
    <w:rPr>
      <w:b/>
      <w:snapToGrid w:val="0"/>
      <w:kern w:val="28"/>
      <w:sz w:val="22"/>
    </w:rPr>
  </w:style>
  <w:style w:type="character" w:customStyle="1" w:styleId="Heading8Char">
    <w:name w:val="Heading 8 Char"/>
    <w:basedOn w:val="DefaultParagraphFont"/>
    <w:link w:val="Heading8"/>
    <w:rsid w:val="00A92341"/>
    <w:rPr>
      <w:b/>
      <w:snapToGrid w:val="0"/>
      <w:kern w:val="28"/>
      <w:sz w:val="22"/>
    </w:rPr>
  </w:style>
  <w:style w:type="character" w:customStyle="1" w:styleId="Heading9Char">
    <w:name w:val="Heading 9 Char"/>
    <w:basedOn w:val="DefaultParagraphFont"/>
    <w:link w:val="Heading9"/>
    <w:rsid w:val="00A92341"/>
    <w:rPr>
      <w:b/>
      <w:snapToGrid w:val="0"/>
      <w:kern w:val="28"/>
      <w:sz w:val="22"/>
    </w:rPr>
  </w:style>
  <w:style w:type="paragraph" w:styleId="TOC1">
    <w:name w:val="toc 1"/>
    <w:basedOn w:val="Normal"/>
    <w:next w:val="Normal"/>
    <w:rsid w:val="00BB684B"/>
    <w:pPr>
      <w:tabs>
        <w:tab w:val="left" w:pos="360"/>
        <w:tab w:val="right" w:leader="dot" w:pos="9360"/>
      </w:tabs>
      <w:suppressAutoHyphens/>
      <w:ind w:left="360" w:right="720" w:hanging="360"/>
    </w:pPr>
    <w:rPr>
      <w:caps/>
      <w:noProof/>
    </w:rPr>
  </w:style>
  <w:style w:type="paragraph" w:styleId="TOC2">
    <w:name w:val="toc 2"/>
    <w:basedOn w:val="Normal"/>
    <w:next w:val="Normal"/>
    <w:rsid w:val="00BB684B"/>
    <w:pPr>
      <w:tabs>
        <w:tab w:val="left" w:pos="720"/>
        <w:tab w:val="right" w:leader="dot" w:pos="9360"/>
      </w:tabs>
      <w:suppressAutoHyphens/>
      <w:ind w:left="720" w:right="720" w:hanging="360"/>
    </w:pPr>
    <w:rPr>
      <w:noProof/>
    </w:rPr>
  </w:style>
  <w:style w:type="paragraph" w:styleId="TOC3">
    <w:name w:val="toc 3"/>
    <w:basedOn w:val="Normal"/>
    <w:next w:val="Normal"/>
    <w:rsid w:val="00BB684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84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684B"/>
    <w:pPr>
      <w:tabs>
        <w:tab w:val="left" w:pos="1800"/>
        <w:tab w:val="right" w:leader="dot" w:pos="9360"/>
      </w:tabs>
      <w:suppressAutoHyphens/>
      <w:ind w:left="1800" w:right="720" w:hanging="360"/>
    </w:pPr>
    <w:rPr>
      <w:noProof/>
    </w:rPr>
  </w:style>
  <w:style w:type="paragraph" w:styleId="TOC7">
    <w:name w:val="toc 7"/>
    <w:basedOn w:val="Normal"/>
    <w:next w:val="Normal"/>
    <w:autoRedefine/>
    <w:rsid w:val="00BB684B"/>
    <w:pPr>
      <w:tabs>
        <w:tab w:val="left" w:pos="2520"/>
        <w:tab w:val="right" w:leader="dot" w:pos="9360"/>
      </w:tabs>
      <w:suppressAutoHyphens/>
      <w:ind w:left="2520" w:hanging="360"/>
    </w:pPr>
    <w:rPr>
      <w:noProof/>
    </w:rPr>
  </w:style>
  <w:style w:type="paragraph" w:styleId="TOC8">
    <w:name w:val="toc 8"/>
    <w:basedOn w:val="Normal"/>
    <w:next w:val="Normal"/>
    <w:autoRedefine/>
    <w:rsid w:val="00BB684B"/>
    <w:pPr>
      <w:tabs>
        <w:tab w:val="left" w:pos="2880"/>
        <w:tab w:val="right" w:leader="dot" w:pos="9360"/>
      </w:tabs>
      <w:suppressAutoHyphens/>
      <w:ind w:left="2880" w:hanging="360"/>
    </w:pPr>
    <w:rPr>
      <w:noProof/>
    </w:rPr>
  </w:style>
  <w:style w:type="paragraph" w:styleId="TOC9">
    <w:name w:val="toc 9"/>
    <w:basedOn w:val="Normal"/>
    <w:next w:val="Normal"/>
    <w:autoRedefine/>
    <w:rsid w:val="00BB684B"/>
    <w:pPr>
      <w:tabs>
        <w:tab w:val="left" w:pos="3240"/>
        <w:tab w:val="right" w:leader="dot" w:pos="9360"/>
      </w:tabs>
      <w:suppressAutoHyphens/>
      <w:ind w:left="3240" w:hanging="360"/>
    </w:pPr>
    <w:rPr>
      <w:noProof/>
    </w:rPr>
  </w:style>
  <w:style w:type="paragraph" w:styleId="TOAHeading">
    <w:name w:val="toa heading"/>
    <w:basedOn w:val="Normal"/>
    <w:next w:val="Normal"/>
    <w:rsid w:val="00BB684B"/>
    <w:pPr>
      <w:tabs>
        <w:tab w:val="right" w:pos="9360"/>
      </w:tabs>
      <w:suppressAutoHyphens/>
    </w:pPr>
  </w:style>
  <w:style w:type="character" w:customStyle="1" w:styleId="EquationCaption">
    <w:name w:val="_Equation Caption"/>
    <w:rsid w:val="00BB684B"/>
  </w:style>
  <w:style w:type="paragraph" w:styleId="BlockText">
    <w:name w:val="Block Text"/>
    <w:basedOn w:val="Normal"/>
    <w:rsid w:val="00BB684B"/>
    <w:pPr>
      <w:spacing w:after="240"/>
      <w:ind w:left="1440" w:right="1440"/>
    </w:pPr>
  </w:style>
  <w:style w:type="paragraph" w:customStyle="1" w:styleId="Paratitle">
    <w:name w:val="Para title"/>
    <w:basedOn w:val="Normal"/>
    <w:rsid w:val="00BB684B"/>
    <w:pPr>
      <w:tabs>
        <w:tab w:val="center" w:pos="9270"/>
      </w:tabs>
      <w:spacing w:after="240"/>
    </w:pPr>
    <w:rPr>
      <w:spacing w:val="-2"/>
    </w:rPr>
  </w:style>
  <w:style w:type="paragraph" w:customStyle="1" w:styleId="Bullet">
    <w:name w:val="Bullet"/>
    <w:basedOn w:val="Normal"/>
    <w:rsid w:val="00BB684B"/>
    <w:pPr>
      <w:tabs>
        <w:tab w:val="left" w:pos="2160"/>
      </w:tabs>
      <w:spacing w:after="220"/>
      <w:ind w:left="2160" w:hanging="720"/>
    </w:pPr>
  </w:style>
  <w:style w:type="paragraph" w:customStyle="1" w:styleId="TableFormat">
    <w:name w:val="TableFormat"/>
    <w:basedOn w:val="Bullet"/>
    <w:rsid w:val="00BB684B"/>
    <w:pPr>
      <w:tabs>
        <w:tab w:val="clear" w:pos="2160"/>
        <w:tab w:val="left" w:pos="5040"/>
      </w:tabs>
      <w:ind w:left="5040" w:hanging="3600"/>
    </w:pPr>
  </w:style>
  <w:style w:type="paragraph" w:customStyle="1" w:styleId="TOCTitle">
    <w:name w:val="TOC Title"/>
    <w:basedOn w:val="Normal"/>
    <w:rsid w:val="00BB68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84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84B"/>
    <w:pPr>
      <w:widowControl w:val="0"/>
    </w:pPr>
    <w:rPr>
      <w:snapToGrid w:val="0"/>
      <w:kern w:val="28"/>
      <w:sz w:val="22"/>
    </w:rPr>
  </w:style>
  <w:style w:type="paragraph" w:styleId="Heading1">
    <w:name w:val="heading 1"/>
    <w:basedOn w:val="Normal"/>
    <w:next w:val="ParaNum"/>
    <w:qFormat/>
    <w:rsid w:val="00BB684B"/>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B684B"/>
    <w:pPr>
      <w:keepNext/>
      <w:numPr>
        <w:ilvl w:val="1"/>
        <w:numId w:val="13"/>
      </w:numPr>
      <w:spacing w:after="120"/>
      <w:outlineLvl w:val="1"/>
    </w:pPr>
    <w:rPr>
      <w:b/>
    </w:rPr>
  </w:style>
  <w:style w:type="paragraph" w:styleId="Heading3">
    <w:name w:val="heading 3"/>
    <w:basedOn w:val="Normal"/>
    <w:next w:val="ParaNum"/>
    <w:link w:val="Heading3Char"/>
    <w:qFormat/>
    <w:rsid w:val="00BB684B"/>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BB684B"/>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BB684B"/>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BB684B"/>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BB684B"/>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BB684B"/>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684B"/>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6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684B"/>
  </w:style>
  <w:style w:type="paragraph" w:styleId="Header">
    <w:name w:val="header"/>
    <w:basedOn w:val="Normal"/>
    <w:link w:val="HeaderChar"/>
    <w:autoRedefine/>
    <w:rsid w:val="00BB684B"/>
    <w:pPr>
      <w:tabs>
        <w:tab w:val="center" w:pos="4680"/>
        <w:tab w:val="right" w:pos="9360"/>
      </w:tabs>
    </w:pPr>
    <w:rPr>
      <w:b/>
    </w:rPr>
  </w:style>
  <w:style w:type="paragraph" w:styleId="Footer">
    <w:name w:val="footer"/>
    <w:basedOn w:val="Normal"/>
    <w:link w:val="FooterChar"/>
    <w:rsid w:val="00BB684B"/>
    <w:pPr>
      <w:tabs>
        <w:tab w:val="center" w:pos="4320"/>
        <w:tab w:val="right" w:pos="8640"/>
      </w:tabs>
    </w:pPr>
  </w:style>
  <w:style w:type="character" w:styleId="PageNumber">
    <w:name w:val="page number"/>
    <w:basedOn w:val="DefaultParagraphFont"/>
    <w:rsid w:val="00BB684B"/>
  </w:style>
  <w:style w:type="character" w:styleId="FootnoteReference">
    <w:name w:val="footnote reference"/>
    <w:aliases w:val="Style 12,(NECG) Footnote Reference,Appel note de bas de p,Style 124,Style 4,Style 13,o,fr,Style 3,FR,Style 17,Style 6,Footnote Reference/"/>
    <w:rsid w:val="00BB684B"/>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BB684B"/>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BB684B"/>
    <w:rPr>
      <w:sz w:val="20"/>
    </w:rPr>
  </w:style>
  <w:style w:type="character" w:styleId="EndnoteReference">
    <w:name w:val="endnote reference"/>
    <w:semiHidden/>
    <w:rsid w:val="00BB684B"/>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BB684B"/>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BB684B"/>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BB684B"/>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erChar">
    <w:name w:val="Header Char"/>
    <w:basedOn w:val="DefaultParagraphFont"/>
    <w:link w:val="Header"/>
    <w:rsid w:val="00F370BE"/>
    <w:rPr>
      <w:b/>
      <w:snapToGrid w:val="0"/>
      <w:kern w:val="28"/>
      <w:sz w:val="22"/>
    </w:rPr>
  </w:style>
  <w:style w:type="character" w:customStyle="1" w:styleId="FooterChar">
    <w:name w:val="Footer Char"/>
    <w:basedOn w:val="DefaultParagraphFont"/>
    <w:link w:val="Footer"/>
    <w:rsid w:val="00F370BE"/>
    <w:rPr>
      <w:snapToGrid w:val="0"/>
      <w:kern w:val="28"/>
      <w:sz w:val="22"/>
    </w:rPr>
  </w:style>
  <w:style w:type="character" w:customStyle="1" w:styleId="Heading3Char">
    <w:name w:val="Heading 3 Char"/>
    <w:basedOn w:val="DefaultParagraphFont"/>
    <w:link w:val="Heading3"/>
    <w:rsid w:val="00A92341"/>
    <w:rPr>
      <w:b/>
      <w:snapToGrid w:val="0"/>
      <w:kern w:val="28"/>
      <w:sz w:val="22"/>
    </w:rPr>
  </w:style>
  <w:style w:type="character" w:customStyle="1" w:styleId="Heading4Char">
    <w:name w:val="Heading 4 Char"/>
    <w:basedOn w:val="DefaultParagraphFont"/>
    <w:link w:val="Heading4"/>
    <w:rsid w:val="00A92341"/>
    <w:rPr>
      <w:b/>
      <w:snapToGrid w:val="0"/>
      <w:kern w:val="28"/>
      <w:sz w:val="22"/>
    </w:rPr>
  </w:style>
  <w:style w:type="character" w:customStyle="1" w:styleId="Heading5Char">
    <w:name w:val="Heading 5 Char"/>
    <w:basedOn w:val="DefaultParagraphFont"/>
    <w:link w:val="Heading5"/>
    <w:rsid w:val="00A92341"/>
    <w:rPr>
      <w:b/>
      <w:snapToGrid w:val="0"/>
      <w:kern w:val="28"/>
      <w:sz w:val="22"/>
    </w:rPr>
  </w:style>
  <w:style w:type="character" w:customStyle="1" w:styleId="Heading6Char">
    <w:name w:val="Heading 6 Char"/>
    <w:basedOn w:val="DefaultParagraphFont"/>
    <w:link w:val="Heading6"/>
    <w:rsid w:val="00A92341"/>
    <w:rPr>
      <w:b/>
      <w:snapToGrid w:val="0"/>
      <w:kern w:val="28"/>
      <w:sz w:val="22"/>
    </w:rPr>
  </w:style>
  <w:style w:type="character" w:customStyle="1" w:styleId="Heading7Char">
    <w:name w:val="Heading 7 Char"/>
    <w:basedOn w:val="DefaultParagraphFont"/>
    <w:link w:val="Heading7"/>
    <w:rsid w:val="00A92341"/>
    <w:rPr>
      <w:b/>
      <w:snapToGrid w:val="0"/>
      <w:kern w:val="28"/>
      <w:sz w:val="22"/>
    </w:rPr>
  </w:style>
  <w:style w:type="character" w:customStyle="1" w:styleId="Heading8Char">
    <w:name w:val="Heading 8 Char"/>
    <w:basedOn w:val="DefaultParagraphFont"/>
    <w:link w:val="Heading8"/>
    <w:rsid w:val="00A92341"/>
    <w:rPr>
      <w:b/>
      <w:snapToGrid w:val="0"/>
      <w:kern w:val="28"/>
      <w:sz w:val="22"/>
    </w:rPr>
  </w:style>
  <w:style w:type="character" w:customStyle="1" w:styleId="Heading9Char">
    <w:name w:val="Heading 9 Char"/>
    <w:basedOn w:val="DefaultParagraphFont"/>
    <w:link w:val="Heading9"/>
    <w:rsid w:val="00A92341"/>
    <w:rPr>
      <w:b/>
      <w:snapToGrid w:val="0"/>
      <w:kern w:val="28"/>
      <w:sz w:val="22"/>
    </w:rPr>
  </w:style>
  <w:style w:type="paragraph" w:styleId="TOC1">
    <w:name w:val="toc 1"/>
    <w:basedOn w:val="Normal"/>
    <w:next w:val="Normal"/>
    <w:rsid w:val="00BB684B"/>
    <w:pPr>
      <w:tabs>
        <w:tab w:val="left" w:pos="360"/>
        <w:tab w:val="right" w:leader="dot" w:pos="9360"/>
      </w:tabs>
      <w:suppressAutoHyphens/>
      <w:ind w:left="360" w:right="720" w:hanging="360"/>
    </w:pPr>
    <w:rPr>
      <w:caps/>
      <w:noProof/>
    </w:rPr>
  </w:style>
  <w:style w:type="paragraph" w:styleId="TOC2">
    <w:name w:val="toc 2"/>
    <w:basedOn w:val="Normal"/>
    <w:next w:val="Normal"/>
    <w:rsid w:val="00BB684B"/>
    <w:pPr>
      <w:tabs>
        <w:tab w:val="left" w:pos="720"/>
        <w:tab w:val="right" w:leader="dot" w:pos="9360"/>
      </w:tabs>
      <w:suppressAutoHyphens/>
      <w:ind w:left="720" w:right="720" w:hanging="360"/>
    </w:pPr>
    <w:rPr>
      <w:noProof/>
    </w:rPr>
  </w:style>
  <w:style w:type="paragraph" w:styleId="TOC3">
    <w:name w:val="toc 3"/>
    <w:basedOn w:val="Normal"/>
    <w:next w:val="Normal"/>
    <w:rsid w:val="00BB684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B684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BB684B"/>
    <w:pPr>
      <w:tabs>
        <w:tab w:val="left" w:pos="1800"/>
        <w:tab w:val="right" w:leader="dot" w:pos="9360"/>
      </w:tabs>
      <w:suppressAutoHyphens/>
      <w:ind w:left="1800" w:right="720" w:hanging="360"/>
    </w:pPr>
    <w:rPr>
      <w:noProof/>
    </w:rPr>
  </w:style>
  <w:style w:type="paragraph" w:styleId="TOC7">
    <w:name w:val="toc 7"/>
    <w:basedOn w:val="Normal"/>
    <w:next w:val="Normal"/>
    <w:autoRedefine/>
    <w:rsid w:val="00BB684B"/>
    <w:pPr>
      <w:tabs>
        <w:tab w:val="left" w:pos="2520"/>
        <w:tab w:val="right" w:leader="dot" w:pos="9360"/>
      </w:tabs>
      <w:suppressAutoHyphens/>
      <w:ind w:left="2520" w:hanging="360"/>
    </w:pPr>
    <w:rPr>
      <w:noProof/>
    </w:rPr>
  </w:style>
  <w:style w:type="paragraph" w:styleId="TOC8">
    <w:name w:val="toc 8"/>
    <w:basedOn w:val="Normal"/>
    <w:next w:val="Normal"/>
    <w:autoRedefine/>
    <w:rsid w:val="00BB684B"/>
    <w:pPr>
      <w:tabs>
        <w:tab w:val="left" w:pos="2880"/>
        <w:tab w:val="right" w:leader="dot" w:pos="9360"/>
      </w:tabs>
      <w:suppressAutoHyphens/>
      <w:ind w:left="2880" w:hanging="360"/>
    </w:pPr>
    <w:rPr>
      <w:noProof/>
    </w:rPr>
  </w:style>
  <w:style w:type="paragraph" w:styleId="TOC9">
    <w:name w:val="toc 9"/>
    <w:basedOn w:val="Normal"/>
    <w:next w:val="Normal"/>
    <w:autoRedefine/>
    <w:rsid w:val="00BB684B"/>
    <w:pPr>
      <w:tabs>
        <w:tab w:val="left" w:pos="3240"/>
        <w:tab w:val="right" w:leader="dot" w:pos="9360"/>
      </w:tabs>
      <w:suppressAutoHyphens/>
      <w:ind w:left="3240" w:hanging="360"/>
    </w:pPr>
    <w:rPr>
      <w:noProof/>
    </w:rPr>
  </w:style>
  <w:style w:type="paragraph" w:styleId="TOAHeading">
    <w:name w:val="toa heading"/>
    <w:basedOn w:val="Normal"/>
    <w:next w:val="Normal"/>
    <w:rsid w:val="00BB684B"/>
    <w:pPr>
      <w:tabs>
        <w:tab w:val="right" w:pos="9360"/>
      </w:tabs>
      <w:suppressAutoHyphens/>
    </w:pPr>
  </w:style>
  <w:style w:type="character" w:customStyle="1" w:styleId="EquationCaption">
    <w:name w:val="_Equation Caption"/>
    <w:rsid w:val="00BB684B"/>
  </w:style>
  <w:style w:type="paragraph" w:styleId="BlockText">
    <w:name w:val="Block Text"/>
    <w:basedOn w:val="Normal"/>
    <w:rsid w:val="00BB684B"/>
    <w:pPr>
      <w:spacing w:after="240"/>
      <w:ind w:left="1440" w:right="1440"/>
    </w:pPr>
  </w:style>
  <w:style w:type="paragraph" w:customStyle="1" w:styleId="Paratitle">
    <w:name w:val="Para title"/>
    <w:basedOn w:val="Normal"/>
    <w:rsid w:val="00BB684B"/>
    <w:pPr>
      <w:tabs>
        <w:tab w:val="center" w:pos="9270"/>
      </w:tabs>
      <w:spacing w:after="240"/>
    </w:pPr>
    <w:rPr>
      <w:spacing w:val="-2"/>
    </w:rPr>
  </w:style>
  <w:style w:type="paragraph" w:customStyle="1" w:styleId="Bullet">
    <w:name w:val="Bullet"/>
    <w:basedOn w:val="Normal"/>
    <w:rsid w:val="00BB684B"/>
    <w:pPr>
      <w:tabs>
        <w:tab w:val="left" w:pos="2160"/>
      </w:tabs>
      <w:spacing w:after="220"/>
      <w:ind w:left="2160" w:hanging="720"/>
    </w:pPr>
  </w:style>
  <w:style w:type="paragraph" w:customStyle="1" w:styleId="TableFormat">
    <w:name w:val="TableFormat"/>
    <w:basedOn w:val="Bullet"/>
    <w:rsid w:val="00BB684B"/>
    <w:pPr>
      <w:tabs>
        <w:tab w:val="clear" w:pos="2160"/>
        <w:tab w:val="left" w:pos="5040"/>
      </w:tabs>
      <w:ind w:left="5040" w:hanging="3600"/>
    </w:pPr>
  </w:style>
  <w:style w:type="paragraph" w:customStyle="1" w:styleId="TOCTitle">
    <w:name w:val="TOC Title"/>
    <w:basedOn w:val="Normal"/>
    <w:rsid w:val="00BB68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684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790</Words>
  <Characters>4279</Characters>
  <Application>Microsoft Office Word</Application>
  <DocSecurity>0</DocSecurity>
  <Lines>87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2015-02-19T17:50:00Z</dcterms:created>
  <dcterms:modified xsi:type="dcterms:W3CDTF">2015-02-19T17:50:00Z</dcterms:modified>
  <cp:category> </cp:category>
  <cp:contentStatus> </cp:contentStatus>
</cp:coreProperties>
</file>