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B3EF"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189AB71" w14:textId="77777777" w:rsidR="00921803" w:rsidRDefault="00921803" w:rsidP="00921803">
      <w:pPr>
        <w:pStyle w:val="StyleBoldCentered"/>
      </w:pPr>
      <w:r>
        <w:t>F</w:t>
      </w:r>
      <w:r>
        <w:rPr>
          <w:caps w:val="0"/>
        </w:rPr>
        <w:t>ederal Communications Commission</w:t>
      </w:r>
    </w:p>
    <w:p w14:paraId="4983032A" w14:textId="77777777" w:rsidR="004C2EE3" w:rsidRDefault="004C2EE3" w:rsidP="00096D8C">
      <w:pPr>
        <w:pStyle w:val="StyleBoldCentered"/>
      </w:pPr>
      <w:r w:rsidRPr="00BD6995">
        <w:rPr>
          <w:caps w:val="0"/>
        </w:rPr>
        <w:t>Washington</w:t>
      </w:r>
      <w:r>
        <w:t xml:space="preserve">, </w:t>
      </w:r>
      <w:smartTag w:uri="urn:schemas-microsoft-com:office:smarttags" w:element="State">
        <w:r>
          <w:t>D.C.</w:t>
        </w:r>
      </w:smartTag>
      <w:r>
        <w:t xml:space="preserve"> </w:t>
      </w:r>
      <w:smartTag w:uri="urn:schemas-microsoft-com:office:smarttags" w:element="PostalCode">
        <w:r>
          <w:t>20554</w:t>
        </w:r>
      </w:smartTag>
    </w:p>
    <w:p w14:paraId="421D3880"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115622" w14:paraId="1945D31C" w14:textId="77777777" w:rsidTr="00AE010C">
        <w:tc>
          <w:tcPr>
            <w:tcW w:w="4698" w:type="dxa"/>
          </w:tcPr>
          <w:p w14:paraId="200B86E7" w14:textId="77777777" w:rsidR="00115622" w:rsidRDefault="00115622" w:rsidP="00AE010C">
            <w:pPr>
              <w:tabs>
                <w:tab w:val="center" w:pos="4680"/>
              </w:tabs>
              <w:suppressAutoHyphens/>
              <w:rPr>
                <w:spacing w:val="-2"/>
              </w:rPr>
            </w:pPr>
            <w:r>
              <w:rPr>
                <w:spacing w:val="-2"/>
              </w:rPr>
              <w:t>In the Matter of</w:t>
            </w:r>
          </w:p>
          <w:p w14:paraId="7543212F" w14:textId="77777777" w:rsidR="00115622" w:rsidRDefault="00115622" w:rsidP="00AE010C">
            <w:pPr>
              <w:tabs>
                <w:tab w:val="center" w:pos="4680"/>
              </w:tabs>
              <w:suppressAutoHyphens/>
              <w:rPr>
                <w:spacing w:val="-2"/>
              </w:rPr>
            </w:pPr>
          </w:p>
          <w:p w14:paraId="2B5CFD0A" w14:textId="77777777" w:rsidR="00115622" w:rsidRDefault="00115622" w:rsidP="00AE010C">
            <w:pPr>
              <w:tabs>
                <w:tab w:val="center" w:pos="4680"/>
              </w:tabs>
              <w:suppressAutoHyphens/>
              <w:rPr>
                <w:spacing w:val="-2"/>
              </w:rPr>
            </w:pPr>
            <w:r>
              <w:rPr>
                <w:spacing w:val="-2"/>
              </w:rPr>
              <w:t>Amendment of Sections 90.20(d) and 90.265 of the Commission’s Rules to Facilitate the Use of Vehicular Repeater Units</w:t>
            </w:r>
          </w:p>
          <w:p w14:paraId="296430F1" w14:textId="77777777" w:rsidR="00115622" w:rsidRDefault="00115622" w:rsidP="00AE010C">
            <w:pPr>
              <w:tabs>
                <w:tab w:val="center" w:pos="4680"/>
              </w:tabs>
              <w:suppressAutoHyphens/>
              <w:rPr>
                <w:spacing w:val="-2"/>
              </w:rPr>
            </w:pPr>
          </w:p>
          <w:p w14:paraId="03B64BE5" w14:textId="77777777" w:rsidR="00115622" w:rsidRDefault="00115622" w:rsidP="00AE010C">
            <w:pPr>
              <w:tabs>
                <w:tab w:val="center" w:pos="4680"/>
              </w:tabs>
              <w:suppressAutoHyphens/>
              <w:rPr>
                <w:spacing w:val="-2"/>
              </w:rPr>
            </w:pPr>
            <w:r>
              <w:rPr>
                <w:spacing w:val="-2"/>
              </w:rPr>
              <w:t>Trinity County, California</w:t>
            </w:r>
          </w:p>
          <w:p w14:paraId="038A4877" w14:textId="77777777" w:rsidR="00115622" w:rsidRDefault="00115622" w:rsidP="00AE010C">
            <w:pPr>
              <w:tabs>
                <w:tab w:val="center" w:pos="4680"/>
              </w:tabs>
              <w:suppressAutoHyphens/>
              <w:rPr>
                <w:spacing w:val="-2"/>
              </w:rPr>
            </w:pPr>
          </w:p>
          <w:p w14:paraId="6B0AC084" w14:textId="77777777" w:rsidR="00115622" w:rsidRDefault="00115622" w:rsidP="00AE010C">
            <w:pPr>
              <w:tabs>
                <w:tab w:val="center" w:pos="4680"/>
              </w:tabs>
              <w:suppressAutoHyphens/>
              <w:rPr>
                <w:spacing w:val="-2"/>
              </w:rPr>
            </w:pPr>
            <w:r>
              <w:rPr>
                <w:spacing w:val="-2"/>
              </w:rPr>
              <w:t>County of Williams Sheriff’s Department</w:t>
            </w:r>
          </w:p>
          <w:p w14:paraId="16886624" w14:textId="77777777" w:rsidR="00115622" w:rsidRDefault="00115622" w:rsidP="00AE010C">
            <w:pPr>
              <w:tabs>
                <w:tab w:val="center" w:pos="4680"/>
              </w:tabs>
              <w:suppressAutoHyphens/>
              <w:rPr>
                <w:spacing w:val="-2"/>
              </w:rPr>
            </w:pPr>
          </w:p>
          <w:p w14:paraId="09C332FF" w14:textId="77777777" w:rsidR="00115622" w:rsidRDefault="00115622" w:rsidP="00AE010C">
            <w:pPr>
              <w:tabs>
                <w:tab w:val="center" w:pos="4680"/>
              </w:tabs>
              <w:suppressAutoHyphens/>
              <w:rPr>
                <w:spacing w:val="-2"/>
              </w:rPr>
            </w:pPr>
            <w:r>
              <w:rPr>
                <w:spacing w:val="-2"/>
              </w:rPr>
              <w:t>Panhandle Regional Planning Commission</w:t>
            </w:r>
          </w:p>
          <w:p w14:paraId="208811CB" w14:textId="77777777" w:rsidR="00115622" w:rsidRDefault="00115622" w:rsidP="00AE010C">
            <w:pPr>
              <w:tabs>
                <w:tab w:val="center" w:pos="4680"/>
              </w:tabs>
              <w:suppressAutoHyphens/>
              <w:rPr>
                <w:spacing w:val="-2"/>
              </w:rPr>
            </w:pPr>
          </w:p>
          <w:p w14:paraId="1F1F5238" w14:textId="77777777" w:rsidR="00115622" w:rsidRDefault="00115622" w:rsidP="00AE010C">
            <w:pPr>
              <w:tabs>
                <w:tab w:val="center" w:pos="4680"/>
              </w:tabs>
              <w:suppressAutoHyphens/>
              <w:rPr>
                <w:spacing w:val="-2"/>
              </w:rPr>
            </w:pPr>
            <w:r>
              <w:rPr>
                <w:spacing w:val="-2"/>
              </w:rPr>
              <w:t>City of Prineville, Oregon</w:t>
            </w:r>
          </w:p>
        </w:tc>
        <w:tc>
          <w:tcPr>
            <w:tcW w:w="630" w:type="dxa"/>
          </w:tcPr>
          <w:p w14:paraId="0FA1EE09" w14:textId="77777777" w:rsidR="00115622" w:rsidRDefault="00115622" w:rsidP="00AE010C">
            <w:pPr>
              <w:tabs>
                <w:tab w:val="center" w:pos="4680"/>
              </w:tabs>
              <w:suppressAutoHyphens/>
              <w:rPr>
                <w:b/>
                <w:spacing w:val="-2"/>
              </w:rPr>
            </w:pPr>
            <w:r>
              <w:rPr>
                <w:b/>
                <w:spacing w:val="-2"/>
              </w:rPr>
              <w:t>)</w:t>
            </w:r>
          </w:p>
          <w:p w14:paraId="523591E1" w14:textId="77777777" w:rsidR="00115622" w:rsidRDefault="00115622" w:rsidP="00AE010C">
            <w:pPr>
              <w:tabs>
                <w:tab w:val="center" w:pos="4680"/>
              </w:tabs>
              <w:suppressAutoHyphens/>
              <w:rPr>
                <w:b/>
                <w:spacing w:val="-2"/>
              </w:rPr>
            </w:pPr>
            <w:r>
              <w:rPr>
                <w:b/>
                <w:spacing w:val="-2"/>
              </w:rPr>
              <w:t>)</w:t>
            </w:r>
          </w:p>
          <w:p w14:paraId="6C2A50EF" w14:textId="77777777" w:rsidR="00115622" w:rsidRDefault="00115622" w:rsidP="00AE010C">
            <w:pPr>
              <w:tabs>
                <w:tab w:val="center" w:pos="4680"/>
              </w:tabs>
              <w:suppressAutoHyphens/>
              <w:rPr>
                <w:b/>
                <w:spacing w:val="-2"/>
              </w:rPr>
            </w:pPr>
            <w:r>
              <w:rPr>
                <w:b/>
                <w:spacing w:val="-2"/>
              </w:rPr>
              <w:t>)</w:t>
            </w:r>
          </w:p>
          <w:p w14:paraId="2E6FC5C1" w14:textId="77777777" w:rsidR="00115622" w:rsidRDefault="00115622" w:rsidP="00AE010C">
            <w:pPr>
              <w:tabs>
                <w:tab w:val="center" w:pos="4680"/>
              </w:tabs>
              <w:suppressAutoHyphens/>
              <w:rPr>
                <w:b/>
                <w:spacing w:val="-2"/>
              </w:rPr>
            </w:pPr>
            <w:r>
              <w:rPr>
                <w:b/>
                <w:spacing w:val="-2"/>
              </w:rPr>
              <w:t>)</w:t>
            </w:r>
          </w:p>
          <w:p w14:paraId="11024A5E" w14:textId="77777777" w:rsidR="00115622" w:rsidRDefault="00115622" w:rsidP="00AE010C">
            <w:pPr>
              <w:tabs>
                <w:tab w:val="center" w:pos="4680"/>
              </w:tabs>
              <w:suppressAutoHyphens/>
              <w:rPr>
                <w:b/>
                <w:spacing w:val="-2"/>
              </w:rPr>
            </w:pPr>
            <w:r>
              <w:rPr>
                <w:b/>
                <w:spacing w:val="-2"/>
              </w:rPr>
              <w:t>)</w:t>
            </w:r>
          </w:p>
          <w:p w14:paraId="1FEBB60B" w14:textId="77777777" w:rsidR="00115622" w:rsidRDefault="00115622" w:rsidP="00AE010C">
            <w:pPr>
              <w:tabs>
                <w:tab w:val="center" w:pos="4680"/>
              </w:tabs>
              <w:suppressAutoHyphens/>
              <w:rPr>
                <w:b/>
                <w:spacing w:val="-2"/>
              </w:rPr>
            </w:pPr>
            <w:r>
              <w:rPr>
                <w:b/>
                <w:spacing w:val="-2"/>
              </w:rPr>
              <w:t>)</w:t>
            </w:r>
          </w:p>
          <w:p w14:paraId="30B378D2" w14:textId="77777777" w:rsidR="00115622" w:rsidRDefault="00115622" w:rsidP="00AE010C">
            <w:pPr>
              <w:tabs>
                <w:tab w:val="center" w:pos="4680"/>
              </w:tabs>
              <w:suppressAutoHyphens/>
              <w:rPr>
                <w:b/>
                <w:spacing w:val="-2"/>
              </w:rPr>
            </w:pPr>
            <w:r>
              <w:rPr>
                <w:b/>
                <w:spacing w:val="-2"/>
              </w:rPr>
              <w:t>)</w:t>
            </w:r>
          </w:p>
          <w:p w14:paraId="702EEC4C" w14:textId="77777777" w:rsidR="00115622" w:rsidRDefault="00115622" w:rsidP="00AE010C">
            <w:pPr>
              <w:tabs>
                <w:tab w:val="center" w:pos="4680"/>
              </w:tabs>
              <w:suppressAutoHyphens/>
              <w:rPr>
                <w:b/>
                <w:spacing w:val="-2"/>
              </w:rPr>
            </w:pPr>
            <w:r>
              <w:rPr>
                <w:b/>
                <w:spacing w:val="-2"/>
              </w:rPr>
              <w:t>)</w:t>
            </w:r>
          </w:p>
          <w:p w14:paraId="532C21E9" w14:textId="77777777" w:rsidR="00115622" w:rsidRDefault="00115622" w:rsidP="00AE010C">
            <w:pPr>
              <w:tabs>
                <w:tab w:val="center" w:pos="4680"/>
              </w:tabs>
              <w:suppressAutoHyphens/>
              <w:rPr>
                <w:b/>
                <w:spacing w:val="-2"/>
              </w:rPr>
            </w:pPr>
            <w:r>
              <w:rPr>
                <w:b/>
                <w:spacing w:val="-2"/>
              </w:rPr>
              <w:t>)</w:t>
            </w:r>
          </w:p>
          <w:p w14:paraId="5F1DBCB0" w14:textId="77777777" w:rsidR="00115622" w:rsidRDefault="00115622" w:rsidP="00AE010C">
            <w:pPr>
              <w:tabs>
                <w:tab w:val="center" w:pos="4680"/>
              </w:tabs>
              <w:suppressAutoHyphens/>
              <w:rPr>
                <w:b/>
                <w:spacing w:val="-2"/>
              </w:rPr>
            </w:pPr>
            <w:r>
              <w:rPr>
                <w:b/>
                <w:spacing w:val="-2"/>
              </w:rPr>
              <w:t>)</w:t>
            </w:r>
          </w:p>
          <w:p w14:paraId="12DC8C00" w14:textId="77777777" w:rsidR="00115622" w:rsidRDefault="00115622" w:rsidP="00AE010C">
            <w:pPr>
              <w:tabs>
                <w:tab w:val="center" w:pos="4680"/>
              </w:tabs>
              <w:suppressAutoHyphens/>
              <w:rPr>
                <w:b/>
                <w:spacing w:val="-2"/>
              </w:rPr>
            </w:pPr>
            <w:r>
              <w:rPr>
                <w:b/>
                <w:spacing w:val="-2"/>
              </w:rPr>
              <w:t>)</w:t>
            </w:r>
          </w:p>
          <w:p w14:paraId="31F38A3B" w14:textId="77777777" w:rsidR="00115622" w:rsidRDefault="00115622" w:rsidP="00AE010C">
            <w:pPr>
              <w:tabs>
                <w:tab w:val="center" w:pos="4680"/>
              </w:tabs>
              <w:suppressAutoHyphens/>
              <w:rPr>
                <w:b/>
                <w:spacing w:val="-2"/>
              </w:rPr>
            </w:pPr>
            <w:r>
              <w:rPr>
                <w:b/>
                <w:spacing w:val="-2"/>
              </w:rPr>
              <w:t>)</w:t>
            </w:r>
          </w:p>
          <w:p w14:paraId="670AD60B" w14:textId="77777777" w:rsidR="00115622" w:rsidRDefault="00115622" w:rsidP="00AE010C">
            <w:pPr>
              <w:tabs>
                <w:tab w:val="center" w:pos="4680"/>
              </w:tabs>
              <w:suppressAutoHyphens/>
              <w:rPr>
                <w:b/>
                <w:spacing w:val="-2"/>
              </w:rPr>
            </w:pPr>
            <w:r>
              <w:rPr>
                <w:b/>
                <w:spacing w:val="-2"/>
              </w:rPr>
              <w:t>)</w:t>
            </w:r>
          </w:p>
        </w:tc>
        <w:tc>
          <w:tcPr>
            <w:tcW w:w="4248" w:type="dxa"/>
          </w:tcPr>
          <w:p w14:paraId="25C25152" w14:textId="77777777" w:rsidR="00115622" w:rsidRDefault="00115622" w:rsidP="00AE010C">
            <w:pPr>
              <w:tabs>
                <w:tab w:val="center" w:pos="4680"/>
              </w:tabs>
              <w:suppressAutoHyphens/>
              <w:rPr>
                <w:spacing w:val="-2"/>
              </w:rPr>
            </w:pPr>
          </w:p>
          <w:p w14:paraId="2AB66ACA" w14:textId="77777777" w:rsidR="00115622" w:rsidRDefault="00115622" w:rsidP="00AE010C">
            <w:pPr>
              <w:pStyle w:val="TOAHeading"/>
              <w:tabs>
                <w:tab w:val="clear" w:pos="9360"/>
                <w:tab w:val="center" w:pos="4680"/>
              </w:tabs>
              <w:rPr>
                <w:spacing w:val="-2"/>
              </w:rPr>
            </w:pPr>
          </w:p>
          <w:p w14:paraId="332BA379" w14:textId="77777777" w:rsidR="00115622" w:rsidRDefault="00115622" w:rsidP="00AE010C">
            <w:pPr>
              <w:tabs>
                <w:tab w:val="center" w:pos="4680"/>
              </w:tabs>
              <w:suppressAutoHyphens/>
              <w:rPr>
                <w:spacing w:val="-2"/>
              </w:rPr>
            </w:pPr>
            <w:r>
              <w:rPr>
                <w:spacing w:val="-2"/>
              </w:rPr>
              <w:t>PS Docket No 13-229</w:t>
            </w:r>
          </w:p>
          <w:p w14:paraId="2C2B1580" w14:textId="77777777" w:rsidR="00115622" w:rsidRDefault="00115622" w:rsidP="00AE010C">
            <w:pPr>
              <w:tabs>
                <w:tab w:val="center" w:pos="4680"/>
              </w:tabs>
              <w:suppressAutoHyphens/>
              <w:rPr>
                <w:spacing w:val="-2"/>
              </w:rPr>
            </w:pPr>
          </w:p>
          <w:p w14:paraId="0BE4A05A" w14:textId="77777777" w:rsidR="00115622" w:rsidRDefault="00115622" w:rsidP="00AE010C">
            <w:pPr>
              <w:tabs>
                <w:tab w:val="center" w:pos="4680"/>
              </w:tabs>
              <w:suppressAutoHyphens/>
              <w:rPr>
                <w:spacing w:val="-2"/>
              </w:rPr>
            </w:pPr>
          </w:p>
          <w:p w14:paraId="5CE84FCC" w14:textId="77777777" w:rsidR="00115622" w:rsidRDefault="00115622" w:rsidP="00AE010C">
            <w:pPr>
              <w:tabs>
                <w:tab w:val="center" w:pos="4680"/>
              </w:tabs>
              <w:suppressAutoHyphens/>
              <w:rPr>
                <w:spacing w:val="-2"/>
              </w:rPr>
            </w:pPr>
          </w:p>
          <w:p w14:paraId="574A1A4D" w14:textId="77777777" w:rsidR="00115622" w:rsidRDefault="00115622" w:rsidP="00AE010C">
            <w:pPr>
              <w:tabs>
                <w:tab w:val="center" w:pos="4680"/>
              </w:tabs>
              <w:suppressAutoHyphens/>
              <w:rPr>
                <w:spacing w:val="-2"/>
              </w:rPr>
            </w:pPr>
            <w:r>
              <w:rPr>
                <w:spacing w:val="-2"/>
              </w:rPr>
              <w:t xml:space="preserve">FCC File No. 0006127744   </w:t>
            </w:r>
          </w:p>
          <w:p w14:paraId="50DFE9F7" w14:textId="77777777" w:rsidR="00115622" w:rsidRDefault="00115622" w:rsidP="00AE010C">
            <w:pPr>
              <w:tabs>
                <w:tab w:val="center" w:pos="4680"/>
              </w:tabs>
              <w:suppressAutoHyphens/>
              <w:rPr>
                <w:spacing w:val="-2"/>
              </w:rPr>
            </w:pPr>
          </w:p>
          <w:p w14:paraId="391F9B72" w14:textId="77777777" w:rsidR="00115622" w:rsidRDefault="00115622" w:rsidP="00AE010C">
            <w:pPr>
              <w:tabs>
                <w:tab w:val="center" w:pos="4680"/>
              </w:tabs>
              <w:suppressAutoHyphens/>
              <w:rPr>
                <w:spacing w:val="-2"/>
              </w:rPr>
            </w:pPr>
            <w:r>
              <w:rPr>
                <w:spacing w:val="-2"/>
              </w:rPr>
              <w:t>FCC File No. 0006070064</w:t>
            </w:r>
          </w:p>
          <w:p w14:paraId="0C9B41C7" w14:textId="77777777" w:rsidR="00115622" w:rsidRDefault="00115622" w:rsidP="00AE010C">
            <w:pPr>
              <w:tabs>
                <w:tab w:val="center" w:pos="4680"/>
              </w:tabs>
              <w:suppressAutoHyphens/>
              <w:rPr>
                <w:spacing w:val="-2"/>
              </w:rPr>
            </w:pPr>
          </w:p>
          <w:p w14:paraId="3B372F35" w14:textId="77777777" w:rsidR="00115622" w:rsidRDefault="00115622" w:rsidP="00AE010C">
            <w:pPr>
              <w:tabs>
                <w:tab w:val="center" w:pos="4680"/>
              </w:tabs>
              <w:suppressAutoHyphens/>
              <w:rPr>
                <w:spacing w:val="-2"/>
              </w:rPr>
            </w:pPr>
            <w:r>
              <w:rPr>
                <w:spacing w:val="-2"/>
              </w:rPr>
              <w:t>FCC File No. 0005883249</w:t>
            </w:r>
          </w:p>
          <w:p w14:paraId="4F1ADBC5" w14:textId="77777777" w:rsidR="00115622" w:rsidRDefault="00115622" w:rsidP="00AE010C">
            <w:pPr>
              <w:tabs>
                <w:tab w:val="center" w:pos="4680"/>
              </w:tabs>
              <w:suppressAutoHyphens/>
              <w:rPr>
                <w:spacing w:val="-2"/>
              </w:rPr>
            </w:pPr>
          </w:p>
          <w:p w14:paraId="546DF466" w14:textId="77777777" w:rsidR="00115622" w:rsidRDefault="00115622" w:rsidP="00AE010C">
            <w:pPr>
              <w:tabs>
                <w:tab w:val="center" w:pos="4680"/>
              </w:tabs>
              <w:suppressAutoHyphens/>
              <w:rPr>
                <w:spacing w:val="-2"/>
              </w:rPr>
            </w:pPr>
            <w:r>
              <w:rPr>
                <w:spacing w:val="-2"/>
              </w:rPr>
              <w:t xml:space="preserve">FCC File No. </w:t>
            </w:r>
            <w:r>
              <w:rPr>
                <w:kern w:val="0"/>
              </w:rPr>
              <w:t>0006263046</w:t>
            </w:r>
          </w:p>
        </w:tc>
      </w:tr>
    </w:tbl>
    <w:p w14:paraId="67109EFF" w14:textId="77777777" w:rsidR="00115622" w:rsidRDefault="00115622" w:rsidP="00F021FA">
      <w:pPr>
        <w:pStyle w:val="StyleBoldCentered"/>
      </w:pPr>
    </w:p>
    <w:p w14:paraId="1BBE16C7" w14:textId="77777777" w:rsidR="00841AB1" w:rsidRDefault="00BB7B42" w:rsidP="00F021FA">
      <w:pPr>
        <w:pStyle w:val="StyleBoldCentered"/>
      </w:pPr>
      <w:r>
        <w:t>Clarification order</w:t>
      </w:r>
    </w:p>
    <w:p w14:paraId="667C8411" w14:textId="77777777" w:rsidR="004C2EE3" w:rsidRDefault="004C2EE3">
      <w:pPr>
        <w:tabs>
          <w:tab w:val="left" w:pos="-720"/>
        </w:tabs>
        <w:suppressAutoHyphens/>
        <w:spacing w:line="227" w:lineRule="auto"/>
        <w:rPr>
          <w:spacing w:val="-2"/>
        </w:rPr>
      </w:pPr>
    </w:p>
    <w:p w14:paraId="468F10E3" w14:textId="12750402" w:rsidR="00BD6995" w:rsidRDefault="00BD6995" w:rsidP="00BD6995">
      <w:pPr>
        <w:tabs>
          <w:tab w:val="left" w:pos="720"/>
          <w:tab w:val="right" w:pos="9360"/>
        </w:tabs>
        <w:suppressAutoHyphens/>
        <w:spacing w:line="227" w:lineRule="auto"/>
        <w:rPr>
          <w:spacing w:val="-2"/>
        </w:rPr>
      </w:pPr>
      <w:r>
        <w:rPr>
          <w:b/>
          <w:spacing w:val="-2"/>
        </w:rPr>
        <w:t>Adopted:  December 10, 2015</w:t>
      </w:r>
      <w:r>
        <w:rPr>
          <w:b/>
          <w:spacing w:val="-2"/>
        </w:rPr>
        <w:tab/>
        <w:t>Released:  December 11, 2015</w:t>
      </w:r>
    </w:p>
    <w:p w14:paraId="1CF51B1D" w14:textId="77777777" w:rsidR="00822CE0" w:rsidRDefault="00822CE0"/>
    <w:p w14:paraId="021DF743" w14:textId="77777777" w:rsidR="004C2EE3" w:rsidRDefault="004C2EE3">
      <w:pPr>
        <w:rPr>
          <w:spacing w:val="-2"/>
        </w:rPr>
      </w:pPr>
      <w:r>
        <w:t xml:space="preserve">By </w:t>
      </w:r>
      <w:r w:rsidR="004E4A22">
        <w:t>the</w:t>
      </w:r>
      <w:r w:rsidR="002A2D2E">
        <w:t xml:space="preserve"> </w:t>
      </w:r>
      <w:r w:rsidR="00BB7B42">
        <w:rPr>
          <w:spacing w:val="-2"/>
        </w:rPr>
        <w:t>Commission</w:t>
      </w:r>
      <w:r>
        <w:rPr>
          <w:spacing w:val="-2"/>
        </w:rPr>
        <w:t>:</w:t>
      </w:r>
    </w:p>
    <w:p w14:paraId="4E01F38E" w14:textId="77777777" w:rsidR="00412FC5" w:rsidRDefault="00412FC5" w:rsidP="00E5110C">
      <w:pPr>
        <w:pStyle w:val="Heading1"/>
        <w:numPr>
          <w:ilvl w:val="0"/>
          <w:numId w:val="0"/>
        </w:numPr>
      </w:pPr>
    </w:p>
    <w:p w14:paraId="72F7B845" w14:textId="77777777" w:rsidR="00E5110C" w:rsidRDefault="00BB7B42" w:rsidP="00E5110C">
      <w:pPr>
        <w:pStyle w:val="ParaNum"/>
        <w:rPr>
          <w:snapToGrid/>
        </w:rPr>
      </w:pPr>
      <w:r>
        <w:t>On August 10, 2015, we released a</w:t>
      </w:r>
      <w:r>
        <w:rPr>
          <w:rFonts w:ascii="TimesNewRoman,Italic" w:hAnsi="TimesNewRoman,Italic" w:cs="TimesNewRoman,Italic"/>
          <w:i/>
          <w:iCs/>
        </w:rPr>
        <w:t xml:space="preserve"> Report and Order (R&amp;O)</w:t>
      </w:r>
      <w:r>
        <w:rPr>
          <w:rFonts w:ascii="TimesNewRoman,Italic" w:hAnsi="TimesNewRoman,Italic" w:cs="TimesNewRoman,Italic"/>
          <w:iCs/>
        </w:rPr>
        <w:t xml:space="preserve">, </w:t>
      </w:r>
      <w:r>
        <w:t>FCC 15-103, in the above-captioned proceeding to allow licensing of Vehicular Repeater Systems on six remote control and telemetry channels in the VHF band.</w:t>
      </w:r>
      <w:r>
        <w:rPr>
          <w:rStyle w:val="FootnoteReference"/>
        </w:rPr>
        <w:footnoteReference w:id="2"/>
      </w:r>
      <w:r>
        <w:t xml:space="preserve">  As we noted in paragraph 18 of the </w:t>
      </w:r>
      <w:r>
        <w:rPr>
          <w:i/>
        </w:rPr>
        <w:t>R&amp;O</w:t>
      </w:r>
      <w:r>
        <w:t xml:space="preserve">, </w:t>
      </w:r>
      <w:r>
        <w:rPr>
          <w:snapToGrid/>
        </w:rPr>
        <w:t xml:space="preserve">when the Commission first authorized these channels in 1977, the channels adjacent to the telemetry channels operated with a 20 kilohertz bandwidth limit and a 25 kilohertz channel separation.  </w:t>
      </w:r>
      <w:bookmarkStart w:id="1" w:name="_Ref398886151"/>
      <w:r>
        <w:rPr>
          <w:snapToGrid/>
        </w:rPr>
        <w:t>In order to minimize this spectral overlap and consequent mutual interference, the Commission relegated the six telemetry channels to secondary status and limited them to a maximum bandwidth of 6 kilohertz.  In addition, the Commission also imposed technical restrictions on telemetry base stations limiting the use of omni-directional antennas, power levels and antenna heights.</w:t>
      </w:r>
      <w:bookmarkEnd w:id="1"/>
    </w:p>
    <w:p w14:paraId="0C3C8AE8" w14:textId="77777777" w:rsidR="00E5110C" w:rsidRDefault="00BB7B42" w:rsidP="00E5110C">
      <w:pPr>
        <w:pStyle w:val="ParaNum"/>
        <w:rPr>
          <w:snapToGrid/>
        </w:rPr>
      </w:pPr>
      <w:r w:rsidRPr="00E5110C">
        <w:rPr>
          <w:snapToGrid/>
        </w:rPr>
        <w:t>As a result of the Commission’s UHF/VHF narrowbanding initiative, the vast majority of VHF users on standard channels have reduced their bandwidth from 20 kilohertz to 11.25 kilohertz while maintaining 25 kilohertz channel separation.  This has increased the spectral separation between the offset channels and the standard channels to such an extent that not only does a 6 kilohertz channel have no spectral overlap, but a standard 11.25 kilohertz channel can operate using this center frequency without having spectral overlap with the adjacent channels.</w:t>
      </w:r>
    </w:p>
    <w:p w14:paraId="6ECEDD59" w14:textId="77777777" w:rsidR="00E5110C" w:rsidRDefault="00BB7B42" w:rsidP="00E5110C">
      <w:pPr>
        <w:pStyle w:val="ParaNum"/>
        <w:rPr>
          <w:snapToGrid/>
        </w:rPr>
      </w:pPr>
      <w:r w:rsidRPr="00E5110C">
        <w:rPr>
          <w:snapToGrid/>
          <w:kern w:val="0"/>
          <w:szCs w:val="22"/>
        </w:rPr>
        <w:t xml:space="preserve">Therefore, </w:t>
      </w:r>
      <w:r>
        <w:t xml:space="preserve">in paragraph 23 of the </w:t>
      </w:r>
      <w:r w:rsidRPr="00E5110C">
        <w:rPr>
          <w:i/>
        </w:rPr>
        <w:t>R&amp;O</w:t>
      </w:r>
      <w:r>
        <w:t xml:space="preserve">, we removed certain technical limitations on these channels that had been obviated by UHF/VHF narrowbanding, such as </w:t>
      </w:r>
      <w:r w:rsidRPr="00E5110C">
        <w:rPr>
          <w:snapToGrid/>
        </w:rPr>
        <w:t xml:space="preserve">the limits on the use of omni-directional antennas, power levels and antenna heights.  </w:t>
      </w:r>
    </w:p>
    <w:p w14:paraId="159C349C" w14:textId="77777777" w:rsidR="00E5110C" w:rsidRDefault="00BB7B42" w:rsidP="00E5110C">
      <w:pPr>
        <w:pStyle w:val="ParaNum"/>
        <w:rPr>
          <w:snapToGrid/>
        </w:rPr>
      </w:pPr>
      <w:r>
        <w:t xml:space="preserve">However, these limitations were not removed from the rules consistent with our decision in the </w:t>
      </w:r>
      <w:r w:rsidRPr="00E5110C">
        <w:rPr>
          <w:i/>
        </w:rPr>
        <w:t>R&amp;O</w:t>
      </w:r>
      <w:r>
        <w:t xml:space="preserve">.  We therefore correct Appendix A of the </w:t>
      </w:r>
      <w:r w:rsidRPr="00E5110C">
        <w:rPr>
          <w:rFonts w:ascii="TimesNewRoman,Italic" w:hAnsi="TimesNewRoman,Italic" w:cs="TimesNewRoman,Italic"/>
          <w:i/>
          <w:iCs/>
        </w:rPr>
        <w:t>R&amp;O</w:t>
      </w:r>
      <w:r>
        <w:t xml:space="preserve"> as indicated below:</w:t>
      </w:r>
    </w:p>
    <w:p w14:paraId="2FAF9BCA" w14:textId="249B0676" w:rsidR="00BB7B42" w:rsidRPr="00E5110C" w:rsidRDefault="00BB7B42" w:rsidP="00E5110C">
      <w:pPr>
        <w:pStyle w:val="ParaNum"/>
        <w:rPr>
          <w:snapToGrid/>
        </w:rPr>
      </w:pPr>
      <w:r>
        <w:t xml:space="preserve">On pages 17-18, 47 C.F.R. §§ 90.20(d)(91) and 90.20(d)(92) are corrected to read as </w:t>
      </w:r>
      <w:r>
        <w:lastRenderedPageBreak/>
        <w:t>follows:</w:t>
      </w:r>
    </w:p>
    <w:p w14:paraId="7EF86AC6" w14:textId="77777777" w:rsidR="00BB7B42" w:rsidRDefault="00BB7B42" w:rsidP="00BB7B42">
      <w:pPr>
        <w:pStyle w:val="ParaNum"/>
        <w:numPr>
          <w:ilvl w:val="0"/>
          <w:numId w:val="0"/>
        </w:numPr>
        <w:ind w:firstLine="720"/>
      </w:pPr>
      <w:r>
        <w:t>(91) This frequency is available on a shared basis both for remote control and telemetry operations and for mobile repeater operations.  The authorized bandwidth may not exceed 11.25 kHz.</w:t>
      </w:r>
    </w:p>
    <w:p w14:paraId="1B251855" w14:textId="77777777" w:rsidR="00BB7B42" w:rsidRDefault="00BB7B42" w:rsidP="00BB7B42">
      <w:pPr>
        <w:pStyle w:val="ParaNum"/>
        <w:numPr>
          <w:ilvl w:val="0"/>
          <w:numId w:val="0"/>
        </w:numPr>
        <w:ind w:firstLine="720"/>
      </w:pPr>
      <w:r>
        <w:t xml:space="preserve">(92) </w:t>
      </w:r>
      <w:r>
        <w:tab/>
        <w:t>This frequency is available on a shared basis with the Industrial/Business Pool for remote control and telemetry operations.  Licensees seeking primary status for the use of this frequency for mobile repeater stations and hand-carried transmitters that communicate directly with mobile repeater stations must describe the area of normal day-to-day operations either in terms of operation in a specific county or in the terms of maximum distance from a geographic center (latitude and longitude) and shall be subject to the frequency coordination requirements of § 90.175.</w:t>
      </w:r>
    </w:p>
    <w:p w14:paraId="792325A7" w14:textId="77777777" w:rsidR="00BB7B42" w:rsidRDefault="00BB7B42" w:rsidP="00E5110C">
      <w:pPr>
        <w:pStyle w:val="ParaNum"/>
      </w:pPr>
      <w:r w:rsidRPr="001C3BE2">
        <w:t>On</w:t>
      </w:r>
      <w:r>
        <w:t xml:space="preserve"> page 18, 47 C.F.R. § 90.35(b)(3) is corrected to read as follows:</w:t>
      </w:r>
    </w:p>
    <w:p w14:paraId="54688163" w14:textId="77777777" w:rsidR="00BB7B42" w:rsidRDefault="00BB7B42" w:rsidP="00BB7B42">
      <w:pPr>
        <w:pStyle w:val="ParaNum"/>
        <w:numPr>
          <w:ilvl w:val="0"/>
          <w:numId w:val="0"/>
        </w:numPr>
        <w:ind w:firstLine="720"/>
      </w:pPr>
      <w:r w:rsidRPr="001C3BE2">
        <w:t>(3) Frequencies.</w:t>
      </w:r>
    </w:p>
    <w:p w14:paraId="48388769" w14:textId="77777777" w:rsidR="00BB7B42" w:rsidRPr="001C3BE2" w:rsidRDefault="00BB7B42" w:rsidP="00BB7B42">
      <w:pPr>
        <w:pStyle w:val="ParaNum"/>
        <w:numPr>
          <w:ilvl w:val="0"/>
          <w:numId w:val="0"/>
        </w:numPr>
        <w:ind w:firstLine="720"/>
      </w:pPr>
    </w:p>
    <w:p w14:paraId="3BAF95D2" w14:textId="77777777" w:rsidR="00BB7B42" w:rsidRPr="008C3F8E" w:rsidRDefault="00BB7B42" w:rsidP="00BB7B42">
      <w:pPr>
        <w:spacing w:after="120"/>
        <w:outlineLvl w:val="0"/>
        <w:rPr>
          <w:szCs w:val="22"/>
        </w:rPr>
      </w:pPr>
      <w:r w:rsidRPr="008C3F8E">
        <w:rPr>
          <w:szCs w:val="22"/>
        </w:rPr>
        <w:t>INDUSTRIAL BUSINESS POOL FREQUENCY TABLE</w:t>
      </w:r>
    </w:p>
    <w:p w14:paraId="5A13687D" w14:textId="77777777" w:rsidR="00BB7B42" w:rsidRPr="008C3F8E" w:rsidRDefault="00BB7B42" w:rsidP="00BB7B42">
      <w:pPr>
        <w:spacing w:after="120"/>
        <w:outlineLvl w:val="0"/>
        <w:rPr>
          <w:szCs w:val="22"/>
        </w:rPr>
      </w:pPr>
      <w:r w:rsidRPr="008C3F8E">
        <w:rPr>
          <w:szCs w:val="22"/>
        </w:rPr>
        <w:t>Frequency or band</w:t>
      </w:r>
      <w:r w:rsidRPr="008C3F8E">
        <w:rPr>
          <w:szCs w:val="22"/>
        </w:rPr>
        <w:tab/>
        <w:t>Class of station(s)</w:t>
      </w:r>
      <w:r w:rsidRPr="008C3F8E">
        <w:rPr>
          <w:szCs w:val="22"/>
        </w:rPr>
        <w:tab/>
        <w:t>Limitations</w:t>
      </w:r>
      <w:r w:rsidRPr="008C3F8E">
        <w:rPr>
          <w:szCs w:val="22"/>
        </w:rPr>
        <w:tab/>
        <w:t>Coordinator</w:t>
      </w:r>
    </w:p>
    <w:p w14:paraId="359C5D06"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4AA9924F" w14:textId="77777777" w:rsidR="00BB7B42" w:rsidRPr="008C3F8E" w:rsidRDefault="00BB7B42" w:rsidP="00BB7B42">
      <w:pPr>
        <w:spacing w:after="120"/>
        <w:outlineLvl w:val="0"/>
        <w:rPr>
          <w:szCs w:val="22"/>
        </w:rPr>
      </w:pPr>
      <w:r w:rsidRPr="008C3F8E">
        <w:rPr>
          <w:szCs w:val="22"/>
        </w:rPr>
        <w:t>Megahertz</w:t>
      </w:r>
    </w:p>
    <w:p w14:paraId="665EC673"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5CF01D3E" w14:textId="77777777" w:rsidR="00BB7B42" w:rsidRPr="008C3F8E" w:rsidRDefault="00BB7B42" w:rsidP="00BB7B42">
      <w:pPr>
        <w:spacing w:after="120"/>
        <w:outlineLvl w:val="0"/>
        <w:rPr>
          <w:szCs w:val="22"/>
        </w:rPr>
      </w:pPr>
      <w:r w:rsidRPr="008C3F8E">
        <w:rPr>
          <w:szCs w:val="22"/>
        </w:rPr>
        <w:t>173.2375 .....................</w:t>
      </w:r>
      <w:r>
        <w:rPr>
          <w:szCs w:val="22"/>
        </w:rPr>
        <w:tab/>
        <w:t>Fixed or mobile</w:t>
      </w:r>
      <w:r>
        <w:rPr>
          <w:szCs w:val="22"/>
        </w:rPr>
        <w:tab/>
      </w:r>
      <w:r>
        <w:rPr>
          <w:szCs w:val="22"/>
        </w:rPr>
        <w:tab/>
      </w:r>
      <w:r w:rsidRPr="008C3F8E">
        <w:rPr>
          <w:szCs w:val="22"/>
        </w:rPr>
        <w:t>92, 93, 94, 95</w:t>
      </w:r>
      <w:r w:rsidRPr="008C3F8E">
        <w:rPr>
          <w:szCs w:val="22"/>
        </w:rPr>
        <w:tab/>
      </w:r>
      <w:r w:rsidRPr="008C3F8E">
        <w:rPr>
          <w:szCs w:val="22"/>
        </w:rPr>
        <w:tab/>
      </w:r>
    </w:p>
    <w:p w14:paraId="029EA9D8"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1BE6808A" w14:textId="77777777" w:rsidR="00BB7B42" w:rsidRPr="008C3F8E" w:rsidRDefault="00BB7B42" w:rsidP="00BB7B42">
      <w:pPr>
        <w:spacing w:after="120"/>
        <w:outlineLvl w:val="0"/>
        <w:rPr>
          <w:szCs w:val="22"/>
        </w:rPr>
      </w:pPr>
      <w:r w:rsidRPr="008C3F8E">
        <w:rPr>
          <w:szCs w:val="22"/>
        </w:rPr>
        <w:t>173.2625 .....................</w:t>
      </w:r>
      <w:r>
        <w:rPr>
          <w:szCs w:val="22"/>
        </w:rPr>
        <w:tab/>
        <w:t>Fixed or mobile</w:t>
      </w:r>
      <w:r>
        <w:rPr>
          <w:szCs w:val="22"/>
        </w:rPr>
        <w:tab/>
      </w:r>
      <w:r>
        <w:rPr>
          <w:szCs w:val="22"/>
        </w:rPr>
        <w:tab/>
      </w:r>
      <w:r w:rsidRPr="008C3F8E">
        <w:rPr>
          <w:szCs w:val="22"/>
        </w:rPr>
        <w:t>92, 93, 94, 95</w:t>
      </w:r>
      <w:r w:rsidRPr="008C3F8E">
        <w:rPr>
          <w:szCs w:val="22"/>
        </w:rPr>
        <w:tab/>
      </w:r>
      <w:r w:rsidRPr="008C3F8E">
        <w:rPr>
          <w:szCs w:val="22"/>
        </w:rPr>
        <w:tab/>
      </w:r>
    </w:p>
    <w:p w14:paraId="74DDE308"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7F5BA3E3" w14:textId="77777777" w:rsidR="00BB7B42" w:rsidRPr="008C3F8E" w:rsidRDefault="00BB7B42" w:rsidP="00BB7B42">
      <w:pPr>
        <w:spacing w:after="120"/>
        <w:outlineLvl w:val="0"/>
        <w:rPr>
          <w:szCs w:val="22"/>
        </w:rPr>
      </w:pPr>
      <w:r w:rsidRPr="008C3F8E">
        <w:rPr>
          <w:szCs w:val="22"/>
        </w:rPr>
        <w:t>173.2875 .....................</w:t>
      </w:r>
      <w:r>
        <w:rPr>
          <w:szCs w:val="22"/>
        </w:rPr>
        <w:tab/>
        <w:t>Fixed or mobile</w:t>
      </w:r>
      <w:r>
        <w:rPr>
          <w:szCs w:val="22"/>
        </w:rPr>
        <w:tab/>
      </w:r>
      <w:r>
        <w:rPr>
          <w:szCs w:val="22"/>
        </w:rPr>
        <w:tab/>
      </w:r>
      <w:r w:rsidRPr="008C3F8E">
        <w:rPr>
          <w:szCs w:val="22"/>
        </w:rPr>
        <w:t>92, 93, 94, 95</w:t>
      </w:r>
      <w:r w:rsidRPr="008C3F8E">
        <w:rPr>
          <w:szCs w:val="22"/>
        </w:rPr>
        <w:tab/>
      </w:r>
      <w:r w:rsidRPr="008C3F8E">
        <w:rPr>
          <w:szCs w:val="22"/>
        </w:rPr>
        <w:tab/>
      </w:r>
    </w:p>
    <w:p w14:paraId="79AB3093"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37737402" w14:textId="77777777" w:rsidR="00BB7B42" w:rsidRPr="008C3F8E" w:rsidRDefault="00BB7B42" w:rsidP="00BB7B42">
      <w:pPr>
        <w:spacing w:after="120"/>
        <w:outlineLvl w:val="0"/>
        <w:rPr>
          <w:szCs w:val="22"/>
        </w:rPr>
      </w:pPr>
      <w:r w:rsidRPr="008C3F8E">
        <w:rPr>
          <w:szCs w:val="22"/>
        </w:rPr>
        <w:t>173.3125 .....................</w:t>
      </w:r>
      <w:r>
        <w:rPr>
          <w:szCs w:val="22"/>
        </w:rPr>
        <w:tab/>
        <w:t>Fixed or mobile</w:t>
      </w:r>
      <w:r>
        <w:rPr>
          <w:szCs w:val="22"/>
        </w:rPr>
        <w:tab/>
      </w:r>
      <w:r>
        <w:rPr>
          <w:szCs w:val="22"/>
        </w:rPr>
        <w:tab/>
      </w:r>
      <w:r w:rsidRPr="008C3F8E">
        <w:rPr>
          <w:szCs w:val="22"/>
        </w:rPr>
        <w:t>92, 93, 94, 95</w:t>
      </w:r>
      <w:r w:rsidRPr="008C3F8E">
        <w:rPr>
          <w:szCs w:val="22"/>
        </w:rPr>
        <w:tab/>
      </w:r>
      <w:r w:rsidRPr="008C3F8E">
        <w:rPr>
          <w:szCs w:val="22"/>
        </w:rPr>
        <w:tab/>
      </w:r>
    </w:p>
    <w:p w14:paraId="63364D43"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353EE9B1" w14:textId="77777777" w:rsidR="00BB7B42" w:rsidRPr="008C3F8E" w:rsidRDefault="00BB7B42" w:rsidP="00BB7B42">
      <w:pPr>
        <w:spacing w:after="120"/>
        <w:outlineLvl w:val="0"/>
        <w:rPr>
          <w:szCs w:val="22"/>
        </w:rPr>
      </w:pPr>
      <w:r w:rsidRPr="008C3F8E">
        <w:rPr>
          <w:szCs w:val="22"/>
        </w:rPr>
        <w:t>173.3375 .....................</w:t>
      </w:r>
      <w:r>
        <w:rPr>
          <w:szCs w:val="22"/>
        </w:rPr>
        <w:tab/>
        <w:t>Fixed or mobile</w:t>
      </w:r>
      <w:r>
        <w:rPr>
          <w:szCs w:val="22"/>
        </w:rPr>
        <w:tab/>
      </w:r>
      <w:r>
        <w:rPr>
          <w:szCs w:val="22"/>
        </w:rPr>
        <w:tab/>
      </w:r>
      <w:r w:rsidRPr="008C3F8E">
        <w:rPr>
          <w:szCs w:val="22"/>
        </w:rPr>
        <w:t>92, 93, 94, 95</w:t>
      </w:r>
      <w:r w:rsidRPr="008C3F8E">
        <w:rPr>
          <w:szCs w:val="22"/>
        </w:rPr>
        <w:tab/>
      </w:r>
      <w:r w:rsidRPr="008C3F8E">
        <w:rPr>
          <w:szCs w:val="22"/>
        </w:rPr>
        <w:tab/>
      </w:r>
    </w:p>
    <w:p w14:paraId="499809C9"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68BC3FBB" w14:textId="77777777" w:rsidR="00BB7B42" w:rsidRPr="008C3F8E" w:rsidRDefault="00BB7B42" w:rsidP="00BB7B42">
      <w:pPr>
        <w:spacing w:after="120"/>
        <w:outlineLvl w:val="0"/>
        <w:rPr>
          <w:szCs w:val="22"/>
        </w:rPr>
      </w:pPr>
      <w:r w:rsidRPr="008C3F8E">
        <w:rPr>
          <w:szCs w:val="22"/>
        </w:rPr>
        <w:t>173.3625 .....................</w:t>
      </w:r>
      <w:r>
        <w:rPr>
          <w:szCs w:val="22"/>
        </w:rPr>
        <w:tab/>
        <w:t>Fixed or mobile</w:t>
      </w:r>
      <w:r>
        <w:rPr>
          <w:szCs w:val="22"/>
        </w:rPr>
        <w:tab/>
      </w:r>
      <w:r>
        <w:rPr>
          <w:szCs w:val="22"/>
        </w:rPr>
        <w:tab/>
      </w:r>
      <w:r w:rsidRPr="008C3F8E">
        <w:rPr>
          <w:szCs w:val="22"/>
        </w:rPr>
        <w:t>92, 93, 94, 95</w:t>
      </w:r>
      <w:r w:rsidRPr="008C3F8E">
        <w:rPr>
          <w:szCs w:val="22"/>
        </w:rPr>
        <w:tab/>
      </w:r>
      <w:r w:rsidRPr="008C3F8E">
        <w:rPr>
          <w:szCs w:val="22"/>
        </w:rPr>
        <w:tab/>
      </w:r>
    </w:p>
    <w:p w14:paraId="18E5CF5D" w14:textId="77777777" w:rsidR="00BB7B42" w:rsidRPr="008C3F8E" w:rsidRDefault="00BB7B42" w:rsidP="00BB7B42">
      <w:pPr>
        <w:spacing w:after="120"/>
        <w:outlineLvl w:val="0"/>
        <w:rPr>
          <w:szCs w:val="22"/>
        </w:rPr>
      </w:pPr>
      <w:r w:rsidRPr="008C3F8E">
        <w:rPr>
          <w:szCs w:val="22"/>
        </w:rPr>
        <w:t>*</w:t>
      </w:r>
      <w:r w:rsidRPr="008C3F8E">
        <w:rPr>
          <w:szCs w:val="22"/>
        </w:rPr>
        <w:tab/>
        <w:t>*</w:t>
      </w:r>
      <w:r w:rsidRPr="008C3F8E">
        <w:rPr>
          <w:szCs w:val="22"/>
        </w:rPr>
        <w:tab/>
        <w:t>*</w:t>
      </w:r>
      <w:r w:rsidRPr="008C3F8E">
        <w:rPr>
          <w:szCs w:val="22"/>
        </w:rPr>
        <w:tab/>
        <w:t>*</w:t>
      </w:r>
    </w:p>
    <w:p w14:paraId="4350E1E0" w14:textId="77777777" w:rsidR="00BB7B42" w:rsidRDefault="00BB7B42" w:rsidP="00BB7B42">
      <w:pPr>
        <w:spacing w:after="120"/>
        <w:outlineLvl w:val="0"/>
      </w:pPr>
    </w:p>
    <w:p w14:paraId="10F625F8" w14:textId="77777777" w:rsidR="00BB7B42" w:rsidRDefault="00BB7B42" w:rsidP="00E5110C">
      <w:pPr>
        <w:pStyle w:val="ParaNum"/>
      </w:pPr>
      <w:r w:rsidRPr="001C3BE2">
        <w:t>On</w:t>
      </w:r>
      <w:r>
        <w:t xml:space="preserve"> page 18, 47 C.F.R. § 90.35(c)(92) is corrected to read as follows:</w:t>
      </w:r>
    </w:p>
    <w:p w14:paraId="4E1B5B88" w14:textId="77777777" w:rsidR="00BB7B42" w:rsidRDefault="00BB7B42" w:rsidP="00BB7B42">
      <w:pPr>
        <w:pStyle w:val="ParaNum"/>
        <w:numPr>
          <w:ilvl w:val="0"/>
          <w:numId w:val="0"/>
        </w:numPr>
        <w:ind w:firstLine="720"/>
      </w:pPr>
      <w:r>
        <w:t>(92) This frequency is available on a shared basis both for remote control and telemetry operations and for mobile repeater operations.  The authorized bandwidth may not exceed 11.25 kHz.</w:t>
      </w:r>
    </w:p>
    <w:p w14:paraId="7FDE24D8" w14:textId="36B66D1A" w:rsidR="00E5110C" w:rsidRDefault="00BB7B42" w:rsidP="00E5110C">
      <w:pPr>
        <w:pStyle w:val="ParaNum"/>
        <w:widowControl/>
      </w:pPr>
      <w:r>
        <w:t>For further information concerning this Clarification Order, contact Roberto Mussenden, Policy and Licensing Division, Public Safety and Homeland Security Bureau, (202) 418-1428.</w:t>
      </w:r>
    </w:p>
    <w:p w14:paraId="5B71C599" w14:textId="00C3432C" w:rsidR="00E5110C" w:rsidRDefault="00E5110C" w:rsidP="00E5110C">
      <w:pPr>
        <w:widowControl/>
      </w:pPr>
      <w:r>
        <w:br w:type="page"/>
      </w:r>
    </w:p>
    <w:p w14:paraId="50CA9697" w14:textId="39DB1F80" w:rsidR="00BB7B42" w:rsidRDefault="00BB7B42" w:rsidP="00E5110C">
      <w:pPr>
        <w:pStyle w:val="ParaNum"/>
        <w:widowControl/>
      </w:pPr>
      <w:r w:rsidRPr="00CB5663">
        <w:lastRenderedPageBreak/>
        <w:t xml:space="preserve">Accordingly, IT IS ORDERED that, pursuant to the authority contained in Sections </w:t>
      </w:r>
      <w:r w:rsidR="000A1200" w:rsidRPr="009655B9">
        <w:t xml:space="preserve">1, 4(i), 303, 316, 332 and 337 </w:t>
      </w:r>
      <w:r w:rsidRPr="00CB5663">
        <w:t>of the Communications Act of 1934, as amended, 47 U.S.C. §§ 151, 154(i), 303, 3</w:t>
      </w:r>
      <w:r w:rsidR="00AA3368">
        <w:t>16</w:t>
      </w:r>
      <w:r w:rsidRPr="00CB5663">
        <w:t>, 3</w:t>
      </w:r>
      <w:r w:rsidR="00AA3368">
        <w:t>32</w:t>
      </w:r>
      <w:r w:rsidRPr="00CB5663">
        <w:t>, 3</w:t>
      </w:r>
      <w:r w:rsidR="00AA3368">
        <w:t>37</w:t>
      </w:r>
      <w:r w:rsidRPr="00CB5663">
        <w:t xml:space="preserve">, </w:t>
      </w:r>
      <w:r>
        <w:t xml:space="preserve">and Section 1.108 of the Commission’s rules, 47 C.F.R. § 1.108, </w:t>
      </w:r>
      <w:r w:rsidRPr="00CB5663">
        <w:t xml:space="preserve">this </w:t>
      </w:r>
      <w:r>
        <w:t xml:space="preserve">Clarification </w:t>
      </w:r>
      <w:r w:rsidRPr="00CB5663">
        <w:t>Order IS ADOPTED.</w:t>
      </w:r>
    </w:p>
    <w:p w14:paraId="07000789" w14:textId="77777777" w:rsidR="00BB7B42" w:rsidRDefault="00BB7B42" w:rsidP="00BB7B42">
      <w:pPr>
        <w:pStyle w:val="ParaNum"/>
        <w:numPr>
          <w:ilvl w:val="0"/>
          <w:numId w:val="0"/>
        </w:numPr>
        <w:ind w:firstLine="720"/>
      </w:pPr>
    </w:p>
    <w:p w14:paraId="0C623783" w14:textId="77777777" w:rsidR="00BD6995" w:rsidRDefault="00BD6995" w:rsidP="0017296B">
      <w:r>
        <w:tab/>
      </w:r>
      <w:r>
        <w:tab/>
      </w:r>
      <w:r>
        <w:tab/>
      </w:r>
      <w:r>
        <w:tab/>
      </w:r>
      <w:r>
        <w:tab/>
      </w:r>
      <w:r>
        <w:tab/>
        <w:t>FEDERAL COMMUNICATIONS COMMISSION</w:t>
      </w:r>
    </w:p>
    <w:p w14:paraId="2EF8675F" w14:textId="77777777" w:rsidR="00BD6995" w:rsidRDefault="00BD6995" w:rsidP="0017296B"/>
    <w:p w14:paraId="0AA265A1" w14:textId="77777777" w:rsidR="00BD6995" w:rsidRDefault="00BD6995" w:rsidP="0017296B"/>
    <w:p w14:paraId="13219B39" w14:textId="77777777" w:rsidR="00BD6995" w:rsidRDefault="00BD6995" w:rsidP="0017296B"/>
    <w:p w14:paraId="0B4C82FF" w14:textId="77777777" w:rsidR="00BD6995" w:rsidRDefault="00BD6995" w:rsidP="0017296B"/>
    <w:p w14:paraId="114A2756" w14:textId="77777777" w:rsidR="00BD6995" w:rsidRDefault="00BD6995" w:rsidP="0017296B">
      <w:r>
        <w:tab/>
      </w:r>
      <w:r>
        <w:tab/>
      </w:r>
      <w:r>
        <w:tab/>
      </w:r>
      <w:r>
        <w:tab/>
      </w:r>
      <w:r>
        <w:tab/>
      </w:r>
      <w:r>
        <w:tab/>
        <w:t>Marlene H. Dortch</w:t>
      </w:r>
    </w:p>
    <w:p w14:paraId="64D3D8A5" w14:textId="77777777" w:rsidR="00BD6995" w:rsidRDefault="00BD6995" w:rsidP="0017296B">
      <w:r>
        <w:tab/>
      </w:r>
      <w:r>
        <w:tab/>
      </w:r>
      <w:r>
        <w:tab/>
      </w:r>
      <w:r>
        <w:tab/>
      </w:r>
      <w:r>
        <w:tab/>
      </w:r>
      <w:r>
        <w:tab/>
        <w:t>Secretary</w:t>
      </w:r>
    </w:p>
    <w:p w14:paraId="13699037" w14:textId="77777777" w:rsidR="00BB7B42" w:rsidRPr="00BB7B42" w:rsidRDefault="00BB7B42" w:rsidP="00BB7B42">
      <w:pPr>
        <w:pStyle w:val="ParaNum"/>
        <w:numPr>
          <w:ilvl w:val="0"/>
          <w:numId w:val="0"/>
        </w:numPr>
        <w:ind w:left="720"/>
      </w:pPr>
    </w:p>
    <w:sectPr w:rsidR="00BB7B42" w:rsidRPr="00BB7B4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67AE6" w14:textId="77777777" w:rsidR="00C666B8" w:rsidRDefault="00C666B8">
      <w:pPr>
        <w:spacing w:line="20" w:lineRule="exact"/>
      </w:pPr>
    </w:p>
  </w:endnote>
  <w:endnote w:type="continuationSeparator" w:id="0">
    <w:p w14:paraId="28E3431B" w14:textId="77777777" w:rsidR="00C666B8" w:rsidRDefault="00C666B8">
      <w:r>
        <w:t xml:space="preserve"> </w:t>
      </w:r>
    </w:p>
  </w:endnote>
  <w:endnote w:type="continuationNotice" w:id="1">
    <w:p w14:paraId="4E144D2E" w14:textId="77777777" w:rsidR="00C666B8" w:rsidRDefault="00C666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E408" w14:textId="77777777" w:rsidR="006F7393" w:rsidRDefault="006F7393" w:rsidP="0055614C">
    <w:pPr>
      <w:pStyle w:val="Footer"/>
      <w:framePr w:wrap="around" w:vAnchor="text" w:hAnchor="margin" w:xAlign="center" w:y="1"/>
    </w:pPr>
    <w:r>
      <w:fldChar w:fldCharType="begin"/>
    </w:r>
    <w:r>
      <w:instrText xml:space="preserve">PAGE  </w:instrText>
    </w:r>
    <w:r>
      <w:fldChar w:fldCharType="end"/>
    </w:r>
  </w:p>
  <w:p w14:paraId="549EFFC4" w14:textId="77777777"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547B" w14:textId="77777777" w:rsidR="00BD6995" w:rsidRDefault="00BD6995" w:rsidP="00BD6995">
    <w:pPr>
      <w:pStyle w:val="Footer"/>
      <w:framePr w:wrap="around" w:vAnchor="text" w:hAnchor="margin" w:xAlign="center" w:y="1"/>
    </w:pPr>
    <w:r>
      <w:fldChar w:fldCharType="begin"/>
    </w:r>
    <w:r>
      <w:instrText xml:space="preserve">PAGE  </w:instrText>
    </w:r>
    <w:r>
      <w:fldChar w:fldCharType="separate"/>
    </w:r>
    <w:r w:rsidR="00873021">
      <w:rPr>
        <w:noProof/>
      </w:rPr>
      <w:t>2</w:t>
    </w:r>
    <w:r>
      <w:fldChar w:fldCharType="end"/>
    </w:r>
  </w:p>
  <w:p w14:paraId="0E23F24A" w14:textId="77777777" w:rsidR="00BD6995" w:rsidRDefault="00BD6995" w:rsidP="00BD6995">
    <w:pPr>
      <w:suppressAutoHyphens/>
      <w:spacing w:line="227" w:lineRule="auto"/>
    </w:pPr>
  </w:p>
  <w:p w14:paraId="3E515477" w14:textId="77777777" w:rsidR="006F7393" w:rsidRPr="00BD6995" w:rsidRDefault="006F7393" w:rsidP="00BD6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0C8F" w14:textId="77777777"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FE32" w14:textId="77777777" w:rsidR="00C666B8" w:rsidRDefault="00C666B8">
      <w:r>
        <w:separator/>
      </w:r>
    </w:p>
  </w:footnote>
  <w:footnote w:type="continuationSeparator" w:id="0">
    <w:p w14:paraId="707300C0" w14:textId="77777777" w:rsidR="00C666B8" w:rsidRDefault="00C666B8">
      <w:pPr>
        <w:rPr>
          <w:sz w:val="20"/>
        </w:rPr>
      </w:pPr>
      <w:r>
        <w:rPr>
          <w:sz w:val="20"/>
        </w:rPr>
        <w:t xml:space="preserve">(Continued from previous page)  </w:t>
      </w:r>
      <w:r>
        <w:rPr>
          <w:sz w:val="20"/>
        </w:rPr>
        <w:separator/>
      </w:r>
    </w:p>
  </w:footnote>
  <w:footnote w:type="continuationNotice" w:id="1">
    <w:p w14:paraId="598E855C" w14:textId="77777777" w:rsidR="00C666B8" w:rsidRDefault="00C666B8">
      <w:pPr>
        <w:rPr>
          <w:sz w:val="20"/>
        </w:rPr>
      </w:pPr>
      <w:r>
        <w:rPr>
          <w:sz w:val="20"/>
        </w:rPr>
        <w:t>(continued….)</w:t>
      </w:r>
    </w:p>
  </w:footnote>
  <w:footnote w:id="2">
    <w:p w14:paraId="1F415A0A" w14:textId="77777777" w:rsidR="00BB7B42" w:rsidRDefault="00BB7B42" w:rsidP="00BB7B42">
      <w:pPr>
        <w:pStyle w:val="FootnoteText"/>
      </w:pPr>
      <w:r>
        <w:rPr>
          <w:rStyle w:val="FootnoteReference"/>
        </w:rPr>
        <w:footnoteRef/>
      </w:r>
      <w:r>
        <w:t xml:space="preserve"> </w:t>
      </w:r>
      <w:r>
        <w:rPr>
          <w:i/>
        </w:rPr>
        <w:t xml:space="preserve">See </w:t>
      </w:r>
      <w:r>
        <w:t xml:space="preserve">Amendment of Sections 90.20(d) and 90.265 of the Commission’s Rules to Facilitate the Use of Vehicular Repeater Units, </w:t>
      </w:r>
      <w:r>
        <w:rPr>
          <w:i/>
        </w:rPr>
        <w:t>Report and Order</w:t>
      </w:r>
      <w:r>
        <w:t>, 30 FCC Rcd 8864 (2015).  The corrected version will be published in the Federal Register.  In addition, the corrected version will be posted on the Commission’s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E821" w14:textId="77777777" w:rsidR="00485A69" w:rsidRDefault="00485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A46E" w14:textId="367CB10D" w:rsidR="00BD6995" w:rsidRDefault="00BD6995" w:rsidP="00BD6995">
    <w:pPr>
      <w:pStyle w:val="Header"/>
      <w:rPr>
        <w:b w:val="0"/>
      </w:rPr>
    </w:pPr>
    <w:r>
      <w:tab/>
      <w:t>Federal Communications Commission</w:t>
    </w:r>
    <w:r>
      <w:tab/>
      <w:t>FCC 15-165</w:t>
    </w:r>
  </w:p>
  <w:p w14:paraId="23ACDD97" w14:textId="1AF7142B" w:rsidR="00BD6995" w:rsidRDefault="00BD6995" w:rsidP="00BD6995">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6A2F6B1A" wp14:editId="3D5C5A0A">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FFCFA1" id="Rectangle 5"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14:paraId="39BDA43A" w14:textId="77777777" w:rsidR="00BD6995" w:rsidRDefault="00BD6995" w:rsidP="00BD6995">
    <w:pPr>
      <w:spacing w:after="389" w:line="100" w:lineRule="exact"/>
      <w:rPr>
        <w:sz w:val="10"/>
      </w:rPr>
    </w:pPr>
  </w:p>
  <w:p w14:paraId="4B517DB4" w14:textId="77777777" w:rsidR="006F7393" w:rsidRPr="00BD6995" w:rsidRDefault="006F7393" w:rsidP="00BD6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C07C" w14:textId="485D9D9D" w:rsidR="00BD6995" w:rsidRDefault="00BD6995" w:rsidP="00BD6995">
    <w:pPr>
      <w:pStyle w:val="Header"/>
      <w:rPr>
        <w:b w:val="0"/>
      </w:rPr>
    </w:pPr>
    <w:r>
      <w:rPr>
        <w:noProof/>
      </w:rPr>
      <mc:AlternateContent>
        <mc:Choice Requires="wps">
          <w:drawing>
            <wp:anchor distT="0" distB="0" distL="114300" distR="114300" simplePos="0" relativeHeight="251659264" behindDoc="1" locked="0" layoutInCell="0" allowOverlap="1" wp14:anchorId="06BB0E64" wp14:editId="5D42F2C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682F1"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15-165</w:t>
    </w:r>
  </w:p>
  <w:p w14:paraId="2741F465" w14:textId="3C5AE975" w:rsidR="006F7393" w:rsidRPr="00BD6995" w:rsidRDefault="006F7393" w:rsidP="00BD6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9"/>
    <w:rsid w:val="00036039"/>
    <w:rsid w:val="00037F90"/>
    <w:rsid w:val="000875BF"/>
    <w:rsid w:val="00096D8C"/>
    <w:rsid w:val="000A1200"/>
    <w:rsid w:val="000C0B65"/>
    <w:rsid w:val="000E3D42"/>
    <w:rsid w:val="00115622"/>
    <w:rsid w:val="00122BD5"/>
    <w:rsid w:val="001D6BCF"/>
    <w:rsid w:val="001E01CA"/>
    <w:rsid w:val="00285017"/>
    <w:rsid w:val="002A2D2E"/>
    <w:rsid w:val="002B105B"/>
    <w:rsid w:val="00343749"/>
    <w:rsid w:val="003B0550"/>
    <w:rsid w:val="003B2629"/>
    <w:rsid w:val="003B694F"/>
    <w:rsid w:val="003F171C"/>
    <w:rsid w:val="00412FC5"/>
    <w:rsid w:val="00422276"/>
    <w:rsid w:val="004242F1"/>
    <w:rsid w:val="00445A00"/>
    <w:rsid w:val="00451B0F"/>
    <w:rsid w:val="00485A69"/>
    <w:rsid w:val="004C2EE3"/>
    <w:rsid w:val="004E4A22"/>
    <w:rsid w:val="00511968"/>
    <w:rsid w:val="0055614C"/>
    <w:rsid w:val="00607BA5"/>
    <w:rsid w:val="00626EB6"/>
    <w:rsid w:val="00655D03"/>
    <w:rsid w:val="00683F84"/>
    <w:rsid w:val="00685D78"/>
    <w:rsid w:val="006A6A81"/>
    <w:rsid w:val="006F7393"/>
    <w:rsid w:val="0070224F"/>
    <w:rsid w:val="007115F7"/>
    <w:rsid w:val="00785689"/>
    <w:rsid w:val="0079754B"/>
    <w:rsid w:val="007A1E6D"/>
    <w:rsid w:val="00822CE0"/>
    <w:rsid w:val="00841AB1"/>
    <w:rsid w:val="00873021"/>
    <w:rsid w:val="008F469D"/>
    <w:rsid w:val="00921803"/>
    <w:rsid w:val="00926503"/>
    <w:rsid w:val="00A45F4F"/>
    <w:rsid w:val="00A600A9"/>
    <w:rsid w:val="00AA3368"/>
    <w:rsid w:val="00AA55B7"/>
    <w:rsid w:val="00AA5B9E"/>
    <w:rsid w:val="00AB2407"/>
    <w:rsid w:val="00AB53DF"/>
    <w:rsid w:val="00B07E5C"/>
    <w:rsid w:val="00B811F7"/>
    <w:rsid w:val="00BA5DC6"/>
    <w:rsid w:val="00BA6196"/>
    <w:rsid w:val="00BB7B42"/>
    <w:rsid w:val="00BC6D8C"/>
    <w:rsid w:val="00BD6995"/>
    <w:rsid w:val="00C15F89"/>
    <w:rsid w:val="00C34006"/>
    <w:rsid w:val="00C426B1"/>
    <w:rsid w:val="00C666B8"/>
    <w:rsid w:val="00C90D6A"/>
    <w:rsid w:val="00CA247E"/>
    <w:rsid w:val="00CC72B6"/>
    <w:rsid w:val="00D0218D"/>
    <w:rsid w:val="00D6760E"/>
    <w:rsid w:val="00DA2529"/>
    <w:rsid w:val="00DB130A"/>
    <w:rsid w:val="00DB63E4"/>
    <w:rsid w:val="00DC10A1"/>
    <w:rsid w:val="00DC655F"/>
    <w:rsid w:val="00DD0B59"/>
    <w:rsid w:val="00DD7EBD"/>
    <w:rsid w:val="00DF62B6"/>
    <w:rsid w:val="00E07225"/>
    <w:rsid w:val="00E5110C"/>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4337"/>
    <o:shapelayout v:ext="edit">
      <o:idmap v:ext="edit" data="1"/>
    </o:shapelayout>
  </w:shapeDefaults>
  <w:decimalSymbol w:val="."/>
  <w:listSeparator w:val=","/>
  <w14:docId w14:val="108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ParaNumCharChar1">
    <w:name w:val="ParaNum Char Char1"/>
    <w:link w:val="ParaNum"/>
    <w:locked/>
    <w:rsid w:val="00BB7B42"/>
    <w:rPr>
      <w:snapToGrid w:val="0"/>
      <w:kern w:val="28"/>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BB7B42"/>
  </w:style>
  <w:style w:type="paragraph" w:styleId="BalloonText">
    <w:name w:val="Balloon Text"/>
    <w:basedOn w:val="Normal"/>
    <w:link w:val="BalloonTextChar"/>
    <w:semiHidden/>
    <w:unhideWhenUsed/>
    <w:rsid w:val="00115622"/>
    <w:rPr>
      <w:rFonts w:ascii="Segoe UI" w:hAnsi="Segoe UI" w:cs="Segoe UI"/>
      <w:sz w:val="18"/>
      <w:szCs w:val="18"/>
    </w:rPr>
  </w:style>
  <w:style w:type="character" w:customStyle="1" w:styleId="BalloonTextChar">
    <w:name w:val="Balloon Text Char"/>
    <w:basedOn w:val="DefaultParagraphFont"/>
    <w:link w:val="BalloonText"/>
    <w:semiHidden/>
    <w:rsid w:val="00115622"/>
    <w:rPr>
      <w:rFonts w:ascii="Segoe UI" w:hAnsi="Segoe UI" w:cs="Segoe UI"/>
      <w:snapToGrid w:val="0"/>
      <w:kern w:val="28"/>
      <w:sz w:val="18"/>
      <w:szCs w:val="18"/>
    </w:rPr>
  </w:style>
  <w:style w:type="table" w:styleId="TableGrid">
    <w:name w:val="Table Grid"/>
    <w:basedOn w:val="TableNormal"/>
    <w:rsid w:val="0011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ParaNumCharChar1">
    <w:name w:val="ParaNum Char Char1"/>
    <w:link w:val="ParaNum"/>
    <w:locked/>
    <w:rsid w:val="00BB7B42"/>
    <w:rPr>
      <w:snapToGrid w:val="0"/>
      <w:kern w:val="28"/>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BB7B42"/>
  </w:style>
  <w:style w:type="paragraph" w:styleId="BalloonText">
    <w:name w:val="Balloon Text"/>
    <w:basedOn w:val="Normal"/>
    <w:link w:val="BalloonTextChar"/>
    <w:semiHidden/>
    <w:unhideWhenUsed/>
    <w:rsid w:val="00115622"/>
    <w:rPr>
      <w:rFonts w:ascii="Segoe UI" w:hAnsi="Segoe UI" w:cs="Segoe UI"/>
      <w:sz w:val="18"/>
      <w:szCs w:val="18"/>
    </w:rPr>
  </w:style>
  <w:style w:type="character" w:customStyle="1" w:styleId="BalloonTextChar">
    <w:name w:val="Balloon Text Char"/>
    <w:basedOn w:val="DefaultParagraphFont"/>
    <w:link w:val="BalloonText"/>
    <w:semiHidden/>
    <w:rsid w:val="00115622"/>
    <w:rPr>
      <w:rFonts w:ascii="Segoe UI" w:hAnsi="Segoe UI" w:cs="Segoe UI"/>
      <w:snapToGrid w:val="0"/>
      <w:kern w:val="28"/>
      <w:sz w:val="18"/>
      <w:szCs w:val="18"/>
    </w:rPr>
  </w:style>
  <w:style w:type="table" w:styleId="TableGrid">
    <w:name w:val="Table Grid"/>
    <w:basedOn w:val="TableNormal"/>
    <w:rsid w:val="0011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744</Words>
  <Characters>3938</Characters>
  <Application>Microsoft Office Word</Application>
  <DocSecurity>0</DocSecurity>
  <Lines>119</Lines>
  <Paragraphs>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2015-11-13T19:39:00Z</cp:lastPrinted>
  <dcterms:created xsi:type="dcterms:W3CDTF">2015-12-11T15:14:00Z</dcterms:created>
  <dcterms:modified xsi:type="dcterms:W3CDTF">2015-12-11T15:14:00Z</dcterms:modified>
  <cp:category> </cp:category>
  <cp:contentStatus> </cp:contentStatus>
</cp:coreProperties>
</file>