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AA" w:rsidRPr="005D5257" w:rsidRDefault="00A644AA" w:rsidP="00A644AA">
      <w:pPr>
        <w:jc w:val="center"/>
        <w:rPr>
          <w:b/>
          <w:caps/>
        </w:rPr>
      </w:pPr>
      <w:bookmarkStart w:id="0" w:name="_GoBack"/>
      <w:bookmarkEnd w:id="0"/>
      <w:r w:rsidRPr="005D5257">
        <w:rPr>
          <w:b/>
          <w:caps/>
        </w:rPr>
        <w:t xml:space="preserve">Statement of </w:t>
      </w:r>
    </w:p>
    <w:p w:rsidR="00A644AA" w:rsidRDefault="00A644AA" w:rsidP="00A644AA">
      <w:pPr>
        <w:jc w:val="center"/>
        <w:rPr>
          <w:b/>
          <w:caps/>
        </w:rPr>
      </w:pPr>
      <w:r w:rsidRPr="005D5257">
        <w:rPr>
          <w:b/>
          <w:caps/>
        </w:rPr>
        <w:t>Commissioner Michael O’Rielly</w:t>
      </w:r>
    </w:p>
    <w:p w:rsidR="00A644AA" w:rsidRPr="005D5257" w:rsidRDefault="00A644AA" w:rsidP="00A644AA">
      <w:pPr>
        <w:jc w:val="center"/>
        <w:rPr>
          <w:b/>
          <w:caps/>
        </w:rPr>
      </w:pPr>
    </w:p>
    <w:p w:rsidR="00A644AA" w:rsidRDefault="00A644AA" w:rsidP="00A644AA">
      <w:pPr>
        <w:rPr>
          <w:i/>
        </w:rPr>
      </w:pPr>
      <w:r w:rsidRPr="00CC5AAD">
        <w:rPr>
          <w:i/>
        </w:rPr>
        <w:t>In re:</w:t>
      </w:r>
      <w:r w:rsidRPr="00CC5AAD">
        <w:rPr>
          <w:i/>
        </w:rPr>
        <w:tab/>
        <w:t>PTT Phone Cards, Inc., File No. EB-IHD-13-00011669</w:t>
      </w:r>
    </w:p>
    <w:p w:rsidR="00A644AA" w:rsidRPr="00CC5AAD" w:rsidRDefault="00A644AA" w:rsidP="00A644AA">
      <w:pPr>
        <w:rPr>
          <w:i/>
        </w:rPr>
      </w:pPr>
    </w:p>
    <w:p w:rsidR="00A644AA" w:rsidRDefault="00A644AA" w:rsidP="00A644AA">
      <w:pPr>
        <w:ind w:firstLine="720"/>
      </w:pPr>
      <w:r w:rsidRPr="00CC5AAD">
        <w:t xml:space="preserve">I generally support this Forfeiture Order because it is clear that PTT violated a number of our rules.  I write simply to question the Commission’s perfunctory </w:t>
      </w:r>
      <w:r>
        <w:t>application</w:t>
      </w:r>
      <w:r w:rsidRPr="00CC5AAD">
        <w:t xml:space="preserve"> of gross revenues as the basis for the forfeiture.  In item after item, the Commission cites its “long-established” standard of considering gross revenues.  While that may be </w:t>
      </w:r>
      <w:r>
        <w:t>true</w:t>
      </w:r>
      <w:r w:rsidRPr="00CC5AAD">
        <w:t xml:space="preserve">, that does not relieve the Commission of its responsibility to give serious and substantive consideration to arguments raised in the record as to why the standard is inappropriate </w:t>
      </w:r>
      <w:r>
        <w:t>in a given case</w:t>
      </w:r>
      <w:r w:rsidRPr="00CC5AAD">
        <w:t>.  Here, the item briefly notes that PTT contended that the Commission should consider its net revenues before summarily dismissing the argument.  No attempt is made to rebut the specific points that PTT raised in support of its position.</w:t>
      </w:r>
      <w:r>
        <w:t xml:space="preserve"> </w:t>
      </w:r>
      <w:r w:rsidRPr="00CC5AAD">
        <w:t xml:space="preserve">  </w:t>
      </w:r>
      <w:r>
        <w:t xml:space="preserve">  </w:t>
      </w:r>
    </w:p>
    <w:p w:rsidR="00A644AA" w:rsidRPr="00CC5AAD" w:rsidRDefault="00A644AA" w:rsidP="00A644AA">
      <w:pPr>
        <w:ind w:firstLine="720"/>
      </w:pPr>
    </w:p>
    <w:p w:rsidR="00A644AA" w:rsidRPr="00CC5AAD" w:rsidRDefault="00A644AA" w:rsidP="00A644AA">
      <w:pPr>
        <w:ind w:firstLine="720"/>
      </w:pPr>
      <w:r w:rsidRPr="00CC5AAD">
        <w:t xml:space="preserve">I have voted for certain Notices of Apparent Liability with the understanding that all counter arguments would be fully considered and addressed at the forfeiture stage.  Therefore, it is disappointing to see </w:t>
      </w:r>
      <w:r>
        <w:t>such a cursory</w:t>
      </w:r>
      <w:r w:rsidRPr="00CC5AAD">
        <w:t xml:space="preserve"> response in </w:t>
      </w:r>
      <w:r>
        <w:t xml:space="preserve">a </w:t>
      </w:r>
      <w:r w:rsidRPr="00CC5AAD">
        <w:t xml:space="preserve">Forfeiture Order.  The failure to engage on arguments raised by companies in response to </w:t>
      </w:r>
      <w:r>
        <w:t>NALs</w:t>
      </w:r>
      <w:r w:rsidRPr="00CC5AAD">
        <w:t xml:space="preserve"> risks leaving the impression that the outcome of an investigation is preordained</w:t>
      </w:r>
      <w:r>
        <w:t xml:space="preserve"> and a respondent’s replies are irrelevant, which shouldn’t be the case</w:t>
      </w:r>
      <w:r w:rsidRPr="00CC5AAD">
        <w:t xml:space="preserve">.  Moreover, summarily dismissing concerns about how a fine is calculated could give the appearance that preserving the proposed fine is worth more than setting it at a level that is fully justified and designed to achieve compliance with the rules.  </w:t>
      </w:r>
      <w:r>
        <w:t xml:space="preserve">While I disagree that monetary penalties should be the focus of the Commission’s enforcement process, driving a business to the point of bankruptcy does, in fact, decrease the likelihood of collecting the forfeiture.  </w:t>
      </w:r>
      <w:r w:rsidRPr="00CC5AAD">
        <w:t>In this case, the investigation itself prompted PTT to come into compliance.  While a fine is certainly warranted, I would have given more consideration to PTT’s arguments</w:t>
      </w:r>
      <w:r>
        <w:t>, albeit not suggesting I would necessarily fully agree per se</w:t>
      </w:r>
      <w:r w:rsidRPr="00CC5AAD">
        <w:t>.</w:t>
      </w:r>
      <w:r>
        <w:t xml:space="preserve">  </w:t>
      </w:r>
      <w:r w:rsidRPr="00CC5AAD">
        <w:t xml:space="preserve">  </w:t>
      </w:r>
    </w:p>
    <w:p w:rsidR="00A644AA" w:rsidRPr="00CC5AAD" w:rsidRDefault="00A644AA" w:rsidP="00A644AA">
      <w:r w:rsidRPr="00CC5AAD">
        <w:t xml:space="preserve">  </w:t>
      </w:r>
    </w:p>
    <w:p w:rsidR="00A644AA" w:rsidRDefault="00A644AA" w:rsidP="00A644AA"/>
    <w:p w:rsidR="00A644AA" w:rsidRPr="009834A0" w:rsidRDefault="00A644AA" w:rsidP="00A644AA">
      <w:pPr>
        <w:pStyle w:val="ParaNum"/>
        <w:numPr>
          <w:ilvl w:val="0"/>
          <w:numId w:val="0"/>
        </w:numPr>
        <w:ind w:left="720"/>
        <w:rPr>
          <w:szCs w:val="22"/>
        </w:rPr>
      </w:pPr>
    </w:p>
    <w:p w:rsidR="00F72607" w:rsidRDefault="00F72607"/>
    <w:sectPr w:rsidR="00F72607" w:rsidSect="00D417D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E3" w:rsidRDefault="009407E3">
      <w:r>
        <w:separator/>
      </w:r>
    </w:p>
  </w:endnote>
  <w:endnote w:type="continuationSeparator" w:id="0">
    <w:p w:rsidR="009407E3" w:rsidRDefault="0094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Default="00A644AA">
    <w:pPr>
      <w:pStyle w:val="Footer"/>
      <w:framePr w:wrap="around" w:vAnchor="text" w:hAnchor="margin" w:xAlign="center" w:y="1"/>
    </w:pPr>
    <w:r>
      <w:fldChar w:fldCharType="begin"/>
    </w:r>
    <w:r>
      <w:instrText xml:space="preserve">PAGE  </w:instrText>
    </w:r>
    <w:r>
      <w:fldChar w:fldCharType="end"/>
    </w:r>
  </w:p>
  <w:p w:rsidR="00E273E3" w:rsidRDefault="00D62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Default="00A644AA">
    <w:pPr>
      <w:pStyle w:val="Footer"/>
      <w:framePr w:wrap="around" w:vAnchor="text" w:hAnchor="margin" w:xAlign="center" w:y="1"/>
    </w:pPr>
    <w:r>
      <w:fldChar w:fldCharType="begin"/>
    </w:r>
    <w:r>
      <w:instrText xml:space="preserve">PAGE  </w:instrText>
    </w:r>
    <w:r>
      <w:fldChar w:fldCharType="separate"/>
    </w:r>
    <w:r>
      <w:rPr>
        <w:noProof/>
      </w:rPr>
      <w:t>9</w:t>
    </w:r>
    <w:r>
      <w:rPr>
        <w:noProof/>
      </w:rPr>
      <w:fldChar w:fldCharType="end"/>
    </w:r>
  </w:p>
  <w:p w:rsidR="00E273E3" w:rsidRDefault="00D62054">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1C" w:rsidRDefault="00211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E3" w:rsidRDefault="009407E3">
      <w:r>
        <w:separator/>
      </w:r>
    </w:p>
  </w:footnote>
  <w:footnote w:type="continuationSeparator" w:id="0">
    <w:p w:rsidR="009407E3" w:rsidRDefault="00940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1C" w:rsidRDefault="00211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22" w:rsidRDefault="00A644AA" w:rsidP="00615E22">
    <w:pPr>
      <w:pStyle w:val="Header"/>
      <w:rPr>
        <w:b w:val="0"/>
      </w:rPr>
    </w:pPr>
    <w:r>
      <w:rPr>
        <w:noProof/>
      </w:rPr>
      <mc:AlternateContent>
        <mc:Choice Requires="wps">
          <w:drawing>
            <wp:anchor distT="0" distB="0" distL="114300" distR="114300" simplePos="0" relativeHeight="251659264" behindDoc="1" locked="0" layoutInCell="0" allowOverlap="1" wp14:anchorId="506FE7C6" wp14:editId="701B660D">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72191F"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Pr>
        <w:noProof/>
      </w:rPr>
      <mc:AlternateContent>
        <mc:Choice Requires="wps">
          <w:drawing>
            <wp:anchor distT="0" distB="0" distL="114300" distR="114300" simplePos="0" relativeHeight="251661312" behindDoc="1" locked="0" layoutInCell="0" allowOverlap="1" wp14:anchorId="6626F9BB" wp14:editId="00476244">
              <wp:simplePos x="0" y="0"/>
              <wp:positionH relativeFrom="margin">
                <wp:posOffset>7620</wp:posOffset>
              </wp:positionH>
              <wp:positionV relativeFrom="paragraph">
                <wp:posOffset>160655</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D90841" id="Rectangle 5"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3rhq96gIAADI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Pr>
        <w:spacing w:val="-2"/>
      </w:rPr>
      <w:t>FCC 15-162</w:t>
    </w:r>
  </w:p>
  <w:p w:rsidR="00E273E3" w:rsidRPr="001B048F" w:rsidRDefault="00D62054" w:rsidP="001B048F">
    <w:pPr>
      <w:pStyle w:val="Header"/>
      <w:rPr>
        <w:b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5B" w:rsidRDefault="00A644AA" w:rsidP="00E3305B">
    <w:pPr>
      <w:pStyle w:val="Header"/>
      <w:rPr>
        <w:b w:val="0"/>
      </w:rPr>
    </w:pPr>
    <w:r>
      <w:rPr>
        <w:noProof/>
      </w:rPr>
      <mc:AlternateContent>
        <mc:Choice Requires="wps">
          <w:drawing>
            <wp:anchor distT="0" distB="0" distL="114300" distR="114300" simplePos="0" relativeHeight="251660288" behindDoc="1" locked="0" layoutInCell="0" allowOverlap="1" wp14:anchorId="4D916A53" wp14:editId="5EA8BEA7">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AF8BAE" id="Rectangle 4"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15-162</w:t>
    </w:r>
  </w:p>
  <w:p w:rsidR="00E273E3" w:rsidRPr="00E3305B" w:rsidRDefault="00D62054" w:rsidP="00E33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AA"/>
    <w:rsid w:val="00211C1C"/>
    <w:rsid w:val="00642DE8"/>
    <w:rsid w:val="009407E3"/>
    <w:rsid w:val="00A644AA"/>
    <w:rsid w:val="00D62054"/>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4A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A644AA"/>
    <w:pPr>
      <w:numPr>
        <w:numId w:val="1"/>
      </w:numPr>
      <w:tabs>
        <w:tab w:val="clear" w:pos="1080"/>
        <w:tab w:val="num" w:pos="1440"/>
      </w:tabs>
      <w:spacing w:after="120"/>
    </w:pPr>
  </w:style>
  <w:style w:type="paragraph" w:styleId="Header">
    <w:name w:val="header"/>
    <w:basedOn w:val="Normal"/>
    <w:link w:val="HeaderChar"/>
    <w:autoRedefine/>
    <w:rsid w:val="00A644AA"/>
    <w:pPr>
      <w:tabs>
        <w:tab w:val="center" w:pos="4680"/>
        <w:tab w:val="right" w:pos="9360"/>
      </w:tabs>
    </w:pPr>
    <w:rPr>
      <w:b/>
    </w:rPr>
  </w:style>
  <w:style w:type="character" w:customStyle="1" w:styleId="HeaderChar">
    <w:name w:val="Header Char"/>
    <w:basedOn w:val="DefaultParagraphFont"/>
    <w:link w:val="Header"/>
    <w:rsid w:val="00A644AA"/>
    <w:rPr>
      <w:rFonts w:ascii="Times New Roman" w:eastAsia="Times New Roman" w:hAnsi="Times New Roman" w:cs="Times New Roman"/>
      <w:b/>
      <w:snapToGrid w:val="0"/>
      <w:kern w:val="28"/>
      <w:szCs w:val="20"/>
    </w:rPr>
  </w:style>
  <w:style w:type="paragraph" w:styleId="Footer">
    <w:name w:val="footer"/>
    <w:basedOn w:val="Normal"/>
    <w:link w:val="FooterChar"/>
    <w:rsid w:val="00A644AA"/>
    <w:pPr>
      <w:tabs>
        <w:tab w:val="center" w:pos="4320"/>
        <w:tab w:val="right" w:pos="8640"/>
      </w:tabs>
    </w:pPr>
  </w:style>
  <w:style w:type="character" w:customStyle="1" w:styleId="FooterChar">
    <w:name w:val="Footer Char"/>
    <w:basedOn w:val="DefaultParagraphFont"/>
    <w:link w:val="Footer"/>
    <w:rsid w:val="00A644AA"/>
    <w:rPr>
      <w:rFonts w:ascii="Times New Roman" w:eastAsia="Times New Roman" w:hAnsi="Times New Roman" w:cs="Times New Roman"/>
      <w:snapToGrid w:val="0"/>
      <w:kern w:val="28"/>
      <w:szCs w:val="20"/>
    </w:rPr>
  </w:style>
  <w:style w:type="character" w:customStyle="1" w:styleId="ParaNumChar">
    <w:name w:val="ParaNum Char"/>
    <w:link w:val="ParaNum"/>
    <w:locked/>
    <w:rsid w:val="00A644AA"/>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4A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A644AA"/>
    <w:pPr>
      <w:numPr>
        <w:numId w:val="1"/>
      </w:numPr>
      <w:tabs>
        <w:tab w:val="clear" w:pos="1080"/>
        <w:tab w:val="num" w:pos="1440"/>
      </w:tabs>
      <w:spacing w:after="120"/>
    </w:pPr>
  </w:style>
  <w:style w:type="paragraph" w:styleId="Header">
    <w:name w:val="header"/>
    <w:basedOn w:val="Normal"/>
    <w:link w:val="HeaderChar"/>
    <w:autoRedefine/>
    <w:rsid w:val="00A644AA"/>
    <w:pPr>
      <w:tabs>
        <w:tab w:val="center" w:pos="4680"/>
        <w:tab w:val="right" w:pos="9360"/>
      </w:tabs>
    </w:pPr>
    <w:rPr>
      <w:b/>
    </w:rPr>
  </w:style>
  <w:style w:type="character" w:customStyle="1" w:styleId="HeaderChar">
    <w:name w:val="Header Char"/>
    <w:basedOn w:val="DefaultParagraphFont"/>
    <w:link w:val="Header"/>
    <w:rsid w:val="00A644AA"/>
    <w:rPr>
      <w:rFonts w:ascii="Times New Roman" w:eastAsia="Times New Roman" w:hAnsi="Times New Roman" w:cs="Times New Roman"/>
      <w:b/>
      <w:snapToGrid w:val="0"/>
      <w:kern w:val="28"/>
      <w:szCs w:val="20"/>
    </w:rPr>
  </w:style>
  <w:style w:type="paragraph" w:styleId="Footer">
    <w:name w:val="footer"/>
    <w:basedOn w:val="Normal"/>
    <w:link w:val="FooterChar"/>
    <w:rsid w:val="00A644AA"/>
    <w:pPr>
      <w:tabs>
        <w:tab w:val="center" w:pos="4320"/>
        <w:tab w:val="right" w:pos="8640"/>
      </w:tabs>
    </w:pPr>
  </w:style>
  <w:style w:type="character" w:customStyle="1" w:styleId="FooterChar">
    <w:name w:val="Footer Char"/>
    <w:basedOn w:val="DefaultParagraphFont"/>
    <w:link w:val="Footer"/>
    <w:rsid w:val="00A644AA"/>
    <w:rPr>
      <w:rFonts w:ascii="Times New Roman" w:eastAsia="Times New Roman" w:hAnsi="Times New Roman" w:cs="Times New Roman"/>
      <w:snapToGrid w:val="0"/>
      <w:kern w:val="28"/>
      <w:szCs w:val="20"/>
    </w:rPr>
  </w:style>
  <w:style w:type="character" w:customStyle="1" w:styleId="ParaNumChar">
    <w:name w:val="ParaNum Char"/>
    <w:link w:val="ParaNum"/>
    <w:locked/>
    <w:rsid w:val="00A644AA"/>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1738</Characters>
  <Application>Microsoft Office Word</Application>
  <DocSecurity>0</DocSecurity>
  <Lines>29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2015-12-07T22:54:00Z</dcterms:created>
  <dcterms:modified xsi:type="dcterms:W3CDTF">2015-12-07T22:54:00Z</dcterms:modified>
  <cp:category> </cp:category>
  <cp:contentStatus> </cp:contentStatus>
</cp:coreProperties>
</file>