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977C7"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9E501A8" w14:textId="77777777" w:rsidR="00921803" w:rsidRDefault="00921803" w:rsidP="00921803">
      <w:pPr>
        <w:pStyle w:val="StyleBoldCentered"/>
      </w:pPr>
      <w:r>
        <w:t>F</w:t>
      </w:r>
      <w:r>
        <w:rPr>
          <w:caps w:val="0"/>
        </w:rPr>
        <w:t>ederal Communications Commission</w:t>
      </w:r>
    </w:p>
    <w:p w14:paraId="717D673D" w14:textId="77777777" w:rsidR="004C2EE3" w:rsidRDefault="00810B6F" w:rsidP="00096D8C">
      <w:pPr>
        <w:pStyle w:val="StyleBoldCentered"/>
      </w:pPr>
      <w:r>
        <w:rPr>
          <w:caps w:val="0"/>
        </w:rPr>
        <w:t>Washington, D.C. 20554</w:t>
      </w:r>
    </w:p>
    <w:p w14:paraId="44C5371E"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D611F38" w14:textId="77777777">
        <w:tc>
          <w:tcPr>
            <w:tcW w:w="4698" w:type="dxa"/>
          </w:tcPr>
          <w:p w14:paraId="5CE06006" w14:textId="5B97601F" w:rsidR="004C2EE3" w:rsidRDefault="004C2EE3">
            <w:pPr>
              <w:tabs>
                <w:tab w:val="center" w:pos="4680"/>
              </w:tabs>
              <w:suppressAutoHyphens/>
              <w:rPr>
                <w:spacing w:val="-2"/>
              </w:rPr>
            </w:pPr>
            <w:r>
              <w:rPr>
                <w:spacing w:val="-2"/>
              </w:rPr>
              <w:t>In the Matter of</w:t>
            </w:r>
            <w:r w:rsidR="008348A5">
              <w:rPr>
                <w:spacing w:val="-2"/>
              </w:rPr>
              <w:t xml:space="preserve"> </w:t>
            </w:r>
          </w:p>
          <w:p w14:paraId="26D0B620" w14:textId="77777777" w:rsidR="004C2EE3" w:rsidRDefault="004C2EE3">
            <w:pPr>
              <w:tabs>
                <w:tab w:val="center" w:pos="4680"/>
              </w:tabs>
              <w:suppressAutoHyphens/>
              <w:rPr>
                <w:spacing w:val="-2"/>
              </w:rPr>
            </w:pPr>
          </w:p>
          <w:p w14:paraId="594F7C19" w14:textId="39347DFA" w:rsidR="00AA6A3E" w:rsidRDefault="00AA6A3E">
            <w:pPr>
              <w:tabs>
                <w:tab w:val="center" w:pos="4680"/>
              </w:tabs>
              <w:suppressAutoHyphens/>
              <w:rPr>
                <w:spacing w:val="-2"/>
              </w:rPr>
            </w:pPr>
            <w:r>
              <w:rPr>
                <w:spacing w:val="-2"/>
              </w:rPr>
              <w:t>LPFM MX Group 304</w:t>
            </w:r>
          </w:p>
          <w:p w14:paraId="5958A811" w14:textId="77777777" w:rsidR="00AA6A3E" w:rsidRDefault="00AA6A3E">
            <w:pPr>
              <w:tabs>
                <w:tab w:val="center" w:pos="4680"/>
              </w:tabs>
              <w:suppressAutoHyphens/>
              <w:rPr>
                <w:spacing w:val="-2"/>
              </w:rPr>
            </w:pPr>
          </w:p>
          <w:p w14:paraId="2FE7AB57" w14:textId="77777777" w:rsidR="008348A5" w:rsidRDefault="008348A5" w:rsidP="007115F7">
            <w:pPr>
              <w:tabs>
                <w:tab w:val="center" w:pos="4680"/>
              </w:tabs>
              <w:suppressAutoHyphens/>
              <w:rPr>
                <w:spacing w:val="-2"/>
              </w:rPr>
            </w:pPr>
            <w:r>
              <w:rPr>
                <w:spacing w:val="-2"/>
              </w:rPr>
              <w:t>NAACP Social Justice Law Project</w:t>
            </w:r>
          </w:p>
          <w:p w14:paraId="65A4E78B" w14:textId="77777777" w:rsidR="008348A5" w:rsidRDefault="008348A5" w:rsidP="007115F7">
            <w:pPr>
              <w:tabs>
                <w:tab w:val="center" w:pos="4680"/>
              </w:tabs>
              <w:suppressAutoHyphens/>
              <w:rPr>
                <w:spacing w:val="-2"/>
              </w:rPr>
            </w:pPr>
          </w:p>
          <w:p w14:paraId="0253AF85" w14:textId="77777777" w:rsidR="008348A5" w:rsidRPr="00B06127" w:rsidRDefault="008348A5" w:rsidP="008348A5">
            <w:pPr>
              <w:ind w:right="-18"/>
              <w:rPr>
                <w:szCs w:val="22"/>
              </w:rPr>
            </w:pPr>
            <w:r w:rsidRPr="00B06127">
              <w:rPr>
                <w:szCs w:val="22"/>
              </w:rPr>
              <w:t xml:space="preserve">Application for a Construction Permit for a New LPFM Station at </w:t>
            </w:r>
            <w:r>
              <w:rPr>
                <w:szCs w:val="22"/>
              </w:rPr>
              <w:t>Philadelphia, Pennsylvania,</w:t>
            </w:r>
            <w:r w:rsidRPr="00B06127">
              <w:rPr>
                <w:szCs w:val="22"/>
              </w:rPr>
              <w:t xml:space="preserve"> </w:t>
            </w:r>
          </w:p>
          <w:p w14:paraId="5F8123A2" w14:textId="77777777" w:rsidR="008348A5" w:rsidRDefault="008348A5" w:rsidP="007115F7">
            <w:pPr>
              <w:tabs>
                <w:tab w:val="center" w:pos="4680"/>
              </w:tabs>
              <w:suppressAutoHyphens/>
              <w:rPr>
                <w:spacing w:val="-2"/>
              </w:rPr>
            </w:pPr>
          </w:p>
          <w:p w14:paraId="7840DF08" w14:textId="77777777" w:rsidR="008348A5" w:rsidRDefault="008348A5" w:rsidP="007115F7">
            <w:pPr>
              <w:tabs>
                <w:tab w:val="center" w:pos="4680"/>
              </w:tabs>
              <w:suppressAutoHyphens/>
              <w:rPr>
                <w:spacing w:val="-2"/>
              </w:rPr>
            </w:pPr>
            <w:r>
              <w:rPr>
                <w:spacing w:val="-2"/>
              </w:rPr>
              <w:t>Nueva Esperanza, Inc.</w:t>
            </w:r>
          </w:p>
          <w:p w14:paraId="6BB93D4D" w14:textId="77777777" w:rsidR="008348A5" w:rsidRDefault="008348A5" w:rsidP="007115F7">
            <w:pPr>
              <w:tabs>
                <w:tab w:val="center" w:pos="4680"/>
              </w:tabs>
              <w:suppressAutoHyphens/>
              <w:rPr>
                <w:spacing w:val="-2"/>
              </w:rPr>
            </w:pPr>
          </w:p>
          <w:p w14:paraId="3C719581" w14:textId="77777777" w:rsidR="008348A5" w:rsidRPr="00B06127" w:rsidRDefault="008348A5" w:rsidP="008348A5">
            <w:pPr>
              <w:ind w:right="-18"/>
              <w:rPr>
                <w:szCs w:val="22"/>
              </w:rPr>
            </w:pPr>
            <w:r w:rsidRPr="00B06127">
              <w:rPr>
                <w:szCs w:val="22"/>
              </w:rPr>
              <w:t xml:space="preserve">Application for a Construction Permit for a New LPFM Station at </w:t>
            </w:r>
            <w:r>
              <w:rPr>
                <w:szCs w:val="22"/>
              </w:rPr>
              <w:t>Philadelphia, Pennsylvania,</w:t>
            </w:r>
            <w:r w:rsidRPr="00B06127">
              <w:rPr>
                <w:szCs w:val="22"/>
              </w:rPr>
              <w:t xml:space="preserve"> </w:t>
            </w:r>
          </w:p>
          <w:p w14:paraId="6C814A4E" w14:textId="77777777" w:rsidR="008348A5" w:rsidRDefault="008348A5" w:rsidP="007115F7">
            <w:pPr>
              <w:tabs>
                <w:tab w:val="center" w:pos="4680"/>
              </w:tabs>
              <w:suppressAutoHyphens/>
              <w:rPr>
                <w:spacing w:val="-2"/>
              </w:rPr>
            </w:pPr>
          </w:p>
          <w:p w14:paraId="370C8760" w14:textId="77777777" w:rsidR="004C2EE3" w:rsidRDefault="00517BDB" w:rsidP="007115F7">
            <w:pPr>
              <w:tabs>
                <w:tab w:val="center" w:pos="4680"/>
              </w:tabs>
              <w:suppressAutoHyphens/>
              <w:rPr>
                <w:spacing w:val="-2"/>
              </w:rPr>
            </w:pPr>
            <w:r>
              <w:rPr>
                <w:spacing w:val="-2"/>
              </w:rPr>
              <w:t>G-Town Radio</w:t>
            </w:r>
          </w:p>
          <w:p w14:paraId="76B23D39" w14:textId="77777777" w:rsidR="00517BDB" w:rsidRDefault="00517BDB" w:rsidP="007115F7">
            <w:pPr>
              <w:tabs>
                <w:tab w:val="center" w:pos="4680"/>
              </w:tabs>
              <w:suppressAutoHyphens/>
              <w:rPr>
                <w:spacing w:val="-2"/>
              </w:rPr>
            </w:pPr>
          </w:p>
          <w:p w14:paraId="2EE39B42" w14:textId="77777777" w:rsidR="008348A5" w:rsidRPr="00B06127" w:rsidRDefault="008348A5" w:rsidP="008348A5">
            <w:pPr>
              <w:ind w:right="-18"/>
              <w:rPr>
                <w:szCs w:val="22"/>
              </w:rPr>
            </w:pPr>
            <w:r w:rsidRPr="00B06127">
              <w:rPr>
                <w:szCs w:val="22"/>
              </w:rPr>
              <w:t xml:space="preserve">Application for a Construction Permit for a New LPFM Station at </w:t>
            </w:r>
            <w:r>
              <w:rPr>
                <w:szCs w:val="22"/>
              </w:rPr>
              <w:t>Philadelphia, Pennsylvania,</w:t>
            </w:r>
            <w:r w:rsidRPr="00B06127">
              <w:rPr>
                <w:szCs w:val="22"/>
              </w:rPr>
              <w:t xml:space="preserve"> </w:t>
            </w:r>
          </w:p>
          <w:p w14:paraId="6CC80E03" w14:textId="77777777" w:rsidR="00517BDB" w:rsidRDefault="00517BDB" w:rsidP="007115F7">
            <w:pPr>
              <w:tabs>
                <w:tab w:val="center" w:pos="4680"/>
              </w:tabs>
              <w:suppressAutoHyphens/>
              <w:rPr>
                <w:spacing w:val="-2"/>
              </w:rPr>
            </w:pPr>
          </w:p>
          <w:p w14:paraId="51CE7D87" w14:textId="77777777" w:rsidR="008348A5" w:rsidRDefault="008348A5" w:rsidP="008348A5">
            <w:pPr>
              <w:tabs>
                <w:tab w:val="center" w:pos="4680"/>
              </w:tabs>
              <w:suppressAutoHyphens/>
              <w:rPr>
                <w:spacing w:val="-2"/>
              </w:rPr>
            </w:pPr>
            <w:r>
              <w:rPr>
                <w:spacing w:val="-2"/>
              </w:rPr>
              <w:t>Germantown United Community Development Corporation</w:t>
            </w:r>
          </w:p>
          <w:p w14:paraId="79B2885E" w14:textId="77777777" w:rsidR="00517BDB" w:rsidRDefault="00517BDB" w:rsidP="007115F7">
            <w:pPr>
              <w:tabs>
                <w:tab w:val="center" w:pos="4680"/>
              </w:tabs>
              <w:suppressAutoHyphens/>
              <w:rPr>
                <w:spacing w:val="-2"/>
              </w:rPr>
            </w:pPr>
          </w:p>
          <w:p w14:paraId="512686AB" w14:textId="77777777" w:rsidR="008348A5" w:rsidRPr="00B06127" w:rsidRDefault="008348A5" w:rsidP="008348A5">
            <w:pPr>
              <w:ind w:right="-18"/>
              <w:rPr>
                <w:szCs w:val="22"/>
              </w:rPr>
            </w:pPr>
            <w:r w:rsidRPr="00B06127">
              <w:rPr>
                <w:szCs w:val="22"/>
              </w:rPr>
              <w:t xml:space="preserve">Application for a Construction Permit for a New LPFM Station at </w:t>
            </w:r>
            <w:r>
              <w:rPr>
                <w:szCs w:val="22"/>
              </w:rPr>
              <w:t>Philadelphia, Pennsylvania,</w:t>
            </w:r>
            <w:r w:rsidRPr="00B06127">
              <w:rPr>
                <w:szCs w:val="22"/>
              </w:rPr>
              <w:t xml:space="preserve"> </w:t>
            </w:r>
          </w:p>
          <w:p w14:paraId="4E092629" w14:textId="77777777" w:rsidR="00517BDB" w:rsidRDefault="00517BDB" w:rsidP="007115F7">
            <w:pPr>
              <w:tabs>
                <w:tab w:val="center" w:pos="4680"/>
              </w:tabs>
              <w:suppressAutoHyphens/>
              <w:rPr>
                <w:spacing w:val="-2"/>
              </w:rPr>
            </w:pPr>
          </w:p>
          <w:p w14:paraId="5009DD24" w14:textId="77777777" w:rsidR="00517BDB" w:rsidRDefault="00517BDB" w:rsidP="007115F7">
            <w:pPr>
              <w:tabs>
                <w:tab w:val="center" w:pos="4680"/>
              </w:tabs>
              <w:suppressAutoHyphens/>
              <w:rPr>
                <w:spacing w:val="-2"/>
              </w:rPr>
            </w:pPr>
            <w:r>
              <w:rPr>
                <w:spacing w:val="-2"/>
              </w:rPr>
              <w:t>Germantown Life Enrichment Center</w:t>
            </w:r>
          </w:p>
          <w:p w14:paraId="25759DA6" w14:textId="77777777" w:rsidR="00517BDB" w:rsidRDefault="00517BDB" w:rsidP="007115F7">
            <w:pPr>
              <w:tabs>
                <w:tab w:val="center" w:pos="4680"/>
              </w:tabs>
              <w:suppressAutoHyphens/>
              <w:rPr>
                <w:spacing w:val="-2"/>
              </w:rPr>
            </w:pPr>
          </w:p>
          <w:p w14:paraId="2C2DAE8A" w14:textId="77777777" w:rsidR="008348A5" w:rsidRPr="00B06127" w:rsidRDefault="008348A5" w:rsidP="008348A5">
            <w:pPr>
              <w:ind w:right="-18"/>
              <w:rPr>
                <w:szCs w:val="22"/>
              </w:rPr>
            </w:pPr>
            <w:r w:rsidRPr="00B06127">
              <w:rPr>
                <w:szCs w:val="22"/>
              </w:rPr>
              <w:t xml:space="preserve">Application for a Construction Permit for a New LPFM Station at </w:t>
            </w:r>
            <w:r>
              <w:rPr>
                <w:szCs w:val="22"/>
              </w:rPr>
              <w:t>Philadelphia, Pennsylvania,</w:t>
            </w:r>
            <w:r w:rsidRPr="00B06127">
              <w:rPr>
                <w:szCs w:val="22"/>
              </w:rPr>
              <w:t xml:space="preserve"> </w:t>
            </w:r>
          </w:p>
          <w:p w14:paraId="6F8DB7AD" w14:textId="77777777" w:rsidR="00517BDB" w:rsidRDefault="00517BDB" w:rsidP="007115F7">
            <w:pPr>
              <w:tabs>
                <w:tab w:val="center" w:pos="4680"/>
              </w:tabs>
              <w:suppressAutoHyphens/>
              <w:rPr>
                <w:spacing w:val="-2"/>
              </w:rPr>
            </w:pPr>
          </w:p>
          <w:p w14:paraId="2ACC55FE" w14:textId="77777777" w:rsidR="008348A5" w:rsidRDefault="008348A5" w:rsidP="008348A5">
            <w:pPr>
              <w:tabs>
                <w:tab w:val="center" w:pos="4680"/>
              </w:tabs>
              <w:suppressAutoHyphens/>
              <w:rPr>
                <w:spacing w:val="-2"/>
              </w:rPr>
            </w:pPr>
            <w:r>
              <w:rPr>
                <w:spacing w:val="-2"/>
              </w:rPr>
              <w:t>Historic Germantown Preserved</w:t>
            </w:r>
          </w:p>
          <w:p w14:paraId="7C0BCBB5" w14:textId="77777777" w:rsidR="00517BDB" w:rsidRDefault="00517BDB" w:rsidP="007115F7">
            <w:pPr>
              <w:tabs>
                <w:tab w:val="center" w:pos="4680"/>
              </w:tabs>
              <w:suppressAutoHyphens/>
              <w:rPr>
                <w:spacing w:val="-2"/>
              </w:rPr>
            </w:pPr>
          </w:p>
          <w:p w14:paraId="6B92E82C" w14:textId="77777777" w:rsidR="008348A5" w:rsidRPr="00B06127" w:rsidRDefault="008348A5" w:rsidP="008348A5">
            <w:pPr>
              <w:ind w:right="-18"/>
              <w:rPr>
                <w:szCs w:val="22"/>
              </w:rPr>
            </w:pPr>
            <w:r w:rsidRPr="00B06127">
              <w:rPr>
                <w:szCs w:val="22"/>
              </w:rPr>
              <w:t xml:space="preserve">Application for a Construction Permit for a New LPFM Station at </w:t>
            </w:r>
            <w:r>
              <w:rPr>
                <w:szCs w:val="22"/>
              </w:rPr>
              <w:t>Philadelphia, Pennsylvania,</w:t>
            </w:r>
            <w:r w:rsidRPr="00B06127">
              <w:rPr>
                <w:szCs w:val="22"/>
              </w:rPr>
              <w:t xml:space="preserve"> </w:t>
            </w:r>
          </w:p>
          <w:p w14:paraId="7DE1BEEA" w14:textId="77777777" w:rsidR="00517BDB" w:rsidRDefault="00517BDB" w:rsidP="007115F7">
            <w:pPr>
              <w:tabs>
                <w:tab w:val="center" w:pos="4680"/>
              </w:tabs>
              <w:suppressAutoHyphens/>
              <w:rPr>
                <w:spacing w:val="-2"/>
              </w:rPr>
            </w:pPr>
          </w:p>
          <w:p w14:paraId="58661C9B" w14:textId="77777777" w:rsidR="00517BDB" w:rsidRDefault="00517BDB" w:rsidP="007115F7">
            <w:pPr>
              <w:tabs>
                <w:tab w:val="center" w:pos="4680"/>
              </w:tabs>
              <w:suppressAutoHyphens/>
              <w:rPr>
                <w:spacing w:val="-2"/>
              </w:rPr>
            </w:pPr>
            <w:r>
              <w:rPr>
                <w:spacing w:val="-2"/>
              </w:rPr>
              <w:t xml:space="preserve">South </w:t>
            </w:r>
            <w:r w:rsidR="002D37D9">
              <w:rPr>
                <w:spacing w:val="-2"/>
              </w:rPr>
              <w:t>Philadelphia Rainbow Committee Community Center, Inc.</w:t>
            </w:r>
          </w:p>
          <w:p w14:paraId="60643B0D" w14:textId="77777777" w:rsidR="008348A5" w:rsidRDefault="008348A5" w:rsidP="007115F7">
            <w:pPr>
              <w:tabs>
                <w:tab w:val="center" w:pos="4680"/>
              </w:tabs>
              <w:suppressAutoHyphens/>
              <w:rPr>
                <w:spacing w:val="-2"/>
              </w:rPr>
            </w:pPr>
          </w:p>
          <w:p w14:paraId="003A4C46" w14:textId="77777777" w:rsidR="008348A5" w:rsidRPr="00DF4109" w:rsidRDefault="008348A5" w:rsidP="0026212F">
            <w:pPr>
              <w:ind w:right="-18"/>
              <w:rPr>
                <w:szCs w:val="22"/>
              </w:rPr>
            </w:pPr>
            <w:r w:rsidRPr="00B06127">
              <w:rPr>
                <w:szCs w:val="22"/>
              </w:rPr>
              <w:t xml:space="preserve">Application for a Construction Permit for a New LPFM Station at </w:t>
            </w:r>
            <w:r>
              <w:rPr>
                <w:szCs w:val="22"/>
              </w:rPr>
              <w:t>Philadelphia, Pennsylvania</w:t>
            </w:r>
            <w:r w:rsidRPr="00B06127">
              <w:rPr>
                <w:szCs w:val="22"/>
              </w:rPr>
              <w:t xml:space="preserve"> </w:t>
            </w:r>
          </w:p>
        </w:tc>
        <w:tc>
          <w:tcPr>
            <w:tcW w:w="630" w:type="dxa"/>
          </w:tcPr>
          <w:p w14:paraId="578CD825" w14:textId="77777777" w:rsidR="004C2EE3" w:rsidRDefault="004C2EE3">
            <w:pPr>
              <w:tabs>
                <w:tab w:val="center" w:pos="4680"/>
              </w:tabs>
              <w:suppressAutoHyphens/>
              <w:rPr>
                <w:b/>
                <w:spacing w:val="-2"/>
              </w:rPr>
            </w:pPr>
            <w:r>
              <w:rPr>
                <w:b/>
                <w:spacing w:val="-2"/>
              </w:rPr>
              <w:t>)</w:t>
            </w:r>
          </w:p>
          <w:p w14:paraId="514CDE8E" w14:textId="77777777" w:rsidR="004C2EE3" w:rsidRDefault="004C2EE3">
            <w:pPr>
              <w:tabs>
                <w:tab w:val="center" w:pos="4680"/>
              </w:tabs>
              <w:suppressAutoHyphens/>
              <w:rPr>
                <w:b/>
                <w:spacing w:val="-2"/>
              </w:rPr>
            </w:pPr>
            <w:r>
              <w:rPr>
                <w:b/>
                <w:spacing w:val="-2"/>
              </w:rPr>
              <w:t>)</w:t>
            </w:r>
          </w:p>
          <w:p w14:paraId="0D02D105" w14:textId="77777777" w:rsidR="004C2EE3" w:rsidRDefault="004C2EE3">
            <w:pPr>
              <w:tabs>
                <w:tab w:val="center" w:pos="4680"/>
              </w:tabs>
              <w:suppressAutoHyphens/>
              <w:rPr>
                <w:b/>
                <w:spacing w:val="-2"/>
              </w:rPr>
            </w:pPr>
            <w:r>
              <w:rPr>
                <w:b/>
                <w:spacing w:val="-2"/>
              </w:rPr>
              <w:t>)</w:t>
            </w:r>
          </w:p>
          <w:p w14:paraId="401961B7" w14:textId="77777777" w:rsidR="004C2EE3" w:rsidRDefault="004C2EE3">
            <w:pPr>
              <w:tabs>
                <w:tab w:val="center" w:pos="4680"/>
              </w:tabs>
              <w:suppressAutoHyphens/>
              <w:rPr>
                <w:b/>
                <w:spacing w:val="-2"/>
              </w:rPr>
            </w:pPr>
            <w:r>
              <w:rPr>
                <w:b/>
                <w:spacing w:val="-2"/>
              </w:rPr>
              <w:t>)</w:t>
            </w:r>
          </w:p>
          <w:p w14:paraId="28C68C76" w14:textId="77777777" w:rsidR="004C2EE3" w:rsidRDefault="004C2EE3">
            <w:pPr>
              <w:tabs>
                <w:tab w:val="center" w:pos="4680"/>
              </w:tabs>
              <w:suppressAutoHyphens/>
              <w:rPr>
                <w:b/>
                <w:spacing w:val="-2"/>
              </w:rPr>
            </w:pPr>
            <w:r>
              <w:rPr>
                <w:b/>
                <w:spacing w:val="-2"/>
              </w:rPr>
              <w:t>)</w:t>
            </w:r>
          </w:p>
          <w:p w14:paraId="640762AE" w14:textId="77777777" w:rsidR="004C2EE3" w:rsidRDefault="004C2EE3">
            <w:pPr>
              <w:tabs>
                <w:tab w:val="center" w:pos="4680"/>
              </w:tabs>
              <w:suppressAutoHyphens/>
              <w:rPr>
                <w:b/>
                <w:spacing w:val="-2"/>
              </w:rPr>
            </w:pPr>
            <w:r>
              <w:rPr>
                <w:b/>
                <w:spacing w:val="-2"/>
              </w:rPr>
              <w:t>)</w:t>
            </w:r>
          </w:p>
          <w:p w14:paraId="0A61A8EC" w14:textId="77777777" w:rsidR="004C2EE3" w:rsidRDefault="004C2EE3">
            <w:pPr>
              <w:tabs>
                <w:tab w:val="center" w:pos="4680"/>
              </w:tabs>
              <w:suppressAutoHyphens/>
              <w:rPr>
                <w:b/>
                <w:spacing w:val="-2"/>
              </w:rPr>
            </w:pPr>
            <w:r>
              <w:rPr>
                <w:b/>
                <w:spacing w:val="-2"/>
              </w:rPr>
              <w:t>)</w:t>
            </w:r>
          </w:p>
          <w:p w14:paraId="5F9A14F0" w14:textId="77777777" w:rsidR="004C2EE3" w:rsidRDefault="004C2EE3">
            <w:pPr>
              <w:tabs>
                <w:tab w:val="center" w:pos="4680"/>
              </w:tabs>
              <w:suppressAutoHyphens/>
              <w:rPr>
                <w:b/>
                <w:spacing w:val="-2"/>
              </w:rPr>
            </w:pPr>
            <w:r>
              <w:rPr>
                <w:b/>
                <w:spacing w:val="-2"/>
              </w:rPr>
              <w:t>)</w:t>
            </w:r>
          </w:p>
          <w:p w14:paraId="352225A9" w14:textId="77777777" w:rsidR="004C2EE3" w:rsidRDefault="004C2EE3">
            <w:pPr>
              <w:tabs>
                <w:tab w:val="center" w:pos="4680"/>
              </w:tabs>
              <w:suppressAutoHyphens/>
              <w:rPr>
                <w:b/>
                <w:spacing w:val="-2"/>
              </w:rPr>
            </w:pPr>
            <w:r>
              <w:rPr>
                <w:b/>
                <w:spacing w:val="-2"/>
              </w:rPr>
              <w:t>)</w:t>
            </w:r>
          </w:p>
          <w:p w14:paraId="7A0BA280" w14:textId="77777777" w:rsidR="00F74EF2" w:rsidRDefault="00F74EF2">
            <w:pPr>
              <w:tabs>
                <w:tab w:val="center" w:pos="4680"/>
              </w:tabs>
              <w:suppressAutoHyphens/>
              <w:rPr>
                <w:b/>
                <w:spacing w:val="-2"/>
              </w:rPr>
            </w:pPr>
            <w:r>
              <w:rPr>
                <w:b/>
                <w:spacing w:val="-2"/>
              </w:rPr>
              <w:t>)</w:t>
            </w:r>
          </w:p>
          <w:p w14:paraId="2B660E19" w14:textId="77777777" w:rsidR="00F74EF2" w:rsidRDefault="00F74EF2">
            <w:pPr>
              <w:tabs>
                <w:tab w:val="center" w:pos="4680"/>
              </w:tabs>
              <w:suppressAutoHyphens/>
              <w:rPr>
                <w:b/>
                <w:spacing w:val="-2"/>
              </w:rPr>
            </w:pPr>
            <w:r>
              <w:rPr>
                <w:b/>
                <w:spacing w:val="-2"/>
              </w:rPr>
              <w:t>)</w:t>
            </w:r>
          </w:p>
          <w:p w14:paraId="0537A9D4" w14:textId="77777777" w:rsidR="00F74EF2" w:rsidRDefault="00F74EF2">
            <w:pPr>
              <w:tabs>
                <w:tab w:val="center" w:pos="4680"/>
              </w:tabs>
              <w:suppressAutoHyphens/>
              <w:rPr>
                <w:b/>
                <w:spacing w:val="-2"/>
              </w:rPr>
            </w:pPr>
            <w:r>
              <w:rPr>
                <w:b/>
                <w:spacing w:val="-2"/>
              </w:rPr>
              <w:t>)</w:t>
            </w:r>
          </w:p>
          <w:p w14:paraId="437AEE33" w14:textId="77777777" w:rsidR="00F74EF2" w:rsidRDefault="00F74EF2">
            <w:pPr>
              <w:tabs>
                <w:tab w:val="center" w:pos="4680"/>
              </w:tabs>
              <w:suppressAutoHyphens/>
              <w:rPr>
                <w:b/>
                <w:spacing w:val="-2"/>
              </w:rPr>
            </w:pPr>
            <w:r>
              <w:rPr>
                <w:b/>
                <w:spacing w:val="-2"/>
              </w:rPr>
              <w:t>)</w:t>
            </w:r>
          </w:p>
          <w:p w14:paraId="5E10FF9B" w14:textId="77777777" w:rsidR="00F74EF2" w:rsidRDefault="00F74EF2">
            <w:pPr>
              <w:tabs>
                <w:tab w:val="center" w:pos="4680"/>
              </w:tabs>
              <w:suppressAutoHyphens/>
              <w:rPr>
                <w:b/>
                <w:spacing w:val="-2"/>
              </w:rPr>
            </w:pPr>
            <w:r>
              <w:rPr>
                <w:b/>
                <w:spacing w:val="-2"/>
              </w:rPr>
              <w:t>)</w:t>
            </w:r>
          </w:p>
          <w:p w14:paraId="4D2AB86C" w14:textId="77777777" w:rsidR="00F74EF2" w:rsidRDefault="00F74EF2">
            <w:pPr>
              <w:tabs>
                <w:tab w:val="center" w:pos="4680"/>
              </w:tabs>
              <w:suppressAutoHyphens/>
              <w:rPr>
                <w:b/>
                <w:spacing w:val="-2"/>
              </w:rPr>
            </w:pPr>
            <w:r>
              <w:rPr>
                <w:b/>
                <w:spacing w:val="-2"/>
              </w:rPr>
              <w:t>)</w:t>
            </w:r>
          </w:p>
          <w:p w14:paraId="7AF1DC46" w14:textId="77777777" w:rsidR="00F74EF2" w:rsidRDefault="00F74EF2">
            <w:pPr>
              <w:tabs>
                <w:tab w:val="center" w:pos="4680"/>
              </w:tabs>
              <w:suppressAutoHyphens/>
              <w:rPr>
                <w:b/>
                <w:spacing w:val="-2"/>
              </w:rPr>
            </w:pPr>
            <w:r>
              <w:rPr>
                <w:b/>
                <w:spacing w:val="-2"/>
              </w:rPr>
              <w:t>)</w:t>
            </w:r>
          </w:p>
          <w:p w14:paraId="2B9C6FDA" w14:textId="77777777" w:rsidR="00F74EF2" w:rsidRDefault="00F74EF2">
            <w:pPr>
              <w:tabs>
                <w:tab w:val="center" w:pos="4680"/>
              </w:tabs>
              <w:suppressAutoHyphens/>
              <w:rPr>
                <w:b/>
                <w:spacing w:val="-2"/>
              </w:rPr>
            </w:pPr>
            <w:r>
              <w:rPr>
                <w:b/>
                <w:spacing w:val="-2"/>
              </w:rPr>
              <w:t>)</w:t>
            </w:r>
          </w:p>
          <w:p w14:paraId="2B7BD2F1" w14:textId="77777777" w:rsidR="00F74EF2" w:rsidRDefault="00F74EF2">
            <w:pPr>
              <w:tabs>
                <w:tab w:val="center" w:pos="4680"/>
              </w:tabs>
              <w:suppressAutoHyphens/>
              <w:rPr>
                <w:b/>
                <w:spacing w:val="-2"/>
              </w:rPr>
            </w:pPr>
            <w:r>
              <w:rPr>
                <w:b/>
                <w:spacing w:val="-2"/>
              </w:rPr>
              <w:t>)</w:t>
            </w:r>
          </w:p>
          <w:p w14:paraId="48582BBC" w14:textId="77777777" w:rsidR="00F74EF2" w:rsidRDefault="00F74EF2">
            <w:pPr>
              <w:tabs>
                <w:tab w:val="center" w:pos="4680"/>
              </w:tabs>
              <w:suppressAutoHyphens/>
              <w:rPr>
                <w:b/>
                <w:spacing w:val="-2"/>
              </w:rPr>
            </w:pPr>
            <w:r>
              <w:rPr>
                <w:b/>
                <w:spacing w:val="-2"/>
              </w:rPr>
              <w:t>)</w:t>
            </w:r>
          </w:p>
          <w:p w14:paraId="7992B05F" w14:textId="77777777" w:rsidR="00F74EF2" w:rsidRDefault="00F74EF2">
            <w:pPr>
              <w:tabs>
                <w:tab w:val="center" w:pos="4680"/>
              </w:tabs>
              <w:suppressAutoHyphens/>
              <w:rPr>
                <w:b/>
                <w:spacing w:val="-2"/>
              </w:rPr>
            </w:pPr>
            <w:r>
              <w:rPr>
                <w:b/>
                <w:spacing w:val="-2"/>
              </w:rPr>
              <w:t>)</w:t>
            </w:r>
          </w:p>
          <w:p w14:paraId="0B852DFE" w14:textId="77777777" w:rsidR="00F74EF2" w:rsidRDefault="00F74EF2">
            <w:pPr>
              <w:tabs>
                <w:tab w:val="center" w:pos="4680"/>
              </w:tabs>
              <w:suppressAutoHyphens/>
              <w:rPr>
                <w:b/>
                <w:spacing w:val="-2"/>
              </w:rPr>
            </w:pPr>
            <w:r>
              <w:rPr>
                <w:b/>
                <w:spacing w:val="-2"/>
              </w:rPr>
              <w:t>)</w:t>
            </w:r>
          </w:p>
          <w:p w14:paraId="0F4217F5" w14:textId="77777777" w:rsidR="00F74EF2" w:rsidRDefault="00F74EF2">
            <w:pPr>
              <w:tabs>
                <w:tab w:val="center" w:pos="4680"/>
              </w:tabs>
              <w:suppressAutoHyphens/>
              <w:rPr>
                <w:b/>
                <w:spacing w:val="-2"/>
              </w:rPr>
            </w:pPr>
            <w:r>
              <w:rPr>
                <w:b/>
                <w:spacing w:val="-2"/>
              </w:rPr>
              <w:t>)</w:t>
            </w:r>
          </w:p>
          <w:p w14:paraId="759DCBB2" w14:textId="77777777" w:rsidR="00F74EF2" w:rsidRDefault="00F74EF2">
            <w:pPr>
              <w:tabs>
                <w:tab w:val="center" w:pos="4680"/>
              </w:tabs>
              <w:suppressAutoHyphens/>
              <w:rPr>
                <w:b/>
                <w:spacing w:val="-2"/>
              </w:rPr>
            </w:pPr>
            <w:r>
              <w:rPr>
                <w:b/>
                <w:spacing w:val="-2"/>
              </w:rPr>
              <w:t>)</w:t>
            </w:r>
          </w:p>
          <w:p w14:paraId="419C669F" w14:textId="77777777" w:rsidR="00F74EF2" w:rsidRDefault="00F74EF2">
            <w:pPr>
              <w:tabs>
                <w:tab w:val="center" w:pos="4680"/>
              </w:tabs>
              <w:suppressAutoHyphens/>
              <w:rPr>
                <w:b/>
                <w:spacing w:val="-2"/>
              </w:rPr>
            </w:pPr>
            <w:r>
              <w:rPr>
                <w:b/>
                <w:spacing w:val="-2"/>
              </w:rPr>
              <w:t>)</w:t>
            </w:r>
          </w:p>
          <w:p w14:paraId="2819BE73" w14:textId="77777777" w:rsidR="00F74EF2" w:rsidRDefault="00F74EF2">
            <w:pPr>
              <w:tabs>
                <w:tab w:val="center" w:pos="4680"/>
              </w:tabs>
              <w:suppressAutoHyphens/>
              <w:rPr>
                <w:b/>
                <w:spacing w:val="-2"/>
              </w:rPr>
            </w:pPr>
            <w:r>
              <w:rPr>
                <w:b/>
                <w:spacing w:val="-2"/>
              </w:rPr>
              <w:t>)</w:t>
            </w:r>
          </w:p>
          <w:p w14:paraId="7EAC0FB3" w14:textId="77777777" w:rsidR="00F74EF2" w:rsidRDefault="00F74EF2">
            <w:pPr>
              <w:tabs>
                <w:tab w:val="center" w:pos="4680"/>
              </w:tabs>
              <w:suppressAutoHyphens/>
              <w:rPr>
                <w:b/>
                <w:spacing w:val="-2"/>
              </w:rPr>
            </w:pPr>
            <w:r>
              <w:rPr>
                <w:b/>
                <w:spacing w:val="-2"/>
              </w:rPr>
              <w:t>)</w:t>
            </w:r>
          </w:p>
          <w:p w14:paraId="29E342A3" w14:textId="77777777" w:rsidR="00F74EF2" w:rsidRDefault="00F74EF2">
            <w:pPr>
              <w:tabs>
                <w:tab w:val="center" w:pos="4680"/>
              </w:tabs>
              <w:suppressAutoHyphens/>
              <w:rPr>
                <w:b/>
                <w:spacing w:val="-2"/>
              </w:rPr>
            </w:pPr>
            <w:r>
              <w:rPr>
                <w:b/>
                <w:spacing w:val="-2"/>
              </w:rPr>
              <w:t>)</w:t>
            </w:r>
          </w:p>
          <w:p w14:paraId="0E801D64" w14:textId="77777777" w:rsidR="00F74EF2" w:rsidRDefault="00F74EF2">
            <w:pPr>
              <w:tabs>
                <w:tab w:val="center" w:pos="4680"/>
              </w:tabs>
              <w:suppressAutoHyphens/>
              <w:rPr>
                <w:b/>
                <w:spacing w:val="-2"/>
              </w:rPr>
            </w:pPr>
            <w:r>
              <w:rPr>
                <w:b/>
                <w:spacing w:val="-2"/>
              </w:rPr>
              <w:t>)</w:t>
            </w:r>
          </w:p>
          <w:p w14:paraId="63F44551" w14:textId="77777777" w:rsidR="00F74EF2" w:rsidRDefault="00F74EF2">
            <w:pPr>
              <w:tabs>
                <w:tab w:val="center" w:pos="4680"/>
              </w:tabs>
              <w:suppressAutoHyphens/>
              <w:rPr>
                <w:b/>
                <w:spacing w:val="-2"/>
              </w:rPr>
            </w:pPr>
            <w:r>
              <w:rPr>
                <w:b/>
                <w:spacing w:val="-2"/>
              </w:rPr>
              <w:t>)</w:t>
            </w:r>
          </w:p>
          <w:p w14:paraId="2D1412E9" w14:textId="77777777" w:rsidR="00F74EF2" w:rsidRDefault="00F74EF2">
            <w:pPr>
              <w:tabs>
                <w:tab w:val="center" w:pos="4680"/>
              </w:tabs>
              <w:suppressAutoHyphens/>
              <w:rPr>
                <w:b/>
                <w:spacing w:val="-2"/>
              </w:rPr>
            </w:pPr>
            <w:r>
              <w:rPr>
                <w:b/>
                <w:spacing w:val="-2"/>
              </w:rPr>
              <w:t>)</w:t>
            </w:r>
          </w:p>
          <w:p w14:paraId="7626505B" w14:textId="77777777" w:rsidR="00F74EF2" w:rsidRDefault="00F74EF2">
            <w:pPr>
              <w:tabs>
                <w:tab w:val="center" w:pos="4680"/>
              </w:tabs>
              <w:suppressAutoHyphens/>
              <w:rPr>
                <w:b/>
                <w:spacing w:val="-2"/>
              </w:rPr>
            </w:pPr>
            <w:r>
              <w:rPr>
                <w:b/>
                <w:spacing w:val="-2"/>
              </w:rPr>
              <w:t>)</w:t>
            </w:r>
          </w:p>
          <w:p w14:paraId="36E5997D" w14:textId="77777777" w:rsidR="00F74EF2" w:rsidRDefault="00F74EF2">
            <w:pPr>
              <w:tabs>
                <w:tab w:val="center" w:pos="4680"/>
              </w:tabs>
              <w:suppressAutoHyphens/>
              <w:rPr>
                <w:b/>
                <w:spacing w:val="-2"/>
              </w:rPr>
            </w:pPr>
            <w:r>
              <w:rPr>
                <w:b/>
                <w:spacing w:val="-2"/>
              </w:rPr>
              <w:t>)</w:t>
            </w:r>
          </w:p>
          <w:p w14:paraId="213E0F94" w14:textId="77777777" w:rsidR="00F74EF2" w:rsidRDefault="00F74EF2">
            <w:pPr>
              <w:tabs>
                <w:tab w:val="center" w:pos="4680"/>
              </w:tabs>
              <w:suppressAutoHyphens/>
              <w:rPr>
                <w:b/>
                <w:spacing w:val="-2"/>
              </w:rPr>
            </w:pPr>
            <w:r>
              <w:rPr>
                <w:b/>
                <w:spacing w:val="-2"/>
              </w:rPr>
              <w:t>)</w:t>
            </w:r>
          </w:p>
          <w:p w14:paraId="64E858F6" w14:textId="77777777" w:rsidR="00F74EF2" w:rsidRDefault="00F74EF2">
            <w:pPr>
              <w:tabs>
                <w:tab w:val="center" w:pos="4680"/>
              </w:tabs>
              <w:suppressAutoHyphens/>
              <w:rPr>
                <w:b/>
                <w:spacing w:val="-2"/>
              </w:rPr>
            </w:pPr>
            <w:r>
              <w:rPr>
                <w:b/>
                <w:spacing w:val="-2"/>
              </w:rPr>
              <w:t>)</w:t>
            </w:r>
          </w:p>
          <w:p w14:paraId="40A9B80C" w14:textId="77777777" w:rsidR="00F74EF2" w:rsidRDefault="00F74EF2">
            <w:pPr>
              <w:tabs>
                <w:tab w:val="center" w:pos="4680"/>
              </w:tabs>
              <w:suppressAutoHyphens/>
              <w:rPr>
                <w:b/>
                <w:spacing w:val="-2"/>
              </w:rPr>
            </w:pPr>
            <w:r>
              <w:rPr>
                <w:b/>
                <w:spacing w:val="-2"/>
              </w:rPr>
              <w:t>)</w:t>
            </w:r>
          </w:p>
          <w:p w14:paraId="4A0686AA" w14:textId="77777777" w:rsidR="00F74EF2" w:rsidRDefault="00F74EF2">
            <w:pPr>
              <w:tabs>
                <w:tab w:val="center" w:pos="4680"/>
              </w:tabs>
              <w:suppressAutoHyphens/>
              <w:rPr>
                <w:b/>
                <w:spacing w:val="-2"/>
              </w:rPr>
            </w:pPr>
            <w:r>
              <w:rPr>
                <w:b/>
                <w:spacing w:val="-2"/>
              </w:rPr>
              <w:t>)</w:t>
            </w:r>
          </w:p>
          <w:p w14:paraId="77690D95" w14:textId="77777777" w:rsidR="00F74EF2" w:rsidRDefault="00F74EF2">
            <w:pPr>
              <w:tabs>
                <w:tab w:val="center" w:pos="4680"/>
              </w:tabs>
              <w:suppressAutoHyphens/>
              <w:rPr>
                <w:b/>
                <w:spacing w:val="-2"/>
              </w:rPr>
            </w:pPr>
            <w:r>
              <w:rPr>
                <w:b/>
                <w:spacing w:val="-2"/>
              </w:rPr>
              <w:t>)</w:t>
            </w:r>
          </w:p>
          <w:p w14:paraId="143B0791" w14:textId="77777777" w:rsidR="00F74EF2" w:rsidRPr="00F74EF2" w:rsidRDefault="00F74EF2">
            <w:pPr>
              <w:tabs>
                <w:tab w:val="center" w:pos="4680"/>
              </w:tabs>
              <w:suppressAutoHyphens/>
              <w:rPr>
                <w:b/>
                <w:spacing w:val="-2"/>
              </w:rPr>
            </w:pPr>
            <w:r>
              <w:rPr>
                <w:b/>
                <w:spacing w:val="-2"/>
              </w:rPr>
              <w:t>)</w:t>
            </w:r>
          </w:p>
        </w:tc>
        <w:tc>
          <w:tcPr>
            <w:tcW w:w="4248" w:type="dxa"/>
          </w:tcPr>
          <w:p w14:paraId="379DF1A9" w14:textId="77777777" w:rsidR="004C2EE3" w:rsidRDefault="004C2EE3">
            <w:pPr>
              <w:tabs>
                <w:tab w:val="center" w:pos="4680"/>
              </w:tabs>
              <w:suppressAutoHyphens/>
              <w:rPr>
                <w:spacing w:val="-2"/>
              </w:rPr>
            </w:pPr>
          </w:p>
          <w:p w14:paraId="414CABC6" w14:textId="77777777" w:rsidR="004C2EE3" w:rsidRDefault="004C2EE3">
            <w:pPr>
              <w:pStyle w:val="TOAHeading"/>
              <w:tabs>
                <w:tab w:val="clear" w:pos="9360"/>
                <w:tab w:val="center" w:pos="4680"/>
              </w:tabs>
              <w:rPr>
                <w:spacing w:val="-2"/>
              </w:rPr>
            </w:pPr>
          </w:p>
          <w:p w14:paraId="2DD1A594" w14:textId="77777777" w:rsidR="00AA6A3E" w:rsidRDefault="00AA6A3E" w:rsidP="00517BDB">
            <w:pPr>
              <w:rPr>
                <w:szCs w:val="22"/>
              </w:rPr>
            </w:pPr>
          </w:p>
          <w:p w14:paraId="5EC9FCB9" w14:textId="77777777" w:rsidR="00AA6A3E" w:rsidRDefault="00AA6A3E" w:rsidP="00517BDB">
            <w:pPr>
              <w:rPr>
                <w:szCs w:val="22"/>
              </w:rPr>
            </w:pPr>
          </w:p>
          <w:p w14:paraId="35669A6E" w14:textId="77777777" w:rsidR="00517BDB" w:rsidRPr="002443D1" w:rsidRDefault="00517BDB" w:rsidP="00517BDB">
            <w:pPr>
              <w:rPr>
                <w:szCs w:val="22"/>
              </w:rPr>
            </w:pPr>
            <w:r w:rsidRPr="002443D1">
              <w:rPr>
                <w:szCs w:val="22"/>
              </w:rPr>
              <w:t>File No. BNPL</w:t>
            </w:r>
            <w:r w:rsidR="008348A5">
              <w:rPr>
                <w:szCs w:val="22"/>
              </w:rPr>
              <w:t>-</w:t>
            </w:r>
            <w:r w:rsidR="008348A5" w:rsidRPr="000A3C99">
              <w:rPr>
                <w:szCs w:val="22"/>
              </w:rPr>
              <w:t>20131112BWB</w:t>
            </w:r>
          </w:p>
          <w:p w14:paraId="3C3F3D16" w14:textId="77777777" w:rsidR="00517BDB" w:rsidRDefault="00517BDB" w:rsidP="00517BDB">
            <w:pPr>
              <w:rPr>
                <w:szCs w:val="22"/>
              </w:rPr>
            </w:pPr>
            <w:r w:rsidRPr="002443D1">
              <w:rPr>
                <w:szCs w:val="22"/>
              </w:rPr>
              <w:t xml:space="preserve">Facility ID No. </w:t>
            </w:r>
            <w:r w:rsidR="008348A5">
              <w:rPr>
                <w:szCs w:val="22"/>
              </w:rPr>
              <w:t>195646</w:t>
            </w:r>
          </w:p>
          <w:p w14:paraId="611747A3" w14:textId="77777777" w:rsidR="004C2EE3" w:rsidRDefault="004C2EE3">
            <w:pPr>
              <w:tabs>
                <w:tab w:val="center" w:pos="4680"/>
              </w:tabs>
              <w:suppressAutoHyphens/>
              <w:rPr>
                <w:spacing w:val="-2"/>
              </w:rPr>
            </w:pPr>
          </w:p>
          <w:p w14:paraId="55241F77" w14:textId="77777777" w:rsidR="00517BDB" w:rsidRDefault="00517BDB">
            <w:pPr>
              <w:tabs>
                <w:tab w:val="center" w:pos="4680"/>
              </w:tabs>
              <w:suppressAutoHyphens/>
              <w:rPr>
                <w:spacing w:val="-2"/>
              </w:rPr>
            </w:pPr>
          </w:p>
          <w:p w14:paraId="65D7FD9B" w14:textId="77777777" w:rsidR="00517BDB" w:rsidRDefault="00517BDB">
            <w:pPr>
              <w:tabs>
                <w:tab w:val="center" w:pos="4680"/>
              </w:tabs>
              <w:suppressAutoHyphens/>
              <w:rPr>
                <w:spacing w:val="-2"/>
              </w:rPr>
            </w:pPr>
          </w:p>
          <w:p w14:paraId="2A291A4C" w14:textId="77777777" w:rsidR="00517BDB" w:rsidRPr="002443D1" w:rsidRDefault="00517BDB" w:rsidP="00517BDB">
            <w:pPr>
              <w:rPr>
                <w:szCs w:val="22"/>
              </w:rPr>
            </w:pPr>
            <w:r w:rsidRPr="002443D1">
              <w:rPr>
                <w:szCs w:val="22"/>
              </w:rPr>
              <w:t>File No. BNPL-</w:t>
            </w:r>
            <w:r w:rsidR="008348A5" w:rsidRPr="00FA626F">
              <w:rPr>
                <w:szCs w:val="22"/>
              </w:rPr>
              <w:t>20131113BLG</w:t>
            </w:r>
          </w:p>
          <w:p w14:paraId="05E29A2C" w14:textId="77777777" w:rsidR="00517BDB" w:rsidRDefault="00517BDB" w:rsidP="00517BDB">
            <w:pPr>
              <w:rPr>
                <w:szCs w:val="22"/>
              </w:rPr>
            </w:pPr>
            <w:r w:rsidRPr="002443D1">
              <w:rPr>
                <w:szCs w:val="22"/>
              </w:rPr>
              <w:t xml:space="preserve">Facility ID No. </w:t>
            </w:r>
            <w:r w:rsidR="008348A5">
              <w:rPr>
                <w:szCs w:val="22"/>
              </w:rPr>
              <w:t>193022</w:t>
            </w:r>
          </w:p>
          <w:p w14:paraId="6141452D" w14:textId="77777777" w:rsidR="00517BDB" w:rsidRDefault="00517BDB">
            <w:pPr>
              <w:tabs>
                <w:tab w:val="center" w:pos="4680"/>
              </w:tabs>
              <w:suppressAutoHyphens/>
              <w:rPr>
                <w:spacing w:val="-2"/>
              </w:rPr>
            </w:pPr>
          </w:p>
          <w:p w14:paraId="2007BC39" w14:textId="77777777" w:rsidR="00517BDB" w:rsidRDefault="00517BDB">
            <w:pPr>
              <w:tabs>
                <w:tab w:val="center" w:pos="4680"/>
              </w:tabs>
              <w:suppressAutoHyphens/>
              <w:rPr>
                <w:spacing w:val="-2"/>
              </w:rPr>
            </w:pPr>
          </w:p>
          <w:p w14:paraId="63CC8742" w14:textId="77777777" w:rsidR="00517BDB" w:rsidRDefault="00517BDB">
            <w:pPr>
              <w:tabs>
                <w:tab w:val="center" w:pos="4680"/>
              </w:tabs>
              <w:suppressAutoHyphens/>
              <w:rPr>
                <w:spacing w:val="-2"/>
              </w:rPr>
            </w:pPr>
          </w:p>
          <w:p w14:paraId="386DE3CA" w14:textId="77777777" w:rsidR="00517BDB" w:rsidRPr="002443D1" w:rsidRDefault="00517BDB" w:rsidP="00517BDB">
            <w:pPr>
              <w:rPr>
                <w:szCs w:val="22"/>
              </w:rPr>
            </w:pPr>
            <w:r w:rsidRPr="002443D1">
              <w:rPr>
                <w:szCs w:val="22"/>
              </w:rPr>
              <w:t>File No. BNPL-</w:t>
            </w:r>
            <w:r w:rsidR="008348A5">
              <w:rPr>
                <w:szCs w:val="22"/>
              </w:rPr>
              <w:t>20131114AKY</w:t>
            </w:r>
          </w:p>
          <w:p w14:paraId="6AC89D0A" w14:textId="77777777" w:rsidR="00517BDB" w:rsidRDefault="00517BDB" w:rsidP="00517BDB">
            <w:pPr>
              <w:rPr>
                <w:szCs w:val="22"/>
              </w:rPr>
            </w:pPr>
            <w:r w:rsidRPr="002443D1">
              <w:rPr>
                <w:szCs w:val="22"/>
              </w:rPr>
              <w:t xml:space="preserve">Facility ID No. </w:t>
            </w:r>
            <w:r w:rsidR="008348A5">
              <w:rPr>
                <w:szCs w:val="22"/>
              </w:rPr>
              <w:t>192746</w:t>
            </w:r>
          </w:p>
          <w:p w14:paraId="2D3D6E9D" w14:textId="77777777" w:rsidR="00517BDB" w:rsidRDefault="00517BDB">
            <w:pPr>
              <w:tabs>
                <w:tab w:val="center" w:pos="4680"/>
              </w:tabs>
              <w:suppressAutoHyphens/>
              <w:rPr>
                <w:spacing w:val="-2"/>
              </w:rPr>
            </w:pPr>
          </w:p>
          <w:p w14:paraId="28C938C1" w14:textId="77777777" w:rsidR="00517BDB" w:rsidRDefault="00517BDB">
            <w:pPr>
              <w:tabs>
                <w:tab w:val="center" w:pos="4680"/>
              </w:tabs>
              <w:suppressAutoHyphens/>
              <w:rPr>
                <w:spacing w:val="-2"/>
              </w:rPr>
            </w:pPr>
          </w:p>
          <w:p w14:paraId="4A931509" w14:textId="77777777" w:rsidR="00517BDB" w:rsidRDefault="00517BDB">
            <w:pPr>
              <w:tabs>
                <w:tab w:val="center" w:pos="4680"/>
              </w:tabs>
              <w:suppressAutoHyphens/>
              <w:rPr>
                <w:spacing w:val="-2"/>
              </w:rPr>
            </w:pPr>
          </w:p>
          <w:p w14:paraId="079ADAB5" w14:textId="77777777" w:rsidR="00517BDB" w:rsidRPr="002443D1" w:rsidRDefault="00517BDB" w:rsidP="00517BDB">
            <w:pPr>
              <w:rPr>
                <w:szCs w:val="22"/>
              </w:rPr>
            </w:pPr>
            <w:r w:rsidRPr="002443D1">
              <w:rPr>
                <w:szCs w:val="22"/>
              </w:rPr>
              <w:t>File No. BNPL-</w:t>
            </w:r>
            <w:r w:rsidR="008348A5">
              <w:rPr>
                <w:szCs w:val="22"/>
              </w:rPr>
              <w:t>20131114AMB</w:t>
            </w:r>
          </w:p>
          <w:p w14:paraId="5AC4FC76" w14:textId="77777777" w:rsidR="00517BDB" w:rsidRDefault="00517BDB" w:rsidP="00517BDB">
            <w:pPr>
              <w:rPr>
                <w:szCs w:val="22"/>
              </w:rPr>
            </w:pPr>
            <w:r w:rsidRPr="002443D1">
              <w:rPr>
                <w:szCs w:val="22"/>
              </w:rPr>
              <w:t xml:space="preserve">Facility ID No. </w:t>
            </w:r>
            <w:r w:rsidR="008348A5">
              <w:rPr>
                <w:szCs w:val="22"/>
              </w:rPr>
              <w:t>195118</w:t>
            </w:r>
          </w:p>
          <w:p w14:paraId="5216293C" w14:textId="77777777" w:rsidR="00517BDB" w:rsidRDefault="00517BDB">
            <w:pPr>
              <w:tabs>
                <w:tab w:val="center" w:pos="4680"/>
              </w:tabs>
              <w:suppressAutoHyphens/>
              <w:rPr>
                <w:spacing w:val="-2"/>
              </w:rPr>
            </w:pPr>
          </w:p>
          <w:p w14:paraId="3738D1FE" w14:textId="77777777" w:rsidR="00517BDB" w:rsidRDefault="00517BDB">
            <w:pPr>
              <w:tabs>
                <w:tab w:val="center" w:pos="4680"/>
              </w:tabs>
              <w:suppressAutoHyphens/>
              <w:rPr>
                <w:spacing w:val="-2"/>
              </w:rPr>
            </w:pPr>
          </w:p>
          <w:p w14:paraId="19DCC608" w14:textId="77777777" w:rsidR="008348A5" w:rsidRDefault="008348A5">
            <w:pPr>
              <w:tabs>
                <w:tab w:val="center" w:pos="4680"/>
              </w:tabs>
              <w:suppressAutoHyphens/>
              <w:rPr>
                <w:spacing w:val="-2"/>
              </w:rPr>
            </w:pPr>
          </w:p>
          <w:p w14:paraId="45A5E2B1" w14:textId="77777777" w:rsidR="008348A5" w:rsidRDefault="008348A5">
            <w:pPr>
              <w:tabs>
                <w:tab w:val="center" w:pos="4680"/>
              </w:tabs>
              <w:suppressAutoHyphens/>
              <w:rPr>
                <w:spacing w:val="-2"/>
              </w:rPr>
            </w:pPr>
          </w:p>
          <w:p w14:paraId="07F68C93" w14:textId="77777777" w:rsidR="008348A5" w:rsidRPr="002443D1" w:rsidRDefault="008348A5" w:rsidP="008348A5">
            <w:pPr>
              <w:rPr>
                <w:szCs w:val="22"/>
              </w:rPr>
            </w:pPr>
            <w:r w:rsidRPr="002443D1">
              <w:rPr>
                <w:szCs w:val="22"/>
              </w:rPr>
              <w:t>File No. BNPL-</w:t>
            </w:r>
            <w:r w:rsidR="00F74EF2" w:rsidRPr="007E4003">
              <w:rPr>
                <w:szCs w:val="22"/>
              </w:rPr>
              <w:t>20131114AMR</w:t>
            </w:r>
          </w:p>
          <w:p w14:paraId="187BA8F0" w14:textId="77777777" w:rsidR="008348A5" w:rsidRDefault="008348A5" w:rsidP="008348A5">
            <w:pPr>
              <w:rPr>
                <w:szCs w:val="22"/>
              </w:rPr>
            </w:pPr>
            <w:r w:rsidRPr="002443D1">
              <w:rPr>
                <w:szCs w:val="22"/>
              </w:rPr>
              <w:t xml:space="preserve">Facility ID No. </w:t>
            </w:r>
            <w:r w:rsidR="00C8007B">
              <w:rPr>
                <w:szCs w:val="22"/>
              </w:rPr>
              <w:t>1</w:t>
            </w:r>
            <w:r w:rsidR="00F74EF2">
              <w:rPr>
                <w:szCs w:val="22"/>
              </w:rPr>
              <w:t>95802</w:t>
            </w:r>
          </w:p>
          <w:p w14:paraId="5B0CC83E" w14:textId="77777777" w:rsidR="008348A5" w:rsidRDefault="008348A5">
            <w:pPr>
              <w:tabs>
                <w:tab w:val="center" w:pos="4680"/>
              </w:tabs>
              <w:suppressAutoHyphens/>
              <w:rPr>
                <w:spacing w:val="-2"/>
              </w:rPr>
            </w:pPr>
          </w:p>
          <w:p w14:paraId="146AD030" w14:textId="77777777" w:rsidR="008348A5" w:rsidRDefault="008348A5">
            <w:pPr>
              <w:tabs>
                <w:tab w:val="center" w:pos="4680"/>
              </w:tabs>
              <w:suppressAutoHyphens/>
              <w:rPr>
                <w:spacing w:val="-2"/>
              </w:rPr>
            </w:pPr>
          </w:p>
          <w:p w14:paraId="60C176DC" w14:textId="77777777" w:rsidR="008348A5" w:rsidRDefault="008348A5">
            <w:pPr>
              <w:tabs>
                <w:tab w:val="center" w:pos="4680"/>
              </w:tabs>
              <w:suppressAutoHyphens/>
              <w:rPr>
                <w:spacing w:val="-2"/>
              </w:rPr>
            </w:pPr>
          </w:p>
          <w:p w14:paraId="78F9C350" w14:textId="77777777" w:rsidR="008348A5" w:rsidRPr="002443D1" w:rsidRDefault="008348A5" w:rsidP="008348A5">
            <w:pPr>
              <w:rPr>
                <w:szCs w:val="22"/>
              </w:rPr>
            </w:pPr>
            <w:r w:rsidRPr="002443D1">
              <w:rPr>
                <w:szCs w:val="22"/>
              </w:rPr>
              <w:t>File No. BNPL-</w:t>
            </w:r>
            <w:r w:rsidR="00F74EF2" w:rsidRPr="00DB54B4">
              <w:rPr>
                <w:szCs w:val="22"/>
              </w:rPr>
              <w:t>20131114ANP</w:t>
            </w:r>
          </w:p>
          <w:p w14:paraId="20C6DBC3" w14:textId="77777777" w:rsidR="008348A5" w:rsidRDefault="008348A5" w:rsidP="008348A5">
            <w:pPr>
              <w:rPr>
                <w:szCs w:val="22"/>
              </w:rPr>
            </w:pPr>
            <w:r w:rsidRPr="002443D1">
              <w:rPr>
                <w:szCs w:val="22"/>
              </w:rPr>
              <w:t xml:space="preserve">Facility ID No. </w:t>
            </w:r>
            <w:r w:rsidR="00F74EF2">
              <w:rPr>
                <w:szCs w:val="22"/>
              </w:rPr>
              <w:t>196209</w:t>
            </w:r>
          </w:p>
          <w:p w14:paraId="07E97985" w14:textId="77777777" w:rsidR="008348A5" w:rsidRDefault="008348A5">
            <w:pPr>
              <w:tabs>
                <w:tab w:val="center" w:pos="4680"/>
              </w:tabs>
              <w:suppressAutoHyphens/>
              <w:rPr>
                <w:spacing w:val="-2"/>
              </w:rPr>
            </w:pPr>
          </w:p>
          <w:p w14:paraId="22E7A734" w14:textId="77777777" w:rsidR="008348A5" w:rsidRDefault="008348A5">
            <w:pPr>
              <w:tabs>
                <w:tab w:val="center" w:pos="4680"/>
              </w:tabs>
              <w:suppressAutoHyphens/>
              <w:rPr>
                <w:spacing w:val="-2"/>
              </w:rPr>
            </w:pPr>
          </w:p>
          <w:p w14:paraId="2C063F19" w14:textId="77777777" w:rsidR="008348A5" w:rsidRDefault="008348A5">
            <w:pPr>
              <w:tabs>
                <w:tab w:val="center" w:pos="4680"/>
              </w:tabs>
              <w:suppressAutoHyphens/>
              <w:rPr>
                <w:spacing w:val="-2"/>
              </w:rPr>
            </w:pPr>
          </w:p>
          <w:p w14:paraId="06AF6752" w14:textId="77777777" w:rsidR="008348A5" w:rsidRPr="002443D1" w:rsidRDefault="008348A5" w:rsidP="008348A5">
            <w:pPr>
              <w:rPr>
                <w:szCs w:val="22"/>
              </w:rPr>
            </w:pPr>
            <w:r w:rsidRPr="002443D1">
              <w:rPr>
                <w:szCs w:val="22"/>
              </w:rPr>
              <w:t>File No. BNPL-</w:t>
            </w:r>
            <w:r w:rsidR="00F74EF2" w:rsidRPr="005A25B6">
              <w:rPr>
                <w:szCs w:val="22"/>
              </w:rPr>
              <w:t>20131114BLI</w:t>
            </w:r>
          </w:p>
          <w:p w14:paraId="121B61F9" w14:textId="77777777" w:rsidR="008348A5" w:rsidRDefault="008348A5" w:rsidP="008348A5">
            <w:pPr>
              <w:rPr>
                <w:szCs w:val="22"/>
              </w:rPr>
            </w:pPr>
            <w:r w:rsidRPr="002443D1">
              <w:rPr>
                <w:szCs w:val="22"/>
              </w:rPr>
              <w:t xml:space="preserve">Facility ID No. </w:t>
            </w:r>
            <w:r w:rsidR="00F74EF2">
              <w:rPr>
                <w:szCs w:val="22"/>
              </w:rPr>
              <w:t>196383</w:t>
            </w:r>
          </w:p>
          <w:p w14:paraId="3F8A553D" w14:textId="77777777" w:rsidR="008348A5" w:rsidRDefault="008348A5">
            <w:pPr>
              <w:tabs>
                <w:tab w:val="center" w:pos="4680"/>
              </w:tabs>
              <w:suppressAutoHyphens/>
              <w:rPr>
                <w:spacing w:val="-2"/>
              </w:rPr>
            </w:pPr>
          </w:p>
          <w:p w14:paraId="38F4DF73" w14:textId="77777777" w:rsidR="008348A5" w:rsidRDefault="008348A5">
            <w:pPr>
              <w:tabs>
                <w:tab w:val="center" w:pos="4680"/>
              </w:tabs>
              <w:suppressAutoHyphens/>
              <w:rPr>
                <w:spacing w:val="-2"/>
              </w:rPr>
            </w:pPr>
          </w:p>
          <w:p w14:paraId="252D13E6" w14:textId="77777777" w:rsidR="00517BDB" w:rsidRDefault="00517BDB">
            <w:pPr>
              <w:tabs>
                <w:tab w:val="center" w:pos="4680"/>
              </w:tabs>
              <w:suppressAutoHyphens/>
              <w:rPr>
                <w:spacing w:val="-2"/>
              </w:rPr>
            </w:pPr>
          </w:p>
        </w:tc>
      </w:tr>
    </w:tbl>
    <w:p w14:paraId="21F777D2" w14:textId="77777777" w:rsidR="004C2EE3" w:rsidRDefault="004C2EE3" w:rsidP="0070224F"/>
    <w:p w14:paraId="2DBC69EA" w14:textId="77777777" w:rsidR="00841AB1" w:rsidRDefault="00F74EF2" w:rsidP="00F021FA">
      <w:pPr>
        <w:pStyle w:val="StyleBoldCentered"/>
      </w:pPr>
      <w:r>
        <w:t>MEMORANDUM OPINION AND ORDER</w:t>
      </w:r>
    </w:p>
    <w:p w14:paraId="3037F972" w14:textId="77777777" w:rsidR="004C2EE3" w:rsidRDefault="004C2EE3">
      <w:pPr>
        <w:tabs>
          <w:tab w:val="left" w:pos="-720"/>
        </w:tabs>
        <w:suppressAutoHyphens/>
        <w:spacing w:line="227" w:lineRule="auto"/>
        <w:rPr>
          <w:spacing w:val="-2"/>
        </w:rPr>
      </w:pPr>
    </w:p>
    <w:p w14:paraId="6E69502B" w14:textId="3BE30973" w:rsidR="004C2EE3" w:rsidRDefault="004C2EE3" w:rsidP="00133F79">
      <w:pPr>
        <w:tabs>
          <w:tab w:val="left" w:pos="720"/>
          <w:tab w:val="right" w:pos="9360"/>
        </w:tabs>
        <w:suppressAutoHyphens/>
        <w:spacing w:line="227" w:lineRule="auto"/>
        <w:rPr>
          <w:spacing w:val="-2"/>
        </w:rPr>
      </w:pPr>
      <w:r>
        <w:rPr>
          <w:b/>
          <w:spacing w:val="-2"/>
        </w:rPr>
        <w:t xml:space="preserve">Adopted:  </w:t>
      </w:r>
      <w:r w:rsidR="00AA6A3E">
        <w:rPr>
          <w:b/>
          <w:spacing w:val="-2"/>
        </w:rPr>
        <w:t>December 1,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513A7">
        <w:rPr>
          <w:b/>
          <w:spacing w:val="-2"/>
        </w:rPr>
        <w:t>December 3</w:t>
      </w:r>
      <w:r w:rsidR="00AA6A3E">
        <w:rPr>
          <w:b/>
          <w:spacing w:val="-2"/>
        </w:rPr>
        <w:t>, 2015</w:t>
      </w:r>
    </w:p>
    <w:p w14:paraId="593585F1" w14:textId="77777777" w:rsidR="00822CE0" w:rsidRDefault="00822CE0"/>
    <w:p w14:paraId="7560665C" w14:textId="77777777" w:rsidR="004C2EE3" w:rsidRDefault="004C2EE3">
      <w:pPr>
        <w:rPr>
          <w:spacing w:val="-2"/>
        </w:rPr>
      </w:pPr>
      <w:r>
        <w:t xml:space="preserve">By </w:t>
      </w:r>
      <w:r w:rsidR="004E4A22">
        <w:t>the</w:t>
      </w:r>
      <w:r w:rsidR="002A2D2E">
        <w:t xml:space="preserve"> </w:t>
      </w:r>
      <w:r w:rsidR="00F74EF2">
        <w:rPr>
          <w:spacing w:val="-2"/>
        </w:rPr>
        <w:t>Commission</w:t>
      </w:r>
      <w:r>
        <w:rPr>
          <w:spacing w:val="-2"/>
        </w:rPr>
        <w:t>:</w:t>
      </w:r>
    </w:p>
    <w:p w14:paraId="703830E0" w14:textId="77777777" w:rsidR="00471B38" w:rsidRDefault="00471B38">
      <w:pPr>
        <w:rPr>
          <w:spacing w:val="-2"/>
        </w:rPr>
      </w:pPr>
    </w:p>
    <w:p w14:paraId="0E43C246" w14:textId="38072D7B" w:rsidR="00412FC5" w:rsidRDefault="0072187A" w:rsidP="00D91D65">
      <w:pPr>
        <w:pStyle w:val="ParaNum"/>
      </w:pPr>
      <w:r>
        <w:lastRenderedPageBreak/>
        <w:t>We have before</w:t>
      </w:r>
      <w:r w:rsidR="000950D6">
        <w:t xml:space="preserve"> us</w:t>
      </w:r>
      <w:r>
        <w:t xml:space="preserve"> the Application for Review (“AFR”)</w:t>
      </w:r>
      <w:r w:rsidR="001A6D71">
        <w:rPr>
          <w:rStyle w:val="FootnoteReference"/>
        </w:rPr>
        <w:footnoteReference w:id="2"/>
      </w:r>
      <w:r>
        <w:t xml:space="preserve"> filed by Nueva Esperanza, Inc. (“NEI”), seeking Commission review of a Media Bureau decision</w:t>
      </w:r>
      <w:r w:rsidR="00002FF1">
        <w:rPr>
          <w:rStyle w:val="FootnoteReference"/>
        </w:rPr>
        <w:footnoteReference w:id="3"/>
      </w:r>
      <w:r>
        <w:t xml:space="preserve"> that </w:t>
      </w:r>
      <w:r w:rsidR="00630C0E">
        <w:t xml:space="preserve">denied reconsideration and </w:t>
      </w:r>
      <w:r>
        <w:t xml:space="preserve">affirmed the </w:t>
      </w:r>
      <w:r w:rsidR="006E0057">
        <w:t>grant of the applications filed by G-Town Radio, Germantown United Community Development Corporation, Germantown Life Enrichment Center</w:t>
      </w:r>
      <w:r w:rsidR="00F10550">
        <w:t xml:space="preserve"> (collectively, “Germantown Applicants”)</w:t>
      </w:r>
      <w:r w:rsidR="006E0057">
        <w:t>, and South Philadelphia Rainbow Committee Community Center, Inc. (collectively, “Time-Share Applicants”), for construction permits for new LPFM stations</w:t>
      </w:r>
      <w:r w:rsidR="002F2677">
        <w:t xml:space="preserve"> </w:t>
      </w:r>
      <w:r w:rsidR="006E0057">
        <w:t xml:space="preserve">serving Philadelphia, Pennsylvania, and </w:t>
      </w:r>
      <w:r w:rsidR="00BC3155">
        <w:t>the dismissal of</w:t>
      </w:r>
      <w:r>
        <w:t xml:space="preserve"> the applications filed by NEI, NAACP Social Justice Law Project, and Historic German</w:t>
      </w:r>
      <w:r w:rsidR="000950D6">
        <w:t>town</w:t>
      </w:r>
      <w:r>
        <w:t xml:space="preserve"> Preserved</w:t>
      </w:r>
      <w:r w:rsidR="006E0057">
        <w:t>, also</w:t>
      </w:r>
      <w:r>
        <w:t xml:space="preserve"> for construction permits for a new LPFM statio</w:t>
      </w:r>
      <w:r w:rsidR="006E0057">
        <w:t>n at Philadelphia, Pennsylvania</w:t>
      </w:r>
      <w:r w:rsidR="00F44441">
        <w:t>.</w:t>
      </w:r>
      <w:r>
        <w:t xml:space="preserve">  </w:t>
      </w:r>
      <w:r w:rsidR="00DC3155">
        <w:t xml:space="preserve">These </w:t>
      </w:r>
      <w:r w:rsidR="003E50D2">
        <w:t xml:space="preserve">seven </w:t>
      </w:r>
      <w:r w:rsidR="00DC3155">
        <w:t>application</w:t>
      </w:r>
      <w:r w:rsidR="008022D3">
        <w:t>s</w:t>
      </w:r>
      <w:r w:rsidR="00DC3155">
        <w:t xml:space="preserve"> were </w:t>
      </w:r>
      <w:r w:rsidR="006E0057">
        <w:t>mutually exclusive,</w:t>
      </w:r>
      <w:r w:rsidR="00DC3155">
        <w:t xml:space="preserve"> identified as LPFM MX Group 304</w:t>
      </w:r>
      <w:r w:rsidR="002F2677">
        <w:t>,</w:t>
      </w:r>
      <w:r w:rsidR="008022D3">
        <w:rPr>
          <w:rStyle w:val="FootnoteReference"/>
        </w:rPr>
        <w:footnoteReference w:id="4"/>
      </w:r>
      <w:r w:rsidR="008022D3">
        <w:t xml:space="preserve"> and </w:t>
      </w:r>
      <w:r w:rsidR="00692953">
        <w:t xml:space="preserve">were </w:t>
      </w:r>
      <w:r w:rsidR="008022D3">
        <w:t>tentative</w:t>
      </w:r>
      <w:r w:rsidR="00630C0E">
        <w:t>ly</w:t>
      </w:r>
      <w:r w:rsidR="008022D3">
        <w:t xml:space="preserve"> </w:t>
      </w:r>
      <w:r w:rsidR="002F2677">
        <w:t>selected to receive a construction permit</w:t>
      </w:r>
      <w:r w:rsidR="006E0057">
        <w:t xml:space="preserve"> </w:t>
      </w:r>
      <w:r w:rsidR="008022D3">
        <w:t>on a time-share basis.</w:t>
      </w:r>
      <w:r w:rsidR="008022D3">
        <w:rPr>
          <w:rStyle w:val="FootnoteReference"/>
        </w:rPr>
        <w:footnoteReference w:id="5"/>
      </w:r>
      <w:r w:rsidR="008022D3">
        <w:t xml:space="preserve">  Pursuant </w:t>
      </w:r>
      <w:r w:rsidR="006E0057">
        <w:t xml:space="preserve">to </w:t>
      </w:r>
      <w:r w:rsidR="008022D3">
        <w:t>the Commission’s Rules</w:t>
      </w:r>
      <w:r w:rsidR="002F2677">
        <w:t xml:space="preserve"> (“Rules”)</w:t>
      </w:r>
      <w:r w:rsidR="008022D3">
        <w:t>, the Time-Share Applicants filed a time-share agreement in which they aggregated their comparative points to break the seven-way tie in LPFM MX Group 304 in their favor.</w:t>
      </w:r>
      <w:r w:rsidR="00EC6970">
        <w:rPr>
          <w:rStyle w:val="FootnoteReference"/>
        </w:rPr>
        <w:footnoteReference w:id="6"/>
      </w:r>
    </w:p>
    <w:p w14:paraId="5880ABCE" w14:textId="275F288A" w:rsidR="0072187A" w:rsidRDefault="0072187A" w:rsidP="00D91D65">
      <w:pPr>
        <w:pStyle w:val="ParaNum"/>
      </w:pPr>
      <w:r>
        <w:t>The AFR raises the same argument that the Bureau reject</w:t>
      </w:r>
      <w:r w:rsidR="00D4561C">
        <w:t>ed</w:t>
      </w:r>
      <w:r w:rsidR="00C8684A">
        <w:t xml:space="preserve"> in the </w:t>
      </w:r>
      <w:r w:rsidR="00C8684A">
        <w:rPr>
          <w:i/>
        </w:rPr>
        <w:t>Staff Decision</w:t>
      </w:r>
      <w:r w:rsidR="00C8684A">
        <w:t xml:space="preserve"> and the </w:t>
      </w:r>
      <w:r w:rsidR="00C8684A">
        <w:rPr>
          <w:i/>
        </w:rPr>
        <w:t>Reconsideration Decision</w:t>
      </w:r>
      <w:r>
        <w:t xml:space="preserve">: that </w:t>
      </w:r>
      <w:r w:rsidR="00F10550">
        <w:t>the Germantown A</w:t>
      </w:r>
      <w:r w:rsidR="00D4561C">
        <w:t>pplicants were prohibited from agreeing to aggregate their comparative points at the time</w:t>
      </w:r>
      <w:r w:rsidR="002F2677">
        <w:t xml:space="preserve"> that</w:t>
      </w:r>
      <w:r w:rsidR="00D4561C">
        <w:t xml:space="preserve"> they filed their application</w:t>
      </w:r>
      <w:r w:rsidR="00A051F7">
        <w:t>s</w:t>
      </w:r>
      <w:r w:rsidR="005E6732">
        <w:t xml:space="preserve">, but were instead required to wait until after the Commission issued the </w:t>
      </w:r>
      <w:r w:rsidR="005E6732">
        <w:rPr>
          <w:i/>
        </w:rPr>
        <w:t>September Public Notice</w:t>
      </w:r>
      <w:r w:rsidR="00630C0E">
        <w:rPr>
          <w:i/>
        </w:rPr>
        <w:t xml:space="preserve"> </w:t>
      </w:r>
      <w:r w:rsidR="00630C0E">
        <w:t xml:space="preserve">which declared those applicants tied under the Commission’s </w:t>
      </w:r>
      <w:r w:rsidR="00692953">
        <w:t xml:space="preserve">LPFM </w:t>
      </w:r>
      <w:r w:rsidR="00630C0E">
        <w:t xml:space="preserve">point </w:t>
      </w:r>
      <w:r w:rsidR="00DE4A9A">
        <w:t>system</w:t>
      </w:r>
      <w:r w:rsidR="005E6732">
        <w:t>.</w:t>
      </w:r>
      <w:r w:rsidR="005E6732">
        <w:rPr>
          <w:rStyle w:val="FootnoteReference"/>
        </w:rPr>
        <w:footnoteReference w:id="7"/>
      </w:r>
      <w:r w:rsidR="00D4561C">
        <w:t xml:space="preserve">  NEI again cites to a blog entry on the Commission’s website </w:t>
      </w:r>
      <w:r w:rsidR="00F0425C">
        <w:t>in support of this argument.</w:t>
      </w:r>
      <w:r w:rsidR="000950D6">
        <w:rPr>
          <w:rStyle w:val="FootnoteReference"/>
        </w:rPr>
        <w:footnoteReference w:id="8"/>
      </w:r>
      <w:r w:rsidR="00A051F7">
        <w:t xml:space="preserve">  The </w:t>
      </w:r>
      <w:r w:rsidR="00A051F7">
        <w:rPr>
          <w:i/>
        </w:rPr>
        <w:t xml:space="preserve">Staff Decision </w:t>
      </w:r>
      <w:r w:rsidR="00A051F7">
        <w:t xml:space="preserve">and </w:t>
      </w:r>
      <w:r w:rsidR="00A051F7">
        <w:rPr>
          <w:i/>
        </w:rPr>
        <w:t xml:space="preserve">Reconsideration </w:t>
      </w:r>
      <w:r w:rsidR="00A051F7">
        <w:t xml:space="preserve">decision </w:t>
      </w:r>
      <w:r w:rsidR="00D915D9">
        <w:t>held</w:t>
      </w:r>
      <w:r w:rsidR="00A051F7">
        <w:t xml:space="preserve"> that NEI </w:t>
      </w:r>
      <w:r w:rsidR="00D915D9">
        <w:t>misinterpreted the LPFM Blog Post and</w:t>
      </w:r>
      <w:r w:rsidR="00A051F7">
        <w:t xml:space="preserve"> that pre-filing aggregating agreements were in fact </w:t>
      </w:r>
      <w:r w:rsidR="00692953">
        <w:t>not prohibited by</w:t>
      </w:r>
      <w:r w:rsidR="00630C0E">
        <w:t xml:space="preserve"> the </w:t>
      </w:r>
      <w:r w:rsidR="00540DF3">
        <w:t>R</w:t>
      </w:r>
      <w:r w:rsidR="00630C0E">
        <w:t>ules</w:t>
      </w:r>
      <w:r w:rsidR="00A051F7">
        <w:t>.</w:t>
      </w:r>
      <w:r w:rsidR="00F0425C">
        <w:rPr>
          <w:rStyle w:val="FootnoteReference"/>
        </w:rPr>
        <w:footnoteReference w:id="9"/>
      </w:r>
      <w:r w:rsidR="00630C0E">
        <w:t xml:space="preserve">  </w:t>
      </w:r>
    </w:p>
    <w:p w14:paraId="5B4BD666" w14:textId="1C77A923" w:rsidR="00F87B88" w:rsidRDefault="00D4561C" w:rsidP="00D91D65">
      <w:pPr>
        <w:pStyle w:val="ParaNum"/>
      </w:pPr>
      <w:r>
        <w:t xml:space="preserve">We deny the AFR for the reasons stated in the </w:t>
      </w:r>
      <w:r>
        <w:rPr>
          <w:i/>
        </w:rPr>
        <w:t>Staff Decision</w:t>
      </w:r>
      <w:r>
        <w:t xml:space="preserve"> and the </w:t>
      </w:r>
      <w:r>
        <w:rPr>
          <w:i/>
        </w:rPr>
        <w:t>Reconsideration Decision</w:t>
      </w:r>
      <w:r>
        <w:t xml:space="preserve">.  </w:t>
      </w:r>
      <w:r w:rsidR="006C4882">
        <w:t>Neither the Rules no</w:t>
      </w:r>
      <w:r w:rsidR="00200792">
        <w:t>r</w:t>
      </w:r>
      <w:r w:rsidR="006C4882">
        <w:t xml:space="preserve"> t</w:t>
      </w:r>
      <w:r>
        <w:t>he LPFM Blog Post prevent</w:t>
      </w:r>
      <w:r w:rsidR="00630C0E">
        <w:t>ed</w:t>
      </w:r>
      <w:r>
        <w:t xml:space="preserve"> </w:t>
      </w:r>
      <w:r w:rsidR="004A7C30">
        <w:t>the Germantown</w:t>
      </w:r>
      <w:r w:rsidR="006C4882">
        <w:t xml:space="preserve"> </w:t>
      </w:r>
      <w:r w:rsidR="004A7C30">
        <w:t>A</w:t>
      </w:r>
      <w:r>
        <w:t xml:space="preserve">pplicants from </w:t>
      </w:r>
      <w:r w:rsidR="00A051F7">
        <w:t>agreeing to aggregate</w:t>
      </w:r>
      <w:r>
        <w:t xml:space="preserve"> their </w:t>
      </w:r>
      <w:r w:rsidR="00A051F7">
        <w:t xml:space="preserve">comparative points prior to filing their </w:t>
      </w:r>
      <w:r>
        <w:t>applications</w:t>
      </w:r>
      <w:r w:rsidR="001556FF">
        <w:t>.</w:t>
      </w:r>
      <w:r w:rsidR="00540DF3">
        <w:rPr>
          <w:rStyle w:val="FootnoteReference"/>
        </w:rPr>
        <w:footnoteReference w:id="10"/>
      </w:r>
      <w:r w:rsidR="00A051F7">
        <w:t xml:space="preserve"> </w:t>
      </w:r>
      <w:r w:rsidR="00BC3054">
        <w:t xml:space="preserve"> Moreover, </w:t>
      </w:r>
      <w:r w:rsidR="003E50D2">
        <w:t xml:space="preserve">as the Bureau noted, </w:t>
      </w:r>
      <w:r w:rsidR="00BC3054">
        <w:t>the LPFM Blog Post is informal staff advice</w:t>
      </w:r>
      <w:r w:rsidR="00200792">
        <w:t xml:space="preserve"> and not </w:t>
      </w:r>
      <w:r w:rsidR="00C17279">
        <w:t>authoritative</w:t>
      </w:r>
      <w:r w:rsidR="00BC3054">
        <w:t xml:space="preserve">. </w:t>
      </w:r>
      <w:r w:rsidR="00A051F7">
        <w:t xml:space="preserve"> Accordingly, we deny the AFR.</w:t>
      </w:r>
      <w:r w:rsidR="00D73226">
        <w:rPr>
          <w:rStyle w:val="FootnoteReference"/>
        </w:rPr>
        <w:footnoteReference w:id="11"/>
      </w:r>
      <w:r w:rsidR="001556FF">
        <w:t xml:space="preserve"> </w:t>
      </w:r>
    </w:p>
    <w:p w14:paraId="076CFBB9" w14:textId="77777777" w:rsidR="006255A1" w:rsidRPr="000E2F8B" w:rsidRDefault="006255A1" w:rsidP="00D91D65">
      <w:pPr>
        <w:pStyle w:val="ParaNum"/>
        <w:rPr>
          <w:szCs w:val="22"/>
        </w:rPr>
      </w:pPr>
      <w:r>
        <w:rPr>
          <w:szCs w:val="22"/>
        </w:rPr>
        <w:lastRenderedPageBreak/>
        <w:t>ACCORDINGLY, IT IS ORDERED that</w:t>
      </w:r>
      <w:r w:rsidR="002E13F9" w:rsidRPr="008121A6">
        <w:rPr>
          <w:szCs w:val="22"/>
        </w:rPr>
        <w:t xml:space="preserve"> the Application for Review filed by </w:t>
      </w:r>
      <w:r w:rsidR="002E13F9">
        <w:rPr>
          <w:szCs w:val="22"/>
        </w:rPr>
        <w:t>Nueva Esperanza</w:t>
      </w:r>
      <w:r w:rsidR="002E13F9" w:rsidRPr="008121A6">
        <w:rPr>
          <w:szCs w:val="22"/>
        </w:rPr>
        <w:t xml:space="preserve">, Inc., on </w:t>
      </w:r>
      <w:r w:rsidR="002E13F9">
        <w:rPr>
          <w:szCs w:val="22"/>
        </w:rPr>
        <w:t>August 17, 2015</w:t>
      </w:r>
      <w:r w:rsidR="002E13F9" w:rsidRPr="008121A6">
        <w:rPr>
          <w:szCs w:val="22"/>
        </w:rPr>
        <w:t xml:space="preserve">, IS </w:t>
      </w:r>
      <w:r w:rsidRPr="007B7840">
        <w:t xml:space="preserve">DENIED, pursuant to </w:t>
      </w:r>
      <w:r>
        <w:t>S</w:t>
      </w:r>
      <w:r w:rsidRPr="007B7840">
        <w:t xml:space="preserve">ection 5(c)(5) of the Communications Act of 1934, as amended, and </w:t>
      </w:r>
      <w:r>
        <w:t>S</w:t>
      </w:r>
      <w:r w:rsidRPr="007B7840">
        <w:t>ectio</w:t>
      </w:r>
      <w:r>
        <w:t>n 1.115(g) of the Commission’s Rules.</w:t>
      </w:r>
      <w:r>
        <w:rPr>
          <w:rStyle w:val="FootnoteReference"/>
        </w:rPr>
        <w:footnoteReference w:id="12"/>
      </w:r>
    </w:p>
    <w:p w14:paraId="7B019490" w14:textId="77777777" w:rsidR="000D7C7A" w:rsidRDefault="000D7C7A" w:rsidP="00540DF3">
      <w:r>
        <w:tab/>
      </w:r>
      <w:r>
        <w:tab/>
      </w:r>
      <w:r>
        <w:tab/>
      </w:r>
      <w:r>
        <w:tab/>
      </w:r>
      <w:r>
        <w:tab/>
      </w:r>
      <w:r>
        <w:tab/>
        <w:t>FEDERAL COMMUNICATIONS COMMISSION</w:t>
      </w:r>
    </w:p>
    <w:p w14:paraId="06AD4689" w14:textId="77777777" w:rsidR="000D7C7A" w:rsidRDefault="000D7C7A" w:rsidP="00540DF3"/>
    <w:p w14:paraId="4077B0BD" w14:textId="77777777" w:rsidR="000D7C7A" w:rsidRDefault="000D7C7A" w:rsidP="00540DF3"/>
    <w:p w14:paraId="4AC41AA0" w14:textId="77777777" w:rsidR="000D7C7A" w:rsidRDefault="000D7C7A" w:rsidP="00540DF3"/>
    <w:p w14:paraId="603E4F67" w14:textId="77777777" w:rsidR="000D7C7A" w:rsidRDefault="000D7C7A" w:rsidP="00540DF3"/>
    <w:p w14:paraId="5179161B" w14:textId="77777777" w:rsidR="000D7C7A" w:rsidRDefault="000D7C7A" w:rsidP="00540DF3">
      <w:r>
        <w:tab/>
      </w:r>
      <w:r>
        <w:tab/>
      </w:r>
      <w:r>
        <w:tab/>
      </w:r>
      <w:r>
        <w:tab/>
      </w:r>
      <w:r>
        <w:tab/>
      </w:r>
      <w:r>
        <w:tab/>
        <w:t>Marlene H. Dortch</w:t>
      </w:r>
    </w:p>
    <w:p w14:paraId="2D51F508" w14:textId="77777777" w:rsidR="000D7C7A" w:rsidRDefault="000D7C7A" w:rsidP="00540DF3">
      <w:r>
        <w:tab/>
      </w:r>
      <w:r>
        <w:tab/>
      </w:r>
      <w:r>
        <w:tab/>
      </w:r>
      <w:r>
        <w:tab/>
      </w:r>
      <w:r>
        <w:tab/>
      </w:r>
      <w:r>
        <w:tab/>
        <w:t>Secretary</w:t>
      </w:r>
    </w:p>
    <w:sectPr w:rsidR="000D7C7A"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DF786" w14:textId="77777777" w:rsidR="009E41EC" w:rsidRDefault="009E41EC">
      <w:pPr>
        <w:spacing w:line="20" w:lineRule="exact"/>
      </w:pPr>
    </w:p>
  </w:endnote>
  <w:endnote w:type="continuationSeparator" w:id="0">
    <w:p w14:paraId="139C920F" w14:textId="77777777" w:rsidR="009E41EC" w:rsidRDefault="009E41EC">
      <w:r>
        <w:t xml:space="preserve"> </w:t>
      </w:r>
    </w:p>
  </w:endnote>
  <w:endnote w:type="continuationNotice" w:id="1">
    <w:p w14:paraId="12CD0713" w14:textId="77777777" w:rsidR="009E41EC" w:rsidRDefault="009E41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97A8C" w14:textId="77777777" w:rsidR="00DE4A9A" w:rsidRDefault="00DE4A9A" w:rsidP="0055614C">
    <w:pPr>
      <w:pStyle w:val="Footer"/>
      <w:framePr w:wrap="around" w:vAnchor="text" w:hAnchor="margin" w:xAlign="center" w:y="1"/>
    </w:pPr>
    <w:r>
      <w:fldChar w:fldCharType="begin"/>
    </w:r>
    <w:r>
      <w:instrText xml:space="preserve">PAGE  </w:instrText>
    </w:r>
    <w:r>
      <w:fldChar w:fldCharType="end"/>
    </w:r>
  </w:p>
  <w:p w14:paraId="547EF16D" w14:textId="77777777" w:rsidR="00DE4A9A" w:rsidRDefault="00DE4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23A58" w14:textId="77777777" w:rsidR="00DE4A9A" w:rsidRDefault="00DE4A9A" w:rsidP="0055614C">
    <w:pPr>
      <w:pStyle w:val="Footer"/>
      <w:framePr w:wrap="around" w:vAnchor="text" w:hAnchor="margin" w:xAlign="center" w:y="1"/>
    </w:pPr>
    <w:r>
      <w:fldChar w:fldCharType="begin"/>
    </w:r>
    <w:r>
      <w:instrText xml:space="preserve">PAGE  </w:instrText>
    </w:r>
    <w:r>
      <w:fldChar w:fldCharType="separate"/>
    </w:r>
    <w:r w:rsidR="003F43D6">
      <w:rPr>
        <w:noProof/>
      </w:rPr>
      <w:t>2</w:t>
    </w:r>
    <w:r>
      <w:fldChar w:fldCharType="end"/>
    </w:r>
  </w:p>
  <w:p w14:paraId="12B50316" w14:textId="77777777" w:rsidR="00DE4A9A" w:rsidRDefault="00DE4A9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ABEE" w14:textId="77777777" w:rsidR="00DE4A9A" w:rsidRDefault="00DE4A9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BF1F9" w14:textId="77777777" w:rsidR="009E41EC" w:rsidRDefault="009E41EC">
      <w:r>
        <w:separator/>
      </w:r>
    </w:p>
  </w:footnote>
  <w:footnote w:type="continuationSeparator" w:id="0">
    <w:p w14:paraId="6794B479" w14:textId="77777777" w:rsidR="009E41EC" w:rsidRDefault="009E41EC" w:rsidP="00C721AC">
      <w:pPr>
        <w:spacing w:before="120"/>
        <w:rPr>
          <w:sz w:val="20"/>
        </w:rPr>
      </w:pPr>
      <w:r>
        <w:rPr>
          <w:sz w:val="20"/>
        </w:rPr>
        <w:t xml:space="preserve">(Continued from previous page)  </w:t>
      </w:r>
      <w:r>
        <w:rPr>
          <w:sz w:val="20"/>
        </w:rPr>
        <w:separator/>
      </w:r>
    </w:p>
  </w:footnote>
  <w:footnote w:type="continuationNotice" w:id="1">
    <w:p w14:paraId="7C786B8C" w14:textId="77777777" w:rsidR="009E41EC" w:rsidRDefault="009E41EC" w:rsidP="00C721AC">
      <w:pPr>
        <w:jc w:val="right"/>
        <w:rPr>
          <w:sz w:val="20"/>
        </w:rPr>
      </w:pPr>
      <w:r>
        <w:rPr>
          <w:sz w:val="20"/>
        </w:rPr>
        <w:t>(continued….)</w:t>
      </w:r>
    </w:p>
  </w:footnote>
  <w:footnote w:id="2">
    <w:p w14:paraId="602E38DA" w14:textId="50CD1C61" w:rsidR="00DE4A9A" w:rsidRPr="003319EC" w:rsidRDefault="00DE4A9A" w:rsidP="00473573">
      <w:pPr>
        <w:pStyle w:val="FootnoteText"/>
      </w:pPr>
      <w:r w:rsidRPr="003319EC">
        <w:rPr>
          <w:rStyle w:val="FootnoteReference"/>
        </w:rPr>
        <w:footnoteRef/>
      </w:r>
      <w:r w:rsidRPr="003319EC">
        <w:t xml:space="preserve"> The AFR was filed on August 17, 2015.  </w:t>
      </w:r>
      <w:r>
        <w:t xml:space="preserve">The Germantown Applicants filed an Opposition on August 31, 2015.  A Reply was filed </w:t>
      </w:r>
      <w:r w:rsidR="008C1B64">
        <w:t xml:space="preserve">by NEI on </w:t>
      </w:r>
      <w:r w:rsidR="00D1155F">
        <w:t>September 14, 2015</w:t>
      </w:r>
      <w:r>
        <w:t>.</w:t>
      </w:r>
    </w:p>
  </w:footnote>
  <w:footnote w:id="3">
    <w:p w14:paraId="6847F5E9" w14:textId="77777777" w:rsidR="00DE4A9A" w:rsidRPr="003319EC" w:rsidRDefault="00DE4A9A" w:rsidP="00473573">
      <w:pPr>
        <w:pStyle w:val="FootnoteText"/>
      </w:pPr>
      <w:r w:rsidRPr="003319EC">
        <w:rPr>
          <w:rStyle w:val="FootnoteReference"/>
        </w:rPr>
        <w:footnoteRef/>
      </w:r>
      <w:r w:rsidRPr="003319EC">
        <w:t xml:space="preserve"> </w:t>
      </w:r>
      <w:r w:rsidRPr="003319EC">
        <w:rPr>
          <w:i/>
        </w:rPr>
        <w:t>LPFM MX Group 304</w:t>
      </w:r>
      <w:r w:rsidRPr="003319EC">
        <w:t>, Letter, Ref 1800B3-IB (MB July 16, 2015) (“</w:t>
      </w:r>
      <w:r w:rsidRPr="003319EC">
        <w:rPr>
          <w:i/>
        </w:rPr>
        <w:t>Reconsideration Decision</w:t>
      </w:r>
      <w:r w:rsidRPr="003319EC">
        <w:t>”)</w:t>
      </w:r>
      <w:r>
        <w:t xml:space="preserve"> (denying Petition for R</w:t>
      </w:r>
      <w:r w:rsidRPr="003319EC">
        <w:t>econsideration filed by NEI); Letter, Ref 1800B3-ATS (MB Jan. 15, 2015) (“</w:t>
      </w:r>
      <w:r w:rsidRPr="003319EC">
        <w:rPr>
          <w:i/>
        </w:rPr>
        <w:t>Staff Decision</w:t>
      </w:r>
      <w:r w:rsidRPr="003319EC">
        <w:t xml:space="preserve">”) (denying </w:t>
      </w:r>
      <w:r>
        <w:t>P</w:t>
      </w:r>
      <w:r w:rsidRPr="003319EC">
        <w:t xml:space="preserve">etition to </w:t>
      </w:r>
      <w:r>
        <w:t>D</w:t>
      </w:r>
      <w:r w:rsidRPr="003319EC">
        <w:t>eny filed by NEI).</w:t>
      </w:r>
    </w:p>
  </w:footnote>
  <w:footnote w:id="4">
    <w:p w14:paraId="2BB1C902" w14:textId="77777777" w:rsidR="00DE4A9A" w:rsidRPr="003319EC" w:rsidRDefault="00DE4A9A" w:rsidP="00473573">
      <w:pPr>
        <w:pStyle w:val="FootnoteText"/>
      </w:pPr>
      <w:r w:rsidRPr="003319EC">
        <w:rPr>
          <w:rStyle w:val="FootnoteReference"/>
        </w:rPr>
        <w:footnoteRef/>
      </w:r>
      <w:r w:rsidRPr="003319EC">
        <w:t xml:space="preserve"> </w:t>
      </w:r>
      <w:r w:rsidRPr="003319EC">
        <w:rPr>
          <w:i/>
        </w:rPr>
        <w:t>Media Bureau Identifies Mutually Exclusive Applications Filed in the LPFM Window and Announces 60-Day Settlement Period; CDBS Is Now Accepting Form 318 Amendments</w:t>
      </w:r>
      <w:r w:rsidRPr="003319EC">
        <w:t>, Public Notice, 28 FCC Rcd 16713 (MB 2013).</w:t>
      </w:r>
    </w:p>
  </w:footnote>
  <w:footnote w:id="5">
    <w:p w14:paraId="5E7911A4" w14:textId="77777777" w:rsidR="00DE4A9A" w:rsidRPr="003319EC" w:rsidRDefault="00DE4A9A" w:rsidP="00473573">
      <w:pPr>
        <w:pStyle w:val="FootnoteText"/>
      </w:pPr>
      <w:r w:rsidRPr="003319EC">
        <w:rPr>
          <w:rStyle w:val="FootnoteReference"/>
        </w:rPr>
        <w:footnoteRef/>
      </w:r>
      <w:r w:rsidRPr="003319EC">
        <w:t xml:space="preserve"> </w:t>
      </w:r>
      <w:r w:rsidRPr="003319EC">
        <w:rPr>
          <w:i/>
        </w:rPr>
        <w:t>Commission Identifies Tentative Selectees in 111 Groups of Mutually Exclusive Applications Filed in the LPFM Window; Announces a 30-Day Petition to Deny Period and a 90-Day Period to File Voluntary Time-Share Proposals and Major Change Amendments</w:t>
      </w:r>
      <w:r w:rsidRPr="003319EC">
        <w:t>, Public Notice, 29 FCC Rcd 10847 (2014) (“</w:t>
      </w:r>
      <w:r w:rsidRPr="003319EC">
        <w:rPr>
          <w:i/>
        </w:rPr>
        <w:t>September Public Notice</w:t>
      </w:r>
      <w:r w:rsidRPr="003319EC">
        <w:t>”).</w:t>
      </w:r>
    </w:p>
  </w:footnote>
  <w:footnote w:id="6">
    <w:p w14:paraId="65A69818" w14:textId="77777777" w:rsidR="00DE4A9A" w:rsidRPr="003319EC" w:rsidRDefault="00DE4A9A" w:rsidP="00473573">
      <w:pPr>
        <w:pStyle w:val="FootnoteText"/>
      </w:pPr>
      <w:r w:rsidRPr="003319EC">
        <w:rPr>
          <w:rStyle w:val="FootnoteReference"/>
        </w:rPr>
        <w:footnoteRef/>
      </w:r>
      <w:r w:rsidRPr="003319EC">
        <w:t xml:space="preserve"> 47 C.F.R. § 73.872(c).</w:t>
      </w:r>
    </w:p>
  </w:footnote>
  <w:footnote w:id="7">
    <w:p w14:paraId="4325B08D" w14:textId="77777777" w:rsidR="00DE4A9A" w:rsidRPr="003319EC" w:rsidRDefault="00DE4A9A" w:rsidP="00473573">
      <w:pPr>
        <w:pStyle w:val="FootnoteText"/>
      </w:pPr>
      <w:r w:rsidRPr="003319EC">
        <w:rPr>
          <w:rStyle w:val="FootnoteReference"/>
        </w:rPr>
        <w:footnoteRef/>
      </w:r>
      <w:r w:rsidRPr="003319EC">
        <w:t xml:space="preserve"> AFR at 6-7.</w:t>
      </w:r>
    </w:p>
  </w:footnote>
  <w:footnote w:id="8">
    <w:p w14:paraId="17F2F747" w14:textId="77777777" w:rsidR="00DE4A9A" w:rsidRPr="003319EC" w:rsidRDefault="00DE4A9A" w:rsidP="00473573">
      <w:pPr>
        <w:pStyle w:val="FootnoteText"/>
      </w:pPr>
      <w:r w:rsidRPr="003319EC">
        <w:rPr>
          <w:rStyle w:val="FootnoteReference"/>
        </w:rPr>
        <w:footnoteRef/>
      </w:r>
      <w:r w:rsidRPr="003319EC">
        <w:t xml:space="preserve"> Bill Lake, </w:t>
      </w:r>
      <w:r w:rsidRPr="003319EC">
        <w:rPr>
          <w:i/>
        </w:rPr>
        <w:t>The Low Power FM Application Windows is Fast Approaching</w:t>
      </w:r>
      <w:r w:rsidRPr="003319EC">
        <w:t>, Official FCC Blog, Sept. 19, 2013, 15:58 EST, http://www.fcc.gov/blog/low-power-fm-application-window-fast-approaching (“LPFM Blog Post”).</w:t>
      </w:r>
    </w:p>
  </w:footnote>
  <w:footnote w:id="9">
    <w:p w14:paraId="5F052167" w14:textId="4A201918" w:rsidR="00DE4A9A" w:rsidRPr="003319EC" w:rsidRDefault="00DE4A9A" w:rsidP="00473573">
      <w:pPr>
        <w:pStyle w:val="FootnoteText"/>
      </w:pPr>
      <w:r w:rsidRPr="003319EC">
        <w:rPr>
          <w:rStyle w:val="FootnoteReference"/>
        </w:rPr>
        <w:footnoteRef/>
      </w:r>
      <w:r w:rsidRPr="003319EC">
        <w:t xml:space="preserve"> </w:t>
      </w:r>
      <w:r w:rsidRPr="003319EC">
        <w:rPr>
          <w:i/>
        </w:rPr>
        <w:t>Staff Decision</w:t>
      </w:r>
      <w:r w:rsidRPr="003319EC">
        <w:t xml:space="preserve"> at 4-5; </w:t>
      </w:r>
      <w:r w:rsidRPr="003319EC">
        <w:rPr>
          <w:i/>
        </w:rPr>
        <w:t>Reconsideration Decision</w:t>
      </w:r>
      <w:r w:rsidRPr="003319EC">
        <w:t xml:space="preserve"> at 4-5.  The </w:t>
      </w:r>
      <w:r w:rsidRPr="003319EC">
        <w:rPr>
          <w:i/>
        </w:rPr>
        <w:t xml:space="preserve">Staff Decision </w:t>
      </w:r>
      <w:r w:rsidRPr="003319EC">
        <w:t xml:space="preserve">and the </w:t>
      </w:r>
      <w:r w:rsidRPr="003319EC">
        <w:rPr>
          <w:i/>
        </w:rPr>
        <w:t>Reconsideration Decision</w:t>
      </w:r>
      <w:r w:rsidRPr="003319EC">
        <w:t xml:space="preserve"> further held that the LPFM Blog Post is not authoritative because it is informal staff advice.  </w:t>
      </w:r>
      <w:r w:rsidRPr="003319EC">
        <w:rPr>
          <w:i/>
        </w:rPr>
        <w:t xml:space="preserve">See Staff Decision at </w:t>
      </w:r>
      <w:r w:rsidRPr="003319EC">
        <w:t xml:space="preserve">4 n.21; </w:t>
      </w:r>
      <w:r w:rsidRPr="003319EC">
        <w:rPr>
          <w:i/>
        </w:rPr>
        <w:t>Reconsideration Decision</w:t>
      </w:r>
      <w:r w:rsidRPr="003319EC">
        <w:t xml:space="preserve"> at 4 n.16.</w:t>
      </w:r>
    </w:p>
  </w:footnote>
  <w:footnote w:id="10">
    <w:p w14:paraId="6E187B98" w14:textId="09E4E6F4" w:rsidR="00DE4A9A" w:rsidRDefault="00DE4A9A">
      <w:pPr>
        <w:pStyle w:val="FootnoteText"/>
      </w:pPr>
      <w:r>
        <w:rPr>
          <w:rStyle w:val="FootnoteReference"/>
        </w:rPr>
        <w:footnoteRef/>
      </w:r>
      <w:r>
        <w:t xml:space="preserve"> </w:t>
      </w:r>
      <w:r w:rsidRPr="004E116F">
        <w:rPr>
          <w:i/>
        </w:rPr>
        <w:t>Compare</w:t>
      </w:r>
      <w:r>
        <w:t xml:space="preserve"> Section 1.2105(c) of the Rules, 47 C.F.R. </w:t>
      </w:r>
      <w:r w:rsidR="00A30F89">
        <w:t>§</w:t>
      </w:r>
      <w:r w:rsidR="004E116F">
        <w:t xml:space="preserve"> </w:t>
      </w:r>
      <w:r>
        <w:t xml:space="preserve">1.2105(c), which prohibits certain collusive communications between auction bidders, which was adopted by notice and comment rulemaking.  </w:t>
      </w:r>
      <w:r w:rsidRPr="004E116F">
        <w:rPr>
          <w:i/>
        </w:rPr>
        <w:t>See Implementation of Section 309(j) of the Communications Act-Competitive Bidding,</w:t>
      </w:r>
      <w:r>
        <w:t xml:space="preserve"> Second Report and Order, 9 FCC Rcd 2348 (1994)</w:t>
      </w:r>
      <w:r w:rsidR="00A30F89">
        <w:t xml:space="preserve"> ¶¶</w:t>
      </w:r>
      <w:r w:rsidR="004E116F">
        <w:t xml:space="preserve"> </w:t>
      </w:r>
      <w:r>
        <w:t>221-226.</w:t>
      </w:r>
    </w:p>
  </w:footnote>
  <w:footnote w:id="11">
    <w:p w14:paraId="62DF589D" w14:textId="02B7F8FE" w:rsidR="00DE4A9A" w:rsidRPr="00D73226" w:rsidRDefault="00DE4A9A" w:rsidP="00473573">
      <w:pPr>
        <w:pStyle w:val="FootnoteText"/>
      </w:pPr>
      <w:r>
        <w:rPr>
          <w:rStyle w:val="FootnoteReference"/>
        </w:rPr>
        <w:footnoteRef/>
      </w:r>
      <w:r>
        <w:t xml:space="preserve"> NEI also argues that “in deciding that there was no policy that prohibited pre-application agreements to aggregate points and share time, the Bureau answered a question of law or policy that had not previously been resolved by the Commission” and therefore “exceeded its authority” in the </w:t>
      </w:r>
      <w:r>
        <w:rPr>
          <w:i/>
        </w:rPr>
        <w:t xml:space="preserve">Staff Decision </w:t>
      </w:r>
      <w:r>
        <w:t xml:space="preserve">and </w:t>
      </w:r>
      <w:r>
        <w:rPr>
          <w:i/>
        </w:rPr>
        <w:t>Reconsideration Decision</w:t>
      </w:r>
      <w:r>
        <w:t xml:space="preserve">.  AFR at 4-5.  This argument is moot because we are affirming Bureau’s reasoning in the </w:t>
      </w:r>
      <w:r>
        <w:rPr>
          <w:i/>
        </w:rPr>
        <w:t xml:space="preserve">Staff Decision </w:t>
      </w:r>
      <w:r>
        <w:t xml:space="preserve">and the </w:t>
      </w:r>
      <w:r>
        <w:rPr>
          <w:i/>
        </w:rPr>
        <w:t>Reconsideration Decision</w:t>
      </w:r>
      <w:r>
        <w:t xml:space="preserve">. </w:t>
      </w:r>
      <w:r w:rsidR="00B819B2">
        <w:t xml:space="preserve"> </w:t>
      </w:r>
      <w:r w:rsidR="00A204DF">
        <w:t>In any event</w:t>
      </w:r>
      <w:r w:rsidR="00D506D2">
        <w:t xml:space="preserve">, we note that, among the areas of authority delegated to the Media Bureau is that it “develops, recommends and administers the policy and licensing programs for the regulation of media, including cable television, broadcast television and radio, and satellite services in the United States and its territories.” </w:t>
      </w:r>
      <w:r w:rsidR="00B819B2">
        <w:t xml:space="preserve"> </w:t>
      </w:r>
      <w:r w:rsidR="00E51778" w:rsidRPr="004E116F">
        <w:rPr>
          <w:i/>
        </w:rPr>
        <w:t>See</w:t>
      </w:r>
      <w:r w:rsidR="00E51778">
        <w:t xml:space="preserve"> 47 C.F.R. §.0.61.  </w:t>
      </w:r>
      <w:r w:rsidR="00D506D2">
        <w:t xml:space="preserve">Included in that </w:t>
      </w:r>
      <w:r w:rsidR="00E51778">
        <w:t xml:space="preserve">delegated </w:t>
      </w:r>
      <w:r w:rsidR="00D506D2">
        <w:t xml:space="preserve">authority is </w:t>
      </w:r>
      <w:r w:rsidR="00E51778">
        <w:t>that the Bureau</w:t>
      </w:r>
      <w:r w:rsidR="00D506D2">
        <w:t xml:space="preserve"> </w:t>
      </w:r>
      <w:r w:rsidR="003E50D2">
        <w:t xml:space="preserve">may </w:t>
      </w:r>
      <w:r w:rsidR="00E51778">
        <w:t>“</w:t>
      </w:r>
      <w:r w:rsidR="00D506D2">
        <w:t>[p]rocess applications for authorization…of media services,”</w:t>
      </w:r>
      <w:r w:rsidR="00E51778">
        <w:t xml:space="preserve"> </w:t>
      </w:r>
      <w:r w:rsidR="00D506D2">
        <w:t xml:space="preserve"> “administer and enforce rules and policies regarding…[r]adio and television broadcast industry service</w:t>
      </w:r>
      <w:r w:rsidR="00E51778">
        <w:t>” and “[p]rocess and act on all applications for authorization</w:t>
      </w:r>
      <w:r w:rsidR="00D506D2">
        <w:t xml:space="preserve">….” </w:t>
      </w:r>
      <w:r w:rsidR="00B819B2">
        <w:t xml:space="preserve"> </w:t>
      </w:r>
      <w:r w:rsidR="00D506D2" w:rsidRPr="004E116F">
        <w:rPr>
          <w:i/>
        </w:rPr>
        <w:t>See</w:t>
      </w:r>
      <w:r w:rsidR="00D506D2">
        <w:t xml:space="preserve"> 47 C.F.R. §</w:t>
      </w:r>
      <w:r w:rsidR="00E51778">
        <w:t>.</w:t>
      </w:r>
      <w:r w:rsidR="00D506D2">
        <w:t>0.61</w:t>
      </w:r>
      <w:r w:rsidR="00E51778">
        <w:t>(a), (f)(1) and (h).</w:t>
      </w:r>
      <w:r>
        <w:t xml:space="preserve"> </w:t>
      </w:r>
      <w:r w:rsidR="004E116F">
        <w:t xml:space="preserve"> </w:t>
      </w:r>
      <w:r w:rsidR="00E51778">
        <w:t xml:space="preserve">The Bureau’s determination that the applicable rules do not prohibit the subject agreement between the </w:t>
      </w:r>
      <w:r w:rsidR="002B4F40">
        <w:t>Germantown</w:t>
      </w:r>
      <w:r w:rsidR="00E51778">
        <w:t xml:space="preserve"> Applicants fell squarely within that authority.</w:t>
      </w:r>
      <w:r w:rsidR="003E50D2">
        <w:t xml:space="preserve">  </w:t>
      </w:r>
    </w:p>
  </w:footnote>
  <w:footnote w:id="12">
    <w:p w14:paraId="2D5763F7" w14:textId="77777777" w:rsidR="00DE4A9A" w:rsidRPr="003319EC" w:rsidRDefault="00DE4A9A" w:rsidP="00473573">
      <w:pPr>
        <w:pStyle w:val="FootnoteText"/>
      </w:pPr>
      <w:r w:rsidRPr="003319EC">
        <w:rPr>
          <w:rStyle w:val="FootnoteReference"/>
        </w:rPr>
        <w:footnoteRef/>
      </w:r>
      <w:r w:rsidRPr="003319EC">
        <w:t xml:space="preserve"> 47 U.S.C. § 155(c)(5);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56B55" w14:textId="77777777" w:rsidR="00926C71" w:rsidRDefault="00926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A520" w14:textId="6D81605B" w:rsidR="00DE4A9A" w:rsidRDefault="00DE4A9A" w:rsidP="00810B6F">
    <w:pPr>
      <w:pStyle w:val="Header"/>
      <w:rPr>
        <w:b w:val="0"/>
      </w:rPr>
    </w:pPr>
    <w:r>
      <w:tab/>
      <w:t>Federal Communications Commission</w:t>
    </w:r>
    <w:r>
      <w:tab/>
    </w:r>
    <w:r w:rsidR="00AA6A3E">
      <w:t>FCC 15-161</w:t>
    </w:r>
  </w:p>
  <w:p w14:paraId="08548143" w14:textId="77777777" w:rsidR="00DE4A9A" w:rsidRDefault="00DE4A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12AB84C5" wp14:editId="5911289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FBAB47"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CEFA981" w14:textId="77777777" w:rsidR="00DE4A9A" w:rsidRDefault="00DE4A9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B57B" w14:textId="63AB44C9" w:rsidR="00DE4A9A" w:rsidRDefault="00DE4A9A" w:rsidP="00810B6F">
    <w:pPr>
      <w:pStyle w:val="Header"/>
      <w:rPr>
        <w:b w:val="0"/>
      </w:rPr>
    </w:pPr>
    <w:r>
      <w:rPr>
        <w:noProof/>
      </w:rPr>
      <mc:AlternateContent>
        <mc:Choice Requires="wps">
          <w:drawing>
            <wp:anchor distT="0" distB="0" distL="114300" distR="114300" simplePos="0" relativeHeight="251658241" behindDoc="1" locked="0" layoutInCell="0" allowOverlap="1" wp14:anchorId="0250384D" wp14:editId="5A8CA1F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1DDA6E"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AA6A3E">
      <w:rPr>
        <w:spacing w:val="-2"/>
      </w:rPr>
      <w:t>FCC 15-161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1915B4"/>
    <w:multiLevelType w:val="hybridMultilevel"/>
    <w:tmpl w:val="9FDA0082"/>
    <w:lvl w:ilvl="0" w:tplc="B66A7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37183E"/>
    <w:multiLevelType w:val="hybridMultilevel"/>
    <w:tmpl w:val="4C4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4BF3324"/>
    <w:multiLevelType w:val="hybridMultilevel"/>
    <w:tmpl w:val="0E9A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5"/>
  </w:num>
  <w:num w:numId="4">
    <w:abstractNumId w:val="7"/>
  </w:num>
  <w:num w:numId="5">
    <w:abstractNumId w:val="4"/>
  </w:num>
  <w:num w:numId="6">
    <w:abstractNumId w:val="0"/>
  </w:num>
  <w:num w:numId="7">
    <w:abstractNumId w:val="3"/>
  </w:num>
  <w:num w:numId="8">
    <w:abstractNumId w:val="1"/>
  </w:num>
  <w:num w:numId="9">
    <w:abstractNumId w:val="6"/>
  </w:num>
  <w:num w:numId="10">
    <w:abstractNumId w:val="8"/>
  </w:num>
  <w:num w:numId="11">
    <w:abstractNumId w:val="8"/>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2FF1"/>
    <w:rsid w:val="00036039"/>
    <w:rsid w:val="00037F90"/>
    <w:rsid w:val="000875BF"/>
    <w:rsid w:val="000950D6"/>
    <w:rsid w:val="00096D8C"/>
    <w:rsid w:val="000C0B65"/>
    <w:rsid w:val="000D7C7A"/>
    <w:rsid w:val="000E05FE"/>
    <w:rsid w:val="000E3D42"/>
    <w:rsid w:val="00122BD5"/>
    <w:rsid w:val="00133F79"/>
    <w:rsid w:val="001513A7"/>
    <w:rsid w:val="001556FF"/>
    <w:rsid w:val="00156985"/>
    <w:rsid w:val="00194A66"/>
    <w:rsid w:val="001A6D71"/>
    <w:rsid w:val="001C6666"/>
    <w:rsid w:val="001D6BCF"/>
    <w:rsid w:val="001D6CA8"/>
    <w:rsid w:val="001E01CA"/>
    <w:rsid w:val="001E6BC0"/>
    <w:rsid w:val="00200792"/>
    <w:rsid w:val="00205071"/>
    <w:rsid w:val="0026212F"/>
    <w:rsid w:val="00275CF5"/>
    <w:rsid w:val="0028301F"/>
    <w:rsid w:val="00285017"/>
    <w:rsid w:val="002A2D2E"/>
    <w:rsid w:val="002B21B4"/>
    <w:rsid w:val="002B2DA7"/>
    <w:rsid w:val="002B4F40"/>
    <w:rsid w:val="002B7A91"/>
    <w:rsid w:val="002C00E8"/>
    <w:rsid w:val="002D37D9"/>
    <w:rsid w:val="002E13F9"/>
    <w:rsid w:val="002F2677"/>
    <w:rsid w:val="003319EC"/>
    <w:rsid w:val="003330F9"/>
    <w:rsid w:val="00343749"/>
    <w:rsid w:val="003660ED"/>
    <w:rsid w:val="00372D73"/>
    <w:rsid w:val="0039490F"/>
    <w:rsid w:val="003B0550"/>
    <w:rsid w:val="003B6863"/>
    <w:rsid w:val="003B694F"/>
    <w:rsid w:val="003E40C7"/>
    <w:rsid w:val="003E50D2"/>
    <w:rsid w:val="003F158F"/>
    <w:rsid w:val="003F171C"/>
    <w:rsid w:val="003F43D6"/>
    <w:rsid w:val="00402232"/>
    <w:rsid w:val="00412FC5"/>
    <w:rsid w:val="00422276"/>
    <w:rsid w:val="004242F1"/>
    <w:rsid w:val="00445A00"/>
    <w:rsid w:val="004500EB"/>
    <w:rsid w:val="00451B0F"/>
    <w:rsid w:val="00471B38"/>
    <w:rsid w:val="00473573"/>
    <w:rsid w:val="004A7C30"/>
    <w:rsid w:val="004B5D8D"/>
    <w:rsid w:val="004C2EE3"/>
    <w:rsid w:val="004E116F"/>
    <w:rsid w:val="004E4A22"/>
    <w:rsid w:val="00511968"/>
    <w:rsid w:val="00517BDB"/>
    <w:rsid w:val="00540DF3"/>
    <w:rsid w:val="0055614C"/>
    <w:rsid w:val="00585D92"/>
    <w:rsid w:val="005D7887"/>
    <w:rsid w:val="005E14C2"/>
    <w:rsid w:val="005E6732"/>
    <w:rsid w:val="00607BA5"/>
    <w:rsid w:val="0061180A"/>
    <w:rsid w:val="006255A1"/>
    <w:rsid w:val="00626EB6"/>
    <w:rsid w:val="00630C0E"/>
    <w:rsid w:val="00655D03"/>
    <w:rsid w:val="00683388"/>
    <w:rsid w:val="00683F84"/>
    <w:rsid w:val="00692953"/>
    <w:rsid w:val="006A3E7F"/>
    <w:rsid w:val="006A5ADD"/>
    <w:rsid w:val="006A6A81"/>
    <w:rsid w:val="006C4882"/>
    <w:rsid w:val="006E0057"/>
    <w:rsid w:val="006F7393"/>
    <w:rsid w:val="0070224F"/>
    <w:rsid w:val="0070583F"/>
    <w:rsid w:val="007115F7"/>
    <w:rsid w:val="0072187A"/>
    <w:rsid w:val="00785689"/>
    <w:rsid w:val="00793450"/>
    <w:rsid w:val="0079754B"/>
    <w:rsid w:val="007A1E6D"/>
    <w:rsid w:val="007B0EB2"/>
    <w:rsid w:val="008022D3"/>
    <w:rsid w:val="00810B6F"/>
    <w:rsid w:val="00822CE0"/>
    <w:rsid w:val="008348A5"/>
    <w:rsid w:val="00841AB1"/>
    <w:rsid w:val="008C1B64"/>
    <w:rsid w:val="008C68F1"/>
    <w:rsid w:val="00910C84"/>
    <w:rsid w:val="00921803"/>
    <w:rsid w:val="00926503"/>
    <w:rsid w:val="00926C71"/>
    <w:rsid w:val="00956426"/>
    <w:rsid w:val="009726D8"/>
    <w:rsid w:val="009E1810"/>
    <w:rsid w:val="009E41EC"/>
    <w:rsid w:val="009F76DB"/>
    <w:rsid w:val="00A051F7"/>
    <w:rsid w:val="00A204DF"/>
    <w:rsid w:val="00A30F89"/>
    <w:rsid w:val="00A32C3B"/>
    <w:rsid w:val="00A45F4F"/>
    <w:rsid w:val="00A600A9"/>
    <w:rsid w:val="00A61B0F"/>
    <w:rsid w:val="00AA55B7"/>
    <w:rsid w:val="00AA5B9E"/>
    <w:rsid w:val="00AA6A3E"/>
    <w:rsid w:val="00AB2407"/>
    <w:rsid w:val="00AB53DF"/>
    <w:rsid w:val="00B07E5C"/>
    <w:rsid w:val="00B811F7"/>
    <w:rsid w:val="00B819B2"/>
    <w:rsid w:val="00BA5DC6"/>
    <w:rsid w:val="00BA6196"/>
    <w:rsid w:val="00BB62C4"/>
    <w:rsid w:val="00BC3054"/>
    <w:rsid w:val="00BC3155"/>
    <w:rsid w:val="00BC6D8C"/>
    <w:rsid w:val="00BD4DED"/>
    <w:rsid w:val="00BE50B4"/>
    <w:rsid w:val="00C17279"/>
    <w:rsid w:val="00C34006"/>
    <w:rsid w:val="00C426B1"/>
    <w:rsid w:val="00C66160"/>
    <w:rsid w:val="00C721AC"/>
    <w:rsid w:val="00C8007B"/>
    <w:rsid w:val="00C83635"/>
    <w:rsid w:val="00C8684A"/>
    <w:rsid w:val="00C90D6A"/>
    <w:rsid w:val="00C94543"/>
    <w:rsid w:val="00CA247E"/>
    <w:rsid w:val="00CC1F9B"/>
    <w:rsid w:val="00CC72B6"/>
    <w:rsid w:val="00D0218D"/>
    <w:rsid w:val="00D1155F"/>
    <w:rsid w:val="00D25FB5"/>
    <w:rsid w:val="00D44223"/>
    <w:rsid w:val="00D4561C"/>
    <w:rsid w:val="00D506D2"/>
    <w:rsid w:val="00D70920"/>
    <w:rsid w:val="00D73226"/>
    <w:rsid w:val="00D75AD6"/>
    <w:rsid w:val="00D915D9"/>
    <w:rsid w:val="00D91D65"/>
    <w:rsid w:val="00DA2529"/>
    <w:rsid w:val="00DB130A"/>
    <w:rsid w:val="00DB2EBB"/>
    <w:rsid w:val="00DC10A1"/>
    <w:rsid w:val="00DC3155"/>
    <w:rsid w:val="00DC655F"/>
    <w:rsid w:val="00DD0B59"/>
    <w:rsid w:val="00DD7EBD"/>
    <w:rsid w:val="00DE4A9A"/>
    <w:rsid w:val="00DF4109"/>
    <w:rsid w:val="00DF62B6"/>
    <w:rsid w:val="00E07225"/>
    <w:rsid w:val="00E358DD"/>
    <w:rsid w:val="00E51778"/>
    <w:rsid w:val="00E5409F"/>
    <w:rsid w:val="00E8193F"/>
    <w:rsid w:val="00E8361A"/>
    <w:rsid w:val="00EC6970"/>
    <w:rsid w:val="00EE6488"/>
    <w:rsid w:val="00F021FA"/>
    <w:rsid w:val="00F0425C"/>
    <w:rsid w:val="00F10550"/>
    <w:rsid w:val="00F44441"/>
    <w:rsid w:val="00F62E97"/>
    <w:rsid w:val="00F64209"/>
    <w:rsid w:val="00F74EF2"/>
    <w:rsid w:val="00F87B88"/>
    <w:rsid w:val="00F93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0F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D6"/>
    <w:pPr>
      <w:widowControl w:val="0"/>
    </w:pPr>
    <w:rPr>
      <w:snapToGrid w:val="0"/>
      <w:kern w:val="28"/>
      <w:sz w:val="22"/>
    </w:rPr>
  </w:style>
  <w:style w:type="paragraph" w:styleId="Heading1">
    <w:name w:val="heading 1"/>
    <w:basedOn w:val="Normal"/>
    <w:next w:val="ParaNum"/>
    <w:qFormat/>
    <w:rsid w:val="003F43D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F43D6"/>
    <w:pPr>
      <w:keepNext/>
      <w:numPr>
        <w:ilvl w:val="1"/>
        <w:numId w:val="3"/>
      </w:numPr>
      <w:spacing w:after="120"/>
      <w:outlineLvl w:val="1"/>
    </w:pPr>
    <w:rPr>
      <w:b/>
    </w:rPr>
  </w:style>
  <w:style w:type="paragraph" w:styleId="Heading3">
    <w:name w:val="heading 3"/>
    <w:basedOn w:val="Normal"/>
    <w:next w:val="ParaNum"/>
    <w:qFormat/>
    <w:rsid w:val="003F43D6"/>
    <w:pPr>
      <w:keepNext/>
      <w:numPr>
        <w:ilvl w:val="2"/>
        <w:numId w:val="3"/>
      </w:numPr>
      <w:tabs>
        <w:tab w:val="left" w:pos="2160"/>
      </w:tabs>
      <w:spacing w:after="120"/>
      <w:outlineLvl w:val="2"/>
    </w:pPr>
    <w:rPr>
      <w:b/>
    </w:rPr>
  </w:style>
  <w:style w:type="paragraph" w:styleId="Heading4">
    <w:name w:val="heading 4"/>
    <w:basedOn w:val="Normal"/>
    <w:next w:val="ParaNum"/>
    <w:qFormat/>
    <w:rsid w:val="003F43D6"/>
    <w:pPr>
      <w:keepNext/>
      <w:numPr>
        <w:ilvl w:val="3"/>
        <w:numId w:val="3"/>
      </w:numPr>
      <w:tabs>
        <w:tab w:val="left" w:pos="2880"/>
      </w:tabs>
      <w:spacing w:after="120"/>
      <w:outlineLvl w:val="3"/>
    </w:pPr>
    <w:rPr>
      <w:b/>
    </w:rPr>
  </w:style>
  <w:style w:type="paragraph" w:styleId="Heading5">
    <w:name w:val="heading 5"/>
    <w:basedOn w:val="Normal"/>
    <w:next w:val="ParaNum"/>
    <w:qFormat/>
    <w:rsid w:val="003F43D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F43D6"/>
    <w:pPr>
      <w:numPr>
        <w:ilvl w:val="5"/>
        <w:numId w:val="3"/>
      </w:numPr>
      <w:tabs>
        <w:tab w:val="left" w:pos="4320"/>
      </w:tabs>
      <w:spacing w:after="120"/>
      <w:outlineLvl w:val="5"/>
    </w:pPr>
    <w:rPr>
      <w:b/>
    </w:rPr>
  </w:style>
  <w:style w:type="paragraph" w:styleId="Heading7">
    <w:name w:val="heading 7"/>
    <w:basedOn w:val="Normal"/>
    <w:next w:val="ParaNum"/>
    <w:qFormat/>
    <w:rsid w:val="003F43D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F43D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F43D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43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43D6"/>
  </w:style>
  <w:style w:type="paragraph" w:customStyle="1" w:styleId="ParaNum">
    <w:name w:val="ParaNum"/>
    <w:basedOn w:val="Normal"/>
    <w:link w:val="ParaNumChar"/>
    <w:rsid w:val="003F43D6"/>
    <w:pPr>
      <w:numPr>
        <w:numId w:val="2"/>
      </w:numPr>
      <w:tabs>
        <w:tab w:val="clear" w:pos="1080"/>
        <w:tab w:val="num" w:pos="1440"/>
      </w:tabs>
      <w:spacing w:after="120"/>
    </w:pPr>
  </w:style>
  <w:style w:type="paragraph" w:styleId="EndnoteText">
    <w:name w:val="endnote text"/>
    <w:basedOn w:val="Normal"/>
    <w:semiHidden/>
    <w:rsid w:val="003F43D6"/>
    <w:rPr>
      <w:sz w:val="20"/>
    </w:rPr>
  </w:style>
  <w:style w:type="character" w:styleId="EndnoteReference">
    <w:name w:val="endnote reference"/>
    <w:semiHidden/>
    <w:rsid w:val="003F43D6"/>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3F43D6"/>
    <w:pPr>
      <w:spacing w:after="120"/>
    </w:pPr>
  </w:style>
  <w:style w:type="character" w:styleId="FootnoteReference">
    <w:name w:val="footnote reference"/>
    <w:aliases w:val="Style 12,(NECG) Footnote Reference,Appel note de bas de p,Style 124,o,fr,Style 3,Style 13,Style 17,FR,Style 4"/>
    <w:rsid w:val="003F43D6"/>
    <w:rPr>
      <w:rFonts w:ascii="Times New Roman" w:hAnsi="Times New Roman"/>
      <w:dstrike w:val="0"/>
      <w:color w:val="auto"/>
      <w:sz w:val="20"/>
      <w:vertAlign w:val="superscript"/>
    </w:rPr>
  </w:style>
  <w:style w:type="paragraph" w:styleId="TOC1">
    <w:name w:val="toc 1"/>
    <w:basedOn w:val="Normal"/>
    <w:next w:val="Normal"/>
    <w:semiHidden/>
    <w:rsid w:val="003F43D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F43D6"/>
    <w:pPr>
      <w:tabs>
        <w:tab w:val="left" w:pos="720"/>
        <w:tab w:val="right" w:leader="dot" w:pos="9360"/>
      </w:tabs>
      <w:suppressAutoHyphens/>
      <w:ind w:left="720" w:right="720" w:hanging="360"/>
    </w:pPr>
    <w:rPr>
      <w:noProof/>
    </w:rPr>
  </w:style>
  <w:style w:type="paragraph" w:styleId="TOC3">
    <w:name w:val="toc 3"/>
    <w:basedOn w:val="Normal"/>
    <w:next w:val="Normal"/>
    <w:semiHidden/>
    <w:rsid w:val="003F43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F43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F43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F43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F43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F43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F43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F43D6"/>
    <w:pPr>
      <w:tabs>
        <w:tab w:val="right" w:pos="9360"/>
      </w:tabs>
      <w:suppressAutoHyphens/>
    </w:pPr>
  </w:style>
  <w:style w:type="character" w:customStyle="1" w:styleId="EquationCaption">
    <w:name w:val="_Equation Caption"/>
    <w:rsid w:val="003F43D6"/>
  </w:style>
  <w:style w:type="paragraph" w:styleId="Header">
    <w:name w:val="header"/>
    <w:basedOn w:val="Normal"/>
    <w:autoRedefine/>
    <w:rsid w:val="003F43D6"/>
    <w:pPr>
      <w:tabs>
        <w:tab w:val="center" w:pos="4680"/>
        <w:tab w:val="right" w:pos="9360"/>
      </w:tabs>
    </w:pPr>
    <w:rPr>
      <w:b/>
    </w:rPr>
  </w:style>
  <w:style w:type="paragraph" w:styleId="Footer">
    <w:name w:val="footer"/>
    <w:basedOn w:val="Normal"/>
    <w:rsid w:val="003F43D6"/>
    <w:pPr>
      <w:tabs>
        <w:tab w:val="center" w:pos="4320"/>
        <w:tab w:val="right" w:pos="8640"/>
      </w:tabs>
    </w:pPr>
  </w:style>
  <w:style w:type="character" w:styleId="PageNumber">
    <w:name w:val="page number"/>
    <w:basedOn w:val="DefaultParagraphFont"/>
    <w:rsid w:val="003F43D6"/>
  </w:style>
  <w:style w:type="paragraph" w:styleId="BlockText">
    <w:name w:val="Block Text"/>
    <w:basedOn w:val="Normal"/>
    <w:rsid w:val="003F43D6"/>
    <w:pPr>
      <w:spacing w:after="240"/>
      <w:ind w:left="1440" w:right="1440"/>
    </w:pPr>
  </w:style>
  <w:style w:type="paragraph" w:customStyle="1" w:styleId="Paratitle">
    <w:name w:val="Para title"/>
    <w:basedOn w:val="Normal"/>
    <w:rsid w:val="003F43D6"/>
    <w:pPr>
      <w:tabs>
        <w:tab w:val="center" w:pos="9270"/>
      </w:tabs>
      <w:spacing w:after="240"/>
    </w:pPr>
    <w:rPr>
      <w:spacing w:val="-2"/>
    </w:rPr>
  </w:style>
  <w:style w:type="paragraph" w:customStyle="1" w:styleId="Bullet">
    <w:name w:val="Bullet"/>
    <w:basedOn w:val="Normal"/>
    <w:rsid w:val="003F43D6"/>
    <w:pPr>
      <w:tabs>
        <w:tab w:val="left" w:pos="2160"/>
      </w:tabs>
      <w:spacing w:after="220"/>
      <w:ind w:left="2160" w:hanging="720"/>
    </w:pPr>
  </w:style>
  <w:style w:type="paragraph" w:customStyle="1" w:styleId="TableFormat">
    <w:name w:val="TableFormat"/>
    <w:basedOn w:val="Bullet"/>
    <w:rsid w:val="003F43D6"/>
    <w:pPr>
      <w:tabs>
        <w:tab w:val="clear" w:pos="2160"/>
        <w:tab w:val="left" w:pos="5040"/>
      </w:tabs>
      <w:ind w:left="5040" w:hanging="3600"/>
    </w:pPr>
  </w:style>
  <w:style w:type="paragraph" w:customStyle="1" w:styleId="TOCTitle">
    <w:name w:val="TOC Title"/>
    <w:basedOn w:val="Normal"/>
    <w:rsid w:val="003F43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43D6"/>
    <w:pPr>
      <w:jc w:val="center"/>
    </w:pPr>
    <w:rPr>
      <w:rFonts w:ascii="Times New Roman Bold" w:hAnsi="Times New Roman Bold"/>
      <w:b/>
      <w:bCs/>
      <w:caps/>
      <w:szCs w:val="22"/>
    </w:rPr>
  </w:style>
  <w:style w:type="character" w:styleId="Hyperlink">
    <w:name w:val="Hyperlink"/>
    <w:rsid w:val="003F43D6"/>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2E13F9"/>
  </w:style>
  <w:style w:type="character" w:customStyle="1" w:styleId="ParaNumChar">
    <w:name w:val="ParaNum Char"/>
    <w:link w:val="ParaNum"/>
    <w:rsid w:val="002E13F9"/>
    <w:rPr>
      <w:snapToGrid w:val="0"/>
      <w:kern w:val="28"/>
      <w:sz w:val="22"/>
    </w:rPr>
  </w:style>
  <w:style w:type="paragraph" w:styleId="BalloonText">
    <w:name w:val="Balloon Text"/>
    <w:basedOn w:val="Normal"/>
    <w:link w:val="BalloonTextChar"/>
    <w:rsid w:val="006E0057"/>
    <w:rPr>
      <w:rFonts w:ascii="Segoe UI" w:hAnsi="Segoe UI" w:cs="Segoe UI"/>
      <w:sz w:val="18"/>
      <w:szCs w:val="18"/>
    </w:rPr>
  </w:style>
  <w:style w:type="character" w:customStyle="1" w:styleId="BalloonTextChar">
    <w:name w:val="Balloon Text Char"/>
    <w:basedOn w:val="DefaultParagraphFont"/>
    <w:link w:val="BalloonText"/>
    <w:rsid w:val="006E0057"/>
    <w:rPr>
      <w:rFonts w:ascii="Segoe UI" w:hAnsi="Segoe UI" w:cs="Segoe UI"/>
      <w:snapToGrid w:val="0"/>
      <w:kern w:val="28"/>
      <w:sz w:val="18"/>
      <w:szCs w:val="18"/>
    </w:rPr>
  </w:style>
  <w:style w:type="character" w:styleId="CommentReference">
    <w:name w:val="annotation reference"/>
    <w:basedOn w:val="DefaultParagraphFont"/>
    <w:rsid w:val="00540DF3"/>
    <w:rPr>
      <w:sz w:val="18"/>
      <w:szCs w:val="18"/>
    </w:rPr>
  </w:style>
  <w:style w:type="paragraph" w:styleId="CommentText">
    <w:name w:val="annotation text"/>
    <w:basedOn w:val="Normal"/>
    <w:link w:val="CommentTextChar"/>
    <w:rsid w:val="00540DF3"/>
    <w:rPr>
      <w:sz w:val="24"/>
      <w:szCs w:val="24"/>
    </w:rPr>
  </w:style>
  <w:style w:type="character" w:customStyle="1" w:styleId="CommentTextChar">
    <w:name w:val="Comment Text Char"/>
    <w:basedOn w:val="DefaultParagraphFont"/>
    <w:link w:val="CommentText"/>
    <w:rsid w:val="00540DF3"/>
    <w:rPr>
      <w:snapToGrid w:val="0"/>
      <w:kern w:val="28"/>
      <w:sz w:val="24"/>
      <w:szCs w:val="24"/>
    </w:rPr>
  </w:style>
  <w:style w:type="paragraph" w:styleId="CommentSubject">
    <w:name w:val="annotation subject"/>
    <w:basedOn w:val="CommentText"/>
    <w:next w:val="CommentText"/>
    <w:link w:val="CommentSubjectChar"/>
    <w:rsid w:val="00540DF3"/>
    <w:rPr>
      <w:b/>
      <w:bCs/>
      <w:sz w:val="20"/>
      <w:szCs w:val="20"/>
    </w:rPr>
  </w:style>
  <w:style w:type="character" w:customStyle="1" w:styleId="CommentSubjectChar">
    <w:name w:val="Comment Subject Char"/>
    <w:basedOn w:val="CommentTextChar"/>
    <w:link w:val="CommentSubject"/>
    <w:rsid w:val="00540DF3"/>
    <w:rPr>
      <w:b/>
      <w:bCs/>
      <w:snapToGrid w:val="0"/>
      <w:kern w:val="28"/>
      <w:sz w:val="24"/>
      <w:szCs w:val="24"/>
    </w:rPr>
  </w:style>
  <w:style w:type="paragraph" w:styleId="Revision">
    <w:name w:val="Revision"/>
    <w:hidden/>
    <w:uiPriority w:val="99"/>
    <w:semiHidden/>
    <w:rsid w:val="00540DF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D6"/>
    <w:pPr>
      <w:widowControl w:val="0"/>
    </w:pPr>
    <w:rPr>
      <w:snapToGrid w:val="0"/>
      <w:kern w:val="28"/>
      <w:sz w:val="22"/>
    </w:rPr>
  </w:style>
  <w:style w:type="paragraph" w:styleId="Heading1">
    <w:name w:val="heading 1"/>
    <w:basedOn w:val="Normal"/>
    <w:next w:val="ParaNum"/>
    <w:qFormat/>
    <w:rsid w:val="003F43D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F43D6"/>
    <w:pPr>
      <w:keepNext/>
      <w:numPr>
        <w:ilvl w:val="1"/>
        <w:numId w:val="3"/>
      </w:numPr>
      <w:spacing w:after="120"/>
      <w:outlineLvl w:val="1"/>
    </w:pPr>
    <w:rPr>
      <w:b/>
    </w:rPr>
  </w:style>
  <w:style w:type="paragraph" w:styleId="Heading3">
    <w:name w:val="heading 3"/>
    <w:basedOn w:val="Normal"/>
    <w:next w:val="ParaNum"/>
    <w:qFormat/>
    <w:rsid w:val="003F43D6"/>
    <w:pPr>
      <w:keepNext/>
      <w:numPr>
        <w:ilvl w:val="2"/>
        <w:numId w:val="3"/>
      </w:numPr>
      <w:tabs>
        <w:tab w:val="left" w:pos="2160"/>
      </w:tabs>
      <w:spacing w:after="120"/>
      <w:outlineLvl w:val="2"/>
    </w:pPr>
    <w:rPr>
      <w:b/>
    </w:rPr>
  </w:style>
  <w:style w:type="paragraph" w:styleId="Heading4">
    <w:name w:val="heading 4"/>
    <w:basedOn w:val="Normal"/>
    <w:next w:val="ParaNum"/>
    <w:qFormat/>
    <w:rsid w:val="003F43D6"/>
    <w:pPr>
      <w:keepNext/>
      <w:numPr>
        <w:ilvl w:val="3"/>
        <w:numId w:val="3"/>
      </w:numPr>
      <w:tabs>
        <w:tab w:val="left" w:pos="2880"/>
      </w:tabs>
      <w:spacing w:after="120"/>
      <w:outlineLvl w:val="3"/>
    </w:pPr>
    <w:rPr>
      <w:b/>
    </w:rPr>
  </w:style>
  <w:style w:type="paragraph" w:styleId="Heading5">
    <w:name w:val="heading 5"/>
    <w:basedOn w:val="Normal"/>
    <w:next w:val="ParaNum"/>
    <w:qFormat/>
    <w:rsid w:val="003F43D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F43D6"/>
    <w:pPr>
      <w:numPr>
        <w:ilvl w:val="5"/>
        <w:numId w:val="3"/>
      </w:numPr>
      <w:tabs>
        <w:tab w:val="left" w:pos="4320"/>
      </w:tabs>
      <w:spacing w:after="120"/>
      <w:outlineLvl w:val="5"/>
    </w:pPr>
    <w:rPr>
      <w:b/>
    </w:rPr>
  </w:style>
  <w:style w:type="paragraph" w:styleId="Heading7">
    <w:name w:val="heading 7"/>
    <w:basedOn w:val="Normal"/>
    <w:next w:val="ParaNum"/>
    <w:qFormat/>
    <w:rsid w:val="003F43D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F43D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F43D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43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43D6"/>
  </w:style>
  <w:style w:type="paragraph" w:customStyle="1" w:styleId="ParaNum">
    <w:name w:val="ParaNum"/>
    <w:basedOn w:val="Normal"/>
    <w:link w:val="ParaNumChar"/>
    <w:rsid w:val="003F43D6"/>
    <w:pPr>
      <w:numPr>
        <w:numId w:val="2"/>
      </w:numPr>
      <w:tabs>
        <w:tab w:val="clear" w:pos="1080"/>
        <w:tab w:val="num" w:pos="1440"/>
      </w:tabs>
      <w:spacing w:after="120"/>
    </w:pPr>
  </w:style>
  <w:style w:type="paragraph" w:styleId="EndnoteText">
    <w:name w:val="endnote text"/>
    <w:basedOn w:val="Normal"/>
    <w:semiHidden/>
    <w:rsid w:val="003F43D6"/>
    <w:rPr>
      <w:sz w:val="20"/>
    </w:rPr>
  </w:style>
  <w:style w:type="character" w:styleId="EndnoteReference">
    <w:name w:val="endnote reference"/>
    <w:semiHidden/>
    <w:rsid w:val="003F43D6"/>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3F43D6"/>
    <w:pPr>
      <w:spacing w:after="120"/>
    </w:pPr>
  </w:style>
  <w:style w:type="character" w:styleId="FootnoteReference">
    <w:name w:val="footnote reference"/>
    <w:aliases w:val="Style 12,(NECG) Footnote Reference,Appel note de bas de p,Style 124,o,fr,Style 3,Style 13,Style 17,FR,Style 4"/>
    <w:rsid w:val="003F43D6"/>
    <w:rPr>
      <w:rFonts w:ascii="Times New Roman" w:hAnsi="Times New Roman"/>
      <w:dstrike w:val="0"/>
      <w:color w:val="auto"/>
      <w:sz w:val="20"/>
      <w:vertAlign w:val="superscript"/>
    </w:rPr>
  </w:style>
  <w:style w:type="paragraph" w:styleId="TOC1">
    <w:name w:val="toc 1"/>
    <w:basedOn w:val="Normal"/>
    <w:next w:val="Normal"/>
    <w:semiHidden/>
    <w:rsid w:val="003F43D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F43D6"/>
    <w:pPr>
      <w:tabs>
        <w:tab w:val="left" w:pos="720"/>
        <w:tab w:val="right" w:leader="dot" w:pos="9360"/>
      </w:tabs>
      <w:suppressAutoHyphens/>
      <w:ind w:left="720" w:right="720" w:hanging="360"/>
    </w:pPr>
    <w:rPr>
      <w:noProof/>
    </w:rPr>
  </w:style>
  <w:style w:type="paragraph" w:styleId="TOC3">
    <w:name w:val="toc 3"/>
    <w:basedOn w:val="Normal"/>
    <w:next w:val="Normal"/>
    <w:semiHidden/>
    <w:rsid w:val="003F43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F43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F43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F43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F43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F43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F43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F43D6"/>
    <w:pPr>
      <w:tabs>
        <w:tab w:val="right" w:pos="9360"/>
      </w:tabs>
      <w:suppressAutoHyphens/>
    </w:pPr>
  </w:style>
  <w:style w:type="character" w:customStyle="1" w:styleId="EquationCaption">
    <w:name w:val="_Equation Caption"/>
    <w:rsid w:val="003F43D6"/>
  </w:style>
  <w:style w:type="paragraph" w:styleId="Header">
    <w:name w:val="header"/>
    <w:basedOn w:val="Normal"/>
    <w:autoRedefine/>
    <w:rsid w:val="003F43D6"/>
    <w:pPr>
      <w:tabs>
        <w:tab w:val="center" w:pos="4680"/>
        <w:tab w:val="right" w:pos="9360"/>
      </w:tabs>
    </w:pPr>
    <w:rPr>
      <w:b/>
    </w:rPr>
  </w:style>
  <w:style w:type="paragraph" w:styleId="Footer">
    <w:name w:val="footer"/>
    <w:basedOn w:val="Normal"/>
    <w:rsid w:val="003F43D6"/>
    <w:pPr>
      <w:tabs>
        <w:tab w:val="center" w:pos="4320"/>
        <w:tab w:val="right" w:pos="8640"/>
      </w:tabs>
    </w:pPr>
  </w:style>
  <w:style w:type="character" w:styleId="PageNumber">
    <w:name w:val="page number"/>
    <w:basedOn w:val="DefaultParagraphFont"/>
    <w:rsid w:val="003F43D6"/>
  </w:style>
  <w:style w:type="paragraph" w:styleId="BlockText">
    <w:name w:val="Block Text"/>
    <w:basedOn w:val="Normal"/>
    <w:rsid w:val="003F43D6"/>
    <w:pPr>
      <w:spacing w:after="240"/>
      <w:ind w:left="1440" w:right="1440"/>
    </w:pPr>
  </w:style>
  <w:style w:type="paragraph" w:customStyle="1" w:styleId="Paratitle">
    <w:name w:val="Para title"/>
    <w:basedOn w:val="Normal"/>
    <w:rsid w:val="003F43D6"/>
    <w:pPr>
      <w:tabs>
        <w:tab w:val="center" w:pos="9270"/>
      </w:tabs>
      <w:spacing w:after="240"/>
    </w:pPr>
    <w:rPr>
      <w:spacing w:val="-2"/>
    </w:rPr>
  </w:style>
  <w:style w:type="paragraph" w:customStyle="1" w:styleId="Bullet">
    <w:name w:val="Bullet"/>
    <w:basedOn w:val="Normal"/>
    <w:rsid w:val="003F43D6"/>
    <w:pPr>
      <w:tabs>
        <w:tab w:val="left" w:pos="2160"/>
      </w:tabs>
      <w:spacing w:after="220"/>
      <w:ind w:left="2160" w:hanging="720"/>
    </w:pPr>
  </w:style>
  <w:style w:type="paragraph" w:customStyle="1" w:styleId="TableFormat">
    <w:name w:val="TableFormat"/>
    <w:basedOn w:val="Bullet"/>
    <w:rsid w:val="003F43D6"/>
    <w:pPr>
      <w:tabs>
        <w:tab w:val="clear" w:pos="2160"/>
        <w:tab w:val="left" w:pos="5040"/>
      </w:tabs>
      <w:ind w:left="5040" w:hanging="3600"/>
    </w:pPr>
  </w:style>
  <w:style w:type="paragraph" w:customStyle="1" w:styleId="TOCTitle">
    <w:name w:val="TOC Title"/>
    <w:basedOn w:val="Normal"/>
    <w:rsid w:val="003F43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43D6"/>
    <w:pPr>
      <w:jc w:val="center"/>
    </w:pPr>
    <w:rPr>
      <w:rFonts w:ascii="Times New Roman Bold" w:hAnsi="Times New Roman Bold"/>
      <w:b/>
      <w:bCs/>
      <w:caps/>
      <w:szCs w:val="22"/>
    </w:rPr>
  </w:style>
  <w:style w:type="character" w:styleId="Hyperlink">
    <w:name w:val="Hyperlink"/>
    <w:rsid w:val="003F43D6"/>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2E13F9"/>
  </w:style>
  <w:style w:type="character" w:customStyle="1" w:styleId="ParaNumChar">
    <w:name w:val="ParaNum Char"/>
    <w:link w:val="ParaNum"/>
    <w:rsid w:val="002E13F9"/>
    <w:rPr>
      <w:snapToGrid w:val="0"/>
      <w:kern w:val="28"/>
      <w:sz w:val="22"/>
    </w:rPr>
  </w:style>
  <w:style w:type="paragraph" w:styleId="BalloonText">
    <w:name w:val="Balloon Text"/>
    <w:basedOn w:val="Normal"/>
    <w:link w:val="BalloonTextChar"/>
    <w:rsid w:val="006E0057"/>
    <w:rPr>
      <w:rFonts w:ascii="Segoe UI" w:hAnsi="Segoe UI" w:cs="Segoe UI"/>
      <w:sz w:val="18"/>
      <w:szCs w:val="18"/>
    </w:rPr>
  </w:style>
  <w:style w:type="character" w:customStyle="1" w:styleId="BalloonTextChar">
    <w:name w:val="Balloon Text Char"/>
    <w:basedOn w:val="DefaultParagraphFont"/>
    <w:link w:val="BalloonText"/>
    <w:rsid w:val="006E0057"/>
    <w:rPr>
      <w:rFonts w:ascii="Segoe UI" w:hAnsi="Segoe UI" w:cs="Segoe UI"/>
      <w:snapToGrid w:val="0"/>
      <w:kern w:val="28"/>
      <w:sz w:val="18"/>
      <w:szCs w:val="18"/>
    </w:rPr>
  </w:style>
  <w:style w:type="character" w:styleId="CommentReference">
    <w:name w:val="annotation reference"/>
    <w:basedOn w:val="DefaultParagraphFont"/>
    <w:rsid w:val="00540DF3"/>
    <w:rPr>
      <w:sz w:val="18"/>
      <w:szCs w:val="18"/>
    </w:rPr>
  </w:style>
  <w:style w:type="paragraph" w:styleId="CommentText">
    <w:name w:val="annotation text"/>
    <w:basedOn w:val="Normal"/>
    <w:link w:val="CommentTextChar"/>
    <w:rsid w:val="00540DF3"/>
    <w:rPr>
      <w:sz w:val="24"/>
      <w:szCs w:val="24"/>
    </w:rPr>
  </w:style>
  <w:style w:type="character" w:customStyle="1" w:styleId="CommentTextChar">
    <w:name w:val="Comment Text Char"/>
    <w:basedOn w:val="DefaultParagraphFont"/>
    <w:link w:val="CommentText"/>
    <w:rsid w:val="00540DF3"/>
    <w:rPr>
      <w:snapToGrid w:val="0"/>
      <w:kern w:val="28"/>
      <w:sz w:val="24"/>
      <w:szCs w:val="24"/>
    </w:rPr>
  </w:style>
  <w:style w:type="paragraph" w:styleId="CommentSubject">
    <w:name w:val="annotation subject"/>
    <w:basedOn w:val="CommentText"/>
    <w:next w:val="CommentText"/>
    <w:link w:val="CommentSubjectChar"/>
    <w:rsid w:val="00540DF3"/>
    <w:rPr>
      <w:b/>
      <w:bCs/>
      <w:sz w:val="20"/>
      <w:szCs w:val="20"/>
    </w:rPr>
  </w:style>
  <w:style w:type="character" w:customStyle="1" w:styleId="CommentSubjectChar">
    <w:name w:val="Comment Subject Char"/>
    <w:basedOn w:val="CommentTextChar"/>
    <w:link w:val="CommentSubject"/>
    <w:rsid w:val="00540DF3"/>
    <w:rPr>
      <w:b/>
      <w:bCs/>
      <w:snapToGrid w:val="0"/>
      <w:kern w:val="28"/>
      <w:sz w:val="24"/>
      <w:szCs w:val="24"/>
    </w:rPr>
  </w:style>
  <w:style w:type="paragraph" w:styleId="Revision">
    <w:name w:val="Revision"/>
    <w:hidden/>
    <w:uiPriority w:val="99"/>
    <w:semiHidden/>
    <w:rsid w:val="00540DF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615</Words>
  <Characters>3464</Characters>
  <Application>Microsoft Office Word</Application>
  <DocSecurity>0</DocSecurity>
  <Lines>163</Lines>
  <Paragraphs>81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4036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2015-10-02T17:14:00Z</cp:lastPrinted>
  <dcterms:created xsi:type="dcterms:W3CDTF">2015-12-03T20:30:00Z</dcterms:created>
  <dcterms:modified xsi:type="dcterms:W3CDTF">2015-12-03T20:30:00Z</dcterms:modified>
  <cp:category> </cp:category>
  <cp:contentStatus> </cp:contentStatus>
</cp:coreProperties>
</file>