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70A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9317CFB" w14:textId="77777777" w:rsidR="00921803" w:rsidRDefault="00921803" w:rsidP="00921803">
      <w:pPr>
        <w:pStyle w:val="StyleBoldCentered"/>
      </w:pPr>
      <w:r>
        <w:t>F</w:t>
      </w:r>
      <w:r>
        <w:rPr>
          <w:caps w:val="0"/>
        </w:rPr>
        <w:t>ederal Communications Commission</w:t>
      </w:r>
    </w:p>
    <w:p w14:paraId="3A9484BF" w14:textId="77777777" w:rsidR="004C2EE3" w:rsidRDefault="00810B6F" w:rsidP="00096D8C">
      <w:pPr>
        <w:pStyle w:val="StyleBoldCentered"/>
      </w:pPr>
      <w:r>
        <w:rPr>
          <w:caps w:val="0"/>
        </w:rPr>
        <w:t>Washington, D.C. 20554</w:t>
      </w:r>
    </w:p>
    <w:p w14:paraId="6EB56BE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BEF69C5" w14:textId="77777777">
        <w:tc>
          <w:tcPr>
            <w:tcW w:w="4698" w:type="dxa"/>
          </w:tcPr>
          <w:p w14:paraId="40F85E12" w14:textId="77777777" w:rsidR="004C2EE3" w:rsidRDefault="004C2EE3">
            <w:pPr>
              <w:tabs>
                <w:tab w:val="center" w:pos="4680"/>
              </w:tabs>
              <w:suppressAutoHyphens/>
              <w:rPr>
                <w:spacing w:val="-2"/>
              </w:rPr>
            </w:pPr>
            <w:r>
              <w:rPr>
                <w:spacing w:val="-2"/>
              </w:rPr>
              <w:t>In the Matter of</w:t>
            </w:r>
          </w:p>
          <w:p w14:paraId="133DAF62" w14:textId="77777777" w:rsidR="004C2EE3" w:rsidRDefault="004C2EE3">
            <w:pPr>
              <w:tabs>
                <w:tab w:val="center" w:pos="4680"/>
              </w:tabs>
              <w:suppressAutoHyphens/>
              <w:rPr>
                <w:spacing w:val="-2"/>
              </w:rPr>
            </w:pPr>
          </w:p>
          <w:p w14:paraId="407E0A15" w14:textId="77777777" w:rsidR="004C2EE3" w:rsidRDefault="00F2610B" w:rsidP="007115F7">
            <w:pPr>
              <w:tabs>
                <w:tab w:val="center" w:pos="4680"/>
              </w:tabs>
              <w:suppressAutoHyphens/>
              <w:rPr>
                <w:spacing w:val="-2"/>
              </w:rPr>
            </w:pPr>
            <w:r>
              <w:rPr>
                <w:spacing w:val="-2"/>
              </w:rPr>
              <w:t>WKMJ Radio Live the People Station, Inc.</w:t>
            </w:r>
          </w:p>
          <w:p w14:paraId="3E55AC68" w14:textId="77777777" w:rsidR="00FA0ADE" w:rsidRDefault="00FA0ADE" w:rsidP="007115F7">
            <w:pPr>
              <w:tabs>
                <w:tab w:val="center" w:pos="4680"/>
              </w:tabs>
              <w:suppressAutoHyphens/>
              <w:rPr>
                <w:spacing w:val="-2"/>
              </w:rPr>
            </w:pPr>
          </w:p>
          <w:p w14:paraId="77C3F762" w14:textId="77777777" w:rsidR="00FA0ADE" w:rsidRPr="00FA0ADE" w:rsidRDefault="00FA0ADE" w:rsidP="00FA0ADE">
            <w:pPr>
              <w:ind w:right="-18"/>
              <w:rPr>
                <w:szCs w:val="22"/>
              </w:rPr>
            </w:pPr>
            <w:r w:rsidRPr="00B06127">
              <w:rPr>
                <w:szCs w:val="22"/>
              </w:rPr>
              <w:t xml:space="preserve">Application for a Construction Permit for a New LPFM Station at </w:t>
            </w:r>
            <w:r>
              <w:rPr>
                <w:szCs w:val="22"/>
              </w:rPr>
              <w:t>Pinellas Park, Florida</w:t>
            </w:r>
            <w:r w:rsidRPr="00B06127">
              <w:rPr>
                <w:szCs w:val="22"/>
              </w:rPr>
              <w:t xml:space="preserve"> </w:t>
            </w:r>
          </w:p>
        </w:tc>
        <w:tc>
          <w:tcPr>
            <w:tcW w:w="630" w:type="dxa"/>
          </w:tcPr>
          <w:p w14:paraId="33F65021" w14:textId="77777777" w:rsidR="004C2EE3" w:rsidRDefault="004C2EE3">
            <w:pPr>
              <w:tabs>
                <w:tab w:val="center" w:pos="4680"/>
              </w:tabs>
              <w:suppressAutoHyphens/>
              <w:rPr>
                <w:b/>
                <w:spacing w:val="-2"/>
              </w:rPr>
            </w:pPr>
            <w:r>
              <w:rPr>
                <w:b/>
                <w:spacing w:val="-2"/>
              </w:rPr>
              <w:t>)</w:t>
            </w:r>
          </w:p>
          <w:p w14:paraId="0B6CE0A0" w14:textId="77777777" w:rsidR="004C2EE3" w:rsidRDefault="004C2EE3">
            <w:pPr>
              <w:tabs>
                <w:tab w:val="center" w:pos="4680"/>
              </w:tabs>
              <w:suppressAutoHyphens/>
              <w:rPr>
                <w:b/>
                <w:spacing w:val="-2"/>
              </w:rPr>
            </w:pPr>
            <w:r>
              <w:rPr>
                <w:b/>
                <w:spacing w:val="-2"/>
              </w:rPr>
              <w:t>)</w:t>
            </w:r>
          </w:p>
          <w:p w14:paraId="6AF21D69" w14:textId="77777777" w:rsidR="004C2EE3" w:rsidRDefault="004C2EE3">
            <w:pPr>
              <w:tabs>
                <w:tab w:val="center" w:pos="4680"/>
              </w:tabs>
              <w:suppressAutoHyphens/>
              <w:rPr>
                <w:b/>
                <w:spacing w:val="-2"/>
              </w:rPr>
            </w:pPr>
            <w:r>
              <w:rPr>
                <w:b/>
                <w:spacing w:val="-2"/>
              </w:rPr>
              <w:t>)</w:t>
            </w:r>
          </w:p>
          <w:p w14:paraId="655F2354" w14:textId="77777777" w:rsidR="004C2EE3" w:rsidRDefault="004C2EE3">
            <w:pPr>
              <w:tabs>
                <w:tab w:val="center" w:pos="4680"/>
              </w:tabs>
              <w:suppressAutoHyphens/>
              <w:rPr>
                <w:b/>
                <w:spacing w:val="-2"/>
              </w:rPr>
            </w:pPr>
            <w:r>
              <w:rPr>
                <w:b/>
                <w:spacing w:val="-2"/>
              </w:rPr>
              <w:t>)</w:t>
            </w:r>
          </w:p>
          <w:p w14:paraId="0DDB33CC" w14:textId="77777777" w:rsidR="004C2EE3" w:rsidRDefault="004C2EE3">
            <w:pPr>
              <w:tabs>
                <w:tab w:val="center" w:pos="4680"/>
              </w:tabs>
              <w:suppressAutoHyphens/>
              <w:rPr>
                <w:b/>
                <w:spacing w:val="-2"/>
              </w:rPr>
            </w:pPr>
            <w:r>
              <w:rPr>
                <w:b/>
                <w:spacing w:val="-2"/>
              </w:rPr>
              <w:t>)</w:t>
            </w:r>
          </w:p>
          <w:p w14:paraId="2D5ECA44" w14:textId="77777777" w:rsidR="004C2EE3" w:rsidRPr="00FA0ADE" w:rsidRDefault="004C2EE3">
            <w:pPr>
              <w:tabs>
                <w:tab w:val="center" w:pos="4680"/>
              </w:tabs>
              <w:suppressAutoHyphens/>
              <w:rPr>
                <w:b/>
                <w:spacing w:val="-2"/>
              </w:rPr>
            </w:pPr>
            <w:r>
              <w:rPr>
                <w:b/>
                <w:spacing w:val="-2"/>
              </w:rPr>
              <w:t>)</w:t>
            </w:r>
          </w:p>
        </w:tc>
        <w:tc>
          <w:tcPr>
            <w:tcW w:w="4248" w:type="dxa"/>
          </w:tcPr>
          <w:p w14:paraId="28824C2D" w14:textId="77777777" w:rsidR="004C2EE3" w:rsidRDefault="004C2EE3">
            <w:pPr>
              <w:tabs>
                <w:tab w:val="center" w:pos="4680"/>
              </w:tabs>
              <w:suppressAutoHyphens/>
              <w:rPr>
                <w:spacing w:val="-2"/>
              </w:rPr>
            </w:pPr>
          </w:p>
          <w:p w14:paraId="29B11A0A" w14:textId="77777777" w:rsidR="004C2EE3" w:rsidRDefault="004C2EE3">
            <w:pPr>
              <w:pStyle w:val="TOAHeading"/>
              <w:tabs>
                <w:tab w:val="clear" w:pos="9360"/>
                <w:tab w:val="center" w:pos="4680"/>
              </w:tabs>
              <w:rPr>
                <w:spacing w:val="-2"/>
              </w:rPr>
            </w:pPr>
          </w:p>
          <w:p w14:paraId="0A40B43F" w14:textId="77777777" w:rsidR="004C2EE3" w:rsidRDefault="002B7069">
            <w:pPr>
              <w:tabs>
                <w:tab w:val="center" w:pos="4680"/>
              </w:tabs>
              <w:suppressAutoHyphens/>
              <w:rPr>
                <w:spacing w:val="-2"/>
              </w:rPr>
            </w:pPr>
            <w:r>
              <w:rPr>
                <w:spacing w:val="-2"/>
              </w:rPr>
              <w:t>File No. BNPL-20131107AAI</w:t>
            </w:r>
          </w:p>
          <w:p w14:paraId="6F4F9AB8" w14:textId="77777777" w:rsidR="00F2610B" w:rsidRDefault="00F2610B">
            <w:pPr>
              <w:tabs>
                <w:tab w:val="center" w:pos="4680"/>
              </w:tabs>
              <w:suppressAutoHyphens/>
              <w:rPr>
                <w:spacing w:val="-2"/>
              </w:rPr>
            </w:pPr>
            <w:r>
              <w:rPr>
                <w:spacing w:val="-2"/>
              </w:rPr>
              <w:t>Facility ID No. 194483</w:t>
            </w:r>
          </w:p>
        </w:tc>
      </w:tr>
    </w:tbl>
    <w:p w14:paraId="0AB99E2F" w14:textId="77777777" w:rsidR="004C2EE3" w:rsidRDefault="004C2EE3" w:rsidP="0070224F"/>
    <w:p w14:paraId="0DF62EF8" w14:textId="77777777" w:rsidR="00841AB1" w:rsidRDefault="00F2610B" w:rsidP="00F021FA">
      <w:pPr>
        <w:pStyle w:val="StyleBoldCentered"/>
      </w:pPr>
      <w:r>
        <w:t>MEMORANDUM OPINION AND ORDER</w:t>
      </w:r>
    </w:p>
    <w:p w14:paraId="387494EB" w14:textId="77777777" w:rsidR="004C2EE3" w:rsidRDefault="004C2EE3">
      <w:pPr>
        <w:tabs>
          <w:tab w:val="left" w:pos="-720"/>
        </w:tabs>
        <w:suppressAutoHyphens/>
        <w:spacing w:line="227" w:lineRule="auto"/>
        <w:rPr>
          <w:spacing w:val="-2"/>
        </w:rPr>
      </w:pPr>
    </w:p>
    <w:p w14:paraId="6B81D761" w14:textId="3B3D3571" w:rsidR="004C2EE3" w:rsidRDefault="004C2EE3" w:rsidP="00133F79">
      <w:pPr>
        <w:tabs>
          <w:tab w:val="left" w:pos="720"/>
          <w:tab w:val="right" w:pos="9360"/>
        </w:tabs>
        <w:suppressAutoHyphens/>
        <w:spacing w:line="227" w:lineRule="auto"/>
        <w:rPr>
          <w:spacing w:val="-2"/>
        </w:rPr>
      </w:pPr>
      <w:r>
        <w:rPr>
          <w:b/>
          <w:spacing w:val="-2"/>
        </w:rPr>
        <w:t xml:space="preserve">Adopted:  </w:t>
      </w:r>
      <w:r w:rsidR="00F62155">
        <w:rPr>
          <w:b/>
          <w:spacing w:val="-2"/>
        </w:rPr>
        <w:t>November 17,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2155">
        <w:rPr>
          <w:b/>
          <w:spacing w:val="-2"/>
        </w:rPr>
        <w:t>November 18, 2015</w:t>
      </w:r>
    </w:p>
    <w:p w14:paraId="6F30A689" w14:textId="77777777" w:rsidR="00822CE0" w:rsidRDefault="00822CE0"/>
    <w:p w14:paraId="3871D12D" w14:textId="77777777" w:rsidR="004C2EE3" w:rsidRDefault="004C2EE3">
      <w:pPr>
        <w:rPr>
          <w:spacing w:val="-2"/>
        </w:rPr>
      </w:pPr>
      <w:r>
        <w:t xml:space="preserve">By </w:t>
      </w:r>
      <w:r w:rsidR="004E4A22">
        <w:t>the</w:t>
      </w:r>
      <w:r w:rsidR="002A2D2E">
        <w:t xml:space="preserve"> </w:t>
      </w:r>
      <w:r w:rsidR="00F2610B">
        <w:rPr>
          <w:spacing w:val="-2"/>
        </w:rPr>
        <w:t>Commission</w:t>
      </w:r>
      <w:r>
        <w:rPr>
          <w:spacing w:val="-2"/>
        </w:rPr>
        <w:t>:</w:t>
      </w:r>
    </w:p>
    <w:p w14:paraId="01728B7C" w14:textId="77777777" w:rsidR="00822CE0" w:rsidRDefault="00822CE0">
      <w:pPr>
        <w:rPr>
          <w:spacing w:val="-2"/>
        </w:rPr>
      </w:pPr>
    </w:p>
    <w:p w14:paraId="225DC940" w14:textId="244C9FE1" w:rsidR="002C00E8" w:rsidRDefault="00F2610B" w:rsidP="00F2610B">
      <w:pPr>
        <w:pStyle w:val="ParaNum"/>
      </w:pPr>
      <w:r>
        <w:t xml:space="preserve">We have before us the Application for Review </w:t>
      </w:r>
      <w:r w:rsidR="00A335D4">
        <w:t xml:space="preserve">(“AFR”) </w:t>
      </w:r>
      <w:r>
        <w:t xml:space="preserve">filed by WKMJ Radio Live The People Station, Inc. (“WKMJ”) seeking Commission review of a Media Bureau </w:t>
      </w:r>
      <w:r w:rsidR="00A672F7">
        <w:t xml:space="preserve">(“Bureau”) </w:t>
      </w:r>
      <w:r>
        <w:t>decision</w:t>
      </w:r>
      <w:r w:rsidR="000077E7">
        <w:rPr>
          <w:rStyle w:val="FootnoteReference"/>
        </w:rPr>
        <w:footnoteReference w:id="2"/>
      </w:r>
      <w:r>
        <w:t xml:space="preserve"> that </w:t>
      </w:r>
      <w:r w:rsidR="00715457">
        <w:t xml:space="preserve">denied reconsideration </w:t>
      </w:r>
      <w:r w:rsidR="008D35D4">
        <w:t xml:space="preserve">of </w:t>
      </w:r>
      <w:r>
        <w:t xml:space="preserve">the dismissal of its </w:t>
      </w:r>
      <w:r w:rsidR="00A672F7">
        <w:t xml:space="preserve">captioned </w:t>
      </w:r>
      <w:r>
        <w:t>application for a construction permit for a new LPFM station at Pinellas Park, Florida</w:t>
      </w:r>
      <w:r w:rsidR="00A335D4">
        <w:t xml:space="preserve"> (“Application”)</w:t>
      </w:r>
      <w:r>
        <w:t>.</w:t>
      </w:r>
      <w:r w:rsidR="00A335D4">
        <w:t xml:space="preserve">  The Bureau dismissed the Application</w:t>
      </w:r>
      <w:r w:rsidR="00CD0512">
        <w:rPr>
          <w:rStyle w:val="FootnoteReference"/>
        </w:rPr>
        <w:footnoteReference w:id="3"/>
      </w:r>
      <w:r w:rsidR="00A335D4">
        <w:t xml:space="preserve"> on the grounds that WKJM was not eligible to hold an LPFM license because its </w:t>
      </w:r>
      <w:r w:rsidR="00B055D2">
        <w:t>CEO and 50 percent voting shareholder</w:t>
      </w:r>
      <w:r w:rsidR="00A335D4">
        <w:t>, Kervenson Joseph</w:t>
      </w:r>
      <w:r w:rsidR="00B055D2">
        <w:t xml:space="preserve"> (“Joseph”)</w:t>
      </w:r>
      <w:r w:rsidR="00A335D4">
        <w:t>,</w:t>
      </w:r>
      <w:r w:rsidR="0013149A">
        <w:rPr>
          <w:rStyle w:val="FootnoteReference"/>
        </w:rPr>
        <w:footnoteReference w:id="4"/>
      </w:r>
      <w:r w:rsidR="00A335D4">
        <w:t xml:space="preserve"> had engaged in unlicensed operation of a radio station in violation of Section 301 of the Communication Act of 1934, as amended</w:t>
      </w:r>
      <w:r w:rsidR="00DC2CED">
        <w:t xml:space="preserve"> (“Act”)</w:t>
      </w:r>
      <w:r w:rsidR="00A335D4">
        <w:t>.</w:t>
      </w:r>
      <w:r w:rsidR="00190A9C">
        <w:rPr>
          <w:rStyle w:val="FootnoteReference"/>
        </w:rPr>
        <w:footnoteReference w:id="5"/>
      </w:r>
    </w:p>
    <w:p w14:paraId="0C613941" w14:textId="1C15DDDC" w:rsidR="00A672F7" w:rsidRDefault="006715D0" w:rsidP="004143F2">
      <w:pPr>
        <w:pStyle w:val="ParaNum"/>
        <w:widowControl/>
      </w:pPr>
      <w:r w:rsidRPr="0021344D">
        <w:rPr>
          <w:snapToGrid/>
        </w:rPr>
        <w:t xml:space="preserve">In the AFR, </w:t>
      </w:r>
      <w:r w:rsidR="00C120C0" w:rsidRPr="0021344D">
        <w:rPr>
          <w:snapToGrid/>
        </w:rPr>
        <w:t xml:space="preserve">as in the Petition, </w:t>
      </w:r>
      <w:r w:rsidRPr="0021344D">
        <w:rPr>
          <w:snapToGrid/>
        </w:rPr>
        <w:t>WKMJ does not dispute the factual findings</w:t>
      </w:r>
      <w:r w:rsidR="00C120C0" w:rsidRPr="0021344D">
        <w:rPr>
          <w:snapToGrid/>
        </w:rPr>
        <w:t xml:space="preserve"> of the </w:t>
      </w:r>
      <w:r w:rsidRPr="0021344D">
        <w:rPr>
          <w:i/>
          <w:snapToGrid/>
        </w:rPr>
        <w:t xml:space="preserve">Staff Decision </w:t>
      </w:r>
      <w:r w:rsidRPr="00B94848">
        <w:t xml:space="preserve">and </w:t>
      </w:r>
      <w:r w:rsidRPr="0021344D">
        <w:rPr>
          <w:i/>
          <w:snapToGrid/>
        </w:rPr>
        <w:t>Reconsideration Decision</w:t>
      </w:r>
      <w:r w:rsidR="00C120C0" w:rsidRPr="0021344D">
        <w:rPr>
          <w:snapToGrid/>
        </w:rPr>
        <w:t>, but argues that the Bureau made a procedural</w:t>
      </w:r>
      <w:r w:rsidRPr="0021344D">
        <w:rPr>
          <w:snapToGrid/>
        </w:rPr>
        <w:t xml:space="preserve"> </w:t>
      </w:r>
      <w:r w:rsidR="00C120C0" w:rsidRPr="0021344D">
        <w:rPr>
          <w:snapToGrid/>
        </w:rPr>
        <w:t>error</w:t>
      </w:r>
      <w:r w:rsidRPr="0021344D">
        <w:rPr>
          <w:snapToGrid/>
        </w:rPr>
        <w:t xml:space="preserve"> in relying on a case report obtained from the Pinellas Park Police Department </w:t>
      </w:r>
      <w:r w:rsidR="00161428" w:rsidRPr="0021344D">
        <w:rPr>
          <w:snapToGrid/>
        </w:rPr>
        <w:t>(“Case Report”)</w:t>
      </w:r>
      <w:r w:rsidR="00432415">
        <w:rPr>
          <w:snapToGrid/>
        </w:rPr>
        <w:t xml:space="preserve"> </w:t>
      </w:r>
      <w:r w:rsidRPr="0021344D">
        <w:rPr>
          <w:snapToGrid/>
        </w:rPr>
        <w:t>and a Notice of Unlicensed O</w:t>
      </w:r>
      <w:r w:rsidR="00C120C0" w:rsidRPr="0021344D">
        <w:rPr>
          <w:snapToGrid/>
        </w:rPr>
        <w:t>p</w:t>
      </w:r>
      <w:r w:rsidRPr="0021344D">
        <w:rPr>
          <w:snapToGrid/>
        </w:rPr>
        <w:t xml:space="preserve">eration </w:t>
      </w:r>
      <w:r w:rsidR="00C120C0" w:rsidRPr="0021344D">
        <w:rPr>
          <w:snapToGrid/>
        </w:rPr>
        <w:t>(“NOUO”) issue</w:t>
      </w:r>
      <w:r w:rsidR="002B7069" w:rsidRPr="0021344D">
        <w:rPr>
          <w:snapToGrid/>
        </w:rPr>
        <w:t>d</w:t>
      </w:r>
      <w:r w:rsidR="00C120C0" w:rsidRPr="0021344D">
        <w:rPr>
          <w:snapToGrid/>
        </w:rPr>
        <w:t xml:space="preserve"> by the Enforcement Bureau</w:t>
      </w:r>
      <w:r w:rsidR="001801B1">
        <w:rPr>
          <w:snapToGrid/>
        </w:rPr>
        <w:t xml:space="preserve"> (“EB”)</w:t>
      </w:r>
      <w:r w:rsidR="00C120C0" w:rsidRPr="0021344D">
        <w:rPr>
          <w:snapToGrid/>
        </w:rPr>
        <w:t xml:space="preserve">, </w:t>
      </w:r>
      <w:r w:rsidR="00161428" w:rsidRPr="0021344D">
        <w:rPr>
          <w:snapToGrid/>
        </w:rPr>
        <w:t xml:space="preserve">both of </w:t>
      </w:r>
      <w:r w:rsidR="00C120C0" w:rsidRPr="0021344D">
        <w:rPr>
          <w:snapToGrid/>
        </w:rPr>
        <w:t xml:space="preserve">which document </w:t>
      </w:r>
      <w:r w:rsidR="00DC2CED" w:rsidRPr="0021344D">
        <w:rPr>
          <w:snapToGrid/>
        </w:rPr>
        <w:t>engaging in</w:t>
      </w:r>
      <w:r w:rsidR="00161428" w:rsidRPr="0021344D">
        <w:rPr>
          <w:snapToGrid/>
        </w:rPr>
        <w:t xml:space="preserve"> </w:t>
      </w:r>
      <w:r w:rsidR="00C120C0" w:rsidRPr="0021344D">
        <w:rPr>
          <w:snapToGrid/>
        </w:rPr>
        <w:t>unlicensed radio broadcasting</w:t>
      </w:r>
      <w:r w:rsidR="008F08FA">
        <w:rPr>
          <w:snapToGrid/>
        </w:rPr>
        <w:t xml:space="preserve"> on November 15, 2013, when two EB field agents, accompanied by a Pinellas Park Police officer, inspected the facility in </w:t>
      </w:r>
      <w:r w:rsidR="00B02C35">
        <w:rPr>
          <w:snapToGrid/>
        </w:rPr>
        <w:t xml:space="preserve">Joseph’s </w:t>
      </w:r>
      <w:r w:rsidR="008F08FA">
        <w:rPr>
          <w:snapToGrid/>
        </w:rPr>
        <w:t>presence</w:t>
      </w:r>
      <w:r w:rsidR="00161428" w:rsidRPr="0021344D">
        <w:rPr>
          <w:snapToGrid/>
        </w:rPr>
        <w:t>.</w:t>
      </w:r>
      <w:r w:rsidR="00156491">
        <w:rPr>
          <w:rStyle w:val="FootnoteReference"/>
          <w:snapToGrid/>
        </w:rPr>
        <w:footnoteReference w:id="6"/>
      </w:r>
      <w:r w:rsidR="00161428" w:rsidRPr="0021344D">
        <w:rPr>
          <w:snapToGrid/>
        </w:rPr>
        <w:t xml:space="preserve">  WKMJ </w:t>
      </w:r>
      <w:r w:rsidR="00F90899">
        <w:rPr>
          <w:snapToGrid/>
        </w:rPr>
        <w:t>also</w:t>
      </w:r>
      <w:r w:rsidR="00B94848" w:rsidRPr="0012024A">
        <w:rPr>
          <w:snapToGrid/>
        </w:rPr>
        <w:t xml:space="preserve"> </w:t>
      </w:r>
      <w:r w:rsidR="00563455" w:rsidRPr="0021344D">
        <w:rPr>
          <w:snapToGrid/>
        </w:rPr>
        <w:lastRenderedPageBreak/>
        <w:t xml:space="preserve">maintains </w:t>
      </w:r>
      <w:r w:rsidR="00161428" w:rsidRPr="0021344D">
        <w:rPr>
          <w:snapToGrid/>
        </w:rPr>
        <w:t>that it was not afforded</w:t>
      </w:r>
      <w:r w:rsidR="00C120C0" w:rsidRPr="0021344D">
        <w:rPr>
          <w:snapToGrid/>
        </w:rPr>
        <w:t xml:space="preserve"> an opportunity to respond to the</w:t>
      </w:r>
      <w:r w:rsidR="00715457" w:rsidRPr="0021344D">
        <w:rPr>
          <w:snapToGrid/>
        </w:rPr>
        <w:t>se</w:t>
      </w:r>
      <w:r w:rsidR="00C120C0" w:rsidRPr="0021344D">
        <w:rPr>
          <w:snapToGrid/>
        </w:rPr>
        <w:t xml:space="preserve"> allegations</w:t>
      </w:r>
      <w:r w:rsidR="00563455" w:rsidRPr="0021344D">
        <w:rPr>
          <w:snapToGrid/>
        </w:rPr>
        <w:t>, in violation of its due process rights</w:t>
      </w:r>
      <w:r w:rsidR="00C120C0" w:rsidRPr="0021344D">
        <w:rPr>
          <w:snapToGrid/>
        </w:rPr>
        <w:t>.</w:t>
      </w:r>
      <w:r w:rsidR="00563455" w:rsidRPr="003F1DE8">
        <w:rPr>
          <w:rStyle w:val="FootnoteReference"/>
        </w:rPr>
        <w:footnoteReference w:id="7"/>
      </w:r>
    </w:p>
    <w:p w14:paraId="7111B212" w14:textId="6665C493" w:rsidR="00685317" w:rsidRDefault="00A672F7" w:rsidP="00A3712D">
      <w:pPr>
        <w:pStyle w:val="ParaNum"/>
      </w:pPr>
      <w:r>
        <w:t xml:space="preserve">In fact, </w:t>
      </w:r>
      <w:r w:rsidR="008C3652">
        <w:t>Joseph</w:t>
      </w:r>
      <w:r w:rsidR="00F14AE9">
        <w:t xml:space="preserve"> and </w:t>
      </w:r>
      <w:r w:rsidR="001801B1">
        <w:t>WKMJ were provided numerous opportunities to respond to th</w:t>
      </w:r>
      <w:r w:rsidR="002C6775">
        <w:t>e</w:t>
      </w:r>
      <w:r w:rsidR="001801B1">
        <w:t xml:space="preserve"> allegations </w:t>
      </w:r>
      <w:r w:rsidR="00B94848" w:rsidRPr="00CC5358">
        <w:rPr>
          <w:snapToGrid/>
        </w:rPr>
        <w:t xml:space="preserve">of </w:t>
      </w:r>
      <w:r w:rsidR="008C3652">
        <w:rPr>
          <w:snapToGrid/>
        </w:rPr>
        <w:t>Joseph</w:t>
      </w:r>
      <w:r w:rsidR="008F08FA" w:rsidRPr="00CC5358">
        <w:rPr>
          <w:snapToGrid/>
        </w:rPr>
        <w:t xml:space="preserve">’s </w:t>
      </w:r>
      <w:r w:rsidR="00B94848" w:rsidRPr="00CC5358">
        <w:rPr>
          <w:snapToGrid/>
        </w:rPr>
        <w:t>unlicensed operation</w:t>
      </w:r>
      <w:r w:rsidR="00761FC5" w:rsidRPr="0021344D">
        <w:rPr>
          <w:snapToGrid/>
        </w:rPr>
        <w:t xml:space="preserve">.  </w:t>
      </w:r>
      <w:r w:rsidR="00761FC5" w:rsidRPr="00CC5358">
        <w:t>A</w:t>
      </w:r>
      <w:r w:rsidR="00761FC5" w:rsidRPr="00CC5358">
        <w:rPr>
          <w:snapToGrid/>
        </w:rPr>
        <w:t xml:space="preserve">s noted in the </w:t>
      </w:r>
      <w:r w:rsidR="00761FC5" w:rsidRPr="0021344D">
        <w:rPr>
          <w:i/>
          <w:snapToGrid/>
        </w:rPr>
        <w:t>Reconsideration Decision,</w:t>
      </w:r>
      <w:r w:rsidR="00761FC5" w:rsidRPr="00CC5358">
        <w:rPr>
          <w:snapToGrid/>
        </w:rPr>
        <w:t xml:space="preserve"> </w:t>
      </w:r>
      <w:r w:rsidR="00C21D88" w:rsidRPr="00CC5358">
        <w:rPr>
          <w:snapToGrid/>
        </w:rPr>
        <w:t xml:space="preserve">the NOUO, </w:t>
      </w:r>
      <w:r w:rsidR="00B94848" w:rsidRPr="00CC5358">
        <w:rPr>
          <w:snapToGrid/>
        </w:rPr>
        <w:t xml:space="preserve">which </w:t>
      </w:r>
      <w:r w:rsidR="00CC5358" w:rsidRPr="0021344D">
        <w:rPr>
          <w:snapToGrid/>
        </w:rPr>
        <w:t xml:space="preserve">was sent to </w:t>
      </w:r>
      <w:r w:rsidR="008C3652">
        <w:rPr>
          <w:snapToGrid/>
        </w:rPr>
        <w:t>Joseph</w:t>
      </w:r>
      <w:r w:rsidR="00CC5358" w:rsidRPr="0021344D">
        <w:rPr>
          <w:snapToGrid/>
        </w:rPr>
        <w:t xml:space="preserve">, </w:t>
      </w:r>
      <w:r w:rsidR="008F08FA" w:rsidRPr="00CC5358">
        <w:rPr>
          <w:snapToGrid/>
        </w:rPr>
        <w:t>ex</w:t>
      </w:r>
      <w:r w:rsidR="0021344D">
        <w:rPr>
          <w:snapToGrid/>
        </w:rPr>
        <w:t xml:space="preserve">pressly </w:t>
      </w:r>
      <w:r w:rsidR="003C4439">
        <w:rPr>
          <w:snapToGrid/>
        </w:rPr>
        <w:t>asked him</w:t>
      </w:r>
      <w:r w:rsidR="00761FC5" w:rsidRPr="00CC5358">
        <w:rPr>
          <w:snapToGrid/>
        </w:rPr>
        <w:t xml:space="preserve"> </w:t>
      </w:r>
      <w:r w:rsidR="00C21D88" w:rsidRPr="00CC5358">
        <w:rPr>
          <w:snapToGrid/>
        </w:rPr>
        <w:t>to</w:t>
      </w:r>
      <w:r w:rsidR="00761FC5" w:rsidRPr="00CC5358">
        <w:rPr>
          <w:snapToGrid/>
        </w:rPr>
        <w:t xml:space="preserve"> “respond with any evidence that you have authority to operate granted by the FCC</w:t>
      </w:r>
      <w:r w:rsidR="00C21D88" w:rsidRPr="00CC5358">
        <w:rPr>
          <w:snapToGrid/>
        </w:rPr>
        <w:t>,</w:t>
      </w:r>
      <w:r w:rsidR="00B01AAF" w:rsidRPr="00CC5358">
        <w:rPr>
          <w:snapToGrid/>
        </w:rPr>
        <w:t>”</w:t>
      </w:r>
      <w:r w:rsidR="00C21D88" w:rsidRPr="00CC5358">
        <w:rPr>
          <w:snapToGrid/>
        </w:rPr>
        <w:t xml:space="preserve"> which </w:t>
      </w:r>
      <w:r w:rsidR="0012024A" w:rsidRPr="00CC5358">
        <w:rPr>
          <w:snapToGrid/>
        </w:rPr>
        <w:t>he</w:t>
      </w:r>
      <w:r w:rsidR="00C21D88" w:rsidRPr="00CC5358">
        <w:rPr>
          <w:snapToGrid/>
        </w:rPr>
        <w:t xml:space="preserve"> failed to do.</w:t>
      </w:r>
      <w:r>
        <w:rPr>
          <w:rStyle w:val="FootnoteReference"/>
          <w:snapToGrid/>
        </w:rPr>
        <w:footnoteReference w:id="8"/>
      </w:r>
      <w:r w:rsidR="00761FC5" w:rsidRPr="00CC5358">
        <w:rPr>
          <w:snapToGrid/>
        </w:rPr>
        <w:t xml:space="preserve">  </w:t>
      </w:r>
      <w:r w:rsidR="003C4439">
        <w:rPr>
          <w:snapToGrid/>
        </w:rPr>
        <w:t>Further, the</w:t>
      </w:r>
      <w:r w:rsidR="00B01AAF" w:rsidRPr="00CC5358">
        <w:rPr>
          <w:snapToGrid/>
        </w:rPr>
        <w:t xml:space="preserve"> Case Report </w:t>
      </w:r>
      <w:r w:rsidR="00C65F6C">
        <w:rPr>
          <w:snapToGrid/>
        </w:rPr>
        <w:t xml:space="preserve">of </w:t>
      </w:r>
      <w:r w:rsidR="008C3652">
        <w:rPr>
          <w:snapToGrid/>
        </w:rPr>
        <w:t>Joseph</w:t>
      </w:r>
      <w:r w:rsidR="00C65F6C">
        <w:rPr>
          <w:snapToGrid/>
        </w:rPr>
        <w:t xml:space="preserve">’s arrest </w:t>
      </w:r>
      <w:r w:rsidR="00B01AAF" w:rsidRPr="00CC5358">
        <w:rPr>
          <w:snapToGrid/>
        </w:rPr>
        <w:t xml:space="preserve">was appended to the </w:t>
      </w:r>
      <w:r w:rsidR="00B01AAF" w:rsidRPr="0021344D">
        <w:rPr>
          <w:i/>
          <w:snapToGrid/>
        </w:rPr>
        <w:t>Staff Decision</w:t>
      </w:r>
      <w:r w:rsidR="00B01AAF" w:rsidRPr="00CC5358">
        <w:rPr>
          <w:snapToGrid/>
        </w:rPr>
        <w:t xml:space="preserve">, </w:t>
      </w:r>
      <w:r w:rsidR="003C4439">
        <w:rPr>
          <w:snapToGrid/>
        </w:rPr>
        <w:t xml:space="preserve">and </w:t>
      </w:r>
      <w:r w:rsidR="00761FC5" w:rsidRPr="0021344D">
        <w:rPr>
          <w:snapToGrid/>
        </w:rPr>
        <w:t xml:space="preserve">WKMJ </w:t>
      </w:r>
      <w:r w:rsidR="00C65F6C">
        <w:rPr>
          <w:snapToGrid/>
        </w:rPr>
        <w:t xml:space="preserve">also failed </w:t>
      </w:r>
      <w:r w:rsidR="0021344D">
        <w:rPr>
          <w:snapToGrid/>
        </w:rPr>
        <w:t xml:space="preserve">to </w:t>
      </w:r>
      <w:r w:rsidR="00C65F6C">
        <w:rPr>
          <w:snapToGrid/>
        </w:rPr>
        <w:t>respond to it</w:t>
      </w:r>
      <w:r w:rsidR="00761FC5" w:rsidRPr="0021344D">
        <w:rPr>
          <w:snapToGrid/>
        </w:rPr>
        <w:t xml:space="preserve"> </w:t>
      </w:r>
      <w:r w:rsidR="003C4439">
        <w:rPr>
          <w:snapToGrid/>
        </w:rPr>
        <w:t xml:space="preserve">either </w:t>
      </w:r>
      <w:r w:rsidR="00F90899">
        <w:rPr>
          <w:snapToGrid/>
        </w:rPr>
        <w:t xml:space="preserve">in </w:t>
      </w:r>
      <w:r w:rsidR="0021344D">
        <w:rPr>
          <w:snapToGrid/>
        </w:rPr>
        <w:t>its</w:t>
      </w:r>
      <w:r w:rsidR="00761FC5" w:rsidRPr="0021344D">
        <w:rPr>
          <w:snapToGrid/>
        </w:rPr>
        <w:t xml:space="preserve"> Petition </w:t>
      </w:r>
      <w:r w:rsidR="008F08FA" w:rsidRPr="00CC5358">
        <w:rPr>
          <w:snapToGrid/>
        </w:rPr>
        <w:t>or</w:t>
      </w:r>
      <w:r w:rsidR="00761FC5" w:rsidRPr="0021344D">
        <w:rPr>
          <w:snapToGrid/>
        </w:rPr>
        <w:t xml:space="preserve"> in </w:t>
      </w:r>
      <w:r w:rsidR="0021344D">
        <w:rPr>
          <w:snapToGrid/>
        </w:rPr>
        <w:t>its</w:t>
      </w:r>
      <w:r w:rsidR="00761FC5" w:rsidRPr="0021344D">
        <w:rPr>
          <w:snapToGrid/>
        </w:rPr>
        <w:t xml:space="preserve"> AF</w:t>
      </w:r>
      <w:r w:rsidR="0012024A" w:rsidRPr="00CC5358">
        <w:rPr>
          <w:snapToGrid/>
        </w:rPr>
        <w:t>R</w:t>
      </w:r>
      <w:r w:rsidR="00761FC5" w:rsidRPr="00CC5358">
        <w:t>.</w:t>
      </w:r>
      <w:r w:rsidR="0021344D">
        <w:rPr>
          <w:rStyle w:val="FootnoteReference"/>
        </w:rPr>
        <w:footnoteReference w:id="9"/>
      </w:r>
      <w:r w:rsidR="00761FC5" w:rsidRPr="00CC5358">
        <w:t xml:space="preserve"> </w:t>
      </w:r>
      <w:r w:rsidR="00CC5358" w:rsidRPr="00C65F6C">
        <w:t xml:space="preserve">The EB NOUO’s finding that </w:t>
      </w:r>
      <w:r w:rsidR="008C3652">
        <w:t>Joseph</w:t>
      </w:r>
      <w:r w:rsidR="00CC5358" w:rsidRPr="00C65F6C">
        <w:t xml:space="preserve">’s operation appeared to be unlicensed and in violation of Section 301 of the Act, coupled with his failure to </w:t>
      </w:r>
      <w:r w:rsidR="00C65F6C" w:rsidRPr="0021344D">
        <w:t>provide</w:t>
      </w:r>
      <w:r w:rsidR="00CC5358" w:rsidRPr="00C65F6C">
        <w:t xml:space="preserve"> any evidence that he had </w:t>
      </w:r>
      <w:r w:rsidR="002C6775">
        <w:t>Commission</w:t>
      </w:r>
      <w:r w:rsidR="00CC5358" w:rsidRPr="00C65F6C">
        <w:t xml:space="preserve"> authority to </w:t>
      </w:r>
      <w:r w:rsidR="00C65F6C" w:rsidRPr="0021344D">
        <w:t xml:space="preserve">so </w:t>
      </w:r>
      <w:r w:rsidR="00CC5358" w:rsidRPr="00C65F6C">
        <w:t xml:space="preserve">operate, was sufficient to warrant the dismissal of the Application. </w:t>
      </w:r>
      <w:r w:rsidR="00761FC5" w:rsidRPr="00C65F6C">
        <w:t xml:space="preserve">As noted by the Bureau in the </w:t>
      </w:r>
      <w:r w:rsidR="003F1DE8" w:rsidRPr="0021344D">
        <w:rPr>
          <w:i/>
        </w:rPr>
        <w:t>Staff Decision</w:t>
      </w:r>
      <w:r w:rsidR="008C3652" w:rsidRPr="008C3652">
        <w:rPr>
          <w:rStyle w:val="FootnoteReference"/>
        </w:rPr>
        <w:footnoteReference w:id="10"/>
      </w:r>
      <w:r w:rsidR="003F1DE8" w:rsidRPr="00CC5358">
        <w:t xml:space="preserve">  and the</w:t>
      </w:r>
      <w:r w:rsidR="00C21D88" w:rsidRPr="00CC5358">
        <w:t xml:space="preserve"> </w:t>
      </w:r>
      <w:r w:rsidR="00C21D88" w:rsidRPr="0021344D">
        <w:rPr>
          <w:i/>
        </w:rPr>
        <w:t>R</w:t>
      </w:r>
      <w:r w:rsidR="003F1DE8" w:rsidRPr="0021344D">
        <w:rPr>
          <w:i/>
        </w:rPr>
        <w:t>econ</w:t>
      </w:r>
      <w:r w:rsidR="00C21D88" w:rsidRPr="00CC5358">
        <w:rPr>
          <w:i/>
        </w:rPr>
        <w:t>sideration D</w:t>
      </w:r>
      <w:r w:rsidR="003F1DE8" w:rsidRPr="0021344D">
        <w:rPr>
          <w:i/>
        </w:rPr>
        <w:t>ecision</w:t>
      </w:r>
      <w:r w:rsidR="008C3652">
        <w:t>,</w:t>
      </w:r>
      <w:r w:rsidR="008C3652" w:rsidRPr="008C3652">
        <w:rPr>
          <w:rStyle w:val="FootnoteReference"/>
        </w:rPr>
        <w:footnoteReference w:id="11"/>
      </w:r>
      <w:r w:rsidR="003F1DE8" w:rsidRPr="00CC5358">
        <w:t xml:space="preserve"> </w:t>
      </w:r>
      <w:r w:rsidR="00B01AAF" w:rsidRPr="00CC5358">
        <w:t xml:space="preserve">no formal Commission determination of illegal operation is necessary to disqualify a LPFM applicant: </w:t>
      </w:r>
      <w:r w:rsidR="003F1DE8" w:rsidRPr="00CC5358">
        <w:t>“an applicant will be ineligible to hold an LPFM license regardless of whether the Commission has made a specific finding that a party has engaged in such conduct.”</w:t>
      </w:r>
      <w:r w:rsidR="003F1DE8" w:rsidRPr="00CC5358">
        <w:rPr>
          <w:rStyle w:val="FootnoteReference"/>
        </w:rPr>
        <w:footnoteReference w:id="12"/>
      </w:r>
      <w:r w:rsidR="003F1DE8" w:rsidRPr="00CC5358">
        <w:t xml:space="preserve"> </w:t>
      </w:r>
      <w:r w:rsidR="002C6775">
        <w:t xml:space="preserve"> </w:t>
      </w:r>
      <w:r w:rsidR="008F08FA" w:rsidRPr="00CC5358">
        <w:t xml:space="preserve">Thus we </w:t>
      </w:r>
      <w:r w:rsidR="003C4439">
        <w:t>affirm</w:t>
      </w:r>
      <w:r w:rsidR="008F08FA" w:rsidRPr="00CC5358">
        <w:t xml:space="preserve"> the Bureau’s dismissal of the Application</w:t>
      </w:r>
      <w:r w:rsidR="002C6775">
        <w:t xml:space="preserve"> based on its reliance on the </w:t>
      </w:r>
      <w:r w:rsidR="00161428" w:rsidRPr="00CC5358">
        <w:t xml:space="preserve">Case Report and the </w:t>
      </w:r>
      <w:r w:rsidR="00A335D4" w:rsidRPr="00CC5358">
        <w:t>N</w:t>
      </w:r>
      <w:r w:rsidR="003749C3" w:rsidRPr="00CC5358">
        <w:t>O</w:t>
      </w:r>
      <w:r w:rsidR="00A335D4" w:rsidRPr="00CC5358">
        <w:t>UO</w:t>
      </w:r>
      <w:r w:rsidR="002C6775">
        <w:t>.</w:t>
      </w:r>
      <w:r w:rsidR="00161428" w:rsidRPr="00CC5358">
        <w:rPr>
          <w:rStyle w:val="FootnoteReference"/>
        </w:rPr>
        <w:footnoteReference w:id="13"/>
      </w:r>
      <w:r w:rsidR="002C6775">
        <w:t xml:space="preserve">  </w:t>
      </w:r>
      <w:r w:rsidR="00C0584D">
        <w:t xml:space="preserve">For the reasons discussed herein and in the Bureau’s </w:t>
      </w:r>
      <w:r w:rsidR="00C0584D" w:rsidRPr="0021344D">
        <w:rPr>
          <w:i/>
        </w:rPr>
        <w:t>Staff Decision</w:t>
      </w:r>
      <w:r w:rsidR="00C0584D">
        <w:t xml:space="preserve"> and </w:t>
      </w:r>
      <w:r w:rsidR="00C0584D" w:rsidRPr="0021344D">
        <w:rPr>
          <w:i/>
        </w:rPr>
        <w:t>Reconsideration Decision</w:t>
      </w:r>
      <w:r w:rsidR="00C0584D">
        <w:t>, the fact of that illegal operation is of decision</w:t>
      </w:r>
      <w:r w:rsidR="00B01AAF">
        <w:t>al</w:t>
      </w:r>
      <w:r w:rsidR="00C0584D">
        <w:t xml:space="preserve"> significance here, as it disqualifies</w:t>
      </w:r>
      <w:r w:rsidR="00C65F6C">
        <w:t xml:space="preserve"> WKMJ</w:t>
      </w:r>
      <w:r w:rsidR="00F90899">
        <w:t xml:space="preserve"> and Joseph</w:t>
      </w:r>
      <w:r w:rsidR="00C65F6C">
        <w:t xml:space="preserve">, by statute, </w:t>
      </w:r>
      <w:r w:rsidR="008F08FA">
        <w:t>from holding a LPFM authorization</w:t>
      </w:r>
      <w:r w:rsidR="00C0584D">
        <w:t xml:space="preserve">.  </w:t>
      </w:r>
    </w:p>
    <w:p w14:paraId="45E3A1F2" w14:textId="04190CF0" w:rsidR="00C41D32" w:rsidRDefault="00A335D4" w:rsidP="00C41D32">
      <w:pPr>
        <w:pStyle w:val="ParaNum"/>
        <w:widowControl/>
        <w:rPr>
          <w:szCs w:val="22"/>
        </w:rPr>
      </w:pPr>
      <w:r>
        <w:rPr>
          <w:szCs w:val="22"/>
        </w:rPr>
        <w:t>ACCORDINGLY, IT IS ORDERED that</w:t>
      </w:r>
      <w:r w:rsidRPr="008121A6">
        <w:rPr>
          <w:szCs w:val="22"/>
        </w:rPr>
        <w:t xml:space="preserve"> the Application for Review filed by </w:t>
      </w:r>
      <w:r w:rsidR="006715D0">
        <w:rPr>
          <w:szCs w:val="22"/>
        </w:rPr>
        <w:t>WKMJ Radio Live The People Station, Inc.</w:t>
      </w:r>
      <w:r w:rsidRPr="008121A6">
        <w:rPr>
          <w:szCs w:val="22"/>
        </w:rPr>
        <w:t xml:space="preserve">, on </w:t>
      </w:r>
      <w:r>
        <w:rPr>
          <w:szCs w:val="22"/>
        </w:rPr>
        <w:t xml:space="preserve">August </w:t>
      </w:r>
      <w:r w:rsidR="006715D0">
        <w:rPr>
          <w:szCs w:val="22"/>
        </w:rPr>
        <w:t>21</w:t>
      </w:r>
      <w:r w:rsidR="00D13BB3">
        <w:rPr>
          <w:szCs w:val="22"/>
        </w:rPr>
        <w:t xml:space="preserve">, </w:t>
      </w:r>
      <w:r>
        <w:rPr>
          <w:szCs w:val="22"/>
        </w:rPr>
        <w:t>2015</w:t>
      </w:r>
      <w:r w:rsidRPr="008121A6">
        <w:rPr>
          <w:szCs w:val="22"/>
        </w:rPr>
        <w:t xml:space="preserve">, IS </w:t>
      </w:r>
      <w:r w:rsidRPr="007B7840">
        <w:t xml:space="preserve">DENIED, pursuant to </w:t>
      </w:r>
      <w:r>
        <w:t>S</w:t>
      </w:r>
      <w:r w:rsidRPr="007B7840">
        <w:t xml:space="preserve">ection 5(c)(5) of the Communications Act of 1934, as amended, and </w:t>
      </w:r>
      <w:r>
        <w:t>S</w:t>
      </w:r>
      <w:r w:rsidRPr="007B7840">
        <w:t>ectio</w:t>
      </w:r>
      <w:r>
        <w:t>n 1.115(g) of the Commission’s Rules.</w:t>
      </w:r>
      <w:r>
        <w:rPr>
          <w:rStyle w:val="FootnoteReference"/>
        </w:rPr>
        <w:footnoteReference w:id="14"/>
      </w:r>
    </w:p>
    <w:p w14:paraId="5C23D59F" w14:textId="77777777" w:rsidR="00C41D32" w:rsidRDefault="00C41D32" w:rsidP="0017296B"/>
    <w:p w14:paraId="6EAE1643" w14:textId="77777777" w:rsidR="00685317" w:rsidRDefault="00685317" w:rsidP="0017296B">
      <w:r>
        <w:tab/>
      </w:r>
      <w:r>
        <w:tab/>
      </w:r>
      <w:r>
        <w:tab/>
      </w:r>
      <w:r>
        <w:tab/>
      </w:r>
      <w:r>
        <w:tab/>
      </w:r>
      <w:r>
        <w:tab/>
        <w:t>FEDERAL COMMUNICATIONS COMMISSION</w:t>
      </w:r>
    </w:p>
    <w:p w14:paraId="2798FC68" w14:textId="77777777" w:rsidR="00685317" w:rsidRDefault="00685317" w:rsidP="0017296B"/>
    <w:p w14:paraId="3317E332" w14:textId="77777777" w:rsidR="00685317" w:rsidRDefault="00685317" w:rsidP="0017296B"/>
    <w:p w14:paraId="3673BE98" w14:textId="77777777" w:rsidR="00685317" w:rsidRDefault="00685317" w:rsidP="0017296B"/>
    <w:p w14:paraId="1163A75C" w14:textId="77777777" w:rsidR="00685317" w:rsidRDefault="00685317" w:rsidP="0017296B"/>
    <w:p w14:paraId="37183B9B" w14:textId="77777777" w:rsidR="00685317" w:rsidRDefault="00685317" w:rsidP="0017296B">
      <w:r>
        <w:tab/>
      </w:r>
      <w:r>
        <w:tab/>
      </w:r>
      <w:r>
        <w:tab/>
      </w:r>
      <w:r>
        <w:tab/>
      </w:r>
      <w:r>
        <w:tab/>
      </w:r>
      <w:r>
        <w:tab/>
        <w:t>Marlene H. Dortch</w:t>
      </w:r>
    </w:p>
    <w:p w14:paraId="37B37237" w14:textId="77777777" w:rsidR="00685317" w:rsidRDefault="00685317" w:rsidP="0017296B">
      <w:r>
        <w:tab/>
      </w:r>
      <w:r>
        <w:tab/>
      </w:r>
      <w:r>
        <w:tab/>
      </w:r>
      <w:r>
        <w:tab/>
      </w:r>
      <w:r>
        <w:tab/>
      </w:r>
      <w:r>
        <w:tab/>
        <w:t>Secretary</w:t>
      </w:r>
    </w:p>
    <w:sectPr w:rsidR="006853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DCDE" w14:textId="77777777" w:rsidR="00FF5C08" w:rsidRDefault="00FF5C08">
      <w:pPr>
        <w:spacing w:line="20" w:lineRule="exact"/>
      </w:pPr>
    </w:p>
  </w:endnote>
  <w:endnote w:type="continuationSeparator" w:id="0">
    <w:p w14:paraId="424EB4E3" w14:textId="77777777" w:rsidR="00FF5C08" w:rsidRDefault="00FF5C08">
      <w:r>
        <w:t xml:space="preserve"> </w:t>
      </w:r>
    </w:p>
  </w:endnote>
  <w:endnote w:type="continuationNotice" w:id="1">
    <w:p w14:paraId="64BD1349" w14:textId="77777777" w:rsidR="00FF5C08" w:rsidRDefault="00FF5C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12E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12AFF8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BF7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21DA">
      <w:rPr>
        <w:noProof/>
      </w:rPr>
      <w:t>2</w:t>
    </w:r>
    <w:r>
      <w:fldChar w:fldCharType="end"/>
    </w:r>
  </w:p>
  <w:p w14:paraId="7D586E4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568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D216" w14:textId="77777777" w:rsidR="00FF5C08" w:rsidRDefault="00FF5C08">
      <w:r>
        <w:separator/>
      </w:r>
    </w:p>
  </w:footnote>
  <w:footnote w:type="continuationSeparator" w:id="0">
    <w:p w14:paraId="65396E6D" w14:textId="77777777" w:rsidR="00FF5C08" w:rsidRDefault="00FF5C08" w:rsidP="00C721AC">
      <w:pPr>
        <w:spacing w:before="120"/>
        <w:rPr>
          <w:sz w:val="20"/>
        </w:rPr>
      </w:pPr>
      <w:r>
        <w:rPr>
          <w:sz w:val="20"/>
        </w:rPr>
        <w:t xml:space="preserve">(Continued from previous page)  </w:t>
      </w:r>
      <w:r>
        <w:rPr>
          <w:sz w:val="20"/>
        </w:rPr>
        <w:separator/>
      </w:r>
    </w:p>
  </w:footnote>
  <w:footnote w:type="continuationNotice" w:id="1">
    <w:p w14:paraId="3C55477B" w14:textId="77777777" w:rsidR="00FF5C08" w:rsidRDefault="00FF5C08" w:rsidP="00C721AC">
      <w:pPr>
        <w:jc w:val="right"/>
        <w:rPr>
          <w:sz w:val="20"/>
        </w:rPr>
      </w:pPr>
      <w:r>
        <w:rPr>
          <w:sz w:val="20"/>
        </w:rPr>
        <w:t>(continued….)</w:t>
      </w:r>
    </w:p>
  </w:footnote>
  <w:footnote w:id="2">
    <w:p w14:paraId="017FA1E1" w14:textId="77777777" w:rsidR="000077E7" w:rsidRPr="00192BB8" w:rsidRDefault="000077E7">
      <w:pPr>
        <w:pStyle w:val="FootnoteText"/>
      </w:pPr>
      <w:r w:rsidRPr="00192BB8">
        <w:rPr>
          <w:rStyle w:val="FootnoteReference"/>
        </w:rPr>
        <w:footnoteRef/>
      </w:r>
      <w:r w:rsidRPr="00192BB8">
        <w:t xml:space="preserve"> </w:t>
      </w:r>
      <w:r w:rsidRPr="00192BB8">
        <w:rPr>
          <w:i/>
        </w:rPr>
        <w:t xml:space="preserve">WKMJ Radio Live The People </w:t>
      </w:r>
      <w:r w:rsidR="002B7069" w:rsidRPr="00192BB8">
        <w:rPr>
          <w:i/>
        </w:rPr>
        <w:t>Statio</w:t>
      </w:r>
      <w:r w:rsidR="002B7069">
        <w:rPr>
          <w:i/>
        </w:rPr>
        <w:t>n, Inc.</w:t>
      </w:r>
      <w:r w:rsidR="002B7069">
        <w:t>,</w:t>
      </w:r>
      <w:r w:rsidRPr="00192BB8">
        <w:t xml:space="preserve"> Letter, 30 FCC Rcd 7427 (MB 2015) (“</w:t>
      </w:r>
      <w:r w:rsidRPr="00192BB8">
        <w:rPr>
          <w:i/>
        </w:rPr>
        <w:t>Reconsideration Decision</w:t>
      </w:r>
      <w:r w:rsidRPr="00192BB8">
        <w:t>”)</w:t>
      </w:r>
      <w:r w:rsidR="00FA0ADE" w:rsidRPr="00192BB8">
        <w:t xml:space="preserve"> (denying Petition for Reconsideration </w:t>
      </w:r>
      <w:r w:rsidR="00C120C0" w:rsidRPr="00192BB8">
        <w:t xml:space="preserve">(“Petition”) </w:t>
      </w:r>
      <w:r w:rsidR="00FA0ADE" w:rsidRPr="00192BB8">
        <w:t>filed by WKMJ)</w:t>
      </w:r>
      <w:r w:rsidR="002A1315">
        <w:t>.</w:t>
      </w:r>
    </w:p>
  </w:footnote>
  <w:footnote w:id="3">
    <w:p w14:paraId="1871EEE3" w14:textId="77777777" w:rsidR="00CD0512" w:rsidRPr="002A1315" w:rsidRDefault="00CD0512">
      <w:pPr>
        <w:pStyle w:val="FootnoteText"/>
        <w:rPr>
          <w:i/>
        </w:rPr>
      </w:pPr>
      <w:r>
        <w:rPr>
          <w:rStyle w:val="FootnoteReference"/>
        </w:rPr>
        <w:footnoteRef/>
      </w:r>
      <w:r>
        <w:t xml:space="preserve"> </w:t>
      </w:r>
      <w:r>
        <w:rPr>
          <w:i/>
        </w:rPr>
        <w:t xml:space="preserve">See </w:t>
      </w:r>
      <w:r w:rsidRPr="00192BB8">
        <w:rPr>
          <w:i/>
        </w:rPr>
        <w:t>LPFM MX Group 108</w:t>
      </w:r>
      <w:r w:rsidRPr="00192BB8">
        <w:t>, Letter, 1800B3-ATS) (MB Mar. 16, 201</w:t>
      </w:r>
      <w:r>
        <w:t>5</w:t>
      </w:r>
      <w:r w:rsidRPr="00192BB8">
        <w:t>) (“</w:t>
      </w:r>
      <w:r w:rsidRPr="00192BB8">
        <w:rPr>
          <w:i/>
        </w:rPr>
        <w:t>Staff Decision</w:t>
      </w:r>
      <w:r w:rsidRPr="00192BB8">
        <w:t>”).</w:t>
      </w:r>
    </w:p>
  </w:footnote>
  <w:footnote w:id="4">
    <w:p w14:paraId="15E15B34" w14:textId="580C166E" w:rsidR="0013149A" w:rsidRPr="0085288B" w:rsidRDefault="0013149A" w:rsidP="0013149A">
      <w:pPr>
        <w:pStyle w:val="FootnoteText"/>
      </w:pPr>
      <w:r>
        <w:rPr>
          <w:rStyle w:val="FootnoteReference"/>
        </w:rPr>
        <w:footnoteRef/>
      </w:r>
      <w:r>
        <w:t xml:space="preserve"> See A</w:t>
      </w:r>
      <w:r w:rsidR="0085288B">
        <w:t>pplication, Section II</w:t>
      </w:r>
      <w:r>
        <w:t>, Question 3(a) (“Parties to the Application”).</w:t>
      </w:r>
      <w:r w:rsidR="0085288B">
        <w:t xml:space="preserve">  Although this portion of the Application identifies Joseph as “Joseph Kervenson”, all other references to him in the Application are as “Kervenson Joseph.”  </w:t>
      </w:r>
      <w:r w:rsidR="0085288B">
        <w:rPr>
          <w:i/>
        </w:rPr>
        <w:t xml:space="preserve">See </w:t>
      </w:r>
      <w:r w:rsidR="0085288B">
        <w:t>Application Section I, Question 2 (“Contact Representative”); Section V (“Certification”); and Attachment 2 (article of incorporation).  A review of various public records confirms that “Kervenson Joseph” is the correct name.</w:t>
      </w:r>
    </w:p>
  </w:footnote>
  <w:footnote w:id="5">
    <w:p w14:paraId="4A3856D4" w14:textId="3737A84A" w:rsidR="00190A9C" w:rsidRPr="00192BB8" w:rsidRDefault="00190A9C">
      <w:pPr>
        <w:pStyle w:val="FootnoteText"/>
      </w:pPr>
      <w:r w:rsidRPr="00192BB8">
        <w:rPr>
          <w:rStyle w:val="FootnoteReference"/>
        </w:rPr>
        <w:footnoteRef/>
      </w:r>
      <w:r w:rsidRPr="00192BB8">
        <w:t xml:space="preserve"> 47 U.S.C. § 301.  Section 632(a)(1)(B) of the Making Appropriations for the Government of the District of Columbia for Fiscal Year 2001 Act provides that the Commission must “prohibit any applicant from obtaining a low power FM license if the applicant has engaged in any manner in the unlicensed operation of any station in violation of Section 301 [of the Act].”  </w:t>
      </w:r>
      <w:r w:rsidRPr="00192BB8">
        <w:rPr>
          <w:i/>
        </w:rPr>
        <w:t xml:space="preserve">See </w:t>
      </w:r>
      <w:r w:rsidRPr="00192BB8">
        <w:t xml:space="preserve">Pub. L. No. 106-553, 114 Stat. 2762 (2000).  </w:t>
      </w:r>
      <w:r w:rsidRPr="00192BB8">
        <w:rPr>
          <w:i/>
        </w:rPr>
        <w:t>See also</w:t>
      </w:r>
      <w:r w:rsidR="0021344D">
        <w:rPr>
          <w:i/>
        </w:rPr>
        <w:t xml:space="preserve"> </w:t>
      </w:r>
      <w:r w:rsidR="0021344D" w:rsidRPr="0021344D">
        <w:t>47 C.F.R. §73.854,</w:t>
      </w:r>
      <w:r w:rsidR="0021344D">
        <w:rPr>
          <w:i/>
        </w:rPr>
        <w:t xml:space="preserve"> </w:t>
      </w:r>
      <w:r w:rsidRPr="00192BB8">
        <w:rPr>
          <w:i/>
        </w:rPr>
        <w:t>Ruggiero v. FCC</w:t>
      </w:r>
      <w:r w:rsidRPr="00192BB8">
        <w:t>,</w:t>
      </w:r>
      <w:r w:rsidRPr="00192BB8">
        <w:rPr>
          <w:i/>
        </w:rPr>
        <w:t xml:space="preserve"> </w:t>
      </w:r>
      <w:r w:rsidRPr="00192BB8">
        <w:t>278 F.3d 1323 (D.C. Cir. 2002)</w:t>
      </w:r>
      <w:r w:rsidRPr="00192BB8">
        <w:rPr>
          <w:i/>
        </w:rPr>
        <w:t xml:space="preserve">, rev'd en banc, </w:t>
      </w:r>
      <w:r w:rsidRPr="00192BB8">
        <w:t xml:space="preserve">317 F.3d 239 (D.C. Cir. 2003).  </w:t>
      </w:r>
    </w:p>
  </w:footnote>
  <w:footnote w:id="6">
    <w:p w14:paraId="6E67DAD4" w14:textId="62C55F7D" w:rsidR="00156491" w:rsidRDefault="00156491">
      <w:pPr>
        <w:pStyle w:val="FootnoteText"/>
      </w:pPr>
      <w:r>
        <w:rPr>
          <w:rStyle w:val="FootnoteReference"/>
        </w:rPr>
        <w:footnoteRef/>
      </w:r>
      <w:r>
        <w:t xml:space="preserve"> </w:t>
      </w:r>
      <w:r w:rsidR="008F08FA">
        <w:rPr>
          <w:i/>
        </w:rPr>
        <w:t xml:space="preserve">See </w:t>
      </w:r>
      <w:r w:rsidR="008F08FA">
        <w:t>Case Report and NOUO.</w:t>
      </w:r>
      <w:r w:rsidR="008C3652">
        <w:t xml:space="preserve"> </w:t>
      </w:r>
      <w:r w:rsidR="008F08FA">
        <w:t xml:space="preserve"> </w:t>
      </w:r>
      <w:r>
        <w:t>WKMJ also maintains that the Bureau erred in relying on informal objections to the Application filed by The Moody Bible In</w:t>
      </w:r>
      <w:r w:rsidR="003E51A8">
        <w:t>stitute of Chicago</w:t>
      </w:r>
      <w:r w:rsidR="00B158F0">
        <w:t xml:space="preserve"> (“Moody Objection”)</w:t>
      </w:r>
      <w:r w:rsidR="003E51A8">
        <w:t xml:space="preserve"> and by Palm H</w:t>
      </w:r>
      <w:r>
        <w:t>arbor Radio Inc. “without requesting a response from [it].”</w:t>
      </w:r>
      <w:r w:rsidR="00B158F0">
        <w:t xml:space="preserve"> </w:t>
      </w:r>
      <w:r>
        <w:t xml:space="preserve"> AFR at 6</w:t>
      </w:r>
      <w:r w:rsidR="003E51A8">
        <w:t xml:space="preserve">.  The Bureau did not rely on those filings to support its dismissal of the Application; in its </w:t>
      </w:r>
      <w:r w:rsidR="003E51A8" w:rsidRPr="0021344D">
        <w:rPr>
          <w:i/>
        </w:rPr>
        <w:t>Staff Decision</w:t>
      </w:r>
      <w:r w:rsidR="003E51A8">
        <w:t xml:space="preserve">, it dismissed them as moot.  </w:t>
      </w:r>
      <w:r w:rsidR="001173F3">
        <w:t>T</w:t>
      </w:r>
      <w:r w:rsidR="00B158F0">
        <w:t xml:space="preserve">he Moody Objection contains a certificate of service indicating that a copy was sent to WKMJ.  </w:t>
      </w:r>
      <w:r w:rsidR="00B158F0">
        <w:rPr>
          <w:i/>
        </w:rPr>
        <w:t xml:space="preserve">See </w:t>
      </w:r>
      <w:r w:rsidR="00B158F0">
        <w:t xml:space="preserve">Moody Objection at </w:t>
      </w:r>
      <w:r w:rsidR="001173F3">
        <w:t>22</w:t>
      </w:r>
      <w:r w:rsidR="00B158F0">
        <w:t xml:space="preserve">.  </w:t>
      </w:r>
      <w:r w:rsidR="003E51A8">
        <w:t>WKMJ was free to respond</w:t>
      </w:r>
      <w:r w:rsidR="00A672F7">
        <w:t xml:space="preserve"> to them</w:t>
      </w:r>
      <w:r w:rsidR="003E51A8">
        <w:t>, but failed to do so</w:t>
      </w:r>
      <w:r w:rsidR="00A672F7">
        <w:t>.</w:t>
      </w:r>
      <w:r w:rsidR="00B158F0">
        <w:t xml:space="preserve"> </w:t>
      </w:r>
      <w:r w:rsidR="003E51A8">
        <w:t xml:space="preserve"> </w:t>
      </w:r>
      <w:r w:rsidR="008D35D4">
        <w:t>The Bureau was not obligated to solicit WKMJ’s response</w:t>
      </w:r>
      <w:r w:rsidR="00CC5358">
        <w:t>s</w:t>
      </w:r>
      <w:r w:rsidR="008D35D4">
        <w:t xml:space="preserve">. </w:t>
      </w:r>
    </w:p>
  </w:footnote>
  <w:footnote w:id="7">
    <w:p w14:paraId="2142F2B9" w14:textId="77777777" w:rsidR="00563455" w:rsidRDefault="00563455">
      <w:pPr>
        <w:pStyle w:val="FootnoteText"/>
      </w:pPr>
      <w:r>
        <w:rPr>
          <w:rStyle w:val="FootnoteReference"/>
        </w:rPr>
        <w:footnoteRef/>
      </w:r>
      <w:r>
        <w:t xml:space="preserve"> AFR at 4-6.</w:t>
      </w:r>
    </w:p>
  </w:footnote>
  <w:footnote w:id="8">
    <w:p w14:paraId="69AB7880" w14:textId="1DF7E63D" w:rsidR="00A672F7" w:rsidRDefault="00A672F7">
      <w:pPr>
        <w:pStyle w:val="FootnoteText"/>
      </w:pPr>
      <w:r>
        <w:rPr>
          <w:rStyle w:val="FootnoteReference"/>
        </w:rPr>
        <w:footnoteRef/>
      </w:r>
      <w:r>
        <w:t xml:space="preserve"> EB found that, because Commission’s records showed that no license for </w:t>
      </w:r>
      <w:r w:rsidR="00A06F5F">
        <w:t>Joseph</w:t>
      </w:r>
      <w:r>
        <w:t xml:space="preserve">’s operation </w:t>
      </w:r>
      <w:r w:rsidR="00F14AE9">
        <w:t>had been</w:t>
      </w:r>
      <w:r>
        <w:t xml:space="preserve"> issued, “this station is operating in violation of 47 U.S.C. § 301.” </w:t>
      </w:r>
      <w:r w:rsidR="00C65F6C">
        <w:t xml:space="preserve"> It noted that he was present at and allowed the inspection when the unlicensed station was on the air and voluntarily relinquished the station transmitter to the </w:t>
      </w:r>
      <w:r w:rsidR="00A06F5F">
        <w:t>EB</w:t>
      </w:r>
      <w:r w:rsidR="00C65F6C">
        <w:t xml:space="preserve"> agents. </w:t>
      </w:r>
      <w:r w:rsidR="00A06F5F">
        <w:t xml:space="preserve"> </w:t>
      </w:r>
      <w:r>
        <w:t>NOUO at 1</w:t>
      </w:r>
      <w:r w:rsidR="00F14AE9">
        <w:t>.</w:t>
      </w:r>
      <w:r>
        <w:t xml:space="preserve"> </w:t>
      </w:r>
    </w:p>
  </w:footnote>
  <w:footnote w:id="9">
    <w:p w14:paraId="13515E06" w14:textId="6C3409ED" w:rsidR="0021344D" w:rsidRDefault="0021344D">
      <w:pPr>
        <w:pStyle w:val="FootnoteText"/>
      </w:pPr>
      <w:r>
        <w:rPr>
          <w:rStyle w:val="FootnoteReference"/>
        </w:rPr>
        <w:footnoteRef/>
      </w:r>
      <w:r>
        <w:t xml:space="preserve"> </w:t>
      </w:r>
      <w:r w:rsidRPr="0021344D">
        <w:rPr>
          <w:i/>
        </w:rPr>
        <w:t>See Reconsideration Decision,</w:t>
      </w:r>
      <w:r>
        <w:t xml:space="preserve"> n. 13.</w:t>
      </w:r>
    </w:p>
  </w:footnote>
  <w:footnote w:id="10">
    <w:p w14:paraId="5A48A60F" w14:textId="299DC458" w:rsidR="008C3652" w:rsidRPr="008C3652" w:rsidRDefault="008C3652">
      <w:pPr>
        <w:pStyle w:val="FootnoteText"/>
      </w:pPr>
      <w:r>
        <w:rPr>
          <w:rStyle w:val="FootnoteReference"/>
        </w:rPr>
        <w:footnoteRef/>
      </w:r>
      <w:r>
        <w:t xml:space="preserve"> </w:t>
      </w:r>
      <w:r>
        <w:rPr>
          <w:i/>
        </w:rPr>
        <w:t xml:space="preserve">Staff Decision, </w:t>
      </w:r>
      <w:r>
        <w:t>n.11.</w:t>
      </w:r>
    </w:p>
  </w:footnote>
  <w:footnote w:id="11">
    <w:p w14:paraId="2E543BE1" w14:textId="7CDAF0E4" w:rsidR="008C3652" w:rsidRPr="008C3652" w:rsidRDefault="008C3652">
      <w:pPr>
        <w:pStyle w:val="FootnoteText"/>
      </w:pPr>
      <w:r>
        <w:rPr>
          <w:rStyle w:val="FootnoteReference"/>
        </w:rPr>
        <w:footnoteRef/>
      </w:r>
      <w:r>
        <w:t xml:space="preserve"> </w:t>
      </w:r>
      <w:r>
        <w:rPr>
          <w:i/>
        </w:rPr>
        <w:t>Reconsideration Decision</w:t>
      </w:r>
      <w:r>
        <w:t>, n.17.</w:t>
      </w:r>
      <w:r w:rsidR="00A06F5F">
        <w:t xml:space="preserve"> </w:t>
      </w:r>
    </w:p>
  </w:footnote>
  <w:footnote w:id="12">
    <w:p w14:paraId="206678DA" w14:textId="77777777" w:rsidR="003F1DE8" w:rsidRDefault="003F1DE8">
      <w:pPr>
        <w:pStyle w:val="FootnoteText"/>
      </w:pPr>
      <w:r>
        <w:rPr>
          <w:rStyle w:val="FootnoteReference"/>
        </w:rPr>
        <w:footnoteRef/>
      </w:r>
      <w:r>
        <w:t xml:space="preserve"> </w:t>
      </w:r>
      <w:r w:rsidRPr="0021344D">
        <w:rPr>
          <w:i/>
        </w:rPr>
        <w:t>Citing Creation of a Low Power Radio Service</w:t>
      </w:r>
      <w:r w:rsidRPr="0021344D">
        <w:t>, Second Report and Order, 16 FCC Rcd 8026, 8030 (2001).</w:t>
      </w:r>
    </w:p>
  </w:footnote>
  <w:footnote w:id="13">
    <w:p w14:paraId="16370E47" w14:textId="76E97D22" w:rsidR="00161428" w:rsidRPr="00192BB8" w:rsidRDefault="00161428" w:rsidP="00161428">
      <w:pPr>
        <w:pStyle w:val="FootnoteText"/>
      </w:pPr>
      <w:r w:rsidRPr="00192BB8">
        <w:rPr>
          <w:rStyle w:val="FootnoteReference"/>
        </w:rPr>
        <w:footnoteRef/>
      </w:r>
      <w:r w:rsidRPr="00192BB8">
        <w:t xml:space="preserve"> The </w:t>
      </w:r>
      <w:r w:rsidRPr="00192BB8">
        <w:rPr>
          <w:snapToGrid w:val="0"/>
          <w:kern w:val="28"/>
        </w:rPr>
        <w:t xml:space="preserve">Commission typically </w:t>
      </w:r>
      <w:r w:rsidR="0012024A">
        <w:rPr>
          <w:snapToGrid w:val="0"/>
          <w:kern w:val="28"/>
        </w:rPr>
        <w:t>takes</w:t>
      </w:r>
      <w:r w:rsidR="0012024A" w:rsidRPr="00192BB8">
        <w:rPr>
          <w:snapToGrid w:val="0"/>
          <w:kern w:val="28"/>
        </w:rPr>
        <w:t> </w:t>
      </w:r>
      <w:r w:rsidRPr="00192BB8">
        <w:rPr>
          <w:bCs/>
          <w:snapToGrid w:val="0"/>
          <w:kern w:val="28"/>
        </w:rPr>
        <w:t>official notice</w:t>
      </w:r>
      <w:r w:rsidRPr="00192BB8">
        <w:rPr>
          <w:snapToGrid w:val="0"/>
          <w:kern w:val="28"/>
        </w:rPr>
        <w:t> </w:t>
      </w:r>
      <w:r w:rsidR="0012024A">
        <w:rPr>
          <w:snapToGrid w:val="0"/>
          <w:kern w:val="28"/>
        </w:rPr>
        <w:t>of</w:t>
      </w:r>
      <w:r w:rsidR="00A06F5F">
        <w:rPr>
          <w:snapToGrid w:val="0"/>
          <w:kern w:val="28"/>
        </w:rPr>
        <w:t xml:space="preserve"> </w:t>
      </w:r>
      <w:r w:rsidRPr="00192BB8">
        <w:rPr>
          <w:snapToGrid w:val="0"/>
          <w:kern w:val="28"/>
        </w:rPr>
        <w:t xml:space="preserve">government documents that are accessible to the public.  </w:t>
      </w:r>
      <w:r w:rsidRPr="00192BB8">
        <w:rPr>
          <w:i/>
          <w:iCs/>
          <w:snapToGrid w:val="0"/>
          <w:kern w:val="28"/>
        </w:rPr>
        <w:t>See</w:t>
      </w:r>
      <w:r w:rsidRPr="00192BB8">
        <w:rPr>
          <w:snapToGrid w:val="0"/>
          <w:kern w:val="28"/>
        </w:rPr>
        <w:t> </w:t>
      </w:r>
      <w:r w:rsidRPr="00192BB8">
        <w:rPr>
          <w:i/>
          <w:snapToGrid w:val="0"/>
          <w:kern w:val="28"/>
        </w:rPr>
        <w:t>Citadel Broadcasting Company</w:t>
      </w:r>
      <w:r w:rsidRPr="00192BB8">
        <w:rPr>
          <w:snapToGrid w:val="0"/>
          <w:kern w:val="28"/>
        </w:rPr>
        <w:t>, </w:t>
      </w:r>
      <w:r w:rsidRPr="00192BB8">
        <w:rPr>
          <w:i/>
          <w:iCs/>
          <w:snapToGrid w:val="0"/>
          <w:kern w:val="28"/>
        </w:rPr>
        <w:t>Memorandum Opinion and</w:t>
      </w:r>
      <w:r w:rsidRPr="00192BB8">
        <w:rPr>
          <w:snapToGrid w:val="0"/>
          <w:kern w:val="28"/>
        </w:rPr>
        <w:t> Order, 22 FCC Rcd 7083, 7094 ¶21 (2007)</w:t>
      </w:r>
      <w:r>
        <w:rPr>
          <w:snapToGrid w:val="0"/>
          <w:kern w:val="28"/>
        </w:rPr>
        <w:t xml:space="preserve"> (taking official notice of public records from the New York Attorney General)</w:t>
      </w:r>
      <w:r w:rsidRPr="00192BB8">
        <w:rPr>
          <w:snapToGrid w:val="0"/>
          <w:kern w:val="28"/>
        </w:rPr>
        <w:t>.</w:t>
      </w:r>
    </w:p>
  </w:footnote>
  <w:footnote w:id="14">
    <w:p w14:paraId="53DBE66D" w14:textId="77777777" w:rsidR="00A335D4" w:rsidRPr="00192BB8" w:rsidRDefault="00A335D4" w:rsidP="00A335D4">
      <w:pPr>
        <w:pStyle w:val="FootnoteText"/>
      </w:pPr>
      <w:r w:rsidRPr="00192BB8">
        <w:rPr>
          <w:rStyle w:val="FootnoteReference"/>
        </w:rPr>
        <w:footnoteRef/>
      </w:r>
      <w:r w:rsidRPr="00192BB8">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5B4" w14:textId="77777777" w:rsidR="00406F32" w:rsidRDefault="00406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8309" w14:textId="4EC528D7" w:rsidR="00D25FB5" w:rsidRDefault="00D25FB5" w:rsidP="00810B6F">
    <w:pPr>
      <w:pStyle w:val="Header"/>
      <w:rPr>
        <w:b w:val="0"/>
      </w:rPr>
    </w:pPr>
    <w:r>
      <w:tab/>
      <w:t>Federal Communications Commission</w:t>
    </w:r>
    <w:r>
      <w:tab/>
    </w:r>
    <w:r w:rsidR="00F62155">
      <w:rPr>
        <w:spacing w:val="-2"/>
      </w:rPr>
      <w:t>FCC 15-153</w:t>
    </w:r>
  </w:p>
  <w:p w14:paraId="742BA863" w14:textId="77777777" w:rsidR="00D25FB5" w:rsidRDefault="00D52C9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383FE20" wp14:editId="29B9130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D07D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9E7E00A"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367C" w14:textId="76454CFF" w:rsidR="00D25FB5" w:rsidRDefault="00D52C93" w:rsidP="00810B6F">
    <w:pPr>
      <w:pStyle w:val="Header"/>
      <w:rPr>
        <w:b w:val="0"/>
      </w:rPr>
    </w:pPr>
    <w:r>
      <w:rPr>
        <w:noProof/>
      </w:rPr>
      <mc:AlternateContent>
        <mc:Choice Requires="wps">
          <w:drawing>
            <wp:anchor distT="0" distB="0" distL="114300" distR="114300" simplePos="0" relativeHeight="251658240" behindDoc="1" locked="0" layoutInCell="0" allowOverlap="1" wp14:anchorId="3C1BC1B2" wp14:editId="0FE28E7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053B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62155">
      <w:rPr>
        <w:spacing w:val="-2"/>
      </w:rPr>
      <w:t>FCC 15-153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B93132"/>
    <w:multiLevelType w:val="hybridMultilevel"/>
    <w:tmpl w:val="F28478A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0B"/>
    <w:rsid w:val="000077E7"/>
    <w:rsid w:val="00036039"/>
    <w:rsid w:val="000367C9"/>
    <w:rsid w:val="00037F90"/>
    <w:rsid w:val="000875BF"/>
    <w:rsid w:val="00096D8C"/>
    <w:rsid w:val="000B72A3"/>
    <w:rsid w:val="000C0B65"/>
    <w:rsid w:val="000D0D6A"/>
    <w:rsid w:val="000E05FE"/>
    <w:rsid w:val="000E3D42"/>
    <w:rsid w:val="000F21DA"/>
    <w:rsid w:val="000F2406"/>
    <w:rsid w:val="0011056E"/>
    <w:rsid w:val="001173F3"/>
    <w:rsid w:val="0012024A"/>
    <w:rsid w:val="00122BD5"/>
    <w:rsid w:val="0013149A"/>
    <w:rsid w:val="00133F79"/>
    <w:rsid w:val="00156491"/>
    <w:rsid w:val="00161428"/>
    <w:rsid w:val="00162F0C"/>
    <w:rsid w:val="001654C9"/>
    <w:rsid w:val="001801B1"/>
    <w:rsid w:val="001844DB"/>
    <w:rsid w:val="00190A9C"/>
    <w:rsid w:val="00192BB8"/>
    <w:rsid w:val="00194A66"/>
    <w:rsid w:val="001D6BCF"/>
    <w:rsid w:val="001E01CA"/>
    <w:rsid w:val="0021344D"/>
    <w:rsid w:val="0022600E"/>
    <w:rsid w:val="002333F7"/>
    <w:rsid w:val="00275CF5"/>
    <w:rsid w:val="00275CFC"/>
    <w:rsid w:val="0028301F"/>
    <w:rsid w:val="00285017"/>
    <w:rsid w:val="002A1315"/>
    <w:rsid w:val="002A2D2E"/>
    <w:rsid w:val="002B50D3"/>
    <w:rsid w:val="002B7069"/>
    <w:rsid w:val="002C00E8"/>
    <w:rsid w:val="002C04CC"/>
    <w:rsid w:val="002C6775"/>
    <w:rsid w:val="00343749"/>
    <w:rsid w:val="003660ED"/>
    <w:rsid w:val="003749C3"/>
    <w:rsid w:val="003B0550"/>
    <w:rsid w:val="003B694F"/>
    <w:rsid w:val="003C4439"/>
    <w:rsid w:val="003E51A8"/>
    <w:rsid w:val="003F171C"/>
    <w:rsid w:val="003F1DE8"/>
    <w:rsid w:val="00406F32"/>
    <w:rsid w:val="00412FC5"/>
    <w:rsid w:val="004143F2"/>
    <w:rsid w:val="00422276"/>
    <w:rsid w:val="004242F1"/>
    <w:rsid w:val="00432415"/>
    <w:rsid w:val="00445A00"/>
    <w:rsid w:val="00451B0F"/>
    <w:rsid w:val="004520A6"/>
    <w:rsid w:val="00465212"/>
    <w:rsid w:val="004B1AB6"/>
    <w:rsid w:val="004C2EE3"/>
    <w:rsid w:val="004D0312"/>
    <w:rsid w:val="004E4A22"/>
    <w:rsid w:val="00511968"/>
    <w:rsid w:val="00523524"/>
    <w:rsid w:val="0055614C"/>
    <w:rsid w:val="00563455"/>
    <w:rsid w:val="005B05DB"/>
    <w:rsid w:val="005E14C2"/>
    <w:rsid w:val="005E3798"/>
    <w:rsid w:val="00607BA5"/>
    <w:rsid w:val="0061180A"/>
    <w:rsid w:val="00626EB6"/>
    <w:rsid w:val="0063212C"/>
    <w:rsid w:val="00655D03"/>
    <w:rsid w:val="006715D0"/>
    <w:rsid w:val="006726E8"/>
    <w:rsid w:val="00680A64"/>
    <w:rsid w:val="00683388"/>
    <w:rsid w:val="00683F84"/>
    <w:rsid w:val="00685317"/>
    <w:rsid w:val="006A55B0"/>
    <w:rsid w:val="006A6A81"/>
    <w:rsid w:val="006F7393"/>
    <w:rsid w:val="0070224F"/>
    <w:rsid w:val="007115F7"/>
    <w:rsid w:val="00711F3A"/>
    <w:rsid w:val="00714EBC"/>
    <w:rsid w:val="00715457"/>
    <w:rsid w:val="00761FC5"/>
    <w:rsid w:val="00785689"/>
    <w:rsid w:val="0079754B"/>
    <w:rsid w:val="007A1E6D"/>
    <w:rsid w:val="007B0EB2"/>
    <w:rsid w:val="007D2F8B"/>
    <w:rsid w:val="007D43E4"/>
    <w:rsid w:val="007D6EE9"/>
    <w:rsid w:val="007E2693"/>
    <w:rsid w:val="00810B6F"/>
    <w:rsid w:val="00822CE0"/>
    <w:rsid w:val="00841AB1"/>
    <w:rsid w:val="0085288B"/>
    <w:rsid w:val="008765FB"/>
    <w:rsid w:val="008C3652"/>
    <w:rsid w:val="008C68F1"/>
    <w:rsid w:val="008D35D4"/>
    <w:rsid w:val="008E34E4"/>
    <w:rsid w:val="008F08FA"/>
    <w:rsid w:val="00906D8B"/>
    <w:rsid w:val="00921803"/>
    <w:rsid w:val="00922899"/>
    <w:rsid w:val="00926503"/>
    <w:rsid w:val="009726D8"/>
    <w:rsid w:val="00993FF4"/>
    <w:rsid w:val="009B2F47"/>
    <w:rsid w:val="009B7282"/>
    <w:rsid w:val="009B7B0D"/>
    <w:rsid w:val="009F76DB"/>
    <w:rsid w:val="00A06F5F"/>
    <w:rsid w:val="00A20839"/>
    <w:rsid w:val="00A32C3B"/>
    <w:rsid w:val="00A335D4"/>
    <w:rsid w:val="00A45F4F"/>
    <w:rsid w:val="00A600A9"/>
    <w:rsid w:val="00A672F7"/>
    <w:rsid w:val="00AA55B7"/>
    <w:rsid w:val="00AA5B9E"/>
    <w:rsid w:val="00AA5EE1"/>
    <w:rsid w:val="00AB2407"/>
    <w:rsid w:val="00AB53DF"/>
    <w:rsid w:val="00AD47E3"/>
    <w:rsid w:val="00B01AAF"/>
    <w:rsid w:val="00B02C35"/>
    <w:rsid w:val="00B055D2"/>
    <w:rsid w:val="00B07E5C"/>
    <w:rsid w:val="00B13AC7"/>
    <w:rsid w:val="00B158F0"/>
    <w:rsid w:val="00B33DD4"/>
    <w:rsid w:val="00B62B46"/>
    <w:rsid w:val="00B811F7"/>
    <w:rsid w:val="00B94848"/>
    <w:rsid w:val="00BA5DC6"/>
    <w:rsid w:val="00BA6196"/>
    <w:rsid w:val="00BC6D8C"/>
    <w:rsid w:val="00C0584D"/>
    <w:rsid w:val="00C120C0"/>
    <w:rsid w:val="00C20488"/>
    <w:rsid w:val="00C21D88"/>
    <w:rsid w:val="00C34006"/>
    <w:rsid w:val="00C41D32"/>
    <w:rsid w:val="00C426B1"/>
    <w:rsid w:val="00C65F6C"/>
    <w:rsid w:val="00C66160"/>
    <w:rsid w:val="00C721AC"/>
    <w:rsid w:val="00C7395E"/>
    <w:rsid w:val="00C90D6A"/>
    <w:rsid w:val="00CA247E"/>
    <w:rsid w:val="00CA266F"/>
    <w:rsid w:val="00CC5358"/>
    <w:rsid w:val="00CC72B6"/>
    <w:rsid w:val="00CD0512"/>
    <w:rsid w:val="00D0218D"/>
    <w:rsid w:val="00D13BB3"/>
    <w:rsid w:val="00D25FB5"/>
    <w:rsid w:val="00D44223"/>
    <w:rsid w:val="00D452DD"/>
    <w:rsid w:val="00D52C93"/>
    <w:rsid w:val="00D5689B"/>
    <w:rsid w:val="00D80FB2"/>
    <w:rsid w:val="00DA2529"/>
    <w:rsid w:val="00DB130A"/>
    <w:rsid w:val="00DB178C"/>
    <w:rsid w:val="00DB2EBB"/>
    <w:rsid w:val="00DC10A1"/>
    <w:rsid w:val="00DC2CED"/>
    <w:rsid w:val="00DC655F"/>
    <w:rsid w:val="00DD0B59"/>
    <w:rsid w:val="00DD7EBD"/>
    <w:rsid w:val="00DF62B6"/>
    <w:rsid w:val="00E07225"/>
    <w:rsid w:val="00E47625"/>
    <w:rsid w:val="00E5409F"/>
    <w:rsid w:val="00EE5C5E"/>
    <w:rsid w:val="00EE6488"/>
    <w:rsid w:val="00F021FA"/>
    <w:rsid w:val="00F14AE9"/>
    <w:rsid w:val="00F2610B"/>
    <w:rsid w:val="00F36BF7"/>
    <w:rsid w:val="00F417AA"/>
    <w:rsid w:val="00F62155"/>
    <w:rsid w:val="00F62CC4"/>
    <w:rsid w:val="00F62E97"/>
    <w:rsid w:val="00F64209"/>
    <w:rsid w:val="00F71A0B"/>
    <w:rsid w:val="00F8705B"/>
    <w:rsid w:val="00F90899"/>
    <w:rsid w:val="00F93BF5"/>
    <w:rsid w:val="00FA0ADE"/>
    <w:rsid w:val="00FB2981"/>
    <w:rsid w:val="00FB7046"/>
    <w:rsid w:val="00FB7704"/>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F2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DA"/>
    <w:pPr>
      <w:widowControl w:val="0"/>
    </w:pPr>
    <w:rPr>
      <w:snapToGrid w:val="0"/>
      <w:kern w:val="28"/>
      <w:sz w:val="22"/>
    </w:rPr>
  </w:style>
  <w:style w:type="paragraph" w:styleId="Heading1">
    <w:name w:val="heading 1"/>
    <w:basedOn w:val="Normal"/>
    <w:next w:val="ParaNum"/>
    <w:qFormat/>
    <w:rsid w:val="000F21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21DA"/>
    <w:pPr>
      <w:keepNext/>
      <w:numPr>
        <w:ilvl w:val="1"/>
        <w:numId w:val="3"/>
      </w:numPr>
      <w:spacing w:after="120"/>
      <w:outlineLvl w:val="1"/>
    </w:pPr>
    <w:rPr>
      <w:b/>
    </w:rPr>
  </w:style>
  <w:style w:type="paragraph" w:styleId="Heading3">
    <w:name w:val="heading 3"/>
    <w:basedOn w:val="Normal"/>
    <w:next w:val="ParaNum"/>
    <w:qFormat/>
    <w:rsid w:val="000F21DA"/>
    <w:pPr>
      <w:keepNext/>
      <w:numPr>
        <w:ilvl w:val="2"/>
        <w:numId w:val="3"/>
      </w:numPr>
      <w:tabs>
        <w:tab w:val="left" w:pos="2160"/>
      </w:tabs>
      <w:spacing w:after="120"/>
      <w:outlineLvl w:val="2"/>
    </w:pPr>
    <w:rPr>
      <w:b/>
    </w:rPr>
  </w:style>
  <w:style w:type="paragraph" w:styleId="Heading4">
    <w:name w:val="heading 4"/>
    <w:basedOn w:val="Normal"/>
    <w:next w:val="ParaNum"/>
    <w:qFormat/>
    <w:rsid w:val="000F21DA"/>
    <w:pPr>
      <w:keepNext/>
      <w:numPr>
        <w:ilvl w:val="3"/>
        <w:numId w:val="3"/>
      </w:numPr>
      <w:tabs>
        <w:tab w:val="left" w:pos="2880"/>
      </w:tabs>
      <w:spacing w:after="120"/>
      <w:outlineLvl w:val="3"/>
    </w:pPr>
    <w:rPr>
      <w:b/>
    </w:rPr>
  </w:style>
  <w:style w:type="paragraph" w:styleId="Heading5">
    <w:name w:val="heading 5"/>
    <w:basedOn w:val="Normal"/>
    <w:next w:val="ParaNum"/>
    <w:qFormat/>
    <w:rsid w:val="000F21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21DA"/>
    <w:pPr>
      <w:numPr>
        <w:ilvl w:val="5"/>
        <w:numId w:val="3"/>
      </w:numPr>
      <w:tabs>
        <w:tab w:val="left" w:pos="4320"/>
      </w:tabs>
      <w:spacing w:after="120"/>
      <w:outlineLvl w:val="5"/>
    </w:pPr>
    <w:rPr>
      <w:b/>
    </w:rPr>
  </w:style>
  <w:style w:type="paragraph" w:styleId="Heading7">
    <w:name w:val="heading 7"/>
    <w:basedOn w:val="Normal"/>
    <w:next w:val="ParaNum"/>
    <w:qFormat/>
    <w:rsid w:val="000F21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21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21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1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1DA"/>
  </w:style>
  <w:style w:type="paragraph" w:customStyle="1" w:styleId="ParaNum">
    <w:name w:val="ParaNum"/>
    <w:basedOn w:val="Normal"/>
    <w:link w:val="ParaNumChar"/>
    <w:rsid w:val="000F21DA"/>
    <w:pPr>
      <w:numPr>
        <w:numId w:val="2"/>
      </w:numPr>
      <w:tabs>
        <w:tab w:val="clear" w:pos="1080"/>
        <w:tab w:val="num" w:pos="1440"/>
      </w:tabs>
      <w:spacing w:after="120"/>
    </w:pPr>
  </w:style>
  <w:style w:type="paragraph" w:styleId="EndnoteText">
    <w:name w:val="endnote text"/>
    <w:basedOn w:val="Normal"/>
    <w:semiHidden/>
    <w:rsid w:val="000F21DA"/>
    <w:rPr>
      <w:sz w:val="20"/>
    </w:rPr>
  </w:style>
  <w:style w:type="character" w:styleId="EndnoteReference">
    <w:name w:val="endnote reference"/>
    <w:semiHidden/>
    <w:rsid w:val="000F21DA"/>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F21DA"/>
    <w:pPr>
      <w:spacing w:after="120"/>
    </w:pPr>
  </w:style>
  <w:style w:type="character" w:styleId="FootnoteReference">
    <w:name w:val="footnote reference"/>
    <w:aliases w:val="Style 12,(NECG) Footnote Reference,Appel note de bas de p,Style 124,o,fr,Style 3,Style 13,Style 17,FR,Style 4"/>
    <w:rsid w:val="000F21DA"/>
    <w:rPr>
      <w:rFonts w:ascii="Times New Roman" w:hAnsi="Times New Roman"/>
      <w:dstrike w:val="0"/>
      <w:color w:val="auto"/>
      <w:sz w:val="20"/>
      <w:vertAlign w:val="superscript"/>
    </w:rPr>
  </w:style>
  <w:style w:type="paragraph" w:styleId="TOC1">
    <w:name w:val="toc 1"/>
    <w:basedOn w:val="Normal"/>
    <w:next w:val="Normal"/>
    <w:semiHidden/>
    <w:rsid w:val="000F21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21DA"/>
    <w:pPr>
      <w:tabs>
        <w:tab w:val="left" w:pos="720"/>
        <w:tab w:val="right" w:leader="dot" w:pos="9360"/>
      </w:tabs>
      <w:suppressAutoHyphens/>
      <w:ind w:left="720" w:right="720" w:hanging="360"/>
    </w:pPr>
    <w:rPr>
      <w:noProof/>
    </w:rPr>
  </w:style>
  <w:style w:type="paragraph" w:styleId="TOC3">
    <w:name w:val="toc 3"/>
    <w:basedOn w:val="Normal"/>
    <w:next w:val="Normal"/>
    <w:semiHidden/>
    <w:rsid w:val="000F21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21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21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21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21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21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21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21DA"/>
    <w:pPr>
      <w:tabs>
        <w:tab w:val="right" w:pos="9360"/>
      </w:tabs>
      <w:suppressAutoHyphens/>
    </w:pPr>
  </w:style>
  <w:style w:type="character" w:customStyle="1" w:styleId="EquationCaption">
    <w:name w:val="_Equation Caption"/>
    <w:rsid w:val="000F21DA"/>
  </w:style>
  <w:style w:type="paragraph" w:styleId="Header">
    <w:name w:val="header"/>
    <w:basedOn w:val="Normal"/>
    <w:autoRedefine/>
    <w:rsid w:val="000F21DA"/>
    <w:pPr>
      <w:tabs>
        <w:tab w:val="center" w:pos="4680"/>
        <w:tab w:val="right" w:pos="9360"/>
      </w:tabs>
    </w:pPr>
    <w:rPr>
      <w:b/>
    </w:rPr>
  </w:style>
  <w:style w:type="paragraph" w:styleId="Footer">
    <w:name w:val="footer"/>
    <w:basedOn w:val="Normal"/>
    <w:rsid w:val="000F21DA"/>
    <w:pPr>
      <w:tabs>
        <w:tab w:val="center" w:pos="4320"/>
        <w:tab w:val="right" w:pos="8640"/>
      </w:tabs>
    </w:pPr>
  </w:style>
  <w:style w:type="character" w:styleId="PageNumber">
    <w:name w:val="page number"/>
    <w:basedOn w:val="DefaultParagraphFont"/>
    <w:rsid w:val="000F21DA"/>
  </w:style>
  <w:style w:type="paragraph" w:styleId="BlockText">
    <w:name w:val="Block Text"/>
    <w:basedOn w:val="Normal"/>
    <w:rsid w:val="000F21DA"/>
    <w:pPr>
      <w:spacing w:after="240"/>
      <w:ind w:left="1440" w:right="1440"/>
    </w:pPr>
  </w:style>
  <w:style w:type="paragraph" w:customStyle="1" w:styleId="Paratitle">
    <w:name w:val="Para title"/>
    <w:basedOn w:val="Normal"/>
    <w:rsid w:val="000F21DA"/>
    <w:pPr>
      <w:tabs>
        <w:tab w:val="center" w:pos="9270"/>
      </w:tabs>
      <w:spacing w:after="240"/>
    </w:pPr>
    <w:rPr>
      <w:spacing w:val="-2"/>
    </w:rPr>
  </w:style>
  <w:style w:type="paragraph" w:customStyle="1" w:styleId="Bullet">
    <w:name w:val="Bullet"/>
    <w:basedOn w:val="Normal"/>
    <w:rsid w:val="000F21DA"/>
    <w:pPr>
      <w:tabs>
        <w:tab w:val="left" w:pos="2160"/>
      </w:tabs>
      <w:spacing w:after="220"/>
      <w:ind w:left="2160" w:hanging="720"/>
    </w:pPr>
  </w:style>
  <w:style w:type="paragraph" w:customStyle="1" w:styleId="TableFormat">
    <w:name w:val="TableFormat"/>
    <w:basedOn w:val="Bullet"/>
    <w:rsid w:val="000F21DA"/>
    <w:pPr>
      <w:tabs>
        <w:tab w:val="clear" w:pos="2160"/>
        <w:tab w:val="left" w:pos="5040"/>
      </w:tabs>
      <w:ind w:left="5040" w:hanging="3600"/>
    </w:pPr>
  </w:style>
  <w:style w:type="paragraph" w:customStyle="1" w:styleId="TOCTitle">
    <w:name w:val="TOC Title"/>
    <w:basedOn w:val="Normal"/>
    <w:rsid w:val="000F21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1DA"/>
    <w:pPr>
      <w:jc w:val="center"/>
    </w:pPr>
    <w:rPr>
      <w:rFonts w:ascii="Times New Roman Bold" w:hAnsi="Times New Roman Bold"/>
      <w:b/>
      <w:bCs/>
      <w:caps/>
      <w:szCs w:val="22"/>
    </w:rPr>
  </w:style>
  <w:style w:type="character" w:styleId="Hyperlink">
    <w:name w:val="Hyperlink"/>
    <w:rsid w:val="000F21DA"/>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335D4"/>
  </w:style>
  <w:style w:type="character" w:customStyle="1" w:styleId="ParaNumChar">
    <w:name w:val="ParaNum Char"/>
    <w:link w:val="ParaNum"/>
    <w:rsid w:val="00A335D4"/>
    <w:rPr>
      <w:snapToGrid w:val="0"/>
      <w:kern w:val="28"/>
      <w:sz w:val="22"/>
    </w:rPr>
  </w:style>
  <w:style w:type="character" w:customStyle="1" w:styleId="apple-converted-space">
    <w:name w:val="apple-converted-space"/>
    <w:rsid w:val="00192BB8"/>
  </w:style>
  <w:style w:type="character" w:customStyle="1" w:styleId="cosearchterm">
    <w:name w:val="co_searchterm"/>
    <w:rsid w:val="00192BB8"/>
  </w:style>
  <w:style w:type="character" w:styleId="Emphasis">
    <w:name w:val="Emphasis"/>
    <w:uiPriority w:val="20"/>
    <w:qFormat/>
    <w:rsid w:val="00192BB8"/>
    <w:rPr>
      <w:i/>
      <w:iCs/>
    </w:rPr>
  </w:style>
  <w:style w:type="paragraph" w:styleId="BalloonText">
    <w:name w:val="Balloon Text"/>
    <w:basedOn w:val="Normal"/>
    <w:link w:val="BalloonTextChar"/>
    <w:rsid w:val="002B7069"/>
    <w:rPr>
      <w:rFonts w:ascii="Segoe UI" w:hAnsi="Segoe UI" w:cs="Segoe UI"/>
      <w:sz w:val="18"/>
      <w:szCs w:val="18"/>
    </w:rPr>
  </w:style>
  <w:style w:type="character" w:customStyle="1" w:styleId="BalloonTextChar">
    <w:name w:val="Balloon Text Char"/>
    <w:basedOn w:val="DefaultParagraphFont"/>
    <w:link w:val="BalloonText"/>
    <w:rsid w:val="002B7069"/>
    <w:rPr>
      <w:rFonts w:ascii="Segoe UI" w:hAnsi="Segoe UI" w:cs="Segoe UI"/>
      <w:snapToGrid w:val="0"/>
      <w:kern w:val="28"/>
      <w:sz w:val="18"/>
      <w:szCs w:val="18"/>
    </w:rPr>
  </w:style>
  <w:style w:type="character" w:styleId="CommentReference">
    <w:name w:val="annotation reference"/>
    <w:basedOn w:val="DefaultParagraphFont"/>
    <w:rsid w:val="0012024A"/>
    <w:rPr>
      <w:sz w:val="16"/>
      <w:szCs w:val="16"/>
    </w:rPr>
  </w:style>
  <w:style w:type="paragraph" w:styleId="CommentText">
    <w:name w:val="annotation text"/>
    <w:basedOn w:val="Normal"/>
    <w:link w:val="CommentTextChar"/>
    <w:rsid w:val="0012024A"/>
    <w:rPr>
      <w:sz w:val="20"/>
    </w:rPr>
  </w:style>
  <w:style w:type="character" w:customStyle="1" w:styleId="CommentTextChar">
    <w:name w:val="Comment Text Char"/>
    <w:basedOn w:val="DefaultParagraphFont"/>
    <w:link w:val="CommentText"/>
    <w:rsid w:val="0012024A"/>
    <w:rPr>
      <w:snapToGrid w:val="0"/>
      <w:kern w:val="28"/>
    </w:rPr>
  </w:style>
  <w:style w:type="paragraph" w:styleId="CommentSubject">
    <w:name w:val="annotation subject"/>
    <w:basedOn w:val="CommentText"/>
    <w:next w:val="CommentText"/>
    <w:link w:val="CommentSubjectChar"/>
    <w:rsid w:val="0012024A"/>
    <w:rPr>
      <w:b/>
      <w:bCs/>
    </w:rPr>
  </w:style>
  <w:style w:type="character" w:customStyle="1" w:styleId="CommentSubjectChar">
    <w:name w:val="Comment Subject Char"/>
    <w:basedOn w:val="CommentTextChar"/>
    <w:link w:val="CommentSubject"/>
    <w:rsid w:val="0012024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DA"/>
    <w:pPr>
      <w:widowControl w:val="0"/>
    </w:pPr>
    <w:rPr>
      <w:snapToGrid w:val="0"/>
      <w:kern w:val="28"/>
      <w:sz w:val="22"/>
    </w:rPr>
  </w:style>
  <w:style w:type="paragraph" w:styleId="Heading1">
    <w:name w:val="heading 1"/>
    <w:basedOn w:val="Normal"/>
    <w:next w:val="ParaNum"/>
    <w:qFormat/>
    <w:rsid w:val="000F21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21DA"/>
    <w:pPr>
      <w:keepNext/>
      <w:numPr>
        <w:ilvl w:val="1"/>
        <w:numId w:val="3"/>
      </w:numPr>
      <w:spacing w:after="120"/>
      <w:outlineLvl w:val="1"/>
    </w:pPr>
    <w:rPr>
      <w:b/>
    </w:rPr>
  </w:style>
  <w:style w:type="paragraph" w:styleId="Heading3">
    <w:name w:val="heading 3"/>
    <w:basedOn w:val="Normal"/>
    <w:next w:val="ParaNum"/>
    <w:qFormat/>
    <w:rsid w:val="000F21DA"/>
    <w:pPr>
      <w:keepNext/>
      <w:numPr>
        <w:ilvl w:val="2"/>
        <w:numId w:val="3"/>
      </w:numPr>
      <w:tabs>
        <w:tab w:val="left" w:pos="2160"/>
      </w:tabs>
      <w:spacing w:after="120"/>
      <w:outlineLvl w:val="2"/>
    </w:pPr>
    <w:rPr>
      <w:b/>
    </w:rPr>
  </w:style>
  <w:style w:type="paragraph" w:styleId="Heading4">
    <w:name w:val="heading 4"/>
    <w:basedOn w:val="Normal"/>
    <w:next w:val="ParaNum"/>
    <w:qFormat/>
    <w:rsid w:val="000F21DA"/>
    <w:pPr>
      <w:keepNext/>
      <w:numPr>
        <w:ilvl w:val="3"/>
        <w:numId w:val="3"/>
      </w:numPr>
      <w:tabs>
        <w:tab w:val="left" w:pos="2880"/>
      </w:tabs>
      <w:spacing w:after="120"/>
      <w:outlineLvl w:val="3"/>
    </w:pPr>
    <w:rPr>
      <w:b/>
    </w:rPr>
  </w:style>
  <w:style w:type="paragraph" w:styleId="Heading5">
    <w:name w:val="heading 5"/>
    <w:basedOn w:val="Normal"/>
    <w:next w:val="ParaNum"/>
    <w:qFormat/>
    <w:rsid w:val="000F21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21DA"/>
    <w:pPr>
      <w:numPr>
        <w:ilvl w:val="5"/>
        <w:numId w:val="3"/>
      </w:numPr>
      <w:tabs>
        <w:tab w:val="left" w:pos="4320"/>
      </w:tabs>
      <w:spacing w:after="120"/>
      <w:outlineLvl w:val="5"/>
    </w:pPr>
    <w:rPr>
      <w:b/>
    </w:rPr>
  </w:style>
  <w:style w:type="paragraph" w:styleId="Heading7">
    <w:name w:val="heading 7"/>
    <w:basedOn w:val="Normal"/>
    <w:next w:val="ParaNum"/>
    <w:qFormat/>
    <w:rsid w:val="000F21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21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21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1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1DA"/>
  </w:style>
  <w:style w:type="paragraph" w:customStyle="1" w:styleId="ParaNum">
    <w:name w:val="ParaNum"/>
    <w:basedOn w:val="Normal"/>
    <w:link w:val="ParaNumChar"/>
    <w:rsid w:val="000F21DA"/>
    <w:pPr>
      <w:numPr>
        <w:numId w:val="2"/>
      </w:numPr>
      <w:tabs>
        <w:tab w:val="clear" w:pos="1080"/>
        <w:tab w:val="num" w:pos="1440"/>
      </w:tabs>
      <w:spacing w:after="120"/>
    </w:pPr>
  </w:style>
  <w:style w:type="paragraph" w:styleId="EndnoteText">
    <w:name w:val="endnote text"/>
    <w:basedOn w:val="Normal"/>
    <w:semiHidden/>
    <w:rsid w:val="000F21DA"/>
    <w:rPr>
      <w:sz w:val="20"/>
    </w:rPr>
  </w:style>
  <w:style w:type="character" w:styleId="EndnoteReference">
    <w:name w:val="endnote reference"/>
    <w:semiHidden/>
    <w:rsid w:val="000F21DA"/>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F21DA"/>
    <w:pPr>
      <w:spacing w:after="120"/>
    </w:pPr>
  </w:style>
  <w:style w:type="character" w:styleId="FootnoteReference">
    <w:name w:val="footnote reference"/>
    <w:aliases w:val="Style 12,(NECG) Footnote Reference,Appel note de bas de p,Style 124,o,fr,Style 3,Style 13,Style 17,FR,Style 4"/>
    <w:rsid w:val="000F21DA"/>
    <w:rPr>
      <w:rFonts w:ascii="Times New Roman" w:hAnsi="Times New Roman"/>
      <w:dstrike w:val="0"/>
      <w:color w:val="auto"/>
      <w:sz w:val="20"/>
      <w:vertAlign w:val="superscript"/>
    </w:rPr>
  </w:style>
  <w:style w:type="paragraph" w:styleId="TOC1">
    <w:name w:val="toc 1"/>
    <w:basedOn w:val="Normal"/>
    <w:next w:val="Normal"/>
    <w:semiHidden/>
    <w:rsid w:val="000F21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21DA"/>
    <w:pPr>
      <w:tabs>
        <w:tab w:val="left" w:pos="720"/>
        <w:tab w:val="right" w:leader="dot" w:pos="9360"/>
      </w:tabs>
      <w:suppressAutoHyphens/>
      <w:ind w:left="720" w:right="720" w:hanging="360"/>
    </w:pPr>
    <w:rPr>
      <w:noProof/>
    </w:rPr>
  </w:style>
  <w:style w:type="paragraph" w:styleId="TOC3">
    <w:name w:val="toc 3"/>
    <w:basedOn w:val="Normal"/>
    <w:next w:val="Normal"/>
    <w:semiHidden/>
    <w:rsid w:val="000F21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21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21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21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21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21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21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21DA"/>
    <w:pPr>
      <w:tabs>
        <w:tab w:val="right" w:pos="9360"/>
      </w:tabs>
      <w:suppressAutoHyphens/>
    </w:pPr>
  </w:style>
  <w:style w:type="character" w:customStyle="1" w:styleId="EquationCaption">
    <w:name w:val="_Equation Caption"/>
    <w:rsid w:val="000F21DA"/>
  </w:style>
  <w:style w:type="paragraph" w:styleId="Header">
    <w:name w:val="header"/>
    <w:basedOn w:val="Normal"/>
    <w:autoRedefine/>
    <w:rsid w:val="000F21DA"/>
    <w:pPr>
      <w:tabs>
        <w:tab w:val="center" w:pos="4680"/>
        <w:tab w:val="right" w:pos="9360"/>
      </w:tabs>
    </w:pPr>
    <w:rPr>
      <w:b/>
    </w:rPr>
  </w:style>
  <w:style w:type="paragraph" w:styleId="Footer">
    <w:name w:val="footer"/>
    <w:basedOn w:val="Normal"/>
    <w:rsid w:val="000F21DA"/>
    <w:pPr>
      <w:tabs>
        <w:tab w:val="center" w:pos="4320"/>
        <w:tab w:val="right" w:pos="8640"/>
      </w:tabs>
    </w:pPr>
  </w:style>
  <w:style w:type="character" w:styleId="PageNumber">
    <w:name w:val="page number"/>
    <w:basedOn w:val="DefaultParagraphFont"/>
    <w:rsid w:val="000F21DA"/>
  </w:style>
  <w:style w:type="paragraph" w:styleId="BlockText">
    <w:name w:val="Block Text"/>
    <w:basedOn w:val="Normal"/>
    <w:rsid w:val="000F21DA"/>
    <w:pPr>
      <w:spacing w:after="240"/>
      <w:ind w:left="1440" w:right="1440"/>
    </w:pPr>
  </w:style>
  <w:style w:type="paragraph" w:customStyle="1" w:styleId="Paratitle">
    <w:name w:val="Para title"/>
    <w:basedOn w:val="Normal"/>
    <w:rsid w:val="000F21DA"/>
    <w:pPr>
      <w:tabs>
        <w:tab w:val="center" w:pos="9270"/>
      </w:tabs>
      <w:spacing w:after="240"/>
    </w:pPr>
    <w:rPr>
      <w:spacing w:val="-2"/>
    </w:rPr>
  </w:style>
  <w:style w:type="paragraph" w:customStyle="1" w:styleId="Bullet">
    <w:name w:val="Bullet"/>
    <w:basedOn w:val="Normal"/>
    <w:rsid w:val="000F21DA"/>
    <w:pPr>
      <w:tabs>
        <w:tab w:val="left" w:pos="2160"/>
      </w:tabs>
      <w:spacing w:after="220"/>
      <w:ind w:left="2160" w:hanging="720"/>
    </w:pPr>
  </w:style>
  <w:style w:type="paragraph" w:customStyle="1" w:styleId="TableFormat">
    <w:name w:val="TableFormat"/>
    <w:basedOn w:val="Bullet"/>
    <w:rsid w:val="000F21DA"/>
    <w:pPr>
      <w:tabs>
        <w:tab w:val="clear" w:pos="2160"/>
        <w:tab w:val="left" w:pos="5040"/>
      </w:tabs>
      <w:ind w:left="5040" w:hanging="3600"/>
    </w:pPr>
  </w:style>
  <w:style w:type="paragraph" w:customStyle="1" w:styleId="TOCTitle">
    <w:name w:val="TOC Title"/>
    <w:basedOn w:val="Normal"/>
    <w:rsid w:val="000F21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1DA"/>
    <w:pPr>
      <w:jc w:val="center"/>
    </w:pPr>
    <w:rPr>
      <w:rFonts w:ascii="Times New Roman Bold" w:hAnsi="Times New Roman Bold"/>
      <w:b/>
      <w:bCs/>
      <w:caps/>
      <w:szCs w:val="22"/>
    </w:rPr>
  </w:style>
  <w:style w:type="character" w:styleId="Hyperlink">
    <w:name w:val="Hyperlink"/>
    <w:rsid w:val="000F21DA"/>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335D4"/>
  </w:style>
  <w:style w:type="character" w:customStyle="1" w:styleId="ParaNumChar">
    <w:name w:val="ParaNum Char"/>
    <w:link w:val="ParaNum"/>
    <w:rsid w:val="00A335D4"/>
    <w:rPr>
      <w:snapToGrid w:val="0"/>
      <w:kern w:val="28"/>
      <w:sz w:val="22"/>
    </w:rPr>
  </w:style>
  <w:style w:type="character" w:customStyle="1" w:styleId="apple-converted-space">
    <w:name w:val="apple-converted-space"/>
    <w:rsid w:val="00192BB8"/>
  </w:style>
  <w:style w:type="character" w:customStyle="1" w:styleId="cosearchterm">
    <w:name w:val="co_searchterm"/>
    <w:rsid w:val="00192BB8"/>
  </w:style>
  <w:style w:type="character" w:styleId="Emphasis">
    <w:name w:val="Emphasis"/>
    <w:uiPriority w:val="20"/>
    <w:qFormat/>
    <w:rsid w:val="00192BB8"/>
    <w:rPr>
      <w:i/>
      <w:iCs/>
    </w:rPr>
  </w:style>
  <w:style w:type="paragraph" w:styleId="BalloonText">
    <w:name w:val="Balloon Text"/>
    <w:basedOn w:val="Normal"/>
    <w:link w:val="BalloonTextChar"/>
    <w:rsid w:val="002B7069"/>
    <w:rPr>
      <w:rFonts w:ascii="Segoe UI" w:hAnsi="Segoe UI" w:cs="Segoe UI"/>
      <w:sz w:val="18"/>
      <w:szCs w:val="18"/>
    </w:rPr>
  </w:style>
  <w:style w:type="character" w:customStyle="1" w:styleId="BalloonTextChar">
    <w:name w:val="Balloon Text Char"/>
    <w:basedOn w:val="DefaultParagraphFont"/>
    <w:link w:val="BalloonText"/>
    <w:rsid w:val="002B7069"/>
    <w:rPr>
      <w:rFonts w:ascii="Segoe UI" w:hAnsi="Segoe UI" w:cs="Segoe UI"/>
      <w:snapToGrid w:val="0"/>
      <w:kern w:val="28"/>
      <w:sz w:val="18"/>
      <w:szCs w:val="18"/>
    </w:rPr>
  </w:style>
  <w:style w:type="character" w:styleId="CommentReference">
    <w:name w:val="annotation reference"/>
    <w:basedOn w:val="DefaultParagraphFont"/>
    <w:rsid w:val="0012024A"/>
    <w:rPr>
      <w:sz w:val="16"/>
      <w:szCs w:val="16"/>
    </w:rPr>
  </w:style>
  <w:style w:type="paragraph" w:styleId="CommentText">
    <w:name w:val="annotation text"/>
    <w:basedOn w:val="Normal"/>
    <w:link w:val="CommentTextChar"/>
    <w:rsid w:val="0012024A"/>
    <w:rPr>
      <w:sz w:val="20"/>
    </w:rPr>
  </w:style>
  <w:style w:type="character" w:customStyle="1" w:styleId="CommentTextChar">
    <w:name w:val="Comment Text Char"/>
    <w:basedOn w:val="DefaultParagraphFont"/>
    <w:link w:val="CommentText"/>
    <w:rsid w:val="0012024A"/>
    <w:rPr>
      <w:snapToGrid w:val="0"/>
      <w:kern w:val="28"/>
    </w:rPr>
  </w:style>
  <w:style w:type="paragraph" w:styleId="CommentSubject">
    <w:name w:val="annotation subject"/>
    <w:basedOn w:val="CommentText"/>
    <w:next w:val="CommentText"/>
    <w:link w:val="CommentSubjectChar"/>
    <w:rsid w:val="0012024A"/>
    <w:rPr>
      <w:b/>
      <w:bCs/>
    </w:rPr>
  </w:style>
  <w:style w:type="character" w:customStyle="1" w:styleId="CommentSubjectChar">
    <w:name w:val="Comment Subject Char"/>
    <w:basedOn w:val="CommentTextChar"/>
    <w:link w:val="CommentSubject"/>
    <w:rsid w:val="0012024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571</Words>
  <Characters>2987</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2015-10-14T19:34:00Z</cp:lastPrinted>
  <dcterms:created xsi:type="dcterms:W3CDTF">2015-11-18T20:23:00Z</dcterms:created>
  <dcterms:modified xsi:type="dcterms:W3CDTF">2015-11-18T20:23:00Z</dcterms:modified>
  <cp:category> </cp:category>
  <cp:contentStatus> </cp:contentStatus>
</cp:coreProperties>
</file>