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67" w:rsidRPr="00AA0419" w:rsidRDefault="00DD0C67" w:rsidP="00DD0C67">
      <w:pPr>
        <w:spacing w:after="240"/>
        <w:jc w:val="center"/>
        <w:rPr>
          <w:b/>
        </w:rPr>
      </w:pPr>
      <w:bookmarkStart w:id="0" w:name="_GoBack"/>
      <w:bookmarkEnd w:id="0"/>
      <w:r w:rsidRPr="00AA0419">
        <w:rPr>
          <w:b/>
        </w:rPr>
        <w:t>DISSENTING STATEMENT</w:t>
      </w:r>
      <w:r>
        <w:rPr>
          <w:b/>
        </w:rPr>
        <w:t xml:space="preserve"> OF</w:t>
      </w:r>
      <w:r w:rsidRPr="00AA0419">
        <w:rPr>
          <w:b/>
        </w:rPr>
        <w:br/>
        <w:t>COMMISSIONER AJIT PAI</w:t>
      </w:r>
    </w:p>
    <w:p w:rsidR="00DD0C67" w:rsidRDefault="00DD0C67" w:rsidP="00DD0C67">
      <w:pPr>
        <w:ind w:left="720" w:hanging="720"/>
      </w:pPr>
      <w:r>
        <w:t>Re:</w:t>
      </w:r>
      <w:r>
        <w:tab/>
      </w:r>
      <w:r>
        <w:rPr>
          <w:i/>
        </w:rPr>
        <w:t>DIRECTV Sports Net Pittsburgh, LLC, Petitioner v. Armstrong Utilities, Inc., Respondent</w:t>
      </w:r>
      <w:r>
        <w:t>, File No. CSR08480-P.</w:t>
      </w:r>
    </w:p>
    <w:p w:rsidR="00DD0C67" w:rsidRDefault="00DD0C67" w:rsidP="00DD0C67">
      <w:pPr>
        <w:ind w:left="720" w:hanging="720"/>
      </w:pPr>
    </w:p>
    <w:p w:rsidR="00DD0C67" w:rsidRPr="003A0CBE" w:rsidRDefault="00DD0C67" w:rsidP="00DD0C67">
      <w:pPr>
        <w:spacing w:after="120"/>
        <w:ind w:firstLine="720"/>
        <w:rPr>
          <w:rFonts w:eastAsiaTheme="minorHAnsi"/>
          <w:szCs w:val="22"/>
        </w:rPr>
      </w:pPr>
      <w:r w:rsidRPr="003A0CBE">
        <w:rPr>
          <w:rFonts w:eastAsiaTheme="minorHAnsi"/>
          <w:szCs w:val="22"/>
        </w:rPr>
        <w:t xml:space="preserve">Most Americans are familiar with how </w:t>
      </w:r>
      <w:r w:rsidRPr="003A0CBE">
        <w:rPr>
          <w:rFonts w:eastAsiaTheme="minorHAnsi"/>
          <w:i/>
          <w:szCs w:val="22"/>
        </w:rPr>
        <w:t>The Price Is Right</w:t>
      </w:r>
      <w:r w:rsidRPr="003A0CBE">
        <w:rPr>
          <w:rFonts w:eastAsiaTheme="minorHAnsi"/>
          <w:szCs w:val="22"/>
        </w:rPr>
        <w:t xml:space="preserve"> begins.  Four audience members are asked to “come on down” to contestants’ row.</w:t>
      </w:r>
      <w:r w:rsidRPr="003A0CBE">
        <w:rPr>
          <w:rFonts w:eastAsiaTheme="minorHAnsi"/>
          <w:szCs w:val="22"/>
          <w:vertAlign w:val="superscript"/>
        </w:rPr>
        <w:footnoteReference w:id="1"/>
      </w:r>
      <w:r w:rsidRPr="003A0CBE">
        <w:rPr>
          <w:rFonts w:eastAsiaTheme="minorHAnsi"/>
          <w:szCs w:val="22"/>
        </w:rPr>
        <w:t xml:space="preserve">  They are shown a product, and Drew Carey requests their bids.  The contestant that guesses the closest to the actual retail price </w:t>
      </w:r>
      <w:r w:rsidRPr="003A0CBE">
        <w:rPr>
          <w:rFonts w:eastAsiaTheme="minorHAnsi"/>
          <w:i/>
          <w:szCs w:val="22"/>
        </w:rPr>
        <w:t>without going over</w:t>
      </w:r>
      <w:r w:rsidRPr="003A0CBE">
        <w:rPr>
          <w:rFonts w:eastAsiaTheme="minorHAnsi"/>
          <w:szCs w:val="22"/>
        </w:rPr>
        <w:t xml:space="preserve"> wins the item and is invited onstage to play a pricing game.</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What does </w:t>
      </w:r>
      <w:r w:rsidRPr="003A0CBE">
        <w:rPr>
          <w:rFonts w:eastAsiaTheme="minorHAnsi"/>
          <w:i/>
          <w:szCs w:val="22"/>
        </w:rPr>
        <w:t>The Price Is Right</w:t>
      </w:r>
      <w:r w:rsidRPr="003A0CBE">
        <w:rPr>
          <w:rFonts w:eastAsiaTheme="minorHAnsi"/>
          <w:szCs w:val="22"/>
        </w:rPr>
        <w:t xml:space="preserve"> have to do with the 2010 failure of DIRECTV Sports Net Pittsburgh (DSNP) and cable operator Armstrong Utilities (Armstrong) to negotiate a mutually acceptable deal for carriage of Fox Sports Net Pittsburgh (FSNP), a regional sports network owned by DSNP and controlled by Liberty Media?</w:t>
      </w:r>
      <w:r w:rsidRPr="003A0CBE">
        <w:rPr>
          <w:rFonts w:eastAsiaTheme="minorHAnsi"/>
          <w:szCs w:val="22"/>
          <w:vertAlign w:val="superscript"/>
        </w:rPr>
        <w:footnoteReference w:id="2"/>
      </w:r>
      <w:r w:rsidRPr="003A0CBE" w:rsidDel="00E970C5">
        <w:rPr>
          <w:rFonts w:eastAsiaTheme="minorHAnsi"/>
          <w:szCs w:val="22"/>
        </w:rPr>
        <w:t xml:space="preserve"> </w:t>
      </w:r>
      <w:r w:rsidRPr="003A0CBE">
        <w:rPr>
          <w:rFonts w:eastAsiaTheme="minorHAnsi"/>
          <w:szCs w:val="22"/>
        </w:rPr>
        <w:t xml:space="preserve"> The answer is simple.  Had the Commission’s </w:t>
      </w:r>
      <w:r w:rsidRPr="003A0CBE">
        <w:rPr>
          <w:rFonts w:eastAsiaTheme="minorHAnsi"/>
          <w:i/>
          <w:szCs w:val="22"/>
        </w:rPr>
        <w:t>Liberty Media Order</w:t>
      </w:r>
      <w:r w:rsidRPr="003A0CBE">
        <w:rPr>
          <w:rFonts w:eastAsiaTheme="minorHAnsi"/>
          <w:szCs w:val="22"/>
          <w:vertAlign w:val="superscript"/>
        </w:rPr>
        <w:footnoteReference w:id="3"/>
      </w:r>
      <w:r w:rsidRPr="003A0CBE">
        <w:rPr>
          <w:rFonts w:eastAsiaTheme="minorHAnsi"/>
          <w:szCs w:val="22"/>
        </w:rPr>
        <w:t xml:space="preserve"> mandated </w:t>
      </w:r>
      <w:r w:rsidRPr="003A0CBE">
        <w:rPr>
          <w:rFonts w:eastAsiaTheme="minorHAnsi"/>
          <w:i/>
          <w:szCs w:val="22"/>
        </w:rPr>
        <w:t>The Price Is Right</w:t>
      </w:r>
      <w:r w:rsidRPr="003A0CBE">
        <w:rPr>
          <w:rFonts w:eastAsiaTheme="minorHAnsi"/>
          <w:szCs w:val="22"/>
        </w:rPr>
        <w:t>-style arbitration to resolve such disputes, I would agree with the Commission’s decision in this case because DSNP’s offer was almost certainly too high.</w:t>
      </w:r>
    </w:p>
    <w:p w:rsidR="00DD0C67" w:rsidRPr="003A0CBE" w:rsidRDefault="00DD0C67" w:rsidP="00DD0C67">
      <w:pPr>
        <w:spacing w:after="120"/>
        <w:ind w:firstLine="720"/>
        <w:rPr>
          <w:rFonts w:eastAsiaTheme="minorHAnsi"/>
          <w:szCs w:val="22"/>
        </w:rPr>
      </w:pPr>
      <w:r w:rsidRPr="003A0CBE">
        <w:rPr>
          <w:rFonts w:eastAsiaTheme="minorHAnsi"/>
          <w:szCs w:val="22"/>
        </w:rPr>
        <w:t>But that’s not what the Commission did.  Instead, it required baseball-style arbitration and directed the arbitrator to choose the final offer that “most closely approximates the fair market value of the programming carriage rights at issue.”</w:t>
      </w:r>
      <w:r w:rsidRPr="003A0CBE">
        <w:rPr>
          <w:rFonts w:eastAsiaTheme="minorHAnsi"/>
          <w:szCs w:val="22"/>
          <w:vertAlign w:val="superscript"/>
        </w:rPr>
        <w:footnoteReference w:id="4"/>
      </w:r>
      <w:r w:rsidRPr="003A0CBE">
        <w:rPr>
          <w:rFonts w:eastAsiaTheme="minorHAnsi"/>
          <w:szCs w:val="22"/>
        </w:rPr>
        <w:t xml:space="preserve">  So the key question was whether DSNP’s offer or Armstrong’s offer was closer to the fair market value.  Because the arbitrator, the Media Bureau, and the Commission have not made a reasonable effort to figure out the answer to that question, I respectfully dissent.</w:t>
      </w:r>
    </w:p>
    <w:p w:rsidR="00DD0C67" w:rsidRPr="003A0CBE" w:rsidRDefault="00DD0C67" w:rsidP="00DD0C67">
      <w:pPr>
        <w:keepNext/>
        <w:spacing w:before="240" w:after="120"/>
        <w:jc w:val="center"/>
        <w:rPr>
          <w:rFonts w:eastAsiaTheme="minorHAnsi"/>
          <w:szCs w:val="22"/>
        </w:rPr>
      </w:pPr>
      <w:r w:rsidRPr="003A0CBE">
        <w:rPr>
          <w:rFonts w:eastAsiaTheme="minorHAnsi"/>
          <w:szCs w:val="22"/>
        </w:rPr>
        <w:t>I.</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The appropriate method for resolving this case seems obvious.  The </w:t>
      </w:r>
      <w:r w:rsidRPr="003A0CBE">
        <w:rPr>
          <w:rFonts w:eastAsiaTheme="minorHAnsi"/>
          <w:i/>
          <w:szCs w:val="22"/>
        </w:rPr>
        <w:t>Liberty Media Order</w:t>
      </w:r>
      <w:r w:rsidRPr="003A0CBE">
        <w:rPr>
          <w:rFonts w:eastAsiaTheme="minorHAnsi"/>
          <w:szCs w:val="22"/>
        </w:rPr>
        <w:t xml:space="preserve"> requires us to pick the final offer that “most closely approximates the fair market value of the programming carriage rights at issue.”</w:t>
      </w:r>
      <w:r w:rsidRPr="003A0CBE">
        <w:rPr>
          <w:rFonts w:eastAsiaTheme="minorHAnsi"/>
          <w:szCs w:val="22"/>
          <w:vertAlign w:val="superscript"/>
        </w:rPr>
        <w:footnoteReference w:id="5"/>
      </w:r>
      <w:r w:rsidRPr="003A0CBE">
        <w:rPr>
          <w:rFonts w:eastAsiaTheme="minorHAnsi"/>
          <w:szCs w:val="22"/>
        </w:rPr>
        <w:t xml:space="preserve">  Accordingly, we should start by estimating the fair market value of Armstrong’s carriage of FSNP.  We should then compare that estimated fair market value to the actual offers submitted to the arbitrator by DSNP and Armstrong.  Finally, we should choose whichever party’s offer is closer to our estimated fair market value.</w:t>
      </w:r>
    </w:p>
    <w:p w:rsidR="00DD0C67" w:rsidRPr="003A0CBE" w:rsidRDefault="00DD0C67" w:rsidP="00DD0C67">
      <w:pPr>
        <w:spacing w:after="120"/>
        <w:ind w:firstLine="720"/>
        <w:rPr>
          <w:rFonts w:eastAsiaTheme="minorHAnsi" w:cstheme="minorBidi"/>
          <w:szCs w:val="22"/>
        </w:rPr>
      </w:pPr>
      <w:r w:rsidRPr="003A0CBE">
        <w:rPr>
          <w:rFonts w:eastAsiaTheme="minorHAnsi"/>
          <w:szCs w:val="22"/>
        </w:rPr>
        <w:t>Unfortunately, the decisions of the arbitrator, the Bureau, and the Commission all suffer from the same methodological flaw:  They never attempt to estimate the fair market value of the programming carriage rights at issue.  Indeed, while Commission claims that “</w:t>
      </w:r>
      <w:r w:rsidRPr="003A0CBE">
        <w:rPr>
          <w:rFonts w:eastAsiaTheme="minorHAnsi" w:cstheme="minorBidi"/>
          <w:szCs w:val="22"/>
        </w:rPr>
        <w:t>fair market value by definition is a subjective estimation of what a willing buyer and a willing seller will agree to in an arm’s-length transaction,”</w:t>
      </w:r>
      <w:r w:rsidRPr="003A0CBE">
        <w:rPr>
          <w:rFonts w:eastAsiaTheme="minorHAnsi" w:cstheme="minorBidi"/>
          <w:szCs w:val="22"/>
          <w:vertAlign w:val="superscript"/>
        </w:rPr>
        <w:footnoteReference w:id="6"/>
      </w:r>
      <w:r w:rsidRPr="003A0CBE">
        <w:rPr>
          <w:rFonts w:eastAsiaTheme="minorHAnsi" w:cstheme="minorBidi"/>
          <w:szCs w:val="22"/>
        </w:rPr>
        <w:t xml:space="preserve"> it never bothers to make any subjective or objective estimate of fair market value here.  This cannot be reconciled with the plain terms of the </w:t>
      </w:r>
      <w:r w:rsidRPr="003A0CBE">
        <w:rPr>
          <w:rFonts w:eastAsiaTheme="minorHAnsi" w:cstheme="minorBidi"/>
          <w:i/>
          <w:szCs w:val="22"/>
        </w:rPr>
        <w:t>Liberty Media Order</w:t>
      </w:r>
      <w:r w:rsidRPr="003A0CBE">
        <w:rPr>
          <w:rFonts w:eastAsiaTheme="minorHAnsi" w:cstheme="minorBidi"/>
          <w:szCs w:val="22"/>
        </w:rPr>
        <w:t xml:space="preserve">, which require the </w:t>
      </w:r>
      <w:r w:rsidRPr="003A0CBE">
        <w:rPr>
          <w:rFonts w:eastAsiaTheme="minorHAnsi" w:cstheme="minorBidi"/>
          <w:szCs w:val="22"/>
        </w:rPr>
        <w:lastRenderedPageBreak/>
        <w:t>consideration of evidence for the express purpose of “determin[ing] fair market value.”</w:t>
      </w:r>
      <w:r w:rsidRPr="003A0CBE">
        <w:rPr>
          <w:rFonts w:eastAsiaTheme="minorHAnsi" w:cstheme="minorBidi"/>
          <w:szCs w:val="22"/>
          <w:vertAlign w:val="superscript"/>
        </w:rPr>
        <w:footnoteReference w:id="7"/>
      </w:r>
      <w:r w:rsidRPr="003A0CBE">
        <w:rPr>
          <w:rFonts w:eastAsiaTheme="minorHAnsi" w:cstheme="minorBidi"/>
          <w:szCs w:val="22"/>
        </w:rPr>
        <w:t xml:space="preserve">           </w:t>
      </w:r>
    </w:p>
    <w:p w:rsidR="00DD0C67" w:rsidRPr="003A0CBE" w:rsidRDefault="00DD0C67" w:rsidP="00DD0C67">
      <w:pPr>
        <w:spacing w:after="120"/>
        <w:ind w:firstLine="720"/>
        <w:rPr>
          <w:rFonts w:eastAsiaTheme="minorHAnsi"/>
          <w:szCs w:val="22"/>
        </w:rPr>
      </w:pPr>
      <w:r w:rsidRPr="003A0CBE">
        <w:rPr>
          <w:rFonts w:eastAsiaTheme="minorHAnsi"/>
          <w:szCs w:val="22"/>
        </w:rPr>
        <w:t>Instead, like the Bureau, the Commission simply bases its decision on the “principle of marketplace negotiations for RSN programming . . . that an MVPD that has a greater number of subscribers and generates more revenue for an RSN will obtain better rates than an MVPD that has fewer subscribers and generates less revenue for the RSN.”</w:t>
      </w:r>
      <w:r w:rsidRPr="003A0CBE">
        <w:rPr>
          <w:rFonts w:eastAsiaTheme="minorHAnsi"/>
          <w:szCs w:val="22"/>
          <w:vertAlign w:val="superscript"/>
        </w:rPr>
        <w:footnoteReference w:id="8"/>
      </w:r>
      <w:r w:rsidRPr="003A0CBE">
        <w:rPr>
          <w:rFonts w:eastAsiaTheme="minorHAnsi"/>
          <w:szCs w:val="22"/>
        </w:rPr>
        <w:t xml:space="preserve">  But this principle is not tailored to select the offer that most closely approximates fair market value.  In fact, it may result in the selection of the offer that </w:t>
      </w:r>
      <w:r w:rsidRPr="003A0CBE">
        <w:rPr>
          <w:rFonts w:eastAsiaTheme="minorHAnsi"/>
          <w:i/>
          <w:szCs w:val="22"/>
        </w:rPr>
        <w:t>least</w:t>
      </w:r>
      <w:r w:rsidRPr="003A0CBE">
        <w:rPr>
          <w:rFonts w:eastAsiaTheme="minorHAnsi"/>
          <w:szCs w:val="22"/>
        </w:rPr>
        <w:t xml:space="preserve"> corresponds to the fair market value.</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Consider, for example, the 2011 rates that cable operators pay for FSNP in what is known as Zone </w:t>
      </w:r>
      <w:r w:rsidRPr="00430BEA">
        <w:rPr>
          <w:b/>
        </w:rPr>
        <w:t>[</w:t>
      </w:r>
      <w:r>
        <w:rPr>
          <w:b/>
        </w:rPr>
        <w:t>REDACTED</w:t>
      </w:r>
      <w:r w:rsidRPr="00430BEA">
        <w:rPr>
          <w:b/>
        </w:rPr>
        <w:t>]</w:t>
      </w:r>
      <w:r w:rsidRPr="003A0CBE">
        <w:rPr>
          <w:rFonts w:eastAsiaTheme="minorHAnsi"/>
          <w:szCs w:val="22"/>
        </w:rPr>
        <w:t xml:space="preserve">, the area closest to Pittsburgh.  Comcast, the largest cable operator in the market, paid a rate of </w:t>
      </w:r>
      <w:r w:rsidRPr="00430BEA">
        <w:rPr>
          <w:b/>
        </w:rPr>
        <w:t>[</w:t>
      </w:r>
      <w:r>
        <w:rPr>
          <w:b/>
        </w:rPr>
        <w:t>REDACTED</w:t>
      </w:r>
      <w:r w:rsidRPr="00430BEA">
        <w:rPr>
          <w:b/>
        </w:rPr>
        <w:t>]</w:t>
      </w:r>
      <w:r>
        <w:rPr>
          <w:b/>
        </w:rPr>
        <w:t xml:space="preserve"> </w:t>
      </w:r>
      <w:r w:rsidRPr="003A0CBE">
        <w:rPr>
          <w:rFonts w:eastAsiaTheme="minorHAnsi"/>
          <w:szCs w:val="22"/>
        </w:rPr>
        <w:t>per month.</w:t>
      </w:r>
      <w:r w:rsidRPr="003A0CBE">
        <w:rPr>
          <w:rFonts w:eastAsiaTheme="minorHAnsi"/>
          <w:szCs w:val="22"/>
          <w:vertAlign w:val="superscript"/>
        </w:rPr>
        <w:footnoteReference w:id="9"/>
      </w:r>
      <w:r w:rsidRPr="003A0CBE">
        <w:rPr>
          <w:rFonts w:eastAsiaTheme="minorHAnsi"/>
          <w:szCs w:val="22"/>
        </w:rPr>
        <w:t xml:space="preserve">  </w:t>
      </w:r>
      <w:r w:rsidRPr="00430BEA">
        <w:rPr>
          <w:b/>
        </w:rPr>
        <w:t>[</w:t>
      </w:r>
      <w:r>
        <w:rPr>
          <w:b/>
        </w:rPr>
        <w:t>REDACTED</w:t>
      </w:r>
      <w:r w:rsidRPr="00430BEA">
        <w:rPr>
          <w:b/>
        </w:rPr>
        <w:t>]</w:t>
      </w:r>
      <w:r w:rsidRPr="003A0CBE">
        <w:rPr>
          <w:rFonts w:eastAsiaTheme="minorHAnsi"/>
          <w:szCs w:val="22"/>
        </w:rPr>
        <w:t xml:space="preserve">, by contrast, had much smaller presences in the Pittsburgh market, and paid rates of </w:t>
      </w:r>
      <w:r w:rsidRPr="00430BEA">
        <w:rPr>
          <w:b/>
        </w:rPr>
        <w:t>[</w:t>
      </w:r>
      <w:r>
        <w:rPr>
          <w:b/>
        </w:rPr>
        <w:t>REDACTED</w:t>
      </w:r>
      <w:r w:rsidRPr="00430BEA">
        <w:rPr>
          <w:b/>
        </w:rPr>
        <w:t>]</w:t>
      </w:r>
      <w:r>
        <w:rPr>
          <w:b/>
        </w:rPr>
        <w:t xml:space="preserve"> </w:t>
      </w:r>
      <w:r w:rsidRPr="003A0CBE">
        <w:rPr>
          <w:rFonts w:eastAsiaTheme="minorHAnsi"/>
          <w:szCs w:val="22"/>
        </w:rPr>
        <w:t>per month, respectively.</w:t>
      </w:r>
      <w:r w:rsidRPr="003A0CBE">
        <w:rPr>
          <w:rFonts w:eastAsiaTheme="minorHAnsi"/>
          <w:szCs w:val="22"/>
          <w:vertAlign w:val="superscript"/>
        </w:rPr>
        <w:footnoteReference w:id="10"/>
      </w:r>
      <w:r w:rsidRPr="003A0CBE">
        <w:rPr>
          <w:rFonts w:eastAsiaTheme="minorHAnsi"/>
          <w:szCs w:val="22"/>
        </w:rPr>
        <w:t xml:space="preserve">  For its part, Armstrong has considerably fewer subscribers in Pittsburgh than </w:t>
      </w:r>
      <w:r>
        <w:t>Comcast</w:t>
      </w:r>
      <w:r>
        <w:rPr>
          <w:b/>
        </w:rPr>
        <w:t xml:space="preserve"> </w:t>
      </w:r>
      <w:r w:rsidRPr="003A0CBE">
        <w:rPr>
          <w:rFonts w:eastAsiaTheme="minorHAnsi"/>
          <w:szCs w:val="22"/>
        </w:rPr>
        <w:t xml:space="preserve">but generates more annual revenues for DSNP than </w:t>
      </w:r>
      <w:r w:rsidRPr="00430BEA">
        <w:rPr>
          <w:b/>
        </w:rPr>
        <w:t>[</w:t>
      </w:r>
      <w:r>
        <w:rPr>
          <w:b/>
        </w:rPr>
        <w:t>REDACTED</w:t>
      </w:r>
      <w:r w:rsidRPr="00430BEA">
        <w:rPr>
          <w:b/>
        </w:rPr>
        <w:t>]</w:t>
      </w:r>
      <w:r w:rsidRPr="003A0CBE">
        <w:rPr>
          <w:rFonts w:eastAsiaTheme="minorHAnsi"/>
          <w:szCs w:val="22"/>
        </w:rPr>
        <w:t>.</w:t>
      </w:r>
      <w:r w:rsidRPr="003A0CBE">
        <w:rPr>
          <w:rFonts w:eastAsiaTheme="minorHAnsi"/>
          <w:szCs w:val="22"/>
          <w:vertAlign w:val="superscript"/>
        </w:rPr>
        <w:footnoteReference w:id="11"/>
      </w:r>
    </w:p>
    <w:p w:rsidR="00DD0C67" w:rsidRPr="003A0CBE" w:rsidRDefault="00DD0C67" w:rsidP="00DD0C67">
      <w:pPr>
        <w:spacing w:after="120"/>
        <w:ind w:firstLine="720"/>
        <w:rPr>
          <w:rFonts w:eastAsiaTheme="minorHAnsi"/>
          <w:szCs w:val="22"/>
        </w:rPr>
      </w:pPr>
      <w:r w:rsidRPr="003A0CBE">
        <w:rPr>
          <w:rFonts w:eastAsiaTheme="minorHAnsi"/>
          <w:szCs w:val="22"/>
        </w:rPr>
        <w:t xml:space="preserve">Applying the Commission’s principle, one might expect Armstrong’s rate to be somewhere between </w:t>
      </w:r>
      <w:r w:rsidRPr="00430BEA">
        <w:rPr>
          <w:b/>
        </w:rPr>
        <w:t>[</w:t>
      </w:r>
      <w:r>
        <w:rPr>
          <w:b/>
        </w:rPr>
        <w:t>REDACTED</w:t>
      </w:r>
      <w:r w:rsidRPr="00430BEA">
        <w:rPr>
          <w:b/>
        </w:rPr>
        <w:t>]</w:t>
      </w:r>
      <w:r w:rsidRPr="003A0CBE">
        <w:rPr>
          <w:rFonts w:eastAsiaTheme="minorHAnsi"/>
          <w:szCs w:val="22"/>
        </w:rPr>
        <w:t xml:space="preserve"> and </w:t>
      </w:r>
      <w:r w:rsidRPr="00430BEA">
        <w:rPr>
          <w:b/>
        </w:rPr>
        <w:t>[</w:t>
      </w:r>
      <w:r>
        <w:rPr>
          <w:b/>
        </w:rPr>
        <w:t>REDACTED</w:t>
      </w:r>
      <w:r w:rsidRPr="00430BEA">
        <w:rPr>
          <w:b/>
        </w:rPr>
        <w:t>]</w:t>
      </w:r>
      <w:r w:rsidRPr="003A0CBE">
        <w:rPr>
          <w:rFonts w:eastAsiaTheme="minorHAnsi"/>
          <w:szCs w:val="22"/>
        </w:rPr>
        <w:t xml:space="preserve"> (the lowest of the rates paid by </w:t>
      </w:r>
      <w:r w:rsidRPr="00430BEA">
        <w:rPr>
          <w:b/>
        </w:rPr>
        <w:t>[</w:t>
      </w:r>
      <w:r>
        <w:rPr>
          <w:b/>
        </w:rPr>
        <w:t>REDACTED</w:t>
      </w:r>
      <w:r w:rsidRPr="00430BEA">
        <w:rPr>
          <w:b/>
        </w:rPr>
        <w:t>]</w:t>
      </w:r>
      <w:r w:rsidRPr="003A0CBE">
        <w:rPr>
          <w:rFonts w:eastAsiaTheme="minorHAnsi"/>
          <w:szCs w:val="22"/>
        </w:rPr>
        <w:t xml:space="preserve">).  Armstrong’s offer </w:t>
      </w:r>
      <w:r w:rsidRPr="00430BEA">
        <w:rPr>
          <w:b/>
        </w:rPr>
        <w:t>[</w:t>
      </w:r>
      <w:r>
        <w:rPr>
          <w:b/>
        </w:rPr>
        <w:t>REDACTED</w:t>
      </w:r>
      <w:r w:rsidRPr="00430BEA">
        <w:rPr>
          <w:b/>
        </w:rPr>
        <w:t>]</w:t>
      </w:r>
      <w:r>
        <w:rPr>
          <w:b/>
        </w:rPr>
        <w:t xml:space="preserve"> </w:t>
      </w:r>
      <w:r w:rsidRPr="003A0CBE">
        <w:rPr>
          <w:rFonts w:eastAsiaTheme="minorHAnsi"/>
          <w:szCs w:val="22"/>
        </w:rPr>
        <w:t xml:space="preserve">was within that range while DSNP’s was not </w:t>
      </w:r>
      <w:r w:rsidRPr="00430BEA">
        <w:rPr>
          <w:b/>
        </w:rPr>
        <w:t>[</w:t>
      </w:r>
      <w:r>
        <w:rPr>
          <w:b/>
        </w:rPr>
        <w:t>REDACTED</w:t>
      </w:r>
      <w:r w:rsidRPr="00430BEA">
        <w:rPr>
          <w:b/>
        </w:rPr>
        <w:t>]</w:t>
      </w:r>
      <w:r w:rsidRPr="003A0CBE">
        <w:rPr>
          <w:rFonts w:eastAsiaTheme="minorHAnsi"/>
          <w:szCs w:val="22"/>
        </w:rPr>
        <w:t>.</w:t>
      </w:r>
      <w:r w:rsidRPr="003A0CBE">
        <w:rPr>
          <w:rFonts w:eastAsiaTheme="minorHAnsi"/>
          <w:szCs w:val="22"/>
          <w:vertAlign w:val="superscript"/>
        </w:rPr>
        <w:footnoteReference w:id="12"/>
      </w:r>
      <w:r w:rsidRPr="003A0CBE">
        <w:rPr>
          <w:rFonts w:eastAsiaTheme="minorHAnsi"/>
          <w:szCs w:val="22"/>
        </w:rPr>
        <w:t xml:space="preserve">  Although this suggests that DSNP’s offer was likely too high, and thus would have been disqualified on </w:t>
      </w:r>
      <w:r w:rsidRPr="003A0CBE">
        <w:rPr>
          <w:rFonts w:eastAsiaTheme="minorHAnsi"/>
          <w:i/>
          <w:szCs w:val="22"/>
        </w:rPr>
        <w:t>The Price Is Right</w:t>
      </w:r>
      <w:r w:rsidRPr="003A0CBE">
        <w:rPr>
          <w:rFonts w:eastAsiaTheme="minorHAnsi"/>
          <w:szCs w:val="22"/>
        </w:rPr>
        <w:t>, does it mean that Armstrong’s offer was closer to fair market value than DSNP’s?  Not necessarily.</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If the fair market value for Armstrong’s carriage were in fact </w:t>
      </w:r>
      <w:r w:rsidRPr="00430BEA">
        <w:rPr>
          <w:b/>
        </w:rPr>
        <w:t>[</w:t>
      </w:r>
      <w:r>
        <w:rPr>
          <w:b/>
        </w:rPr>
        <w:t>REDACTED</w:t>
      </w:r>
      <w:r w:rsidRPr="00430BEA">
        <w:rPr>
          <w:b/>
        </w:rPr>
        <w:t>]</w:t>
      </w:r>
      <w:r w:rsidRPr="003A0CBE">
        <w:rPr>
          <w:rFonts w:eastAsiaTheme="minorHAnsi"/>
          <w:szCs w:val="22"/>
        </w:rPr>
        <w:t xml:space="preserve"> a month (a rate consistent with the Commission’s principle), then the Commission should choose DSNP’s offer since it “most closely approximates the fair market value” (deviating by only </w:t>
      </w:r>
      <w:r w:rsidRPr="00430BEA">
        <w:rPr>
          <w:b/>
        </w:rPr>
        <w:t>[</w:t>
      </w:r>
      <w:r>
        <w:rPr>
          <w:b/>
        </w:rPr>
        <w:t>REDACTED</w:t>
      </w:r>
      <w:r w:rsidRPr="00430BEA">
        <w:rPr>
          <w:b/>
        </w:rPr>
        <w:t>]</w:t>
      </w:r>
      <w:r w:rsidRPr="003A0CBE">
        <w:rPr>
          <w:rFonts w:eastAsiaTheme="minorHAnsi"/>
          <w:szCs w:val="22"/>
        </w:rPr>
        <w:t xml:space="preserve"> rather than </w:t>
      </w:r>
      <w:r w:rsidRPr="00430BEA">
        <w:rPr>
          <w:b/>
        </w:rPr>
        <w:t>[</w:t>
      </w:r>
      <w:r>
        <w:rPr>
          <w:b/>
        </w:rPr>
        <w:t>REDACTED</w:t>
      </w:r>
      <w:r w:rsidRPr="00430BEA">
        <w:rPr>
          <w:b/>
        </w:rPr>
        <w:t>]</w:t>
      </w:r>
      <w:r w:rsidRPr="003A0CBE">
        <w:rPr>
          <w:rFonts w:eastAsiaTheme="minorHAnsi"/>
          <w:szCs w:val="22"/>
        </w:rPr>
        <w:t xml:space="preserve">).  That is true even though DSNP’s offer does not fall within the </w:t>
      </w:r>
      <w:r w:rsidRPr="00430BEA">
        <w:rPr>
          <w:b/>
        </w:rPr>
        <w:t>[</w:t>
      </w:r>
      <w:r>
        <w:rPr>
          <w:b/>
        </w:rPr>
        <w:t>REDACTED</w:t>
      </w:r>
      <w:r w:rsidRPr="00430BEA">
        <w:rPr>
          <w:b/>
        </w:rPr>
        <w:t>]</w:t>
      </w:r>
      <w:r>
        <w:rPr>
          <w:b/>
        </w:rPr>
        <w:t xml:space="preserve"> </w:t>
      </w:r>
      <w:r w:rsidRPr="003A0CBE">
        <w:rPr>
          <w:rFonts w:eastAsiaTheme="minorHAnsi"/>
          <w:szCs w:val="22"/>
        </w:rPr>
        <w:t xml:space="preserve">range consistent with the Commission’s principle, while Armstrong’s offer does.  </w:t>
      </w:r>
    </w:p>
    <w:p w:rsidR="00DD0C67" w:rsidRPr="003A0CBE" w:rsidRDefault="00DD0C67" w:rsidP="00DD0C67">
      <w:pPr>
        <w:spacing w:after="120"/>
        <w:ind w:firstLine="720"/>
        <w:rPr>
          <w:rFonts w:eastAsiaTheme="minorHAnsi"/>
          <w:szCs w:val="22"/>
        </w:rPr>
      </w:pPr>
      <w:r w:rsidRPr="003A0CBE">
        <w:rPr>
          <w:rFonts w:eastAsiaTheme="minorHAnsi"/>
          <w:szCs w:val="22"/>
        </w:rPr>
        <w:t>Similarly problematic was the Bureau’s treatment of several “other rate terms,” such as the renewal rate increase and annual escalator.  The “renewal rate increase” is the rate increase in the first year of the new contract (compared to the old contract).  The “annual escalator” is the percentage rate increase in subsequent years of the new contract.  The Bureau concluded that Armstrong’s proposed renewal rate increase and DNSP’s proposed annual escalator were closer to fair market value—in other words, one point for Armstrong, one point for DSNP.</w:t>
      </w:r>
      <w:r w:rsidRPr="003A0CBE">
        <w:rPr>
          <w:rFonts w:eastAsiaTheme="minorHAnsi"/>
          <w:szCs w:val="22"/>
          <w:vertAlign w:val="superscript"/>
        </w:rPr>
        <w:footnoteReference w:id="13"/>
      </w:r>
      <w:r w:rsidRPr="003A0CBE">
        <w:rPr>
          <w:rFonts w:eastAsiaTheme="minorHAnsi"/>
          <w:szCs w:val="22"/>
        </w:rPr>
        <w:t xml:space="preserve">  And the Commission accepts this treatment here.</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But these factors have no relevance apart from how they influence rates!  If Armstrong’s offered rates better approximate the fair market value, then what does it matter that DSNP’s annual escalator was more accurate?  Or if DSNP’s offered rates better approximate the fair market value, what does it matter </w:t>
      </w:r>
      <w:r w:rsidRPr="003A0CBE">
        <w:rPr>
          <w:rFonts w:eastAsiaTheme="minorHAnsi"/>
          <w:szCs w:val="22"/>
        </w:rPr>
        <w:lastRenderedPageBreak/>
        <w:t>if DSNP’s proposed increase for the first year was too high?  Analyzing these pieces of each company’s rate offer as if they were stand-alone offers may seem to add precision to the process.  But all it does is add arbitrary factors that do not help us figure out whose final offer “most closely approximates the fair market value of the programming carriage rights at issue.”</w:t>
      </w:r>
      <w:r w:rsidRPr="003A0CBE">
        <w:rPr>
          <w:rFonts w:eastAsiaTheme="minorHAnsi"/>
          <w:szCs w:val="22"/>
          <w:vertAlign w:val="superscript"/>
        </w:rPr>
        <w:footnoteReference w:id="14"/>
      </w:r>
      <w:r w:rsidRPr="003A0CBE">
        <w:rPr>
          <w:rFonts w:eastAsiaTheme="minorHAnsi"/>
          <w:szCs w:val="22"/>
        </w:rPr>
        <w:t xml:space="preserve">  The Commission should have corrected the Bureau’s mistake and analyzed these rate terms as part of, not independent from, its determination of whose rates better reflect the fair market value.  This, however, was not done.</w:t>
      </w:r>
    </w:p>
    <w:p w:rsidR="00DD0C67" w:rsidRPr="003A0CBE" w:rsidRDefault="00DD0C67" w:rsidP="00DD0C67">
      <w:pPr>
        <w:keepNext/>
        <w:spacing w:before="240" w:after="120"/>
        <w:jc w:val="center"/>
        <w:rPr>
          <w:rFonts w:eastAsiaTheme="minorHAnsi"/>
          <w:szCs w:val="22"/>
        </w:rPr>
      </w:pPr>
      <w:r w:rsidRPr="003A0CBE">
        <w:rPr>
          <w:rFonts w:eastAsiaTheme="minorHAnsi"/>
          <w:szCs w:val="22"/>
        </w:rPr>
        <w:t>II.</w:t>
      </w:r>
    </w:p>
    <w:p w:rsidR="00DD0C67" w:rsidRPr="003A0CBE" w:rsidRDefault="00DD0C67" w:rsidP="00DD0C67">
      <w:pPr>
        <w:spacing w:after="120"/>
        <w:ind w:firstLine="720"/>
        <w:rPr>
          <w:rFonts w:eastAsiaTheme="minorHAnsi"/>
          <w:szCs w:val="22"/>
        </w:rPr>
      </w:pPr>
      <w:r w:rsidRPr="003A0CBE">
        <w:rPr>
          <w:rFonts w:eastAsiaTheme="minorHAnsi"/>
          <w:szCs w:val="22"/>
        </w:rPr>
        <w:t>So what was the fair market value for Armstrong’s carriage of FSNP?  It is hard to say for sure, but the record offers plausible ways to determine it.  Each favors DSNP’s offer.</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First, we could apply a more sophisticated variant of the Commission’s principle to the Pittsburgh market by comparing the parties’ offered rates to those paid by others in that market.  At the time of the negotiations (2010), Comcast generated </w:t>
      </w:r>
      <w:r w:rsidRPr="00430BEA">
        <w:rPr>
          <w:b/>
        </w:rPr>
        <w:t>[</w:t>
      </w:r>
      <w:r>
        <w:rPr>
          <w:b/>
        </w:rPr>
        <w:t>REDACTED</w:t>
      </w:r>
      <w:r w:rsidRPr="00430BEA">
        <w:rPr>
          <w:b/>
        </w:rPr>
        <w:t>]</w:t>
      </w:r>
      <w:r>
        <w:rPr>
          <w:b/>
        </w:rPr>
        <w:t xml:space="preserve"> </w:t>
      </w:r>
      <w:r w:rsidRPr="003A0CBE">
        <w:rPr>
          <w:rFonts w:eastAsiaTheme="minorHAnsi"/>
          <w:szCs w:val="22"/>
        </w:rPr>
        <w:t xml:space="preserve">for DSNP, Armstrong generated </w:t>
      </w:r>
      <w:r w:rsidRPr="00430BEA">
        <w:rPr>
          <w:b/>
        </w:rPr>
        <w:t>[</w:t>
      </w:r>
      <w:r>
        <w:rPr>
          <w:b/>
        </w:rPr>
        <w:t>REDACTED</w:t>
      </w:r>
      <w:r w:rsidRPr="00430BEA">
        <w:rPr>
          <w:b/>
        </w:rPr>
        <w:t>]</w:t>
      </w:r>
      <w:r w:rsidRPr="003A0CBE">
        <w:rPr>
          <w:rFonts w:eastAsiaTheme="minorHAnsi"/>
          <w:szCs w:val="22"/>
        </w:rPr>
        <w:t xml:space="preserve">, and </w:t>
      </w:r>
      <w:r w:rsidRPr="00430BEA">
        <w:rPr>
          <w:b/>
        </w:rPr>
        <w:t>[</w:t>
      </w:r>
      <w:r>
        <w:rPr>
          <w:b/>
        </w:rPr>
        <w:t>REDACTED</w:t>
      </w:r>
      <w:r w:rsidRPr="00430BEA">
        <w:rPr>
          <w:b/>
        </w:rPr>
        <w:t>]</w:t>
      </w:r>
      <w:r>
        <w:rPr>
          <w:b/>
        </w:rPr>
        <w:t xml:space="preserve"> </w:t>
      </w:r>
      <w:r w:rsidRPr="003A0CBE">
        <w:rPr>
          <w:rFonts w:eastAsiaTheme="minorHAnsi"/>
          <w:szCs w:val="22"/>
        </w:rPr>
        <w:t xml:space="preserve">generated </w:t>
      </w:r>
      <w:r w:rsidRPr="00430BEA">
        <w:rPr>
          <w:b/>
        </w:rPr>
        <w:t>[</w:t>
      </w:r>
      <w:r>
        <w:rPr>
          <w:b/>
        </w:rPr>
        <w:t>REDACTED</w:t>
      </w:r>
      <w:r w:rsidRPr="00430BEA">
        <w:rPr>
          <w:b/>
        </w:rPr>
        <w:t>]</w:t>
      </w:r>
      <w:r w:rsidRPr="003A0CBE">
        <w:rPr>
          <w:rFonts w:eastAsiaTheme="minorHAnsi"/>
          <w:szCs w:val="22"/>
        </w:rPr>
        <w:t>, respectively.</w:t>
      </w:r>
      <w:r w:rsidRPr="003A0CBE">
        <w:rPr>
          <w:rFonts w:eastAsiaTheme="minorHAnsi"/>
          <w:szCs w:val="22"/>
          <w:vertAlign w:val="superscript"/>
        </w:rPr>
        <w:footnoteReference w:id="15"/>
      </w:r>
      <w:r w:rsidRPr="003A0CBE">
        <w:rPr>
          <w:rFonts w:eastAsiaTheme="minorHAnsi"/>
          <w:szCs w:val="22"/>
        </w:rPr>
        <w:t xml:space="preserve">  Accordingly, the fair market value for Armstrong’s carriage of DSNP should be somewhere in between the rates paid by </w:t>
      </w:r>
      <w:r w:rsidRPr="00430BEA">
        <w:rPr>
          <w:b/>
        </w:rPr>
        <w:t>[</w:t>
      </w:r>
      <w:r>
        <w:rPr>
          <w:b/>
        </w:rPr>
        <w:t>REDACTED</w:t>
      </w:r>
      <w:r w:rsidRPr="00430BEA">
        <w:rPr>
          <w:b/>
        </w:rPr>
        <w:t>]</w:t>
      </w:r>
      <w:r w:rsidRPr="003A0CBE">
        <w:rPr>
          <w:rFonts w:eastAsiaTheme="minorHAnsi"/>
          <w:szCs w:val="22"/>
        </w:rPr>
        <w:t xml:space="preserve">, on one hand, and those paid by </w:t>
      </w:r>
      <w:r w:rsidRPr="00430BEA">
        <w:rPr>
          <w:b/>
        </w:rPr>
        <w:t>[</w:t>
      </w:r>
      <w:r>
        <w:rPr>
          <w:b/>
        </w:rPr>
        <w:t>REDACTED</w:t>
      </w:r>
      <w:r w:rsidRPr="00430BEA">
        <w:rPr>
          <w:b/>
        </w:rPr>
        <w:t>]</w:t>
      </w:r>
      <w:r w:rsidRPr="003A0CBE">
        <w:rPr>
          <w:rFonts w:eastAsiaTheme="minorHAnsi"/>
          <w:szCs w:val="22"/>
        </w:rPr>
        <w:t>, on the other.</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Those figures also indicate, however, that Armstrong’s rates should be closer to the rates paid by </w:t>
      </w:r>
      <w:r w:rsidRPr="00430BEA">
        <w:rPr>
          <w:b/>
        </w:rPr>
        <w:t>[</w:t>
      </w:r>
      <w:r>
        <w:rPr>
          <w:b/>
        </w:rPr>
        <w:t>REDACTED</w:t>
      </w:r>
      <w:r w:rsidRPr="00430BEA">
        <w:rPr>
          <w:b/>
        </w:rPr>
        <w:t>]</w:t>
      </w:r>
      <w:r>
        <w:rPr>
          <w:b/>
        </w:rPr>
        <w:t xml:space="preserve"> </w:t>
      </w:r>
      <w:r w:rsidRPr="003A0CBE">
        <w:rPr>
          <w:rFonts w:eastAsiaTheme="minorHAnsi"/>
          <w:szCs w:val="22"/>
        </w:rPr>
        <w:t xml:space="preserve">than the rates paid by </w:t>
      </w:r>
      <w:r w:rsidRPr="00430BEA">
        <w:rPr>
          <w:b/>
        </w:rPr>
        <w:t>[</w:t>
      </w:r>
      <w:r>
        <w:rPr>
          <w:b/>
        </w:rPr>
        <w:t>REDACTED</w:t>
      </w:r>
      <w:r w:rsidRPr="00430BEA">
        <w:rPr>
          <w:b/>
        </w:rPr>
        <w:t>]</w:t>
      </w:r>
      <w:r w:rsidRPr="003A0CBE">
        <w:rPr>
          <w:rFonts w:eastAsiaTheme="minorHAnsi"/>
          <w:szCs w:val="22"/>
        </w:rPr>
        <w:t xml:space="preserve">.  This is because Armstrong’s generated revenue is far closer to the amount of revenue generated for DSNP by </w:t>
      </w:r>
      <w:r w:rsidRPr="00430BEA">
        <w:rPr>
          <w:b/>
        </w:rPr>
        <w:t>[</w:t>
      </w:r>
      <w:r>
        <w:rPr>
          <w:b/>
        </w:rPr>
        <w:t>REDACTED</w:t>
      </w:r>
      <w:r w:rsidRPr="00430BEA">
        <w:rPr>
          <w:b/>
        </w:rPr>
        <w:t>]</w:t>
      </w:r>
      <w:r>
        <w:rPr>
          <w:b/>
        </w:rPr>
        <w:t xml:space="preserve"> </w:t>
      </w:r>
      <w:r w:rsidRPr="003A0CBE">
        <w:rPr>
          <w:rFonts w:eastAsiaTheme="minorHAnsi"/>
          <w:szCs w:val="22"/>
        </w:rPr>
        <w:t xml:space="preserve">than the amount produced for DSNP by </w:t>
      </w:r>
      <w:r w:rsidRPr="00430BEA">
        <w:rPr>
          <w:b/>
        </w:rPr>
        <w:t>[</w:t>
      </w:r>
      <w:r>
        <w:rPr>
          <w:b/>
        </w:rPr>
        <w:t>REDACTED</w:t>
      </w:r>
      <w:r w:rsidRPr="00430BEA">
        <w:rPr>
          <w:b/>
        </w:rPr>
        <w:t>]</w:t>
      </w:r>
      <w:r w:rsidRPr="003A0CBE">
        <w:rPr>
          <w:rFonts w:eastAsiaTheme="minorHAnsi"/>
          <w:szCs w:val="22"/>
        </w:rPr>
        <w:t xml:space="preserve">.  Breaking down the numbers, in 2010 Comcast generated </w:t>
      </w:r>
      <w:r w:rsidRPr="00430BEA">
        <w:rPr>
          <w:b/>
        </w:rPr>
        <w:t>[</w:t>
      </w:r>
      <w:r>
        <w:rPr>
          <w:b/>
        </w:rPr>
        <w:t>REDACTED</w:t>
      </w:r>
      <w:r w:rsidRPr="00430BEA">
        <w:rPr>
          <w:b/>
        </w:rPr>
        <w:t>]</w:t>
      </w:r>
      <w:r>
        <w:rPr>
          <w:b/>
        </w:rPr>
        <w:t xml:space="preserve"> </w:t>
      </w:r>
      <w:r w:rsidRPr="003A0CBE">
        <w:rPr>
          <w:rFonts w:eastAsiaTheme="minorHAnsi"/>
          <w:szCs w:val="22"/>
        </w:rPr>
        <w:t xml:space="preserve">more for DSNP than did Armstrong, while Armstrong in 2010 only generated </w:t>
      </w:r>
      <w:r w:rsidRPr="00430BEA">
        <w:rPr>
          <w:b/>
        </w:rPr>
        <w:t>[</w:t>
      </w:r>
      <w:r>
        <w:rPr>
          <w:b/>
        </w:rPr>
        <w:t>REDACTED</w:t>
      </w:r>
      <w:r w:rsidRPr="00430BEA">
        <w:rPr>
          <w:b/>
        </w:rPr>
        <w:t>]</w:t>
      </w:r>
      <w:r>
        <w:rPr>
          <w:b/>
        </w:rPr>
        <w:t xml:space="preserve"> </w:t>
      </w:r>
      <w:r w:rsidRPr="003A0CBE">
        <w:rPr>
          <w:rFonts w:eastAsiaTheme="minorHAnsi"/>
          <w:szCs w:val="22"/>
        </w:rPr>
        <w:t xml:space="preserve">more than </w:t>
      </w:r>
      <w:r w:rsidRPr="00430BEA">
        <w:rPr>
          <w:b/>
        </w:rPr>
        <w:t>[</w:t>
      </w:r>
      <w:r>
        <w:rPr>
          <w:b/>
        </w:rPr>
        <w:t>REDACTED</w:t>
      </w:r>
      <w:r w:rsidRPr="00430BEA">
        <w:rPr>
          <w:b/>
        </w:rPr>
        <w:t>]</w:t>
      </w:r>
      <w:r w:rsidRPr="003A0CBE">
        <w:rPr>
          <w:rFonts w:eastAsiaTheme="minorHAnsi"/>
          <w:szCs w:val="22"/>
        </w:rPr>
        <w:t xml:space="preserve">, </w:t>
      </w:r>
      <w:r w:rsidRPr="00430BEA">
        <w:rPr>
          <w:b/>
        </w:rPr>
        <w:t>[</w:t>
      </w:r>
      <w:r>
        <w:rPr>
          <w:b/>
        </w:rPr>
        <w:t>REDACTED</w:t>
      </w:r>
      <w:r w:rsidRPr="00430BEA">
        <w:rPr>
          <w:b/>
        </w:rPr>
        <w:t>]</w:t>
      </w:r>
      <w:r>
        <w:rPr>
          <w:b/>
        </w:rPr>
        <w:t xml:space="preserve"> </w:t>
      </w:r>
      <w:r w:rsidRPr="003A0CBE">
        <w:rPr>
          <w:rFonts w:eastAsiaTheme="minorHAnsi"/>
          <w:szCs w:val="22"/>
        </w:rPr>
        <w:t xml:space="preserve">more than </w:t>
      </w:r>
      <w:r w:rsidRPr="00430BEA">
        <w:rPr>
          <w:b/>
        </w:rPr>
        <w:t>[</w:t>
      </w:r>
      <w:r>
        <w:rPr>
          <w:b/>
        </w:rPr>
        <w:t>REDACTED</w:t>
      </w:r>
      <w:r w:rsidRPr="00430BEA">
        <w:rPr>
          <w:b/>
        </w:rPr>
        <w:t>]</w:t>
      </w:r>
      <w:r w:rsidRPr="003A0CBE">
        <w:rPr>
          <w:rFonts w:eastAsiaTheme="minorHAnsi"/>
          <w:szCs w:val="22"/>
        </w:rPr>
        <w:t xml:space="preserve">, and </w:t>
      </w:r>
      <w:r w:rsidRPr="00430BEA">
        <w:rPr>
          <w:b/>
        </w:rPr>
        <w:t>[</w:t>
      </w:r>
      <w:r>
        <w:rPr>
          <w:b/>
        </w:rPr>
        <w:t>REDACTED</w:t>
      </w:r>
      <w:r w:rsidRPr="00430BEA">
        <w:rPr>
          <w:b/>
        </w:rPr>
        <w:t>]</w:t>
      </w:r>
      <w:r w:rsidRPr="003A0CBE">
        <w:rPr>
          <w:rFonts w:eastAsiaTheme="minorHAnsi"/>
          <w:szCs w:val="22"/>
        </w:rPr>
        <w:t xml:space="preserve"> than </w:t>
      </w:r>
      <w:r w:rsidRPr="00430BEA">
        <w:rPr>
          <w:b/>
        </w:rPr>
        <w:t>[</w:t>
      </w:r>
      <w:r>
        <w:rPr>
          <w:b/>
        </w:rPr>
        <w:t>REDACTED</w:t>
      </w:r>
      <w:r w:rsidRPr="00430BEA">
        <w:rPr>
          <w:b/>
        </w:rPr>
        <w:t>]</w:t>
      </w:r>
      <w:r w:rsidRPr="003A0CBE">
        <w:rPr>
          <w:rFonts w:eastAsiaTheme="minorHAnsi"/>
          <w:szCs w:val="22"/>
        </w:rPr>
        <w:t>.</w:t>
      </w:r>
      <w:r w:rsidRPr="003A0CBE">
        <w:rPr>
          <w:rFonts w:eastAsiaTheme="minorHAnsi"/>
          <w:szCs w:val="22"/>
          <w:vertAlign w:val="superscript"/>
        </w:rPr>
        <w:footnoteReference w:id="16"/>
      </w:r>
    </w:p>
    <w:p w:rsidR="00DD0C67" w:rsidRPr="003A0CBE" w:rsidRDefault="00DD0C67" w:rsidP="00DD0C67">
      <w:pPr>
        <w:spacing w:after="120"/>
        <w:ind w:firstLine="720"/>
        <w:rPr>
          <w:rFonts w:eastAsiaTheme="minorHAnsi"/>
          <w:szCs w:val="22"/>
        </w:rPr>
      </w:pPr>
      <w:r w:rsidRPr="003A0CBE">
        <w:rPr>
          <w:rFonts w:eastAsiaTheme="minorHAnsi"/>
          <w:szCs w:val="22"/>
        </w:rPr>
        <w:t xml:space="preserve">It is therefore notable that Armstrong’s offer contained rates that were far closer to </w:t>
      </w:r>
      <w:r w:rsidRPr="00430BEA">
        <w:rPr>
          <w:b/>
        </w:rPr>
        <w:t>[</w:t>
      </w:r>
      <w:r>
        <w:rPr>
          <w:b/>
        </w:rPr>
        <w:t>REDACTED</w:t>
      </w:r>
      <w:r w:rsidRPr="00430BEA">
        <w:rPr>
          <w:b/>
        </w:rPr>
        <w:t>]</w:t>
      </w:r>
      <w:r w:rsidRPr="003A0CBE">
        <w:rPr>
          <w:rFonts w:eastAsiaTheme="minorHAnsi"/>
          <w:szCs w:val="22"/>
        </w:rPr>
        <w:t xml:space="preserve"> than to </w:t>
      </w:r>
      <w:r w:rsidRPr="00430BEA">
        <w:rPr>
          <w:b/>
        </w:rPr>
        <w:t>[</w:t>
      </w:r>
      <w:r>
        <w:rPr>
          <w:b/>
        </w:rPr>
        <w:t>REDACTED</w:t>
      </w:r>
      <w:r w:rsidRPr="00430BEA">
        <w:rPr>
          <w:b/>
        </w:rPr>
        <w:t>]</w:t>
      </w:r>
      <w:r w:rsidRPr="003A0CBE">
        <w:rPr>
          <w:rFonts w:eastAsiaTheme="minorHAnsi"/>
          <w:szCs w:val="22"/>
        </w:rPr>
        <w:t xml:space="preserve">.  Specifically, while </w:t>
      </w:r>
      <w:r w:rsidRPr="00430BEA">
        <w:rPr>
          <w:b/>
        </w:rPr>
        <w:t>[</w:t>
      </w:r>
      <w:r>
        <w:rPr>
          <w:b/>
        </w:rPr>
        <w:t>REDACTED</w:t>
      </w:r>
      <w:r w:rsidRPr="00430BEA">
        <w:rPr>
          <w:b/>
        </w:rPr>
        <w:t>]</w:t>
      </w:r>
      <w:r w:rsidRPr="003A0CBE">
        <w:rPr>
          <w:rFonts w:eastAsiaTheme="minorHAnsi"/>
          <w:szCs w:val="22"/>
        </w:rPr>
        <w:t xml:space="preserve"> rates were </w:t>
      </w:r>
      <w:r w:rsidRPr="00430BEA">
        <w:rPr>
          <w:b/>
        </w:rPr>
        <w:t>[</w:t>
      </w:r>
      <w:r>
        <w:rPr>
          <w:b/>
        </w:rPr>
        <w:t>REDACTED</w:t>
      </w:r>
      <w:r w:rsidRPr="00430BEA">
        <w:rPr>
          <w:b/>
        </w:rPr>
        <w:t>]</w:t>
      </w:r>
      <w:r>
        <w:rPr>
          <w:b/>
        </w:rPr>
        <w:t xml:space="preserve"> </w:t>
      </w:r>
      <w:r w:rsidRPr="003A0CBE">
        <w:rPr>
          <w:rFonts w:eastAsiaTheme="minorHAnsi"/>
          <w:szCs w:val="22"/>
        </w:rPr>
        <w:t xml:space="preserve">Armstrong’s proposed rates, Armstrong’s proposed rates were </w:t>
      </w:r>
      <w:r w:rsidRPr="00430BEA">
        <w:rPr>
          <w:b/>
        </w:rPr>
        <w:t>[</w:t>
      </w:r>
      <w:r>
        <w:rPr>
          <w:b/>
        </w:rPr>
        <w:t>REDACTED</w:t>
      </w:r>
      <w:r w:rsidRPr="00430BEA">
        <w:rPr>
          <w:b/>
        </w:rPr>
        <w:t>]</w:t>
      </w:r>
      <w:r w:rsidRPr="003A0CBE">
        <w:rPr>
          <w:rFonts w:eastAsiaTheme="minorHAnsi"/>
          <w:szCs w:val="22"/>
        </w:rPr>
        <w:t>.</w:t>
      </w:r>
      <w:r w:rsidRPr="003A0CBE">
        <w:rPr>
          <w:rFonts w:eastAsiaTheme="minorHAnsi"/>
          <w:szCs w:val="22"/>
          <w:vertAlign w:val="superscript"/>
        </w:rPr>
        <w:footnoteReference w:id="17"/>
      </w:r>
      <w:r w:rsidRPr="003A0CBE">
        <w:rPr>
          <w:rFonts w:eastAsiaTheme="minorHAnsi"/>
          <w:szCs w:val="22"/>
        </w:rPr>
        <w:t xml:space="preserve">  So if DSNP’s offer was likely too high because it exceeded </w:t>
      </w:r>
      <w:r w:rsidRPr="00430BEA">
        <w:rPr>
          <w:b/>
        </w:rPr>
        <w:t>[</w:t>
      </w:r>
      <w:r>
        <w:rPr>
          <w:b/>
        </w:rPr>
        <w:t>REDACTED</w:t>
      </w:r>
      <w:r w:rsidRPr="00430BEA">
        <w:rPr>
          <w:b/>
        </w:rPr>
        <w:t>]</w:t>
      </w:r>
      <w:r w:rsidRPr="003A0CBE">
        <w:rPr>
          <w:rFonts w:eastAsiaTheme="minorHAnsi"/>
          <w:szCs w:val="22"/>
        </w:rPr>
        <w:t>, Armstrong’s offer was almost surely too low.</w:t>
      </w:r>
      <w:r w:rsidRPr="003A0CBE">
        <w:rPr>
          <w:rFonts w:eastAsiaTheme="minorHAnsi"/>
          <w:szCs w:val="22"/>
          <w:vertAlign w:val="superscript"/>
        </w:rPr>
        <w:footnoteReference w:id="18"/>
      </w:r>
    </w:p>
    <w:p w:rsidR="00DD0C67" w:rsidRPr="003A0CBE" w:rsidRDefault="00DD0C67" w:rsidP="00DD0C67">
      <w:pPr>
        <w:spacing w:after="120"/>
        <w:ind w:firstLine="720"/>
        <w:rPr>
          <w:rFonts w:eastAsiaTheme="minorHAnsi"/>
          <w:szCs w:val="22"/>
        </w:rPr>
      </w:pPr>
      <w:r w:rsidRPr="003A0CBE">
        <w:rPr>
          <w:rFonts w:eastAsiaTheme="minorHAnsi"/>
          <w:szCs w:val="22"/>
        </w:rPr>
        <w:t>This is utterly unsurprising.  After all, the optimal strategy for parties to baseball-style arbitration is for each party to make an offer that is more favorable to its interests than the fair market value.</w:t>
      </w:r>
      <w:r w:rsidRPr="003A0CBE">
        <w:rPr>
          <w:rFonts w:eastAsiaTheme="minorHAnsi"/>
          <w:szCs w:val="22"/>
          <w:vertAlign w:val="superscript"/>
        </w:rPr>
        <w:footnoteReference w:id="19"/>
      </w:r>
      <w:r w:rsidRPr="003A0CBE">
        <w:rPr>
          <w:rFonts w:eastAsiaTheme="minorHAnsi"/>
          <w:szCs w:val="22"/>
        </w:rPr>
        <w:t xml:space="preserve">  The relevant question for the arbitrator, then, is which party’s offer is closer to the fair market value.</w:t>
      </w:r>
    </w:p>
    <w:p w:rsidR="00DD0C67" w:rsidRPr="003A0CBE" w:rsidRDefault="00DD0C67" w:rsidP="00DD0C67">
      <w:pPr>
        <w:spacing w:after="120"/>
        <w:ind w:firstLine="720"/>
        <w:rPr>
          <w:rFonts w:eastAsiaTheme="minorHAnsi"/>
          <w:szCs w:val="22"/>
        </w:rPr>
      </w:pPr>
      <w:r w:rsidRPr="003A0CBE">
        <w:rPr>
          <w:rFonts w:eastAsiaTheme="minorHAnsi"/>
          <w:szCs w:val="22"/>
        </w:rPr>
        <w:t>For example, one could use a linear regression based on the Commission’s principle to approximate fair market value using rates paid to DSNP by other MVPDs and the revenues generated by those MVPDs for DSNP.</w:t>
      </w:r>
      <w:r w:rsidRPr="003A0CBE">
        <w:rPr>
          <w:rFonts w:eastAsiaTheme="minorHAnsi"/>
          <w:szCs w:val="22"/>
          <w:vertAlign w:val="superscript"/>
        </w:rPr>
        <w:footnoteReference w:id="20"/>
      </w:r>
      <w:r w:rsidRPr="003A0CBE">
        <w:rPr>
          <w:rFonts w:eastAsiaTheme="minorHAnsi"/>
          <w:szCs w:val="22"/>
        </w:rPr>
        <w:t xml:space="preserve">  Taking the rate information for six years (2010–2015) and three geographical zones </w:t>
      </w:r>
      <w:r w:rsidRPr="00430BEA">
        <w:rPr>
          <w:b/>
        </w:rPr>
        <w:t>[</w:t>
      </w:r>
      <w:r>
        <w:rPr>
          <w:b/>
        </w:rPr>
        <w:t>REDACTED</w:t>
      </w:r>
      <w:r w:rsidRPr="00430BEA">
        <w:rPr>
          <w:b/>
        </w:rPr>
        <w:t>]</w:t>
      </w:r>
      <w:r>
        <w:rPr>
          <w:b/>
        </w:rPr>
        <w:t xml:space="preserve"> </w:t>
      </w:r>
      <w:r w:rsidRPr="003A0CBE">
        <w:rPr>
          <w:rFonts w:eastAsiaTheme="minorHAnsi"/>
          <w:szCs w:val="22"/>
        </w:rPr>
        <w:t>contained in the record,</w:t>
      </w:r>
      <w:r w:rsidRPr="003A0CBE">
        <w:rPr>
          <w:rFonts w:eastAsiaTheme="minorHAnsi"/>
          <w:szCs w:val="22"/>
          <w:vertAlign w:val="superscript"/>
        </w:rPr>
        <w:footnoteReference w:id="21"/>
      </w:r>
      <w:r w:rsidRPr="003A0CBE">
        <w:rPr>
          <w:rFonts w:eastAsiaTheme="minorHAnsi"/>
          <w:szCs w:val="22"/>
        </w:rPr>
        <w:t xml:space="preserve"> I conducted eighteen separate regression analyses to estimate the fair market value for Armstrong’s carriage in each zone for each year.  I then compared the estimated fair market value rate with the rates submitted to the arbitrator by Armstrong and DSNP.  As shown in the tables below, in seventeen of eighteen instances, DSNP’s proposed rate was closer to the estimated fair market value than was Armstrong’s.  In other words, had the Bureau (and the Commission) used a linear regression analysis to estimate the fair market value based on its own principle, it would have found that DSNP’s proposed rates were closer to fair market value than Armstrong’s.  Indeed, the total value of the rates generated by the linear regression analysis was </w:t>
      </w:r>
      <w:r w:rsidRPr="001638B3">
        <w:rPr>
          <w:b/>
          <w:szCs w:val="22"/>
        </w:rPr>
        <w:t>[</w:t>
      </w:r>
      <w:r>
        <w:rPr>
          <w:b/>
        </w:rPr>
        <w:t>REDACTED</w:t>
      </w:r>
      <w:r w:rsidRPr="001638B3">
        <w:rPr>
          <w:b/>
          <w:szCs w:val="22"/>
        </w:rPr>
        <w:t>]</w:t>
      </w:r>
      <w:r w:rsidRPr="003A0CBE">
        <w:rPr>
          <w:rFonts w:eastAsiaTheme="minorHAnsi"/>
          <w:szCs w:val="22"/>
        </w:rPr>
        <w:t xml:space="preserve">, which is much closer to the value of DSNP’s offer </w:t>
      </w:r>
      <w:r w:rsidRPr="00E041E4">
        <w:rPr>
          <w:rFonts w:eastAsiaTheme="minorHAnsi"/>
          <w:b/>
          <w:szCs w:val="22"/>
        </w:rPr>
        <w:t>[</w:t>
      </w:r>
      <w:r>
        <w:rPr>
          <w:b/>
        </w:rPr>
        <w:t>REDACTED</w:t>
      </w:r>
      <w:r w:rsidRPr="001638B3">
        <w:rPr>
          <w:b/>
          <w:szCs w:val="22"/>
        </w:rPr>
        <w:t>]</w:t>
      </w:r>
      <w:r w:rsidRPr="003A0CBE">
        <w:rPr>
          <w:rFonts w:eastAsiaTheme="minorHAnsi"/>
          <w:szCs w:val="22"/>
        </w:rPr>
        <w:t xml:space="preserve"> than Armstrong’s offer </w:t>
      </w:r>
      <w:r w:rsidRPr="001638B3">
        <w:rPr>
          <w:b/>
          <w:szCs w:val="22"/>
        </w:rPr>
        <w:t>[</w:t>
      </w:r>
      <w:r>
        <w:rPr>
          <w:b/>
        </w:rPr>
        <w:t>REDACTED</w:t>
      </w:r>
      <w:r w:rsidRPr="001638B3">
        <w:rPr>
          <w:b/>
          <w:szCs w:val="22"/>
        </w:rPr>
        <w:t>]</w:t>
      </w:r>
      <w:r w:rsidRPr="003A0CBE">
        <w:rPr>
          <w:rFonts w:eastAsiaTheme="minorHAnsi"/>
          <w:szCs w:val="22"/>
        </w:rPr>
        <w:t>.</w:t>
      </w:r>
      <w:r w:rsidRPr="003A0CBE">
        <w:rPr>
          <w:rFonts w:eastAsiaTheme="minorHAnsi"/>
          <w:szCs w:val="22"/>
          <w:vertAlign w:val="superscript"/>
        </w:rPr>
        <w:footnoteReference w:id="22"/>
      </w:r>
      <w:r w:rsidRPr="003A0CBE">
        <w:rPr>
          <w:rFonts w:eastAsiaTheme="minorHAnsi"/>
          <w:szCs w:val="22"/>
        </w:rPr>
        <w:t xml:space="preserve">   </w:t>
      </w:r>
    </w:p>
    <w:p w:rsidR="00DD0C67" w:rsidRPr="003A0CBE" w:rsidRDefault="00DD0C67" w:rsidP="00DD0C67">
      <w:pPr>
        <w:keepNext/>
        <w:spacing w:before="240" w:after="240"/>
        <w:jc w:val="center"/>
        <w:rPr>
          <w:rFonts w:eastAsiaTheme="minorHAnsi"/>
          <w:b/>
          <w:szCs w:val="22"/>
        </w:rPr>
      </w:pPr>
      <w:r w:rsidRPr="003A0CBE">
        <w:rPr>
          <w:rFonts w:eastAsiaTheme="minorHAnsi"/>
          <w:b/>
          <w:szCs w:val="22"/>
        </w:rPr>
        <w:t>Comparing Armstrong and DSNP Offers to Fair Market Value</w:t>
      </w:r>
      <w:r w:rsidRPr="003A0CBE">
        <w:rPr>
          <w:rFonts w:eastAsiaTheme="minorHAnsi"/>
          <w:b/>
          <w:szCs w:val="22"/>
        </w:rPr>
        <w:br/>
        <w:t>Using a Linear Regression Analysis</w:t>
      </w:r>
      <w:r w:rsidRPr="003A0CBE">
        <w:rPr>
          <w:rFonts w:eastAsiaTheme="minorHAnsi"/>
          <w:szCs w:val="22"/>
          <w:vertAlign w:val="superscript"/>
        </w:rPr>
        <w:footnoteReference w:id="23"/>
      </w:r>
    </w:p>
    <w:tbl>
      <w:tblPr>
        <w:tblStyle w:val="TableGrid1"/>
        <w:tblW w:w="9585" w:type="dxa"/>
        <w:tblLayout w:type="fixed"/>
        <w:tblLook w:val="04A0" w:firstRow="1" w:lastRow="0" w:firstColumn="1" w:lastColumn="0" w:noHBand="0" w:noVBand="1"/>
      </w:tblPr>
      <w:tblGrid>
        <w:gridCol w:w="1368"/>
        <w:gridCol w:w="1350"/>
        <w:gridCol w:w="1350"/>
        <w:gridCol w:w="1440"/>
        <w:gridCol w:w="1350"/>
        <w:gridCol w:w="1350"/>
        <w:gridCol w:w="1377"/>
      </w:tblGrid>
      <w:tr w:rsidR="00DD0C67" w:rsidRPr="003A0CBE" w:rsidTr="00F17090">
        <w:trPr>
          <w:trHeight w:val="332"/>
        </w:trPr>
        <w:tc>
          <w:tcPr>
            <w:tcW w:w="1368" w:type="dxa"/>
          </w:tcPr>
          <w:p w:rsidR="00DD0C67" w:rsidRPr="003A0CBE" w:rsidRDefault="00DD0C67" w:rsidP="00F17090">
            <w:pPr>
              <w:keepNext/>
              <w:rPr>
                <w:b/>
              </w:rPr>
            </w:pPr>
            <w:r w:rsidRPr="00125341">
              <w:rPr>
                <w:b/>
                <w:sz w:val="18"/>
                <w:szCs w:val="18"/>
              </w:rPr>
              <w:t>[REDACTED]</w:t>
            </w:r>
          </w:p>
        </w:tc>
        <w:tc>
          <w:tcPr>
            <w:tcW w:w="1350" w:type="dxa"/>
          </w:tcPr>
          <w:p w:rsidR="00DD0C67" w:rsidRPr="003A0CBE" w:rsidRDefault="00DD0C67" w:rsidP="00F17090">
            <w:pPr>
              <w:keepNext/>
              <w:jc w:val="center"/>
              <w:rPr>
                <w:b/>
              </w:rPr>
            </w:pPr>
            <w:r w:rsidRPr="003A0CBE">
              <w:rPr>
                <w:b/>
              </w:rPr>
              <w:t>2010</w:t>
            </w:r>
          </w:p>
        </w:tc>
        <w:tc>
          <w:tcPr>
            <w:tcW w:w="1350" w:type="dxa"/>
          </w:tcPr>
          <w:p w:rsidR="00DD0C67" w:rsidRPr="003A0CBE" w:rsidRDefault="00DD0C67" w:rsidP="00F17090">
            <w:pPr>
              <w:keepNext/>
              <w:jc w:val="center"/>
              <w:rPr>
                <w:b/>
              </w:rPr>
            </w:pPr>
            <w:r w:rsidRPr="003A0CBE">
              <w:rPr>
                <w:b/>
              </w:rPr>
              <w:t>2011</w:t>
            </w:r>
          </w:p>
        </w:tc>
        <w:tc>
          <w:tcPr>
            <w:tcW w:w="1440" w:type="dxa"/>
          </w:tcPr>
          <w:p w:rsidR="00DD0C67" w:rsidRPr="003A0CBE" w:rsidRDefault="00DD0C67" w:rsidP="00F17090">
            <w:pPr>
              <w:keepNext/>
              <w:jc w:val="center"/>
              <w:rPr>
                <w:b/>
              </w:rPr>
            </w:pPr>
            <w:r w:rsidRPr="003A0CBE">
              <w:rPr>
                <w:b/>
              </w:rPr>
              <w:t>2012</w:t>
            </w:r>
          </w:p>
        </w:tc>
        <w:tc>
          <w:tcPr>
            <w:tcW w:w="1350" w:type="dxa"/>
          </w:tcPr>
          <w:p w:rsidR="00DD0C67" w:rsidRPr="003A0CBE" w:rsidRDefault="00DD0C67" w:rsidP="00F17090">
            <w:pPr>
              <w:keepNext/>
              <w:jc w:val="center"/>
              <w:rPr>
                <w:b/>
              </w:rPr>
            </w:pPr>
            <w:r w:rsidRPr="003A0CBE">
              <w:rPr>
                <w:b/>
              </w:rPr>
              <w:t>2013</w:t>
            </w:r>
          </w:p>
        </w:tc>
        <w:tc>
          <w:tcPr>
            <w:tcW w:w="1350" w:type="dxa"/>
          </w:tcPr>
          <w:p w:rsidR="00DD0C67" w:rsidRPr="003A0CBE" w:rsidRDefault="00DD0C67" w:rsidP="00F17090">
            <w:pPr>
              <w:keepNext/>
              <w:jc w:val="center"/>
              <w:rPr>
                <w:b/>
              </w:rPr>
            </w:pPr>
            <w:r w:rsidRPr="003A0CBE">
              <w:rPr>
                <w:b/>
              </w:rPr>
              <w:t>2014</w:t>
            </w:r>
          </w:p>
        </w:tc>
        <w:tc>
          <w:tcPr>
            <w:tcW w:w="1377" w:type="dxa"/>
          </w:tcPr>
          <w:p w:rsidR="00DD0C67" w:rsidRPr="003A0CBE" w:rsidRDefault="00DD0C67" w:rsidP="00F17090">
            <w:pPr>
              <w:keepNext/>
              <w:jc w:val="center"/>
              <w:rPr>
                <w:b/>
              </w:rPr>
            </w:pPr>
            <w:r w:rsidRPr="003A0CBE">
              <w:rPr>
                <w:b/>
              </w:rPr>
              <w:t>2015</w:t>
            </w:r>
          </w:p>
        </w:tc>
      </w:tr>
      <w:tr w:rsidR="00DD0C67" w:rsidRPr="003A0CBE" w:rsidTr="00F17090">
        <w:trPr>
          <w:trHeight w:val="260"/>
        </w:trPr>
        <w:tc>
          <w:tcPr>
            <w:tcW w:w="1368" w:type="dxa"/>
          </w:tcPr>
          <w:p w:rsidR="00DD0C67" w:rsidRPr="003A0CBE" w:rsidRDefault="00DD0C67" w:rsidP="00F17090">
            <w:pPr>
              <w:keepNext/>
              <w:rPr>
                <w:b/>
              </w:rPr>
            </w:pPr>
            <w:r w:rsidRPr="003A0CBE">
              <w:rPr>
                <w:b/>
              </w:rPr>
              <w:t>Armstrong</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44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77" w:type="dxa"/>
          </w:tcPr>
          <w:p w:rsidR="00DD0C67" w:rsidRPr="00E041E4" w:rsidRDefault="00DD0C67" w:rsidP="00F17090">
            <w:pPr>
              <w:keepNext/>
              <w:jc w:val="center"/>
              <w:rPr>
                <w:sz w:val="16"/>
                <w:szCs w:val="16"/>
              </w:rPr>
            </w:pPr>
            <w:r w:rsidRPr="00E041E4">
              <w:rPr>
                <w:b/>
                <w:sz w:val="16"/>
                <w:szCs w:val="16"/>
              </w:rPr>
              <w:t>[REDACTED]</w:t>
            </w:r>
          </w:p>
        </w:tc>
      </w:tr>
      <w:tr w:rsidR="00DD0C67" w:rsidRPr="003A0CBE" w:rsidTr="00F17090">
        <w:trPr>
          <w:trHeight w:val="251"/>
        </w:trPr>
        <w:tc>
          <w:tcPr>
            <w:tcW w:w="1368" w:type="dxa"/>
          </w:tcPr>
          <w:p w:rsidR="00DD0C67" w:rsidRPr="003A0CBE" w:rsidRDefault="00DD0C67" w:rsidP="00F17090">
            <w:pPr>
              <w:keepNext/>
              <w:rPr>
                <w:b/>
              </w:rPr>
            </w:pPr>
            <w:r w:rsidRPr="003A0CBE">
              <w:rPr>
                <w:b/>
              </w:rPr>
              <w:t>DSNP</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44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77" w:type="dxa"/>
          </w:tcPr>
          <w:p w:rsidR="00DD0C67" w:rsidRPr="00E041E4" w:rsidRDefault="00DD0C67" w:rsidP="00F17090">
            <w:pPr>
              <w:keepNext/>
              <w:jc w:val="center"/>
              <w:rPr>
                <w:b/>
                <w:sz w:val="16"/>
                <w:szCs w:val="16"/>
                <w:u w:val="single"/>
              </w:rPr>
            </w:pPr>
            <w:r w:rsidRPr="00E041E4">
              <w:rPr>
                <w:b/>
                <w:sz w:val="16"/>
                <w:szCs w:val="16"/>
              </w:rPr>
              <w:t>[REDACTED]</w:t>
            </w:r>
          </w:p>
        </w:tc>
      </w:tr>
      <w:tr w:rsidR="00DD0C67" w:rsidRPr="003A0CBE" w:rsidTr="00F17090">
        <w:trPr>
          <w:trHeight w:val="260"/>
        </w:trPr>
        <w:tc>
          <w:tcPr>
            <w:tcW w:w="1368" w:type="dxa"/>
          </w:tcPr>
          <w:p w:rsidR="00DD0C67" w:rsidRPr="003A0CBE" w:rsidRDefault="00DD0C67" w:rsidP="00F17090">
            <w:pPr>
              <w:keepNext/>
              <w:rPr>
                <w:b/>
              </w:rPr>
            </w:pPr>
            <w:r w:rsidRPr="003A0CBE">
              <w:rPr>
                <w:b/>
              </w:rPr>
              <w:t>FMV</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44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77" w:type="dxa"/>
          </w:tcPr>
          <w:p w:rsidR="00DD0C67" w:rsidRPr="00E041E4" w:rsidRDefault="00DD0C67" w:rsidP="00F17090">
            <w:pPr>
              <w:keepNext/>
              <w:jc w:val="center"/>
              <w:rPr>
                <w:sz w:val="16"/>
                <w:szCs w:val="16"/>
              </w:rPr>
            </w:pPr>
            <w:r w:rsidRPr="00E041E4">
              <w:rPr>
                <w:b/>
                <w:sz w:val="16"/>
                <w:szCs w:val="16"/>
              </w:rPr>
              <w:t>[REDACTED]</w:t>
            </w:r>
          </w:p>
        </w:tc>
      </w:tr>
    </w:tbl>
    <w:p w:rsidR="00DD0C67" w:rsidRPr="003A0CBE" w:rsidRDefault="00DD0C67" w:rsidP="00DD0C67">
      <w:pPr>
        <w:keepNext/>
        <w:spacing w:after="120"/>
        <w:rPr>
          <w:rFonts w:eastAsiaTheme="minorHAnsi"/>
          <w:szCs w:val="22"/>
        </w:rPr>
      </w:pPr>
    </w:p>
    <w:tbl>
      <w:tblPr>
        <w:tblStyle w:val="TableGrid1"/>
        <w:tblW w:w="9585" w:type="dxa"/>
        <w:tblLayout w:type="fixed"/>
        <w:tblLook w:val="04A0" w:firstRow="1" w:lastRow="0" w:firstColumn="1" w:lastColumn="0" w:noHBand="0" w:noVBand="1"/>
      </w:tblPr>
      <w:tblGrid>
        <w:gridCol w:w="1368"/>
        <w:gridCol w:w="1350"/>
        <w:gridCol w:w="1350"/>
        <w:gridCol w:w="1440"/>
        <w:gridCol w:w="1350"/>
        <w:gridCol w:w="1350"/>
        <w:gridCol w:w="1377"/>
      </w:tblGrid>
      <w:tr w:rsidR="00DD0C67" w:rsidRPr="003A0CBE" w:rsidTr="00F17090">
        <w:trPr>
          <w:trHeight w:val="332"/>
        </w:trPr>
        <w:tc>
          <w:tcPr>
            <w:tcW w:w="1368" w:type="dxa"/>
          </w:tcPr>
          <w:p w:rsidR="00DD0C67" w:rsidRPr="003A0CBE" w:rsidRDefault="00DD0C67" w:rsidP="00F17090">
            <w:pPr>
              <w:keepNext/>
              <w:rPr>
                <w:b/>
              </w:rPr>
            </w:pPr>
            <w:r w:rsidRPr="00125341">
              <w:rPr>
                <w:b/>
                <w:sz w:val="18"/>
                <w:szCs w:val="18"/>
              </w:rPr>
              <w:t>[REDACTED]</w:t>
            </w:r>
          </w:p>
        </w:tc>
        <w:tc>
          <w:tcPr>
            <w:tcW w:w="1350" w:type="dxa"/>
          </w:tcPr>
          <w:p w:rsidR="00DD0C67" w:rsidRPr="003A0CBE" w:rsidRDefault="00DD0C67" w:rsidP="00F17090">
            <w:pPr>
              <w:keepNext/>
              <w:jc w:val="center"/>
              <w:rPr>
                <w:b/>
              </w:rPr>
            </w:pPr>
            <w:r w:rsidRPr="003A0CBE">
              <w:rPr>
                <w:b/>
              </w:rPr>
              <w:t>2010</w:t>
            </w:r>
          </w:p>
        </w:tc>
        <w:tc>
          <w:tcPr>
            <w:tcW w:w="1350" w:type="dxa"/>
          </w:tcPr>
          <w:p w:rsidR="00DD0C67" w:rsidRPr="003A0CBE" w:rsidRDefault="00DD0C67" w:rsidP="00F17090">
            <w:pPr>
              <w:keepNext/>
              <w:jc w:val="center"/>
              <w:rPr>
                <w:b/>
              </w:rPr>
            </w:pPr>
            <w:r w:rsidRPr="003A0CBE">
              <w:rPr>
                <w:b/>
              </w:rPr>
              <w:t>2011</w:t>
            </w:r>
          </w:p>
        </w:tc>
        <w:tc>
          <w:tcPr>
            <w:tcW w:w="1440" w:type="dxa"/>
          </w:tcPr>
          <w:p w:rsidR="00DD0C67" w:rsidRPr="003A0CBE" w:rsidRDefault="00DD0C67" w:rsidP="00F17090">
            <w:pPr>
              <w:keepNext/>
              <w:jc w:val="center"/>
              <w:rPr>
                <w:b/>
              </w:rPr>
            </w:pPr>
            <w:r w:rsidRPr="003A0CBE">
              <w:rPr>
                <w:b/>
              </w:rPr>
              <w:t>2012</w:t>
            </w:r>
          </w:p>
        </w:tc>
        <w:tc>
          <w:tcPr>
            <w:tcW w:w="1350" w:type="dxa"/>
          </w:tcPr>
          <w:p w:rsidR="00DD0C67" w:rsidRPr="003A0CBE" w:rsidRDefault="00DD0C67" w:rsidP="00F17090">
            <w:pPr>
              <w:keepNext/>
              <w:jc w:val="center"/>
              <w:rPr>
                <w:b/>
              </w:rPr>
            </w:pPr>
            <w:r w:rsidRPr="003A0CBE">
              <w:rPr>
                <w:b/>
              </w:rPr>
              <w:t>2013</w:t>
            </w:r>
          </w:p>
        </w:tc>
        <w:tc>
          <w:tcPr>
            <w:tcW w:w="1350" w:type="dxa"/>
          </w:tcPr>
          <w:p w:rsidR="00DD0C67" w:rsidRPr="003A0CBE" w:rsidRDefault="00DD0C67" w:rsidP="00F17090">
            <w:pPr>
              <w:keepNext/>
              <w:jc w:val="center"/>
              <w:rPr>
                <w:b/>
              </w:rPr>
            </w:pPr>
            <w:r w:rsidRPr="003A0CBE">
              <w:rPr>
                <w:b/>
              </w:rPr>
              <w:t>2014</w:t>
            </w:r>
          </w:p>
        </w:tc>
        <w:tc>
          <w:tcPr>
            <w:tcW w:w="1377" w:type="dxa"/>
          </w:tcPr>
          <w:p w:rsidR="00DD0C67" w:rsidRPr="003A0CBE" w:rsidRDefault="00DD0C67" w:rsidP="00F17090">
            <w:pPr>
              <w:keepNext/>
              <w:jc w:val="center"/>
              <w:rPr>
                <w:b/>
              </w:rPr>
            </w:pPr>
            <w:r w:rsidRPr="003A0CBE">
              <w:rPr>
                <w:b/>
              </w:rPr>
              <w:t>2015</w:t>
            </w:r>
          </w:p>
        </w:tc>
      </w:tr>
      <w:tr w:rsidR="00DD0C67" w:rsidRPr="003A0CBE" w:rsidTr="00F17090">
        <w:trPr>
          <w:trHeight w:val="269"/>
        </w:trPr>
        <w:tc>
          <w:tcPr>
            <w:tcW w:w="1368" w:type="dxa"/>
          </w:tcPr>
          <w:p w:rsidR="00DD0C67" w:rsidRPr="003A0CBE" w:rsidRDefault="00DD0C67" w:rsidP="00F17090">
            <w:pPr>
              <w:keepNext/>
              <w:rPr>
                <w:b/>
              </w:rPr>
            </w:pPr>
            <w:r w:rsidRPr="003A0CBE">
              <w:rPr>
                <w:b/>
              </w:rPr>
              <w:t>Armstrong</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44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77" w:type="dxa"/>
          </w:tcPr>
          <w:p w:rsidR="00DD0C67" w:rsidRPr="00E041E4" w:rsidRDefault="00DD0C67" w:rsidP="00F17090">
            <w:pPr>
              <w:keepNext/>
              <w:jc w:val="center"/>
              <w:rPr>
                <w:sz w:val="16"/>
                <w:szCs w:val="16"/>
              </w:rPr>
            </w:pPr>
            <w:r w:rsidRPr="00E041E4">
              <w:rPr>
                <w:b/>
                <w:sz w:val="16"/>
                <w:szCs w:val="16"/>
              </w:rPr>
              <w:t>[REDACTED]</w:t>
            </w:r>
          </w:p>
        </w:tc>
      </w:tr>
      <w:tr w:rsidR="00DD0C67" w:rsidRPr="003A0CBE" w:rsidTr="00F17090">
        <w:trPr>
          <w:trHeight w:val="251"/>
        </w:trPr>
        <w:tc>
          <w:tcPr>
            <w:tcW w:w="1368" w:type="dxa"/>
          </w:tcPr>
          <w:p w:rsidR="00DD0C67" w:rsidRPr="003A0CBE" w:rsidRDefault="00DD0C67" w:rsidP="00F17090">
            <w:pPr>
              <w:keepNext/>
              <w:rPr>
                <w:b/>
              </w:rPr>
            </w:pPr>
            <w:r w:rsidRPr="003A0CBE">
              <w:rPr>
                <w:b/>
              </w:rPr>
              <w:t>DSNP</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44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77" w:type="dxa"/>
          </w:tcPr>
          <w:p w:rsidR="00DD0C67" w:rsidRPr="00E041E4" w:rsidRDefault="00DD0C67" w:rsidP="00F17090">
            <w:pPr>
              <w:keepNext/>
              <w:jc w:val="center"/>
              <w:rPr>
                <w:b/>
                <w:sz w:val="16"/>
                <w:szCs w:val="16"/>
                <w:u w:val="single"/>
              </w:rPr>
            </w:pPr>
            <w:r w:rsidRPr="00E041E4">
              <w:rPr>
                <w:b/>
                <w:sz w:val="16"/>
                <w:szCs w:val="16"/>
              </w:rPr>
              <w:t>[REDACTED]</w:t>
            </w:r>
          </w:p>
        </w:tc>
      </w:tr>
      <w:tr w:rsidR="00DD0C67" w:rsidRPr="003A0CBE" w:rsidTr="00F17090">
        <w:trPr>
          <w:trHeight w:val="323"/>
        </w:trPr>
        <w:tc>
          <w:tcPr>
            <w:tcW w:w="1368" w:type="dxa"/>
          </w:tcPr>
          <w:p w:rsidR="00DD0C67" w:rsidRPr="003A0CBE" w:rsidRDefault="00DD0C67" w:rsidP="00F17090">
            <w:pPr>
              <w:keepNext/>
              <w:rPr>
                <w:b/>
              </w:rPr>
            </w:pPr>
            <w:r w:rsidRPr="003A0CBE">
              <w:rPr>
                <w:b/>
              </w:rPr>
              <w:t>FMV</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44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77" w:type="dxa"/>
          </w:tcPr>
          <w:p w:rsidR="00DD0C67" w:rsidRPr="00E041E4" w:rsidRDefault="00DD0C67" w:rsidP="00F17090">
            <w:pPr>
              <w:keepNext/>
              <w:jc w:val="center"/>
              <w:rPr>
                <w:sz w:val="16"/>
                <w:szCs w:val="16"/>
              </w:rPr>
            </w:pPr>
            <w:r w:rsidRPr="00E041E4">
              <w:rPr>
                <w:b/>
                <w:sz w:val="16"/>
                <w:szCs w:val="16"/>
              </w:rPr>
              <w:t>[REDACTED]</w:t>
            </w:r>
          </w:p>
        </w:tc>
      </w:tr>
    </w:tbl>
    <w:p w:rsidR="00DD0C67" w:rsidRPr="003A0CBE" w:rsidRDefault="00DD0C67" w:rsidP="00DD0C67">
      <w:pPr>
        <w:keepNext/>
        <w:spacing w:after="120"/>
        <w:rPr>
          <w:rFonts w:eastAsiaTheme="minorHAnsi"/>
          <w:szCs w:val="22"/>
        </w:rPr>
      </w:pPr>
    </w:p>
    <w:tbl>
      <w:tblPr>
        <w:tblStyle w:val="TableGrid1"/>
        <w:tblW w:w="9558" w:type="dxa"/>
        <w:tblLayout w:type="fixed"/>
        <w:tblLook w:val="04A0" w:firstRow="1" w:lastRow="0" w:firstColumn="1" w:lastColumn="0" w:noHBand="0" w:noVBand="1"/>
      </w:tblPr>
      <w:tblGrid>
        <w:gridCol w:w="1368"/>
        <w:gridCol w:w="1350"/>
        <w:gridCol w:w="1350"/>
        <w:gridCol w:w="1440"/>
        <w:gridCol w:w="1350"/>
        <w:gridCol w:w="1350"/>
        <w:gridCol w:w="1350"/>
      </w:tblGrid>
      <w:tr w:rsidR="00DD0C67" w:rsidRPr="003A0CBE" w:rsidTr="00F17090">
        <w:trPr>
          <w:trHeight w:val="332"/>
        </w:trPr>
        <w:tc>
          <w:tcPr>
            <w:tcW w:w="1368" w:type="dxa"/>
          </w:tcPr>
          <w:p w:rsidR="00DD0C67" w:rsidRPr="003A0CBE" w:rsidRDefault="00DD0C67" w:rsidP="00F17090">
            <w:pPr>
              <w:keepNext/>
              <w:rPr>
                <w:b/>
              </w:rPr>
            </w:pPr>
            <w:r w:rsidRPr="00125341">
              <w:rPr>
                <w:b/>
                <w:sz w:val="18"/>
                <w:szCs w:val="18"/>
              </w:rPr>
              <w:t>[REDACTED]</w:t>
            </w:r>
          </w:p>
        </w:tc>
        <w:tc>
          <w:tcPr>
            <w:tcW w:w="1350" w:type="dxa"/>
          </w:tcPr>
          <w:p w:rsidR="00DD0C67" w:rsidRPr="003A0CBE" w:rsidRDefault="00DD0C67" w:rsidP="00F17090">
            <w:pPr>
              <w:keepNext/>
              <w:jc w:val="center"/>
              <w:rPr>
                <w:b/>
              </w:rPr>
            </w:pPr>
            <w:r w:rsidRPr="003A0CBE">
              <w:rPr>
                <w:b/>
              </w:rPr>
              <w:t>2010</w:t>
            </w:r>
          </w:p>
        </w:tc>
        <w:tc>
          <w:tcPr>
            <w:tcW w:w="1350" w:type="dxa"/>
          </w:tcPr>
          <w:p w:rsidR="00DD0C67" w:rsidRPr="003A0CBE" w:rsidRDefault="00DD0C67" w:rsidP="00F17090">
            <w:pPr>
              <w:keepNext/>
              <w:jc w:val="center"/>
              <w:rPr>
                <w:b/>
              </w:rPr>
            </w:pPr>
            <w:r w:rsidRPr="003A0CBE">
              <w:rPr>
                <w:b/>
              </w:rPr>
              <w:t>2011</w:t>
            </w:r>
          </w:p>
        </w:tc>
        <w:tc>
          <w:tcPr>
            <w:tcW w:w="1440" w:type="dxa"/>
          </w:tcPr>
          <w:p w:rsidR="00DD0C67" w:rsidRPr="003A0CBE" w:rsidRDefault="00DD0C67" w:rsidP="00F17090">
            <w:pPr>
              <w:keepNext/>
              <w:jc w:val="center"/>
              <w:rPr>
                <w:b/>
              </w:rPr>
            </w:pPr>
            <w:r w:rsidRPr="003A0CBE">
              <w:rPr>
                <w:b/>
              </w:rPr>
              <w:t>2012</w:t>
            </w:r>
          </w:p>
        </w:tc>
        <w:tc>
          <w:tcPr>
            <w:tcW w:w="1350" w:type="dxa"/>
          </w:tcPr>
          <w:p w:rsidR="00DD0C67" w:rsidRPr="003A0CBE" w:rsidRDefault="00DD0C67" w:rsidP="00F17090">
            <w:pPr>
              <w:keepNext/>
              <w:jc w:val="center"/>
              <w:rPr>
                <w:b/>
              </w:rPr>
            </w:pPr>
            <w:r w:rsidRPr="003A0CBE">
              <w:rPr>
                <w:b/>
              </w:rPr>
              <w:t>2013</w:t>
            </w:r>
          </w:p>
        </w:tc>
        <w:tc>
          <w:tcPr>
            <w:tcW w:w="1350" w:type="dxa"/>
          </w:tcPr>
          <w:p w:rsidR="00DD0C67" w:rsidRPr="003A0CBE" w:rsidRDefault="00DD0C67" w:rsidP="00F17090">
            <w:pPr>
              <w:keepNext/>
              <w:jc w:val="center"/>
              <w:rPr>
                <w:b/>
              </w:rPr>
            </w:pPr>
            <w:r w:rsidRPr="003A0CBE">
              <w:rPr>
                <w:b/>
              </w:rPr>
              <w:t>2014</w:t>
            </w:r>
          </w:p>
        </w:tc>
        <w:tc>
          <w:tcPr>
            <w:tcW w:w="1350" w:type="dxa"/>
          </w:tcPr>
          <w:p w:rsidR="00DD0C67" w:rsidRPr="003A0CBE" w:rsidRDefault="00DD0C67" w:rsidP="00F17090">
            <w:pPr>
              <w:keepNext/>
              <w:jc w:val="center"/>
              <w:rPr>
                <w:b/>
              </w:rPr>
            </w:pPr>
            <w:r w:rsidRPr="003A0CBE">
              <w:rPr>
                <w:b/>
              </w:rPr>
              <w:t>2015</w:t>
            </w:r>
          </w:p>
        </w:tc>
      </w:tr>
      <w:tr w:rsidR="00DD0C67" w:rsidRPr="003A0CBE" w:rsidTr="00F17090">
        <w:trPr>
          <w:trHeight w:val="296"/>
        </w:trPr>
        <w:tc>
          <w:tcPr>
            <w:tcW w:w="1368" w:type="dxa"/>
          </w:tcPr>
          <w:p w:rsidR="00DD0C67" w:rsidRPr="003A0CBE" w:rsidRDefault="00DD0C67" w:rsidP="00F17090">
            <w:pPr>
              <w:keepNext/>
              <w:rPr>
                <w:b/>
              </w:rPr>
            </w:pPr>
            <w:r w:rsidRPr="003A0CBE">
              <w:rPr>
                <w:b/>
              </w:rPr>
              <w:t>Armstrong</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44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r>
      <w:tr w:rsidR="00DD0C67" w:rsidRPr="003A0CBE" w:rsidTr="00F17090">
        <w:trPr>
          <w:trHeight w:val="314"/>
        </w:trPr>
        <w:tc>
          <w:tcPr>
            <w:tcW w:w="1368" w:type="dxa"/>
          </w:tcPr>
          <w:p w:rsidR="00DD0C67" w:rsidRPr="003A0CBE" w:rsidRDefault="00DD0C67" w:rsidP="00F17090">
            <w:pPr>
              <w:keepNext/>
              <w:rPr>
                <w:b/>
              </w:rPr>
            </w:pPr>
            <w:r w:rsidRPr="003A0CBE">
              <w:rPr>
                <w:b/>
              </w:rPr>
              <w:t>DSNP</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44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r>
      <w:tr w:rsidR="00DD0C67" w:rsidRPr="003A0CBE" w:rsidTr="00F17090">
        <w:trPr>
          <w:trHeight w:val="269"/>
        </w:trPr>
        <w:tc>
          <w:tcPr>
            <w:tcW w:w="1368" w:type="dxa"/>
          </w:tcPr>
          <w:p w:rsidR="00DD0C67" w:rsidRPr="003A0CBE" w:rsidRDefault="00DD0C67" w:rsidP="00F17090">
            <w:pPr>
              <w:keepNext/>
              <w:rPr>
                <w:b/>
              </w:rPr>
            </w:pPr>
            <w:r w:rsidRPr="003A0CBE">
              <w:rPr>
                <w:b/>
              </w:rPr>
              <w:t>FMV</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44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r>
    </w:tbl>
    <w:p w:rsidR="00DD0C67" w:rsidRPr="003A0CBE" w:rsidRDefault="00DD0C67" w:rsidP="00DD0C67">
      <w:pPr>
        <w:keepNext/>
        <w:spacing w:before="240" w:after="240"/>
        <w:rPr>
          <w:rFonts w:eastAsiaTheme="minorHAnsi"/>
          <w:szCs w:val="22"/>
        </w:rPr>
      </w:pPr>
      <w:r>
        <w:rPr>
          <w:b/>
          <w:szCs w:val="22"/>
        </w:rPr>
        <w:tab/>
      </w:r>
      <w:r w:rsidRPr="003A0CBE">
        <w:rPr>
          <w:rFonts w:eastAsiaTheme="minorHAnsi"/>
          <w:szCs w:val="22"/>
        </w:rPr>
        <w:t>To be sure, the Commission suggests that there may not be a simple linear relationship between rates and the revenues generated for DSNP by an MVPD.</w:t>
      </w:r>
      <w:r w:rsidRPr="003A0CBE">
        <w:rPr>
          <w:rFonts w:eastAsiaTheme="minorHAnsi"/>
          <w:szCs w:val="22"/>
          <w:vertAlign w:val="superscript"/>
        </w:rPr>
        <w:footnoteReference w:id="24"/>
      </w:r>
      <w:r w:rsidRPr="003A0CBE">
        <w:rPr>
          <w:rFonts w:eastAsiaTheme="minorHAnsi"/>
          <w:szCs w:val="22"/>
        </w:rPr>
        <w:t xml:space="preserve">  However, the r-squared statistic, which measures how well data fits the linear regression, is very strong here.  A perfect r-squared is 1, and of the 18 regressions described above, 6 of them have an r-squared of at least </w:t>
      </w:r>
      <w:r>
        <w:rPr>
          <w:szCs w:val="22"/>
        </w:rPr>
        <w:t>0.99</w:t>
      </w:r>
      <w:r w:rsidRPr="003A0CBE">
        <w:rPr>
          <w:rFonts w:eastAsiaTheme="minorHAnsi"/>
          <w:szCs w:val="22"/>
        </w:rPr>
        <w:t xml:space="preserve">, 10 have an r-squared of at least </w:t>
      </w:r>
      <w:r>
        <w:rPr>
          <w:szCs w:val="22"/>
        </w:rPr>
        <w:t>0.98</w:t>
      </w:r>
      <w:r w:rsidRPr="003A0CBE">
        <w:rPr>
          <w:rFonts w:eastAsiaTheme="minorHAnsi"/>
          <w:szCs w:val="22"/>
        </w:rPr>
        <w:t>, 15 have an r-squared of at least</w:t>
      </w:r>
      <w:r>
        <w:rPr>
          <w:szCs w:val="22"/>
        </w:rPr>
        <w:t xml:space="preserve"> 0.95</w:t>
      </w:r>
      <w:r w:rsidRPr="003A0CBE">
        <w:rPr>
          <w:rFonts w:eastAsiaTheme="minorHAnsi"/>
          <w:szCs w:val="22"/>
        </w:rPr>
        <w:t xml:space="preserve">, and the lowest r-squared is still </w:t>
      </w:r>
      <w:r>
        <w:rPr>
          <w:szCs w:val="22"/>
        </w:rPr>
        <w:t>0.82</w:t>
      </w:r>
      <w:r w:rsidRPr="003A0CBE">
        <w:rPr>
          <w:rFonts w:eastAsiaTheme="minorHAnsi"/>
          <w:szCs w:val="22"/>
        </w:rPr>
        <w:t>.  In short, there is strong evidence that as revenues generated increase, rates rise with them.</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But let’s say for the sake of argument that the relationship between rates and revenues generated is not a linear one.  Rather, let’s make an assumption that is </w:t>
      </w:r>
      <w:r w:rsidRPr="003A0CBE">
        <w:rPr>
          <w:rFonts w:eastAsiaTheme="minorHAnsi"/>
          <w:i/>
          <w:szCs w:val="22"/>
        </w:rPr>
        <w:t>extremely favorable to Armstrong’s position</w:t>
      </w:r>
      <w:r w:rsidRPr="003A0CBE">
        <w:rPr>
          <w:rFonts w:eastAsiaTheme="minorHAnsi"/>
          <w:szCs w:val="22"/>
        </w:rPr>
        <w:t xml:space="preserve">: that the relationship between rates and revenues is logarithmic.  This would mean that volume discounts are initially steep but then taper off as revenues continue to grow.  If Armstrong cannot prevail under a logarithmic regression analysis, then it is difficult to conceive of a reasonable statistical relationship between rates and revenues that would result in Armstrong’s offer ending up closer to fair market value.  </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So what are the results under this hypothesis?  As shown in the tables below, in the substantial majority of cases (13 of 18), DSNP’s proposed rate is closer to the estimated fair market value than is Armstrong’s.  In other words, even had the Bureau (and the Commission) used a logarithmic regression analysis to estimate the fair market value, it would have found that DSNP’s proposed rates were closer to fair market value than Armstrong’s.  That is because the total value of the rates generated by the logarithmic regression analysis was </w:t>
      </w:r>
      <w:r w:rsidRPr="001638B3">
        <w:rPr>
          <w:b/>
          <w:szCs w:val="22"/>
        </w:rPr>
        <w:t>[</w:t>
      </w:r>
      <w:r>
        <w:rPr>
          <w:b/>
        </w:rPr>
        <w:t>REDACTED</w:t>
      </w:r>
      <w:r w:rsidRPr="001638B3">
        <w:rPr>
          <w:b/>
          <w:szCs w:val="22"/>
        </w:rPr>
        <w:t>]</w:t>
      </w:r>
      <w:r w:rsidRPr="003A0CBE">
        <w:rPr>
          <w:rFonts w:eastAsiaTheme="minorHAnsi"/>
          <w:szCs w:val="22"/>
        </w:rPr>
        <w:t xml:space="preserve">, which is significantly closer to the value of DSNP’s offer </w:t>
      </w:r>
      <w:r w:rsidRPr="001638B3">
        <w:rPr>
          <w:b/>
          <w:szCs w:val="22"/>
        </w:rPr>
        <w:t>[</w:t>
      </w:r>
      <w:r>
        <w:rPr>
          <w:b/>
        </w:rPr>
        <w:t>REDACTED</w:t>
      </w:r>
      <w:r w:rsidRPr="001638B3">
        <w:rPr>
          <w:b/>
          <w:szCs w:val="22"/>
        </w:rPr>
        <w:t>]</w:t>
      </w:r>
      <w:r w:rsidRPr="003A0CBE">
        <w:rPr>
          <w:rFonts w:eastAsiaTheme="minorHAnsi"/>
          <w:szCs w:val="22"/>
        </w:rPr>
        <w:t xml:space="preserve"> than Armstrong’s offer </w:t>
      </w:r>
      <w:r w:rsidRPr="001638B3">
        <w:rPr>
          <w:b/>
          <w:szCs w:val="22"/>
        </w:rPr>
        <w:t>[</w:t>
      </w:r>
      <w:r>
        <w:rPr>
          <w:b/>
        </w:rPr>
        <w:t>REDACTED</w:t>
      </w:r>
      <w:r w:rsidRPr="001638B3">
        <w:rPr>
          <w:b/>
          <w:szCs w:val="22"/>
        </w:rPr>
        <w:t>]</w:t>
      </w:r>
      <w:r w:rsidRPr="003A0CBE">
        <w:rPr>
          <w:rFonts w:eastAsiaTheme="minorHAnsi"/>
          <w:szCs w:val="22"/>
        </w:rPr>
        <w:t>.</w:t>
      </w:r>
      <w:r w:rsidRPr="003A0CBE">
        <w:rPr>
          <w:rFonts w:eastAsiaTheme="minorHAnsi"/>
          <w:szCs w:val="22"/>
          <w:vertAlign w:val="superscript"/>
        </w:rPr>
        <w:footnoteReference w:id="25"/>
      </w:r>
      <w:r w:rsidRPr="003A0CBE">
        <w:rPr>
          <w:rFonts w:eastAsiaTheme="minorHAnsi"/>
          <w:szCs w:val="22"/>
        </w:rPr>
        <w:t xml:space="preserve">     </w:t>
      </w:r>
    </w:p>
    <w:p w:rsidR="00DD0C67" w:rsidRPr="003A0CBE" w:rsidRDefault="00DD0C67" w:rsidP="00DD0C67">
      <w:pPr>
        <w:keepNext/>
        <w:spacing w:before="240" w:after="240"/>
        <w:jc w:val="center"/>
        <w:rPr>
          <w:rFonts w:eastAsiaTheme="minorHAnsi"/>
          <w:b/>
          <w:szCs w:val="22"/>
        </w:rPr>
      </w:pPr>
      <w:r w:rsidRPr="003A0CBE">
        <w:rPr>
          <w:rFonts w:eastAsiaTheme="minorHAnsi"/>
          <w:b/>
          <w:szCs w:val="22"/>
        </w:rPr>
        <w:t>Comparing Armstrong and DSNP Offers to Fair Market Value</w:t>
      </w:r>
      <w:r w:rsidRPr="003A0CBE">
        <w:rPr>
          <w:rFonts w:eastAsiaTheme="minorHAnsi"/>
          <w:b/>
          <w:szCs w:val="22"/>
        </w:rPr>
        <w:br/>
        <w:t>Using a Logarithmic Regression Analysis</w:t>
      </w:r>
      <w:r w:rsidRPr="003A0CBE">
        <w:rPr>
          <w:rFonts w:eastAsiaTheme="minorHAnsi"/>
          <w:szCs w:val="22"/>
          <w:vertAlign w:val="superscript"/>
        </w:rPr>
        <w:footnoteReference w:id="26"/>
      </w:r>
    </w:p>
    <w:tbl>
      <w:tblPr>
        <w:tblStyle w:val="TableGrid1"/>
        <w:tblW w:w="9558" w:type="dxa"/>
        <w:tblLayout w:type="fixed"/>
        <w:tblLook w:val="04A0" w:firstRow="1" w:lastRow="0" w:firstColumn="1" w:lastColumn="0" w:noHBand="0" w:noVBand="1"/>
      </w:tblPr>
      <w:tblGrid>
        <w:gridCol w:w="1368"/>
        <w:gridCol w:w="1350"/>
        <w:gridCol w:w="1350"/>
        <w:gridCol w:w="1440"/>
        <w:gridCol w:w="1350"/>
        <w:gridCol w:w="1350"/>
        <w:gridCol w:w="1350"/>
      </w:tblGrid>
      <w:tr w:rsidR="00DD0C67" w:rsidRPr="003A0CBE" w:rsidTr="00F17090">
        <w:trPr>
          <w:trHeight w:val="332"/>
        </w:trPr>
        <w:tc>
          <w:tcPr>
            <w:tcW w:w="1368" w:type="dxa"/>
          </w:tcPr>
          <w:p w:rsidR="00DD0C67" w:rsidRPr="00E041E4" w:rsidRDefault="00DD0C67" w:rsidP="00F17090">
            <w:pPr>
              <w:keepNext/>
              <w:rPr>
                <w:b/>
                <w:sz w:val="18"/>
                <w:szCs w:val="18"/>
              </w:rPr>
            </w:pPr>
            <w:r w:rsidRPr="00E041E4">
              <w:rPr>
                <w:b/>
                <w:sz w:val="18"/>
                <w:szCs w:val="18"/>
              </w:rPr>
              <w:t>[REDACTED]</w:t>
            </w:r>
          </w:p>
        </w:tc>
        <w:tc>
          <w:tcPr>
            <w:tcW w:w="1350" w:type="dxa"/>
          </w:tcPr>
          <w:p w:rsidR="00DD0C67" w:rsidRPr="003A0CBE" w:rsidRDefault="00DD0C67" w:rsidP="00F17090">
            <w:pPr>
              <w:keepNext/>
              <w:jc w:val="center"/>
              <w:rPr>
                <w:b/>
              </w:rPr>
            </w:pPr>
            <w:r w:rsidRPr="003A0CBE">
              <w:rPr>
                <w:b/>
              </w:rPr>
              <w:t>2010</w:t>
            </w:r>
          </w:p>
        </w:tc>
        <w:tc>
          <w:tcPr>
            <w:tcW w:w="1350" w:type="dxa"/>
          </w:tcPr>
          <w:p w:rsidR="00DD0C67" w:rsidRPr="003A0CBE" w:rsidRDefault="00DD0C67" w:rsidP="00F17090">
            <w:pPr>
              <w:keepNext/>
              <w:jc w:val="center"/>
              <w:rPr>
                <w:b/>
              </w:rPr>
            </w:pPr>
            <w:r w:rsidRPr="003A0CBE">
              <w:rPr>
                <w:b/>
              </w:rPr>
              <w:t>2011</w:t>
            </w:r>
          </w:p>
        </w:tc>
        <w:tc>
          <w:tcPr>
            <w:tcW w:w="1440" w:type="dxa"/>
          </w:tcPr>
          <w:p w:rsidR="00DD0C67" w:rsidRPr="003A0CBE" w:rsidRDefault="00DD0C67" w:rsidP="00F17090">
            <w:pPr>
              <w:keepNext/>
              <w:jc w:val="center"/>
              <w:rPr>
                <w:b/>
              </w:rPr>
            </w:pPr>
            <w:r w:rsidRPr="003A0CBE">
              <w:rPr>
                <w:b/>
              </w:rPr>
              <w:t>2012</w:t>
            </w:r>
          </w:p>
        </w:tc>
        <w:tc>
          <w:tcPr>
            <w:tcW w:w="1350" w:type="dxa"/>
          </w:tcPr>
          <w:p w:rsidR="00DD0C67" w:rsidRPr="003A0CBE" w:rsidRDefault="00DD0C67" w:rsidP="00F17090">
            <w:pPr>
              <w:keepNext/>
              <w:jc w:val="center"/>
              <w:rPr>
                <w:b/>
              </w:rPr>
            </w:pPr>
            <w:r w:rsidRPr="003A0CBE">
              <w:rPr>
                <w:b/>
              </w:rPr>
              <w:t>2013</w:t>
            </w:r>
          </w:p>
        </w:tc>
        <w:tc>
          <w:tcPr>
            <w:tcW w:w="1350" w:type="dxa"/>
          </w:tcPr>
          <w:p w:rsidR="00DD0C67" w:rsidRPr="003A0CBE" w:rsidRDefault="00DD0C67" w:rsidP="00F17090">
            <w:pPr>
              <w:keepNext/>
              <w:jc w:val="center"/>
              <w:rPr>
                <w:b/>
              </w:rPr>
            </w:pPr>
            <w:r w:rsidRPr="003A0CBE">
              <w:rPr>
                <w:b/>
              </w:rPr>
              <w:t>2014</w:t>
            </w:r>
          </w:p>
        </w:tc>
        <w:tc>
          <w:tcPr>
            <w:tcW w:w="1350" w:type="dxa"/>
          </w:tcPr>
          <w:p w:rsidR="00DD0C67" w:rsidRPr="003A0CBE" w:rsidRDefault="00DD0C67" w:rsidP="00F17090">
            <w:pPr>
              <w:keepNext/>
              <w:jc w:val="center"/>
              <w:rPr>
                <w:b/>
              </w:rPr>
            </w:pPr>
            <w:r w:rsidRPr="003A0CBE">
              <w:rPr>
                <w:b/>
              </w:rPr>
              <w:t>2015</w:t>
            </w:r>
          </w:p>
        </w:tc>
      </w:tr>
      <w:tr w:rsidR="00DD0C67" w:rsidRPr="003A0CBE" w:rsidTr="00F17090">
        <w:trPr>
          <w:trHeight w:val="269"/>
        </w:trPr>
        <w:tc>
          <w:tcPr>
            <w:tcW w:w="1368" w:type="dxa"/>
          </w:tcPr>
          <w:p w:rsidR="00DD0C67" w:rsidRPr="003A0CBE" w:rsidRDefault="00DD0C67" w:rsidP="00F17090">
            <w:pPr>
              <w:keepNext/>
              <w:rPr>
                <w:b/>
              </w:rPr>
            </w:pPr>
            <w:r w:rsidRPr="003A0CBE">
              <w:rPr>
                <w:b/>
              </w:rPr>
              <w:t>Armstrong</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44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r>
      <w:tr w:rsidR="00DD0C67" w:rsidRPr="003A0CBE" w:rsidTr="00F17090">
        <w:trPr>
          <w:trHeight w:val="278"/>
        </w:trPr>
        <w:tc>
          <w:tcPr>
            <w:tcW w:w="1368" w:type="dxa"/>
          </w:tcPr>
          <w:p w:rsidR="00DD0C67" w:rsidRPr="003A0CBE" w:rsidRDefault="00DD0C67" w:rsidP="00F17090">
            <w:pPr>
              <w:keepNext/>
              <w:rPr>
                <w:b/>
              </w:rPr>
            </w:pPr>
            <w:r w:rsidRPr="003A0CBE">
              <w:rPr>
                <w:b/>
              </w:rPr>
              <w:t>DSNP</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44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r>
      <w:tr w:rsidR="00DD0C67" w:rsidRPr="003A0CBE" w:rsidTr="00F17090">
        <w:trPr>
          <w:trHeight w:val="188"/>
        </w:trPr>
        <w:tc>
          <w:tcPr>
            <w:tcW w:w="1368" w:type="dxa"/>
          </w:tcPr>
          <w:p w:rsidR="00DD0C67" w:rsidRPr="003A0CBE" w:rsidRDefault="00DD0C67" w:rsidP="00F17090">
            <w:pPr>
              <w:keepNext/>
              <w:rPr>
                <w:b/>
              </w:rPr>
            </w:pPr>
            <w:r w:rsidRPr="003A0CBE">
              <w:rPr>
                <w:b/>
              </w:rPr>
              <w:t>FMV</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44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r>
    </w:tbl>
    <w:p w:rsidR="00DD0C67" w:rsidRPr="003A0CBE" w:rsidRDefault="00DD0C67" w:rsidP="00DD0C67">
      <w:pPr>
        <w:keepNext/>
        <w:spacing w:after="120"/>
        <w:rPr>
          <w:rFonts w:eastAsiaTheme="minorHAnsi"/>
          <w:szCs w:val="22"/>
        </w:rPr>
      </w:pPr>
    </w:p>
    <w:tbl>
      <w:tblPr>
        <w:tblStyle w:val="TableGrid1"/>
        <w:tblW w:w="9596" w:type="dxa"/>
        <w:tblLayout w:type="fixed"/>
        <w:tblLook w:val="04A0" w:firstRow="1" w:lastRow="0" w:firstColumn="1" w:lastColumn="0" w:noHBand="0" w:noVBand="1"/>
      </w:tblPr>
      <w:tblGrid>
        <w:gridCol w:w="1368"/>
        <w:gridCol w:w="1350"/>
        <w:gridCol w:w="1350"/>
        <w:gridCol w:w="1440"/>
        <w:gridCol w:w="1350"/>
        <w:gridCol w:w="1350"/>
        <w:gridCol w:w="1388"/>
      </w:tblGrid>
      <w:tr w:rsidR="00DD0C67" w:rsidRPr="003A0CBE" w:rsidTr="00F17090">
        <w:trPr>
          <w:trHeight w:val="341"/>
        </w:trPr>
        <w:tc>
          <w:tcPr>
            <w:tcW w:w="1368" w:type="dxa"/>
          </w:tcPr>
          <w:p w:rsidR="00DD0C67" w:rsidRPr="003A0CBE" w:rsidRDefault="00DD0C67" w:rsidP="00F17090">
            <w:pPr>
              <w:keepNext/>
              <w:rPr>
                <w:b/>
              </w:rPr>
            </w:pPr>
            <w:r w:rsidRPr="00BE5119">
              <w:rPr>
                <w:b/>
                <w:sz w:val="18"/>
                <w:szCs w:val="18"/>
              </w:rPr>
              <w:t>[REDACTED]</w:t>
            </w:r>
          </w:p>
        </w:tc>
        <w:tc>
          <w:tcPr>
            <w:tcW w:w="1350" w:type="dxa"/>
          </w:tcPr>
          <w:p w:rsidR="00DD0C67" w:rsidRPr="003A0CBE" w:rsidRDefault="00DD0C67" w:rsidP="00F17090">
            <w:pPr>
              <w:keepNext/>
              <w:jc w:val="center"/>
              <w:rPr>
                <w:b/>
              </w:rPr>
            </w:pPr>
            <w:r w:rsidRPr="003A0CBE">
              <w:rPr>
                <w:b/>
              </w:rPr>
              <w:t>2010</w:t>
            </w:r>
          </w:p>
        </w:tc>
        <w:tc>
          <w:tcPr>
            <w:tcW w:w="1350" w:type="dxa"/>
          </w:tcPr>
          <w:p w:rsidR="00DD0C67" w:rsidRPr="003A0CBE" w:rsidRDefault="00DD0C67" w:rsidP="00F17090">
            <w:pPr>
              <w:keepNext/>
              <w:jc w:val="center"/>
              <w:rPr>
                <w:b/>
              </w:rPr>
            </w:pPr>
            <w:r w:rsidRPr="003A0CBE">
              <w:rPr>
                <w:b/>
              </w:rPr>
              <w:t>2011</w:t>
            </w:r>
          </w:p>
        </w:tc>
        <w:tc>
          <w:tcPr>
            <w:tcW w:w="1440" w:type="dxa"/>
          </w:tcPr>
          <w:p w:rsidR="00DD0C67" w:rsidRPr="003A0CBE" w:rsidRDefault="00DD0C67" w:rsidP="00F17090">
            <w:pPr>
              <w:keepNext/>
              <w:jc w:val="center"/>
              <w:rPr>
                <w:b/>
              </w:rPr>
            </w:pPr>
            <w:r w:rsidRPr="003A0CBE">
              <w:rPr>
                <w:b/>
              </w:rPr>
              <w:t>2012</w:t>
            </w:r>
          </w:p>
        </w:tc>
        <w:tc>
          <w:tcPr>
            <w:tcW w:w="1350" w:type="dxa"/>
          </w:tcPr>
          <w:p w:rsidR="00DD0C67" w:rsidRPr="003A0CBE" w:rsidRDefault="00DD0C67" w:rsidP="00F17090">
            <w:pPr>
              <w:keepNext/>
              <w:jc w:val="center"/>
              <w:rPr>
                <w:b/>
              </w:rPr>
            </w:pPr>
            <w:r w:rsidRPr="003A0CBE">
              <w:rPr>
                <w:b/>
              </w:rPr>
              <w:t>2013</w:t>
            </w:r>
          </w:p>
        </w:tc>
        <w:tc>
          <w:tcPr>
            <w:tcW w:w="1350" w:type="dxa"/>
          </w:tcPr>
          <w:p w:rsidR="00DD0C67" w:rsidRPr="003A0CBE" w:rsidRDefault="00DD0C67" w:rsidP="00F17090">
            <w:pPr>
              <w:keepNext/>
              <w:jc w:val="center"/>
              <w:rPr>
                <w:b/>
              </w:rPr>
            </w:pPr>
            <w:r w:rsidRPr="003A0CBE">
              <w:rPr>
                <w:b/>
              </w:rPr>
              <w:t>2014</w:t>
            </w:r>
          </w:p>
        </w:tc>
        <w:tc>
          <w:tcPr>
            <w:tcW w:w="1388" w:type="dxa"/>
          </w:tcPr>
          <w:p w:rsidR="00DD0C67" w:rsidRPr="003A0CBE" w:rsidRDefault="00DD0C67" w:rsidP="00F17090">
            <w:pPr>
              <w:keepNext/>
              <w:jc w:val="center"/>
              <w:rPr>
                <w:b/>
              </w:rPr>
            </w:pPr>
            <w:r w:rsidRPr="003A0CBE">
              <w:rPr>
                <w:b/>
              </w:rPr>
              <w:t>2015</w:t>
            </w:r>
          </w:p>
        </w:tc>
      </w:tr>
      <w:tr w:rsidR="00DD0C67" w:rsidRPr="003A0CBE" w:rsidTr="00F17090">
        <w:trPr>
          <w:trHeight w:val="278"/>
        </w:trPr>
        <w:tc>
          <w:tcPr>
            <w:tcW w:w="1368" w:type="dxa"/>
          </w:tcPr>
          <w:p w:rsidR="00DD0C67" w:rsidRPr="003A0CBE" w:rsidRDefault="00DD0C67" w:rsidP="00F17090">
            <w:pPr>
              <w:keepNext/>
              <w:rPr>
                <w:b/>
              </w:rPr>
            </w:pPr>
            <w:r w:rsidRPr="003A0CBE">
              <w:rPr>
                <w:b/>
              </w:rPr>
              <w:t>Armstrong</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44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88" w:type="dxa"/>
          </w:tcPr>
          <w:p w:rsidR="00DD0C67" w:rsidRPr="00E041E4" w:rsidRDefault="00DD0C67" w:rsidP="00F17090">
            <w:pPr>
              <w:keepNext/>
              <w:jc w:val="center"/>
              <w:rPr>
                <w:sz w:val="16"/>
                <w:szCs w:val="16"/>
              </w:rPr>
            </w:pPr>
            <w:r w:rsidRPr="00E041E4">
              <w:rPr>
                <w:b/>
                <w:sz w:val="16"/>
                <w:szCs w:val="16"/>
              </w:rPr>
              <w:t>[REDACTED]</w:t>
            </w:r>
          </w:p>
        </w:tc>
      </w:tr>
      <w:tr w:rsidR="00DD0C67" w:rsidRPr="003A0CBE" w:rsidTr="00F17090">
        <w:trPr>
          <w:trHeight w:val="197"/>
        </w:trPr>
        <w:tc>
          <w:tcPr>
            <w:tcW w:w="1368" w:type="dxa"/>
          </w:tcPr>
          <w:p w:rsidR="00DD0C67" w:rsidRPr="003A0CBE" w:rsidRDefault="00DD0C67" w:rsidP="00F17090">
            <w:pPr>
              <w:keepNext/>
              <w:rPr>
                <w:b/>
              </w:rPr>
            </w:pPr>
            <w:r w:rsidRPr="003A0CBE">
              <w:rPr>
                <w:b/>
              </w:rPr>
              <w:t>DSNP</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44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b/>
                <w:sz w:val="16"/>
                <w:szCs w:val="16"/>
                <w:u w:val="single"/>
              </w:rPr>
            </w:pPr>
            <w:r w:rsidRPr="00E041E4">
              <w:rPr>
                <w:b/>
                <w:sz w:val="16"/>
                <w:szCs w:val="16"/>
              </w:rPr>
              <w:t>[REDACTED]</w:t>
            </w:r>
          </w:p>
        </w:tc>
        <w:tc>
          <w:tcPr>
            <w:tcW w:w="1388" w:type="dxa"/>
          </w:tcPr>
          <w:p w:rsidR="00DD0C67" w:rsidRPr="00E041E4" w:rsidRDefault="00DD0C67" w:rsidP="00F17090">
            <w:pPr>
              <w:keepNext/>
              <w:jc w:val="center"/>
              <w:rPr>
                <w:b/>
                <w:sz w:val="16"/>
                <w:szCs w:val="16"/>
                <w:u w:val="single"/>
              </w:rPr>
            </w:pPr>
            <w:r w:rsidRPr="00E041E4">
              <w:rPr>
                <w:b/>
                <w:sz w:val="16"/>
                <w:szCs w:val="16"/>
              </w:rPr>
              <w:t>[REDACTED]</w:t>
            </w:r>
          </w:p>
        </w:tc>
      </w:tr>
      <w:tr w:rsidR="00DD0C67" w:rsidRPr="003A0CBE" w:rsidTr="00F17090">
        <w:trPr>
          <w:trHeight w:val="269"/>
        </w:trPr>
        <w:tc>
          <w:tcPr>
            <w:tcW w:w="1368" w:type="dxa"/>
          </w:tcPr>
          <w:p w:rsidR="00DD0C67" w:rsidRPr="003A0CBE" w:rsidRDefault="00DD0C67" w:rsidP="00F17090">
            <w:pPr>
              <w:keepNext/>
              <w:rPr>
                <w:b/>
              </w:rPr>
            </w:pPr>
            <w:r w:rsidRPr="003A0CBE">
              <w:rPr>
                <w:b/>
              </w:rPr>
              <w:t>FMV</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44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50" w:type="dxa"/>
          </w:tcPr>
          <w:p w:rsidR="00DD0C67" w:rsidRPr="00E041E4" w:rsidRDefault="00DD0C67" w:rsidP="00F17090">
            <w:pPr>
              <w:keepNext/>
              <w:jc w:val="center"/>
              <w:rPr>
                <w:sz w:val="16"/>
                <w:szCs w:val="16"/>
              </w:rPr>
            </w:pPr>
            <w:r w:rsidRPr="00E041E4">
              <w:rPr>
                <w:b/>
                <w:sz w:val="16"/>
                <w:szCs w:val="16"/>
              </w:rPr>
              <w:t>[REDACTED]</w:t>
            </w:r>
          </w:p>
        </w:tc>
        <w:tc>
          <w:tcPr>
            <w:tcW w:w="1388" w:type="dxa"/>
          </w:tcPr>
          <w:p w:rsidR="00DD0C67" w:rsidRPr="00E041E4" w:rsidRDefault="00DD0C67" w:rsidP="00F17090">
            <w:pPr>
              <w:keepNext/>
              <w:jc w:val="center"/>
              <w:rPr>
                <w:sz w:val="16"/>
                <w:szCs w:val="16"/>
              </w:rPr>
            </w:pPr>
            <w:r w:rsidRPr="00E041E4">
              <w:rPr>
                <w:b/>
                <w:sz w:val="16"/>
                <w:szCs w:val="16"/>
              </w:rPr>
              <w:t>[REDACTED]</w:t>
            </w:r>
          </w:p>
        </w:tc>
      </w:tr>
    </w:tbl>
    <w:p w:rsidR="00DD0C67" w:rsidRPr="003A0CBE" w:rsidRDefault="00DD0C67" w:rsidP="00DD0C67">
      <w:pPr>
        <w:keepNext/>
        <w:spacing w:after="120"/>
        <w:rPr>
          <w:rFonts w:eastAsiaTheme="minorHAnsi"/>
          <w:szCs w:val="22"/>
        </w:rPr>
      </w:pPr>
    </w:p>
    <w:tbl>
      <w:tblPr>
        <w:tblStyle w:val="TableGrid1"/>
        <w:tblW w:w="9687" w:type="dxa"/>
        <w:tblLayout w:type="fixed"/>
        <w:tblLook w:val="04A0" w:firstRow="1" w:lastRow="0" w:firstColumn="1" w:lastColumn="0" w:noHBand="0" w:noVBand="1"/>
      </w:tblPr>
      <w:tblGrid>
        <w:gridCol w:w="1383"/>
        <w:gridCol w:w="1384"/>
        <w:gridCol w:w="1384"/>
        <w:gridCol w:w="1384"/>
        <w:gridCol w:w="1384"/>
        <w:gridCol w:w="1384"/>
        <w:gridCol w:w="1384"/>
      </w:tblGrid>
      <w:tr w:rsidR="00DD0C67" w:rsidRPr="003A0CBE" w:rsidTr="00F17090">
        <w:tc>
          <w:tcPr>
            <w:tcW w:w="1714" w:type="dxa"/>
          </w:tcPr>
          <w:p w:rsidR="00DD0C67" w:rsidRPr="00E041E4" w:rsidRDefault="00DD0C67" w:rsidP="00F17090">
            <w:pPr>
              <w:keepNext/>
              <w:tabs>
                <w:tab w:val="left" w:pos="1350"/>
              </w:tabs>
              <w:ind w:right="-108"/>
              <w:rPr>
                <w:b/>
                <w:sz w:val="18"/>
                <w:szCs w:val="18"/>
              </w:rPr>
            </w:pPr>
            <w:r w:rsidRPr="00FB6BF1">
              <w:rPr>
                <w:b/>
                <w:sz w:val="18"/>
                <w:szCs w:val="18"/>
              </w:rPr>
              <w:t>[REDACTED]</w:t>
            </w:r>
          </w:p>
        </w:tc>
        <w:tc>
          <w:tcPr>
            <w:tcW w:w="1714" w:type="dxa"/>
          </w:tcPr>
          <w:p w:rsidR="00DD0C67" w:rsidRPr="003A0CBE" w:rsidRDefault="00DD0C67" w:rsidP="00F17090">
            <w:pPr>
              <w:keepNext/>
              <w:jc w:val="center"/>
              <w:rPr>
                <w:b/>
              </w:rPr>
            </w:pPr>
            <w:r w:rsidRPr="003A0CBE">
              <w:rPr>
                <w:b/>
              </w:rPr>
              <w:t>2010</w:t>
            </w:r>
          </w:p>
        </w:tc>
        <w:tc>
          <w:tcPr>
            <w:tcW w:w="1714" w:type="dxa"/>
          </w:tcPr>
          <w:p w:rsidR="00DD0C67" w:rsidRPr="003A0CBE" w:rsidRDefault="00DD0C67" w:rsidP="00F17090">
            <w:pPr>
              <w:keepNext/>
              <w:jc w:val="center"/>
              <w:rPr>
                <w:b/>
              </w:rPr>
            </w:pPr>
            <w:r w:rsidRPr="003A0CBE">
              <w:rPr>
                <w:b/>
              </w:rPr>
              <w:t>2011</w:t>
            </w:r>
          </w:p>
        </w:tc>
        <w:tc>
          <w:tcPr>
            <w:tcW w:w="1714" w:type="dxa"/>
          </w:tcPr>
          <w:p w:rsidR="00DD0C67" w:rsidRPr="003A0CBE" w:rsidRDefault="00DD0C67" w:rsidP="00F17090">
            <w:pPr>
              <w:keepNext/>
              <w:jc w:val="center"/>
              <w:rPr>
                <w:b/>
              </w:rPr>
            </w:pPr>
            <w:r w:rsidRPr="003A0CBE">
              <w:rPr>
                <w:b/>
              </w:rPr>
              <w:t>2012</w:t>
            </w:r>
          </w:p>
        </w:tc>
        <w:tc>
          <w:tcPr>
            <w:tcW w:w="1714" w:type="dxa"/>
          </w:tcPr>
          <w:p w:rsidR="00DD0C67" w:rsidRPr="003A0CBE" w:rsidRDefault="00DD0C67" w:rsidP="00F17090">
            <w:pPr>
              <w:keepNext/>
              <w:jc w:val="center"/>
              <w:rPr>
                <w:b/>
              </w:rPr>
            </w:pPr>
            <w:r w:rsidRPr="003A0CBE">
              <w:rPr>
                <w:b/>
              </w:rPr>
              <w:t>2013</w:t>
            </w:r>
          </w:p>
        </w:tc>
        <w:tc>
          <w:tcPr>
            <w:tcW w:w="1714" w:type="dxa"/>
          </w:tcPr>
          <w:p w:rsidR="00DD0C67" w:rsidRPr="003A0CBE" w:rsidRDefault="00DD0C67" w:rsidP="00F17090">
            <w:pPr>
              <w:keepNext/>
              <w:jc w:val="center"/>
              <w:rPr>
                <w:b/>
              </w:rPr>
            </w:pPr>
            <w:r w:rsidRPr="003A0CBE">
              <w:rPr>
                <w:b/>
              </w:rPr>
              <w:t>2014</w:t>
            </w:r>
          </w:p>
        </w:tc>
        <w:tc>
          <w:tcPr>
            <w:tcW w:w="1714" w:type="dxa"/>
          </w:tcPr>
          <w:p w:rsidR="00DD0C67" w:rsidRPr="003A0CBE" w:rsidRDefault="00DD0C67" w:rsidP="00F17090">
            <w:pPr>
              <w:keepNext/>
              <w:jc w:val="center"/>
              <w:rPr>
                <w:b/>
              </w:rPr>
            </w:pPr>
            <w:r w:rsidRPr="003A0CBE">
              <w:rPr>
                <w:b/>
              </w:rPr>
              <w:t>2015</w:t>
            </w:r>
          </w:p>
        </w:tc>
      </w:tr>
      <w:tr w:rsidR="00DD0C67" w:rsidRPr="003A0CBE" w:rsidTr="00F17090">
        <w:tc>
          <w:tcPr>
            <w:tcW w:w="1714" w:type="dxa"/>
          </w:tcPr>
          <w:p w:rsidR="00DD0C67" w:rsidRPr="003A0CBE" w:rsidRDefault="00DD0C67" w:rsidP="00F17090">
            <w:pPr>
              <w:keepNext/>
              <w:rPr>
                <w:b/>
              </w:rPr>
            </w:pPr>
            <w:r w:rsidRPr="003A0CBE">
              <w:rPr>
                <w:b/>
              </w:rPr>
              <w:t>Armstrong</w:t>
            </w:r>
          </w:p>
        </w:tc>
        <w:tc>
          <w:tcPr>
            <w:tcW w:w="1714" w:type="dxa"/>
          </w:tcPr>
          <w:p w:rsidR="00DD0C67" w:rsidRPr="00E041E4" w:rsidRDefault="00DD0C67" w:rsidP="00F17090">
            <w:pPr>
              <w:keepNext/>
              <w:jc w:val="center"/>
              <w:rPr>
                <w:sz w:val="16"/>
                <w:szCs w:val="16"/>
              </w:rPr>
            </w:pPr>
            <w:r w:rsidRPr="00E041E4">
              <w:rPr>
                <w:b/>
                <w:sz w:val="16"/>
                <w:szCs w:val="16"/>
              </w:rPr>
              <w:t>[REDACTED]</w:t>
            </w:r>
          </w:p>
        </w:tc>
        <w:tc>
          <w:tcPr>
            <w:tcW w:w="1714" w:type="dxa"/>
          </w:tcPr>
          <w:p w:rsidR="00DD0C67" w:rsidRPr="00E041E4" w:rsidRDefault="00DD0C67" w:rsidP="00F17090">
            <w:pPr>
              <w:keepNext/>
              <w:jc w:val="center"/>
              <w:rPr>
                <w:sz w:val="16"/>
                <w:szCs w:val="16"/>
              </w:rPr>
            </w:pPr>
            <w:r w:rsidRPr="00E041E4">
              <w:rPr>
                <w:b/>
                <w:sz w:val="16"/>
                <w:szCs w:val="16"/>
              </w:rPr>
              <w:t>[REDACTED]</w:t>
            </w:r>
          </w:p>
        </w:tc>
        <w:tc>
          <w:tcPr>
            <w:tcW w:w="1714" w:type="dxa"/>
          </w:tcPr>
          <w:p w:rsidR="00DD0C67" w:rsidRPr="00E041E4" w:rsidRDefault="00DD0C67" w:rsidP="00F17090">
            <w:pPr>
              <w:keepNext/>
              <w:jc w:val="center"/>
              <w:rPr>
                <w:sz w:val="16"/>
                <w:szCs w:val="16"/>
              </w:rPr>
            </w:pPr>
            <w:r w:rsidRPr="00E041E4">
              <w:rPr>
                <w:b/>
                <w:sz w:val="16"/>
                <w:szCs w:val="16"/>
              </w:rPr>
              <w:t>[REDACTED]</w:t>
            </w:r>
          </w:p>
        </w:tc>
        <w:tc>
          <w:tcPr>
            <w:tcW w:w="1714" w:type="dxa"/>
          </w:tcPr>
          <w:p w:rsidR="00DD0C67" w:rsidRPr="00E041E4" w:rsidRDefault="00DD0C67" w:rsidP="00F17090">
            <w:pPr>
              <w:keepNext/>
              <w:jc w:val="center"/>
              <w:rPr>
                <w:sz w:val="16"/>
                <w:szCs w:val="16"/>
              </w:rPr>
            </w:pPr>
            <w:r w:rsidRPr="00E041E4">
              <w:rPr>
                <w:b/>
                <w:sz w:val="16"/>
                <w:szCs w:val="16"/>
              </w:rPr>
              <w:t>[REDACTED]</w:t>
            </w:r>
          </w:p>
        </w:tc>
        <w:tc>
          <w:tcPr>
            <w:tcW w:w="1714" w:type="dxa"/>
          </w:tcPr>
          <w:p w:rsidR="00DD0C67" w:rsidRPr="00E041E4" w:rsidRDefault="00DD0C67" w:rsidP="00F17090">
            <w:pPr>
              <w:keepNext/>
              <w:jc w:val="center"/>
              <w:rPr>
                <w:sz w:val="16"/>
                <w:szCs w:val="16"/>
              </w:rPr>
            </w:pPr>
            <w:r w:rsidRPr="00E041E4">
              <w:rPr>
                <w:b/>
                <w:sz w:val="16"/>
                <w:szCs w:val="16"/>
              </w:rPr>
              <w:t>[REDACTED]</w:t>
            </w:r>
          </w:p>
        </w:tc>
        <w:tc>
          <w:tcPr>
            <w:tcW w:w="1714" w:type="dxa"/>
          </w:tcPr>
          <w:p w:rsidR="00DD0C67" w:rsidRPr="00E041E4" w:rsidRDefault="00DD0C67" w:rsidP="00F17090">
            <w:pPr>
              <w:keepNext/>
              <w:jc w:val="center"/>
              <w:rPr>
                <w:sz w:val="16"/>
                <w:szCs w:val="16"/>
              </w:rPr>
            </w:pPr>
            <w:r w:rsidRPr="00E041E4">
              <w:rPr>
                <w:b/>
                <w:sz w:val="16"/>
                <w:szCs w:val="16"/>
              </w:rPr>
              <w:t>[REDACTED]</w:t>
            </w:r>
          </w:p>
        </w:tc>
      </w:tr>
      <w:tr w:rsidR="00DD0C67" w:rsidRPr="003A0CBE" w:rsidTr="00F17090">
        <w:tc>
          <w:tcPr>
            <w:tcW w:w="1714" w:type="dxa"/>
          </w:tcPr>
          <w:p w:rsidR="00DD0C67" w:rsidRPr="003A0CBE" w:rsidRDefault="00DD0C67" w:rsidP="00F17090">
            <w:pPr>
              <w:keepNext/>
              <w:rPr>
                <w:b/>
              </w:rPr>
            </w:pPr>
            <w:r w:rsidRPr="003A0CBE">
              <w:rPr>
                <w:b/>
              </w:rPr>
              <w:t>DSNP</w:t>
            </w:r>
          </w:p>
        </w:tc>
        <w:tc>
          <w:tcPr>
            <w:tcW w:w="1714" w:type="dxa"/>
          </w:tcPr>
          <w:p w:rsidR="00DD0C67" w:rsidRPr="00E041E4" w:rsidRDefault="00DD0C67" w:rsidP="00F17090">
            <w:pPr>
              <w:keepNext/>
              <w:jc w:val="center"/>
              <w:rPr>
                <w:b/>
                <w:sz w:val="16"/>
                <w:szCs w:val="16"/>
                <w:u w:val="single"/>
              </w:rPr>
            </w:pPr>
            <w:r w:rsidRPr="00E041E4">
              <w:rPr>
                <w:b/>
                <w:sz w:val="16"/>
                <w:szCs w:val="16"/>
              </w:rPr>
              <w:t>[REDACTED]</w:t>
            </w:r>
          </w:p>
        </w:tc>
        <w:tc>
          <w:tcPr>
            <w:tcW w:w="1714" w:type="dxa"/>
          </w:tcPr>
          <w:p w:rsidR="00DD0C67" w:rsidRPr="00E041E4" w:rsidRDefault="00DD0C67" w:rsidP="00F17090">
            <w:pPr>
              <w:keepNext/>
              <w:jc w:val="center"/>
              <w:rPr>
                <w:b/>
                <w:sz w:val="16"/>
                <w:szCs w:val="16"/>
                <w:u w:val="single"/>
              </w:rPr>
            </w:pPr>
            <w:r w:rsidRPr="00E041E4">
              <w:rPr>
                <w:b/>
                <w:sz w:val="16"/>
                <w:szCs w:val="16"/>
              </w:rPr>
              <w:t>[REDACTED]</w:t>
            </w:r>
          </w:p>
        </w:tc>
        <w:tc>
          <w:tcPr>
            <w:tcW w:w="1714" w:type="dxa"/>
          </w:tcPr>
          <w:p w:rsidR="00DD0C67" w:rsidRPr="00E041E4" w:rsidRDefault="00DD0C67" w:rsidP="00F17090">
            <w:pPr>
              <w:keepNext/>
              <w:jc w:val="center"/>
              <w:rPr>
                <w:b/>
                <w:sz w:val="16"/>
                <w:szCs w:val="16"/>
                <w:u w:val="single"/>
              </w:rPr>
            </w:pPr>
            <w:r w:rsidRPr="00E041E4">
              <w:rPr>
                <w:b/>
                <w:sz w:val="16"/>
                <w:szCs w:val="16"/>
              </w:rPr>
              <w:t>[REDACTED]</w:t>
            </w:r>
          </w:p>
        </w:tc>
        <w:tc>
          <w:tcPr>
            <w:tcW w:w="1714" w:type="dxa"/>
          </w:tcPr>
          <w:p w:rsidR="00DD0C67" w:rsidRPr="00E041E4" w:rsidRDefault="00DD0C67" w:rsidP="00F17090">
            <w:pPr>
              <w:keepNext/>
              <w:jc w:val="center"/>
              <w:rPr>
                <w:b/>
                <w:sz w:val="16"/>
                <w:szCs w:val="16"/>
                <w:u w:val="single"/>
              </w:rPr>
            </w:pPr>
            <w:r w:rsidRPr="00E041E4">
              <w:rPr>
                <w:b/>
                <w:sz w:val="16"/>
                <w:szCs w:val="16"/>
              </w:rPr>
              <w:t>[REDACTED]</w:t>
            </w:r>
          </w:p>
        </w:tc>
        <w:tc>
          <w:tcPr>
            <w:tcW w:w="1714" w:type="dxa"/>
          </w:tcPr>
          <w:p w:rsidR="00DD0C67" w:rsidRPr="00E041E4" w:rsidRDefault="00DD0C67" w:rsidP="00F17090">
            <w:pPr>
              <w:keepNext/>
              <w:jc w:val="center"/>
              <w:rPr>
                <w:b/>
                <w:sz w:val="16"/>
                <w:szCs w:val="16"/>
                <w:u w:val="single"/>
              </w:rPr>
            </w:pPr>
            <w:r w:rsidRPr="00E041E4">
              <w:rPr>
                <w:b/>
                <w:sz w:val="16"/>
                <w:szCs w:val="16"/>
              </w:rPr>
              <w:t>[REDACTED]</w:t>
            </w:r>
          </w:p>
        </w:tc>
        <w:tc>
          <w:tcPr>
            <w:tcW w:w="1714" w:type="dxa"/>
          </w:tcPr>
          <w:p w:rsidR="00DD0C67" w:rsidRPr="00E041E4" w:rsidRDefault="00DD0C67" w:rsidP="00F17090">
            <w:pPr>
              <w:keepNext/>
              <w:jc w:val="center"/>
              <w:rPr>
                <w:b/>
                <w:sz w:val="16"/>
                <w:szCs w:val="16"/>
                <w:u w:val="single"/>
              </w:rPr>
            </w:pPr>
            <w:r w:rsidRPr="00E041E4">
              <w:rPr>
                <w:b/>
                <w:sz w:val="16"/>
                <w:szCs w:val="16"/>
              </w:rPr>
              <w:t>[REDACTED]</w:t>
            </w:r>
          </w:p>
        </w:tc>
      </w:tr>
      <w:tr w:rsidR="00DD0C67" w:rsidRPr="003A0CBE" w:rsidTr="00F17090">
        <w:tc>
          <w:tcPr>
            <w:tcW w:w="1714" w:type="dxa"/>
          </w:tcPr>
          <w:p w:rsidR="00DD0C67" w:rsidRPr="003A0CBE" w:rsidRDefault="00DD0C67" w:rsidP="00F17090">
            <w:pPr>
              <w:keepNext/>
              <w:rPr>
                <w:b/>
              </w:rPr>
            </w:pPr>
            <w:r w:rsidRPr="003A0CBE">
              <w:rPr>
                <w:b/>
              </w:rPr>
              <w:t>FMV</w:t>
            </w:r>
          </w:p>
        </w:tc>
        <w:tc>
          <w:tcPr>
            <w:tcW w:w="1714" w:type="dxa"/>
          </w:tcPr>
          <w:p w:rsidR="00DD0C67" w:rsidRPr="00E041E4" w:rsidRDefault="00DD0C67" w:rsidP="00F17090">
            <w:pPr>
              <w:keepNext/>
              <w:jc w:val="center"/>
              <w:rPr>
                <w:sz w:val="16"/>
                <w:szCs w:val="16"/>
              </w:rPr>
            </w:pPr>
            <w:r w:rsidRPr="00E041E4">
              <w:rPr>
                <w:b/>
                <w:sz w:val="16"/>
                <w:szCs w:val="16"/>
              </w:rPr>
              <w:t>[REDACTED]</w:t>
            </w:r>
          </w:p>
        </w:tc>
        <w:tc>
          <w:tcPr>
            <w:tcW w:w="1714" w:type="dxa"/>
          </w:tcPr>
          <w:p w:rsidR="00DD0C67" w:rsidRPr="00E041E4" w:rsidRDefault="00DD0C67" w:rsidP="00F17090">
            <w:pPr>
              <w:keepNext/>
              <w:jc w:val="center"/>
              <w:rPr>
                <w:sz w:val="16"/>
                <w:szCs w:val="16"/>
              </w:rPr>
            </w:pPr>
            <w:r w:rsidRPr="00E041E4">
              <w:rPr>
                <w:b/>
                <w:sz w:val="16"/>
                <w:szCs w:val="16"/>
              </w:rPr>
              <w:t>[REDACTED]</w:t>
            </w:r>
          </w:p>
        </w:tc>
        <w:tc>
          <w:tcPr>
            <w:tcW w:w="1714" w:type="dxa"/>
          </w:tcPr>
          <w:p w:rsidR="00DD0C67" w:rsidRPr="00E041E4" w:rsidRDefault="00DD0C67" w:rsidP="00F17090">
            <w:pPr>
              <w:keepNext/>
              <w:jc w:val="center"/>
              <w:rPr>
                <w:sz w:val="16"/>
                <w:szCs w:val="16"/>
              </w:rPr>
            </w:pPr>
            <w:r w:rsidRPr="00E041E4">
              <w:rPr>
                <w:b/>
                <w:sz w:val="16"/>
                <w:szCs w:val="16"/>
              </w:rPr>
              <w:t>[REDACTED]</w:t>
            </w:r>
          </w:p>
        </w:tc>
        <w:tc>
          <w:tcPr>
            <w:tcW w:w="1714" w:type="dxa"/>
          </w:tcPr>
          <w:p w:rsidR="00DD0C67" w:rsidRPr="00E041E4" w:rsidRDefault="00DD0C67" w:rsidP="00F17090">
            <w:pPr>
              <w:keepNext/>
              <w:jc w:val="center"/>
              <w:rPr>
                <w:sz w:val="16"/>
                <w:szCs w:val="16"/>
              </w:rPr>
            </w:pPr>
            <w:r w:rsidRPr="00E041E4">
              <w:rPr>
                <w:b/>
                <w:sz w:val="16"/>
                <w:szCs w:val="16"/>
              </w:rPr>
              <w:t>[REDACTED]</w:t>
            </w:r>
          </w:p>
        </w:tc>
        <w:tc>
          <w:tcPr>
            <w:tcW w:w="1714" w:type="dxa"/>
          </w:tcPr>
          <w:p w:rsidR="00DD0C67" w:rsidRPr="00E041E4" w:rsidRDefault="00DD0C67" w:rsidP="00F17090">
            <w:pPr>
              <w:keepNext/>
              <w:jc w:val="center"/>
              <w:rPr>
                <w:sz w:val="16"/>
                <w:szCs w:val="16"/>
              </w:rPr>
            </w:pPr>
            <w:r w:rsidRPr="00E041E4">
              <w:rPr>
                <w:b/>
                <w:sz w:val="16"/>
                <w:szCs w:val="16"/>
              </w:rPr>
              <w:t>[REDACTED]</w:t>
            </w:r>
          </w:p>
        </w:tc>
        <w:tc>
          <w:tcPr>
            <w:tcW w:w="1714" w:type="dxa"/>
          </w:tcPr>
          <w:p w:rsidR="00DD0C67" w:rsidRPr="00E041E4" w:rsidRDefault="00DD0C67" w:rsidP="00F17090">
            <w:pPr>
              <w:keepNext/>
              <w:jc w:val="center"/>
              <w:rPr>
                <w:sz w:val="16"/>
                <w:szCs w:val="16"/>
              </w:rPr>
            </w:pPr>
            <w:r w:rsidRPr="00E041E4">
              <w:rPr>
                <w:b/>
                <w:sz w:val="16"/>
                <w:szCs w:val="16"/>
              </w:rPr>
              <w:t>[REDACTED]</w:t>
            </w:r>
          </w:p>
        </w:tc>
      </w:tr>
    </w:tbl>
    <w:p w:rsidR="00DD0C67" w:rsidRPr="003A0CBE" w:rsidRDefault="00DD0C67" w:rsidP="00DD0C67">
      <w:pPr>
        <w:keepNext/>
        <w:spacing w:before="240" w:after="240"/>
        <w:rPr>
          <w:rFonts w:eastAsiaTheme="minorHAnsi"/>
          <w:szCs w:val="22"/>
        </w:rPr>
      </w:pPr>
      <w:r>
        <w:rPr>
          <w:b/>
          <w:szCs w:val="22"/>
        </w:rPr>
        <w:tab/>
      </w:r>
      <w:r w:rsidRPr="003A0CBE">
        <w:rPr>
          <w:rFonts w:eastAsiaTheme="minorHAnsi"/>
          <w:szCs w:val="22"/>
        </w:rPr>
        <w:t xml:space="preserve">Moving on from regression analysis, another way to estimate fair market value would be to start with the rates paid by Armstrong to DSNP at the end of the prior contract in </w:t>
      </w:r>
      <w:r w:rsidRPr="001638B3">
        <w:rPr>
          <w:b/>
          <w:szCs w:val="22"/>
        </w:rPr>
        <w:t>[</w:t>
      </w:r>
      <w:r>
        <w:rPr>
          <w:b/>
        </w:rPr>
        <w:t>REDACTED</w:t>
      </w:r>
      <w:r w:rsidRPr="001638B3">
        <w:rPr>
          <w:b/>
          <w:szCs w:val="22"/>
        </w:rPr>
        <w:t>]</w:t>
      </w:r>
      <w:r>
        <w:rPr>
          <w:b/>
          <w:szCs w:val="22"/>
        </w:rPr>
        <w:t xml:space="preserve"> </w:t>
      </w:r>
      <w:r w:rsidRPr="003A0CBE">
        <w:rPr>
          <w:rFonts w:eastAsiaTheme="minorHAnsi"/>
          <w:szCs w:val="22"/>
        </w:rPr>
        <w:t xml:space="preserve">and adjust those rates over the course of the new contract with fair-market-value increases.  What should those rate increases be?  Unsurprisingly, DSNP proposed a large rate renewal increase </w:t>
      </w:r>
      <w:r w:rsidRPr="001638B3">
        <w:rPr>
          <w:b/>
          <w:szCs w:val="22"/>
        </w:rPr>
        <w:t>[</w:t>
      </w:r>
      <w:r>
        <w:rPr>
          <w:b/>
        </w:rPr>
        <w:t>REDACTED</w:t>
      </w:r>
      <w:r w:rsidRPr="001638B3">
        <w:rPr>
          <w:b/>
          <w:szCs w:val="22"/>
        </w:rPr>
        <w:t>]</w:t>
      </w:r>
      <w:r w:rsidRPr="003A0CBE">
        <w:rPr>
          <w:rFonts w:eastAsiaTheme="minorHAnsi"/>
          <w:szCs w:val="22"/>
        </w:rPr>
        <w:t xml:space="preserve"> followed by a </w:t>
      </w:r>
      <w:r w:rsidRPr="001638B3">
        <w:rPr>
          <w:b/>
          <w:szCs w:val="22"/>
        </w:rPr>
        <w:t>[</w:t>
      </w:r>
      <w:r>
        <w:rPr>
          <w:b/>
        </w:rPr>
        <w:t>REDACTED</w:t>
      </w:r>
      <w:r w:rsidRPr="001638B3">
        <w:rPr>
          <w:b/>
          <w:szCs w:val="22"/>
        </w:rPr>
        <w:t>]</w:t>
      </w:r>
      <w:r>
        <w:rPr>
          <w:b/>
          <w:szCs w:val="22"/>
        </w:rPr>
        <w:t xml:space="preserve"> </w:t>
      </w:r>
      <w:r w:rsidRPr="003A0CBE">
        <w:rPr>
          <w:rFonts w:eastAsiaTheme="minorHAnsi"/>
          <w:szCs w:val="22"/>
        </w:rPr>
        <w:t xml:space="preserve">annual escalator, while Armstrong proposed a negligible rate renewal increase </w:t>
      </w:r>
      <w:r w:rsidRPr="001638B3">
        <w:rPr>
          <w:b/>
          <w:szCs w:val="22"/>
        </w:rPr>
        <w:t>[</w:t>
      </w:r>
      <w:r>
        <w:rPr>
          <w:b/>
        </w:rPr>
        <w:t>REDACTED</w:t>
      </w:r>
      <w:r w:rsidRPr="001638B3">
        <w:rPr>
          <w:b/>
          <w:szCs w:val="22"/>
        </w:rPr>
        <w:t>]</w:t>
      </w:r>
      <w:r>
        <w:rPr>
          <w:b/>
          <w:szCs w:val="22"/>
        </w:rPr>
        <w:t xml:space="preserve"> </w:t>
      </w:r>
      <w:r w:rsidRPr="003A0CBE">
        <w:rPr>
          <w:rFonts w:eastAsiaTheme="minorHAnsi"/>
          <w:szCs w:val="22"/>
        </w:rPr>
        <w:t xml:space="preserve">followed by an average annual escalator of only </w:t>
      </w:r>
      <w:r w:rsidRPr="001638B3">
        <w:rPr>
          <w:b/>
          <w:szCs w:val="22"/>
        </w:rPr>
        <w:t>[</w:t>
      </w:r>
      <w:r>
        <w:rPr>
          <w:b/>
        </w:rPr>
        <w:t>REDACTED</w:t>
      </w:r>
      <w:r w:rsidRPr="001638B3">
        <w:rPr>
          <w:b/>
          <w:szCs w:val="22"/>
        </w:rPr>
        <w:t>]</w:t>
      </w:r>
      <w:r w:rsidRPr="003A0CBE">
        <w:rPr>
          <w:rFonts w:eastAsiaTheme="minorHAnsi"/>
          <w:szCs w:val="22"/>
        </w:rPr>
        <w:t>.</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Looking at the evidence as a whole, I believe that a reasonable annual rate increase would be </w:t>
      </w:r>
      <w:r w:rsidRPr="001638B3">
        <w:rPr>
          <w:b/>
          <w:szCs w:val="22"/>
        </w:rPr>
        <w:t>[</w:t>
      </w:r>
      <w:r>
        <w:rPr>
          <w:b/>
        </w:rPr>
        <w:t>REDACTED</w:t>
      </w:r>
      <w:r w:rsidRPr="001638B3">
        <w:rPr>
          <w:b/>
          <w:szCs w:val="22"/>
        </w:rPr>
        <w:t>]</w:t>
      </w:r>
      <w:r w:rsidRPr="003A0CBE">
        <w:rPr>
          <w:rFonts w:eastAsiaTheme="minorHAnsi"/>
          <w:szCs w:val="22"/>
        </w:rPr>
        <w:t xml:space="preserve"> (and at least </w:t>
      </w:r>
      <w:r w:rsidRPr="001638B3">
        <w:rPr>
          <w:b/>
          <w:szCs w:val="22"/>
        </w:rPr>
        <w:t>[</w:t>
      </w:r>
      <w:r>
        <w:rPr>
          <w:b/>
        </w:rPr>
        <w:t>REDACTED</w:t>
      </w:r>
      <w:r w:rsidRPr="001638B3">
        <w:rPr>
          <w:b/>
          <w:szCs w:val="22"/>
        </w:rPr>
        <w:t>]</w:t>
      </w:r>
      <w:r>
        <w:rPr>
          <w:b/>
          <w:szCs w:val="22"/>
        </w:rPr>
        <w:t xml:space="preserve"> </w:t>
      </w:r>
      <w:r w:rsidRPr="003A0CBE">
        <w:rPr>
          <w:rFonts w:eastAsiaTheme="minorHAnsi"/>
          <w:szCs w:val="22"/>
        </w:rPr>
        <w:t xml:space="preserve">for the first six months of the contract).  After all, in each of the contracts involving DSNP and other MVPDs, the annual escalator during a contract was between </w:t>
      </w:r>
      <w:r w:rsidRPr="001638B3">
        <w:rPr>
          <w:b/>
          <w:szCs w:val="22"/>
        </w:rPr>
        <w:t>[</w:t>
      </w:r>
      <w:r>
        <w:rPr>
          <w:b/>
        </w:rPr>
        <w:t>REDACTED</w:t>
      </w:r>
      <w:r w:rsidRPr="001638B3">
        <w:rPr>
          <w:b/>
          <w:szCs w:val="22"/>
        </w:rPr>
        <w:t>]</w:t>
      </w:r>
      <w:r>
        <w:rPr>
          <w:b/>
          <w:szCs w:val="22"/>
        </w:rPr>
        <w:t xml:space="preserve"> </w:t>
      </w:r>
      <w:r w:rsidRPr="003A0CBE">
        <w:rPr>
          <w:rFonts w:eastAsiaTheme="minorHAnsi"/>
          <w:szCs w:val="22"/>
        </w:rPr>
        <w:t xml:space="preserve">and </w:t>
      </w:r>
      <w:r w:rsidRPr="001638B3">
        <w:rPr>
          <w:b/>
          <w:szCs w:val="22"/>
        </w:rPr>
        <w:t>[</w:t>
      </w:r>
      <w:r>
        <w:rPr>
          <w:b/>
        </w:rPr>
        <w:t>REDACTED</w:t>
      </w:r>
      <w:r w:rsidRPr="001638B3">
        <w:rPr>
          <w:b/>
          <w:szCs w:val="22"/>
        </w:rPr>
        <w:t>]</w:t>
      </w:r>
      <w:r>
        <w:rPr>
          <w:b/>
          <w:szCs w:val="22"/>
        </w:rPr>
        <w:t xml:space="preserve"> </w:t>
      </w:r>
      <w:r w:rsidRPr="003A0CBE">
        <w:rPr>
          <w:rFonts w:eastAsiaTheme="minorHAnsi"/>
          <w:szCs w:val="22"/>
        </w:rPr>
        <w:t>a year.</w:t>
      </w:r>
      <w:r w:rsidRPr="003A0CBE">
        <w:rPr>
          <w:rFonts w:eastAsiaTheme="minorHAnsi"/>
          <w:szCs w:val="22"/>
          <w:vertAlign w:val="superscript"/>
        </w:rPr>
        <w:footnoteReference w:id="27"/>
      </w:r>
      <w:r w:rsidRPr="003A0CBE">
        <w:rPr>
          <w:rFonts w:eastAsiaTheme="minorHAnsi"/>
          <w:szCs w:val="22"/>
        </w:rPr>
        <w:t xml:space="preserve">  So if other MVPDs are paying annual increases during a contract in the neighborhood of </w:t>
      </w:r>
      <w:r w:rsidRPr="001638B3">
        <w:rPr>
          <w:b/>
          <w:szCs w:val="22"/>
        </w:rPr>
        <w:t>[</w:t>
      </w:r>
      <w:r>
        <w:rPr>
          <w:b/>
        </w:rPr>
        <w:t>REDACTED</w:t>
      </w:r>
      <w:r w:rsidRPr="001638B3">
        <w:rPr>
          <w:b/>
          <w:szCs w:val="22"/>
        </w:rPr>
        <w:t>]</w:t>
      </w:r>
      <w:r>
        <w:rPr>
          <w:b/>
          <w:szCs w:val="22"/>
        </w:rPr>
        <w:t xml:space="preserve"> </w:t>
      </w:r>
      <w:r w:rsidRPr="003A0CBE">
        <w:rPr>
          <w:rFonts w:eastAsiaTheme="minorHAnsi"/>
          <w:szCs w:val="22"/>
        </w:rPr>
        <w:t xml:space="preserve">in exchange for no required service improvements, it then seems quite fair for Armstrong to pay at least a </w:t>
      </w:r>
      <w:r w:rsidRPr="001638B3">
        <w:rPr>
          <w:b/>
          <w:szCs w:val="22"/>
        </w:rPr>
        <w:t>[</w:t>
      </w:r>
      <w:r>
        <w:rPr>
          <w:b/>
        </w:rPr>
        <w:t>REDACTED</w:t>
      </w:r>
      <w:r w:rsidRPr="001638B3">
        <w:rPr>
          <w:b/>
          <w:szCs w:val="22"/>
        </w:rPr>
        <w:t>]</w:t>
      </w:r>
      <w:r>
        <w:rPr>
          <w:b/>
          <w:szCs w:val="22"/>
        </w:rPr>
        <w:t xml:space="preserve"> </w:t>
      </w:r>
      <w:r w:rsidRPr="003A0CBE">
        <w:rPr>
          <w:rFonts w:eastAsiaTheme="minorHAnsi"/>
          <w:szCs w:val="22"/>
        </w:rPr>
        <w:t xml:space="preserve">renewal rate increase for the last six months of 2010 followed by a </w:t>
      </w:r>
      <w:r w:rsidRPr="001638B3">
        <w:rPr>
          <w:b/>
          <w:szCs w:val="22"/>
        </w:rPr>
        <w:t>[</w:t>
      </w:r>
      <w:r>
        <w:rPr>
          <w:b/>
        </w:rPr>
        <w:t>REDACTED</w:t>
      </w:r>
      <w:r w:rsidRPr="001638B3">
        <w:rPr>
          <w:b/>
          <w:szCs w:val="22"/>
        </w:rPr>
        <w:t>]</w:t>
      </w:r>
      <w:r w:rsidRPr="003A0CBE">
        <w:rPr>
          <w:rFonts w:eastAsiaTheme="minorHAnsi"/>
          <w:szCs w:val="22"/>
        </w:rPr>
        <w:t xml:space="preserve"> renewal rate increase each year thereafter.</w:t>
      </w:r>
      <w:r w:rsidRPr="003A0CBE">
        <w:rPr>
          <w:rFonts w:eastAsiaTheme="minorHAnsi"/>
          <w:szCs w:val="22"/>
          <w:vertAlign w:val="superscript"/>
        </w:rPr>
        <w:footnoteReference w:id="28"/>
      </w:r>
    </w:p>
    <w:p w:rsidR="00DD0C67" w:rsidRPr="003A0CBE" w:rsidRDefault="00DD0C67" w:rsidP="00DD0C67">
      <w:pPr>
        <w:spacing w:after="120"/>
        <w:ind w:firstLine="720"/>
        <w:rPr>
          <w:rFonts w:eastAsiaTheme="minorHAnsi"/>
          <w:szCs w:val="22"/>
        </w:rPr>
      </w:pPr>
      <w:r w:rsidRPr="003A0CBE">
        <w:rPr>
          <w:rFonts w:eastAsiaTheme="minorHAnsi"/>
          <w:szCs w:val="22"/>
        </w:rPr>
        <w:t xml:space="preserve">And if we take the rates Armstrong was paying at the end of its expired contact and adjust them in that manner, what is the result?  As shown below, in twelve of eighteen instances, DSNP’s proposed rates are closer to these estimates of fair market value than are Armstrong’s proposed rates.  Armstrong’s proposed rates are closer to the mark only for </w:t>
      </w:r>
      <w:r w:rsidRPr="00430BEA">
        <w:rPr>
          <w:b/>
        </w:rPr>
        <w:t>[</w:t>
      </w:r>
      <w:r>
        <w:rPr>
          <w:b/>
        </w:rPr>
        <w:t>REDACTED</w:t>
      </w:r>
      <w:r w:rsidRPr="00430BEA">
        <w:rPr>
          <w:b/>
        </w:rPr>
        <w:t>]</w:t>
      </w:r>
      <w:r w:rsidRPr="003A0CBE">
        <w:rPr>
          <w:rFonts w:eastAsiaTheme="minorHAnsi"/>
          <w:szCs w:val="22"/>
        </w:rPr>
        <w:t xml:space="preserve"> in the </w:t>
      </w:r>
      <w:r w:rsidRPr="00430BEA">
        <w:rPr>
          <w:b/>
        </w:rPr>
        <w:t>[</w:t>
      </w:r>
      <w:r>
        <w:rPr>
          <w:b/>
        </w:rPr>
        <w:t>REDACTED</w:t>
      </w:r>
      <w:r w:rsidRPr="00430BEA">
        <w:rPr>
          <w:b/>
        </w:rPr>
        <w:t>]</w:t>
      </w:r>
      <w:r w:rsidRPr="003A0CBE">
        <w:rPr>
          <w:rFonts w:eastAsiaTheme="minorHAnsi"/>
          <w:szCs w:val="22"/>
        </w:rPr>
        <w:t xml:space="preserve"> and for </w:t>
      </w:r>
      <w:r w:rsidRPr="00430BEA">
        <w:rPr>
          <w:b/>
        </w:rPr>
        <w:t>[</w:t>
      </w:r>
      <w:r>
        <w:rPr>
          <w:b/>
        </w:rPr>
        <w:t>REDACTED</w:t>
      </w:r>
      <w:r w:rsidRPr="00430BEA">
        <w:rPr>
          <w:b/>
        </w:rPr>
        <w:t>]</w:t>
      </w:r>
      <w:r w:rsidRPr="003A0CBE">
        <w:rPr>
          <w:rFonts w:eastAsiaTheme="minorHAnsi"/>
          <w:szCs w:val="22"/>
        </w:rPr>
        <w:t xml:space="preserve"> between </w:t>
      </w:r>
      <w:r w:rsidRPr="00430BEA">
        <w:rPr>
          <w:b/>
        </w:rPr>
        <w:t>[</w:t>
      </w:r>
      <w:r>
        <w:rPr>
          <w:b/>
        </w:rPr>
        <w:t>REDACTED</w:t>
      </w:r>
      <w:r w:rsidRPr="00430BEA">
        <w:rPr>
          <w:b/>
        </w:rPr>
        <w:t>]</w:t>
      </w:r>
      <w:r w:rsidRPr="003A0CBE">
        <w:rPr>
          <w:rFonts w:eastAsiaTheme="minorHAnsi"/>
          <w:szCs w:val="22"/>
        </w:rPr>
        <w:t xml:space="preserve">.  And the total value of the rates generated by this mode of analysis is </w:t>
      </w:r>
      <w:r w:rsidRPr="00430BEA">
        <w:rPr>
          <w:b/>
        </w:rPr>
        <w:t>[</w:t>
      </w:r>
      <w:r>
        <w:rPr>
          <w:b/>
        </w:rPr>
        <w:t>REDACTED</w:t>
      </w:r>
      <w:r w:rsidRPr="00430BEA">
        <w:rPr>
          <w:b/>
        </w:rPr>
        <w:t>]</w:t>
      </w:r>
      <w:r w:rsidRPr="003A0CBE">
        <w:rPr>
          <w:rFonts w:eastAsiaTheme="minorHAnsi"/>
          <w:szCs w:val="22"/>
        </w:rPr>
        <w:t xml:space="preserve">, which is closer to the value of DSNP’s offer </w:t>
      </w:r>
      <w:r w:rsidRPr="00430BEA">
        <w:rPr>
          <w:b/>
        </w:rPr>
        <w:t>[</w:t>
      </w:r>
      <w:r>
        <w:rPr>
          <w:b/>
        </w:rPr>
        <w:t>REDACTED</w:t>
      </w:r>
      <w:r w:rsidRPr="00430BEA">
        <w:rPr>
          <w:b/>
        </w:rPr>
        <w:t>]</w:t>
      </w:r>
      <w:r w:rsidRPr="003A0CBE">
        <w:rPr>
          <w:rFonts w:eastAsiaTheme="minorHAnsi"/>
          <w:szCs w:val="22"/>
        </w:rPr>
        <w:t xml:space="preserve"> than Armstrong’s offer </w:t>
      </w:r>
      <w:r w:rsidRPr="00430BEA">
        <w:rPr>
          <w:b/>
        </w:rPr>
        <w:t>[</w:t>
      </w:r>
      <w:r>
        <w:rPr>
          <w:b/>
        </w:rPr>
        <w:t>REDACTED</w:t>
      </w:r>
      <w:r w:rsidRPr="00430BEA">
        <w:rPr>
          <w:b/>
        </w:rPr>
        <w:t>]</w:t>
      </w:r>
      <w:r w:rsidRPr="003A0CBE">
        <w:rPr>
          <w:rFonts w:eastAsiaTheme="minorHAnsi"/>
          <w:szCs w:val="22"/>
        </w:rPr>
        <w:t>.</w:t>
      </w:r>
      <w:r w:rsidRPr="003A0CBE">
        <w:rPr>
          <w:rFonts w:eastAsiaTheme="minorHAnsi"/>
          <w:szCs w:val="22"/>
          <w:vertAlign w:val="superscript"/>
        </w:rPr>
        <w:footnoteReference w:id="29"/>
      </w:r>
      <w:r w:rsidRPr="003A0CBE">
        <w:rPr>
          <w:rFonts w:eastAsiaTheme="minorHAnsi"/>
          <w:szCs w:val="22"/>
        </w:rPr>
        <w:t xml:space="preserve">  Once again, had the Bureau (and the Commission) estimated the fair market value, rather than simply applying its principle, it probably would have found that DSNP’s proposed rates were closer to fair market value than Armstrong’s.</w:t>
      </w:r>
      <w:r w:rsidRPr="003A0CBE">
        <w:rPr>
          <w:rFonts w:eastAsiaTheme="minorHAnsi"/>
          <w:szCs w:val="22"/>
          <w:vertAlign w:val="superscript"/>
        </w:rPr>
        <w:t xml:space="preserve"> </w:t>
      </w:r>
      <w:r w:rsidRPr="003A0CBE">
        <w:rPr>
          <w:rFonts w:eastAsiaTheme="minorHAnsi"/>
          <w:szCs w:val="22"/>
          <w:vertAlign w:val="superscript"/>
        </w:rPr>
        <w:footnoteReference w:id="30"/>
      </w:r>
    </w:p>
    <w:p w:rsidR="00DD0C67" w:rsidRPr="00E041E4" w:rsidRDefault="00DD0C67" w:rsidP="00DD0C67">
      <w:pPr>
        <w:keepNext/>
        <w:spacing w:before="240" w:after="240"/>
        <w:jc w:val="center"/>
        <w:rPr>
          <w:rFonts w:eastAsiaTheme="minorHAnsi"/>
          <w:b/>
          <w:szCs w:val="22"/>
        </w:rPr>
      </w:pPr>
      <w:r w:rsidRPr="003A0CBE">
        <w:rPr>
          <w:rFonts w:eastAsiaTheme="minorHAnsi"/>
          <w:b/>
          <w:szCs w:val="22"/>
        </w:rPr>
        <w:t>Comparing Armstrong and DSNP Offers to Fair Market Value</w:t>
      </w:r>
      <w:r w:rsidRPr="003A0CBE">
        <w:rPr>
          <w:rFonts w:eastAsiaTheme="minorHAnsi"/>
          <w:b/>
          <w:szCs w:val="22"/>
        </w:rPr>
        <w:br/>
        <w:t xml:space="preserve">Escalating Prior Contract Rates at </w:t>
      </w:r>
      <w:r w:rsidRPr="00430BEA">
        <w:rPr>
          <w:b/>
        </w:rPr>
        <w:t>[</w:t>
      </w:r>
      <w:r>
        <w:rPr>
          <w:b/>
        </w:rPr>
        <w:t>REDACTED</w:t>
      </w:r>
      <w:r w:rsidRPr="00430BEA">
        <w:rPr>
          <w:b/>
        </w:rPr>
        <w:t>]</w:t>
      </w:r>
      <w:r>
        <w:rPr>
          <w:b/>
        </w:rPr>
        <w:t xml:space="preserve"> </w:t>
      </w:r>
      <w:r w:rsidRPr="003A0CBE">
        <w:rPr>
          <w:rFonts w:eastAsiaTheme="minorHAnsi"/>
          <w:b/>
          <w:szCs w:val="22"/>
        </w:rPr>
        <w:t>per Year</w:t>
      </w:r>
      <w:r w:rsidRPr="003A0CBE">
        <w:rPr>
          <w:rFonts w:eastAsiaTheme="minorHAnsi"/>
          <w:szCs w:val="22"/>
          <w:vertAlign w:val="superscript"/>
        </w:rPr>
        <w:footnoteReference w:id="31"/>
      </w:r>
    </w:p>
    <w:tbl>
      <w:tblPr>
        <w:tblStyle w:val="TableGrid1"/>
        <w:tblW w:w="9558" w:type="dxa"/>
        <w:tblLayout w:type="fixed"/>
        <w:tblLook w:val="04A0" w:firstRow="1" w:lastRow="0" w:firstColumn="1" w:lastColumn="0" w:noHBand="0" w:noVBand="1"/>
      </w:tblPr>
      <w:tblGrid>
        <w:gridCol w:w="1708"/>
        <w:gridCol w:w="1280"/>
        <w:gridCol w:w="1350"/>
        <w:gridCol w:w="1350"/>
        <w:gridCol w:w="1260"/>
        <w:gridCol w:w="1350"/>
        <w:gridCol w:w="1260"/>
      </w:tblGrid>
      <w:tr w:rsidR="00DD0C67" w:rsidRPr="003A0CBE" w:rsidTr="00F17090">
        <w:tc>
          <w:tcPr>
            <w:tcW w:w="1708" w:type="dxa"/>
          </w:tcPr>
          <w:p w:rsidR="00DD0C67" w:rsidRPr="00E041E4" w:rsidRDefault="00DD0C67" w:rsidP="00F17090">
            <w:pPr>
              <w:keepNext/>
              <w:jc w:val="center"/>
              <w:rPr>
                <w:b/>
                <w:sz w:val="18"/>
                <w:szCs w:val="18"/>
              </w:rPr>
            </w:pPr>
            <w:r w:rsidRPr="00E041E4">
              <w:rPr>
                <w:b/>
                <w:sz w:val="18"/>
                <w:szCs w:val="18"/>
              </w:rPr>
              <w:t>[REDACTED]</w:t>
            </w:r>
          </w:p>
        </w:tc>
        <w:tc>
          <w:tcPr>
            <w:tcW w:w="1280" w:type="dxa"/>
          </w:tcPr>
          <w:p w:rsidR="00DD0C67" w:rsidRPr="003A0CBE" w:rsidRDefault="00DD0C67" w:rsidP="00F17090">
            <w:pPr>
              <w:jc w:val="center"/>
              <w:rPr>
                <w:b/>
              </w:rPr>
            </w:pPr>
            <w:r w:rsidRPr="003A0CBE">
              <w:rPr>
                <w:b/>
              </w:rPr>
              <w:t>2010</w:t>
            </w:r>
          </w:p>
        </w:tc>
        <w:tc>
          <w:tcPr>
            <w:tcW w:w="1350" w:type="dxa"/>
          </w:tcPr>
          <w:p w:rsidR="00DD0C67" w:rsidRPr="003A0CBE" w:rsidRDefault="00DD0C67" w:rsidP="00F17090">
            <w:pPr>
              <w:jc w:val="center"/>
              <w:rPr>
                <w:b/>
              </w:rPr>
            </w:pPr>
            <w:r w:rsidRPr="003A0CBE">
              <w:rPr>
                <w:b/>
              </w:rPr>
              <w:t>2011</w:t>
            </w:r>
          </w:p>
        </w:tc>
        <w:tc>
          <w:tcPr>
            <w:tcW w:w="1350" w:type="dxa"/>
          </w:tcPr>
          <w:p w:rsidR="00DD0C67" w:rsidRPr="003A0CBE" w:rsidRDefault="00DD0C67" w:rsidP="00F17090">
            <w:pPr>
              <w:jc w:val="center"/>
              <w:rPr>
                <w:b/>
              </w:rPr>
            </w:pPr>
            <w:r w:rsidRPr="003A0CBE">
              <w:rPr>
                <w:b/>
              </w:rPr>
              <w:t>2012</w:t>
            </w:r>
          </w:p>
        </w:tc>
        <w:tc>
          <w:tcPr>
            <w:tcW w:w="1260" w:type="dxa"/>
          </w:tcPr>
          <w:p w:rsidR="00DD0C67" w:rsidRPr="003A0CBE" w:rsidRDefault="00DD0C67" w:rsidP="00F17090">
            <w:pPr>
              <w:jc w:val="center"/>
              <w:rPr>
                <w:b/>
              </w:rPr>
            </w:pPr>
            <w:r w:rsidRPr="003A0CBE">
              <w:rPr>
                <w:b/>
              </w:rPr>
              <w:t>2013</w:t>
            </w:r>
          </w:p>
        </w:tc>
        <w:tc>
          <w:tcPr>
            <w:tcW w:w="1350" w:type="dxa"/>
          </w:tcPr>
          <w:p w:rsidR="00DD0C67" w:rsidRPr="003A0CBE" w:rsidRDefault="00DD0C67" w:rsidP="00F17090">
            <w:pPr>
              <w:jc w:val="center"/>
              <w:rPr>
                <w:b/>
              </w:rPr>
            </w:pPr>
            <w:r w:rsidRPr="003A0CBE">
              <w:rPr>
                <w:b/>
              </w:rPr>
              <w:t>2014</w:t>
            </w:r>
          </w:p>
        </w:tc>
        <w:tc>
          <w:tcPr>
            <w:tcW w:w="1260" w:type="dxa"/>
          </w:tcPr>
          <w:p w:rsidR="00DD0C67" w:rsidRPr="003A0CBE" w:rsidRDefault="00DD0C67" w:rsidP="00F17090">
            <w:pPr>
              <w:jc w:val="center"/>
              <w:rPr>
                <w:b/>
              </w:rPr>
            </w:pPr>
            <w:r w:rsidRPr="003A0CBE">
              <w:rPr>
                <w:b/>
              </w:rPr>
              <w:t>2015</w:t>
            </w:r>
          </w:p>
        </w:tc>
      </w:tr>
      <w:tr w:rsidR="00DD0C67" w:rsidRPr="003A0CBE" w:rsidTr="00F17090">
        <w:tc>
          <w:tcPr>
            <w:tcW w:w="1708" w:type="dxa"/>
          </w:tcPr>
          <w:p w:rsidR="00DD0C67" w:rsidRPr="003A0CBE" w:rsidRDefault="00DD0C67" w:rsidP="00F17090">
            <w:pPr>
              <w:keepNext/>
              <w:jc w:val="center"/>
              <w:rPr>
                <w:b/>
              </w:rPr>
            </w:pPr>
            <w:r w:rsidRPr="003A0CBE">
              <w:rPr>
                <w:b/>
              </w:rPr>
              <w:t>Armstrong</w:t>
            </w:r>
          </w:p>
        </w:tc>
        <w:tc>
          <w:tcPr>
            <w:tcW w:w="1280" w:type="dxa"/>
          </w:tcPr>
          <w:p w:rsidR="00DD0C67" w:rsidRPr="00E041E4" w:rsidRDefault="00DD0C67" w:rsidP="00F17090">
            <w:pPr>
              <w:jc w:val="center"/>
              <w:rPr>
                <w:b/>
                <w:sz w:val="16"/>
                <w:szCs w:val="16"/>
                <w:u w:val="single"/>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0" w:type="dxa"/>
          </w:tcPr>
          <w:p w:rsidR="00DD0C67" w:rsidRPr="00E041E4" w:rsidRDefault="00DD0C67" w:rsidP="00F17090">
            <w:pPr>
              <w:jc w:val="center"/>
              <w:rPr>
                <w:sz w:val="16"/>
                <w:szCs w:val="16"/>
              </w:rPr>
            </w:pPr>
            <w:r w:rsidRPr="00E041E4">
              <w:rPr>
                <w:b/>
                <w:sz w:val="16"/>
                <w:szCs w:val="16"/>
              </w:rPr>
              <w:t>[REDACTED]</w:t>
            </w:r>
          </w:p>
        </w:tc>
      </w:tr>
      <w:tr w:rsidR="00DD0C67" w:rsidRPr="003A0CBE" w:rsidTr="00F17090">
        <w:tc>
          <w:tcPr>
            <w:tcW w:w="1708" w:type="dxa"/>
          </w:tcPr>
          <w:p w:rsidR="00DD0C67" w:rsidRPr="003A0CBE" w:rsidRDefault="00DD0C67" w:rsidP="00F17090">
            <w:pPr>
              <w:jc w:val="center"/>
              <w:rPr>
                <w:b/>
              </w:rPr>
            </w:pPr>
            <w:r w:rsidRPr="003A0CBE">
              <w:rPr>
                <w:b/>
              </w:rPr>
              <w:t>DSNP</w:t>
            </w:r>
          </w:p>
        </w:tc>
        <w:tc>
          <w:tcPr>
            <w:tcW w:w="128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b/>
                <w:sz w:val="16"/>
                <w:szCs w:val="16"/>
                <w:u w:val="single"/>
              </w:rPr>
            </w:pPr>
            <w:r w:rsidRPr="00E041E4">
              <w:rPr>
                <w:b/>
                <w:sz w:val="16"/>
                <w:szCs w:val="16"/>
              </w:rPr>
              <w:t>[REDACTED]</w:t>
            </w:r>
          </w:p>
        </w:tc>
        <w:tc>
          <w:tcPr>
            <w:tcW w:w="1350" w:type="dxa"/>
          </w:tcPr>
          <w:p w:rsidR="00DD0C67" w:rsidRPr="00E041E4" w:rsidRDefault="00DD0C67" w:rsidP="00F17090">
            <w:pPr>
              <w:jc w:val="center"/>
              <w:rPr>
                <w:b/>
                <w:sz w:val="16"/>
                <w:szCs w:val="16"/>
                <w:u w:val="single"/>
              </w:rPr>
            </w:pPr>
            <w:r w:rsidRPr="00E041E4">
              <w:rPr>
                <w:b/>
                <w:sz w:val="16"/>
                <w:szCs w:val="16"/>
              </w:rPr>
              <w:t>[REDACTED]</w:t>
            </w:r>
          </w:p>
        </w:tc>
        <w:tc>
          <w:tcPr>
            <w:tcW w:w="1260" w:type="dxa"/>
          </w:tcPr>
          <w:p w:rsidR="00DD0C67" w:rsidRPr="00E041E4" w:rsidRDefault="00DD0C67" w:rsidP="00F17090">
            <w:pPr>
              <w:jc w:val="center"/>
              <w:rPr>
                <w:b/>
                <w:sz w:val="16"/>
                <w:szCs w:val="16"/>
                <w:u w:val="single"/>
              </w:rPr>
            </w:pPr>
            <w:r w:rsidRPr="00E041E4">
              <w:rPr>
                <w:b/>
                <w:sz w:val="16"/>
                <w:szCs w:val="16"/>
              </w:rPr>
              <w:t>[REDACTED]</w:t>
            </w:r>
          </w:p>
        </w:tc>
        <w:tc>
          <w:tcPr>
            <w:tcW w:w="1350" w:type="dxa"/>
          </w:tcPr>
          <w:p w:rsidR="00DD0C67" w:rsidRPr="00E041E4" w:rsidRDefault="00DD0C67" w:rsidP="00F17090">
            <w:pPr>
              <w:jc w:val="center"/>
              <w:rPr>
                <w:b/>
                <w:sz w:val="16"/>
                <w:szCs w:val="16"/>
                <w:u w:val="single"/>
              </w:rPr>
            </w:pPr>
            <w:r w:rsidRPr="00E041E4">
              <w:rPr>
                <w:b/>
                <w:sz w:val="16"/>
                <w:szCs w:val="16"/>
              </w:rPr>
              <w:t>[REDACTED]</w:t>
            </w:r>
          </w:p>
        </w:tc>
        <w:tc>
          <w:tcPr>
            <w:tcW w:w="1260" w:type="dxa"/>
          </w:tcPr>
          <w:p w:rsidR="00DD0C67" w:rsidRPr="00E041E4" w:rsidRDefault="00DD0C67" w:rsidP="00F17090">
            <w:pPr>
              <w:jc w:val="center"/>
              <w:rPr>
                <w:b/>
                <w:sz w:val="16"/>
                <w:szCs w:val="16"/>
                <w:u w:val="single"/>
              </w:rPr>
            </w:pPr>
            <w:r w:rsidRPr="00E041E4">
              <w:rPr>
                <w:b/>
                <w:sz w:val="16"/>
                <w:szCs w:val="16"/>
              </w:rPr>
              <w:t>[REDACTED]</w:t>
            </w:r>
          </w:p>
        </w:tc>
      </w:tr>
      <w:tr w:rsidR="00DD0C67" w:rsidRPr="003A0CBE" w:rsidTr="00F17090">
        <w:tc>
          <w:tcPr>
            <w:tcW w:w="1708" w:type="dxa"/>
          </w:tcPr>
          <w:p w:rsidR="00DD0C67" w:rsidRPr="003A0CBE" w:rsidRDefault="00DD0C67" w:rsidP="00F17090">
            <w:pPr>
              <w:jc w:val="center"/>
              <w:rPr>
                <w:b/>
              </w:rPr>
            </w:pPr>
            <w:r w:rsidRPr="003A0CBE">
              <w:rPr>
                <w:b/>
              </w:rPr>
              <w:t>FMV</w:t>
            </w:r>
          </w:p>
        </w:tc>
        <w:tc>
          <w:tcPr>
            <w:tcW w:w="128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0" w:type="dxa"/>
          </w:tcPr>
          <w:p w:rsidR="00DD0C67" w:rsidRPr="00E041E4" w:rsidRDefault="00DD0C67" w:rsidP="00F17090">
            <w:pPr>
              <w:jc w:val="center"/>
              <w:rPr>
                <w:sz w:val="16"/>
                <w:szCs w:val="16"/>
              </w:rPr>
            </w:pPr>
            <w:r w:rsidRPr="00E041E4">
              <w:rPr>
                <w:b/>
                <w:sz w:val="16"/>
                <w:szCs w:val="16"/>
              </w:rPr>
              <w:t>[REDACTED]</w:t>
            </w:r>
          </w:p>
        </w:tc>
      </w:tr>
    </w:tbl>
    <w:p w:rsidR="00DD0C67" w:rsidRPr="003A0CBE" w:rsidRDefault="00DD0C67" w:rsidP="00DD0C67">
      <w:pPr>
        <w:spacing w:after="120"/>
        <w:jc w:val="center"/>
        <w:rPr>
          <w:rFonts w:eastAsiaTheme="minorHAnsi"/>
          <w:szCs w:val="22"/>
        </w:rPr>
      </w:pPr>
    </w:p>
    <w:tbl>
      <w:tblPr>
        <w:tblStyle w:val="TableGrid1"/>
        <w:tblW w:w="9558" w:type="dxa"/>
        <w:tblLayout w:type="fixed"/>
        <w:tblLook w:val="04A0" w:firstRow="1" w:lastRow="0" w:firstColumn="1" w:lastColumn="0" w:noHBand="0" w:noVBand="1"/>
      </w:tblPr>
      <w:tblGrid>
        <w:gridCol w:w="1728"/>
        <w:gridCol w:w="1260"/>
        <w:gridCol w:w="1350"/>
        <w:gridCol w:w="1350"/>
        <w:gridCol w:w="1260"/>
        <w:gridCol w:w="1350"/>
        <w:gridCol w:w="1260"/>
      </w:tblGrid>
      <w:tr w:rsidR="00DD0C67" w:rsidRPr="003A0CBE" w:rsidTr="00F17090">
        <w:trPr>
          <w:trHeight w:val="262"/>
        </w:trPr>
        <w:tc>
          <w:tcPr>
            <w:tcW w:w="1728" w:type="dxa"/>
          </w:tcPr>
          <w:p w:rsidR="00DD0C67" w:rsidRPr="00E041E4" w:rsidRDefault="00DD0C67" w:rsidP="00F17090">
            <w:pPr>
              <w:jc w:val="center"/>
              <w:rPr>
                <w:b/>
                <w:sz w:val="18"/>
                <w:szCs w:val="18"/>
              </w:rPr>
            </w:pPr>
            <w:r w:rsidRPr="00E041E4">
              <w:rPr>
                <w:b/>
                <w:sz w:val="18"/>
                <w:szCs w:val="18"/>
              </w:rPr>
              <w:t>[REDACTED]</w:t>
            </w:r>
          </w:p>
        </w:tc>
        <w:tc>
          <w:tcPr>
            <w:tcW w:w="1260" w:type="dxa"/>
          </w:tcPr>
          <w:p w:rsidR="00DD0C67" w:rsidRPr="003A0CBE" w:rsidRDefault="00DD0C67" w:rsidP="00F17090">
            <w:pPr>
              <w:jc w:val="center"/>
              <w:rPr>
                <w:b/>
              </w:rPr>
            </w:pPr>
            <w:r w:rsidRPr="003A0CBE">
              <w:rPr>
                <w:b/>
              </w:rPr>
              <w:t>2010</w:t>
            </w:r>
          </w:p>
        </w:tc>
        <w:tc>
          <w:tcPr>
            <w:tcW w:w="1350" w:type="dxa"/>
          </w:tcPr>
          <w:p w:rsidR="00DD0C67" w:rsidRPr="003A0CBE" w:rsidRDefault="00DD0C67" w:rsidP="00F17090">
            <w:pPr>
              <w:jc w:val="center"/>
              <w:rPr>
                <w:b/>
              </w:rPr>
            </w:pPr>
            <w:r w:rsidRPr="003A0CBE">
              <w:rPr>
                <w:b/>
              </w:rPr>
              <w:t>2011</w:t>
            </w:r>
          </w:p>
        </w:tc>
        <w:tc>
          <w:tcPr>
            <w:tcW w:w="1350" w:type="dxa"/>
          </w:tcPr>
          <w:p w:rsidR="00DD0C67" w:rsidRPr="003A0CBE" w:rsidRDefault="00DD0C67" w:rsidP="00F17090">
            <w:pPr>
              <w:jc w:val="center"/>
              <w:rPr>
                <w:b/>
              </w:rPr>
            </w:pPr>
            <w:r w:rsidRPr="003A0CBE">
              <w:rPr>
                <w:b/>
              </w:rPr>
              <w:t>2012</w:t>
            </w:r>
          </w:p>
        </w:tc>
        <w:tc>
          <w:tcPr>
            <w:tcW w:w="1260" w:type="dxa"/>
          </w:tcPr>
          <w:p w:rsidR="00DD0C67" w:rsidRPr="003A0CBE" w:rsidRDefault="00DD0C67" w:rsidP="00F17090">
            <w:pPr>
              <w:jc w:val="center"/>
              <w:rPr>
                <w:b/>
              </w:rPr>
            </w:pPr>
            <w:r w:rsidRPr="003A0CBE">
              <w:rPr>
                <w:b/>
              </w:rPr>
              <w:t>2013</w:t>
            </w:r>
          </w:p>
        </w:tc>
        <w:tc>
          <w:tcPr>
            <w:tcW w:w="1350" w:type="dxa"/>
          </w:tcPr>
          <w:p w:rsidR="00DD0C67" w:rsidRPr="003A0CBE" w:rsidRDefault="00DD0C67" w:rsidP="00F17090">
            <w:pPr>
              <w:jc w:val="center"/>
              <w:rPr>
                <w:b/>
              </w:rPr>
            </w:pPr>
            <w:r w:rsidRPr="003A0CBE">
              <w:rPr>
                <w:b/>
              </w:rPr>
              <w:t>2014</w:t>
            </w:r>
          </w:p>
        </w:tc>
        <w:tc>
          <w:tcPr>
            <w:tcW w:w="1260" w:type="dxa"/>
          </w:tcPr>
          <w:p w:rsidR="00DD0C67" w:rsidRPr="003A0CBE" w:rsidRDefault="00DD0C67" w:rsidP="00F17090">
            <w:pPr>
              <w:jc w:val="center"/>
              <w:rPr>
                <w:b/>
              </w:rPr>
            </w:pPr>
            <w:r w:rsidRPr="003A0CBE">
              <w:rPr>
                <w:b/>
              </w:rPr>
              <w:t>2015</w:t>
            </w:r>
          </w:p>
        </w:tc>
      </w:tr>
      <w:tr w:rsidR="00DD0C67" w:rsidRPr="003A0CBE" w:rsidTr="00F17090">
        <w:trPr>
          <w:trHeight w:val="247"/>
        </w:trPr>
        <w:tc>
          <w:tcPr>
            <w:tcW w:w="1728" w:type="dxa"/>
          </w:tcPr>
          <w:p w:rsidR="00DD0C67" w:rsidRPr="003A0CBE" w:rsidRDefault="00DD0C67" w:rsidP="00F17090">
            <w:pPr>
              <w:jc w:val="center"/>
              <w:rPr>
                <w:b/>
              </w:rPr>
            </w:pPr>
            <w:r w:rsidRPr="003A0CBE">
              <w:rPr>
                <w:b/>
              </w:rPr>
              <w:t>Armstrong</w:t>
            </w:r>
          </w:p>
        </w:tc>
        <w:tc>
          <w:tcPr>
            <w:tcW w:w="1260" w:type="dxa"/>
          </w:tcPr>
          <w:p w:rsidR="00DD0C67" w:rsidRPr="00E041E4" w:rsidRDefault="00DD0C67" w:rsidP="00F17090">
            <w:pPr>
              <w:jc w:val="center"/>
              <w:rPr>
                <w:b/>
                <w:sz w:val="16"/>
                <w:szCs w:val="16"/>
                <w:u w:val="single"/>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0" w:type="dxa"/>
          </w:tcPr>
          <w:p w:rsidR="00DD0C67" w:rsidRPr="00E041E4" w:rsidRDefault="00DD0C67" w:rsidP="00F17090">
            <w:pPr>
              <w:jc w:val="center"/>
              <w:rPr>
                <w:sz w:val="16"/>
                <w:szCs w:val="16"/>
              </w:rPr>
            </w:pPr>
            <w:r w:rsidRPr="00E041E4">
              <w:rPr>
                <w:b/>
                <w:sz w:val="16"/>
                <w:szCs w:val="16"/>
              </w:rPr>
              <w:t>[REDACTED]</w:t>
            </w:r>
          </w:p>
        </w:tc>
      </w:tr>
      <w:tr w:rsidR="00DD0C67" w:rsidRPr="003A0CBE" w:rsidTr="00F17090">
        <w:trPr>
          <w:trHeight w:val="262"/>
        </w:trPr>
        <w:tc>
          <w:tcPr>
            <w:tcW w:w="1728" w:type="dxa"/>
          </w:tcPr>
          <w:p w:rsidR="00DD0C67" w:rsidRPr="003A0CBE" w:rsidRDefault="00DD0C67" w:rsidP="00F17090">
            <w:pPr>
              <w:jc w:val="center"/>
              <w:rPr>
                <w:b/>
              </w:rPr>
            </w:pPr>
            <w:r w:rsidRPr="003A0CBE">
              <w:rPr>
                <w:b/>
              </w:rPr>
              <w:t>DSNP</w:t>
            </w:r>
          </w:p>
        </w:tc>
        <w:tc>
          <w:tcPr>
            <w:tcW w:w="126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b/>
                <w:sz w:val="16"/>
                <w:szCs w:val="16"/>
                <w:u w:val="single"/>
              </w:rPr>
            </w:pPr>
            <w:r w:rsidRPr="00E041E4">
              <w:rPr>
                <w:b/>
                <w:sz w:val="16"/>
                <w:szCs w:val="16"/>
              </w:rPr>
              <w:t>[REDACTED]</w:t>
            </w:r>
          </w:p>
        </w:tc>
        <w:tc>
          <w:tcPr>
            <w:tcW w:w="1350" w:type="dxa"/>
          </w:tcPr>
          <w:p w:rsidR="00DD0C67" w:rsidRPr="00E041E4" w:rsidRDefault="00DD0C67" w:rsidP="00F17090">
            <w:pPr>
              <w:jc w:val="center"/>
              <w:rPr>
                <w:b/>
                <w:sz w:val="16"/>
                <w:szCs w:val="16"/>
                <w:u w:val="single"/>
              </w:rPr>
            </w:pPr>
            <w:r w:rsidRPr="00E041E4">
              <w:rPr>
                <w:b/>
                <w:sz w:val="16"/>
                <w:szCs w:val="16"/>
              </w:rPr>
              <w:t>[REDACTED]</w:t>
            </w:r>
          </w:p>
        </w:tc>
        <w:tc>
          <w:tcPr>
            <w:tcW w:w="1260" w:type="dxa"/>
          </w:tcPr>
          <w:p w:rsidR="00DD0C67" w:rsidRPr="00E041E4" w:rsidRDefault="00DD0C67" w:rsidP="00F17090">
            <w:pPr>
              <w:jc w:val="center"/>
              <w:rPr>
                <w:b/>
                <w:sz w:val="16"/>
                <w:szCs w:val="16"/>
                <w:u w:val="single"/>
              </w:rPr>
            </w:pPr>
            <w:r w:rsidRPr="00E041E4">
              <w:rPr>
                <w:b/>
                <w:sz w:val="16"/>
                <w:szCs w:val="16"/>
              </w:rPr>
              <w:t>[REDACTED]</w:t>
            </w:r>
          </w:p>
        </w:tc>
        <w:tc>
          <w:tcPr>
            <w:tcW w:w="1350" w:type="dxa"/>
          </w:tcPr>
          <w:p w:rsidR="00DD0C67" w:rsidRPr="00E041E4" w:rsidRDefault="00DD0C67" w:rsidP="00F17090">
            <w:pPr>
              <w:jc w:val="center"/>
              <w:rPr>
                <w:b/>
                <w:sz w:val="16"/>
                <w:szCs w:val="16"/>
                <w:u w:val="single"/>
              </w:rPr>
            </w:pPr>
            <w:r w:rsidRPr="00E041E4">
              <w:rPr>
                <w:b/>
                <w:sz w:val="16"/>
                <w:szCs w:val="16"/>
              </w:rPr>
              <w:t>[REDACTED]</w:t>
            </w:r>
          </w:p>
        </w:tc>
        <w:tc>
          <w:tcPr>
            <w:tcW w:w="1260" w:type="dxa"/>
          </w:tcPr>
          <w:p w:rsidR="00DD0C67" w:rsidRPr="00E041E4" w:rsidRDefault="00DD0C67" w:rsidP="00F17090">
            <w:pPr>
              <w:jc w:val="center"/>
              <w:rPr>
                <w:b/>
                <w:sz w:val="16"/>
                <w:szCs w:val="16"/>
                <w:u w:val="single"/>
              </w:rPr>
            </w:pPr>
            <w:r w:rsidRPr="00E041E4">
              <w:rPr>
                <w:b/>
                <w:sz w:val="16"/>
                <w:szCs w:val="16"/>
              </w:rPr>
              <w:t>[REDACTED]</w:t>
            </w:r>
          </w:p>
        </w:tc>
      </w:tr>
      <w:tr w:rsidR="00DD0C67" w:rsidRPr="003A0CBE" w:rsidTr="00F17090">
        <w:trPr>
          <w:trHeight w:val="262"/>
        </w:trPr>
        <w:tc>
          <w:tcPr>
            <w:tcW w:w="1728" w:type="dxa"/>
          </w:tcPr>
          <w:p w:rsidR="00DD0C67" w:rsidRPr="003A0CBE" w:rsidRDefault="00DD0C67" w:rsidP="00F17090">
            <w:pPr>
              <w:jc w:val="center"/>
              <w:rPr>
                <w:b/>
              </w:rPr>
            </w:pPr>
            <w:r w:rsidRPr="003A0CBE">
              <w:rPr>
                <w:b/>
              </w:rPr>
              <w:t>FMV</w:t>
            </w:r>
          </w:p>
        </w:tc>
        <w:tc>
          <w:tcPr>
            <w:tcW w:w="126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0" w:type="dxa"/>
          </w:tcPr>
          <w:p w:rsidR="00DD0C67" w:rsidRPr="00E041E4" w:rsidRDefault="00DD0C67" w:rsidP="00F17090">
            <w:pPr>
              <w:jc w:val="center"/>
              <w:rPr>
                <w:sz w:val="16"/>
                <w:szCs w:val="16"/>
              </w:rPr>
            </w:pPr>
            <w:r w:rsidRPr="00E041E4">
              <w:rPr>
                <w:b/>
                <w:sz w:val="16"/>
                <w:szCs w:val="16"/>
              </w:rPr>
              <w:t>[REDACTED]</w:t>
            </w:r>
          </w:p>
        </w:tc>
      </w:tr>
    </w:tbl>
    <w:p w:rsidR="00DD0C67" w:rsidRPr="003A0CBE" w:rsidRDefault="00DD0C67" w:rsidP="00DD0C67">
      <w:pPr>
        <w:spacing w:after="120"/>
        <w:jc w:val="center"/>
        <w:rPr>
          <w:rFonts w:eastAsiaTheme="minorHAnsi"/>
          <w:szCs w:val="22"/>
        </w:rPr>
      </w:pPr>
    </w:p>
    <w:tbl>
      <w:tblPr>
        <w:tblStyle w:val="TableGrid1"/>
        <w:tblW w:w="9563" w:type="dxa"/>
        <w:tblLayout w:type="fixed"/>
        <w:tblLook w:val="04A0" w:firstRow="1" w:lastRow="0" w:firstColumn="1" w:lastColumn="0" w:noHBand="0" w:noVBand="1"/>
      </w:tblPr>
      <w:tblGrid>
        <w:gridCol w:w="1728"/>
        <w:gridCol w:w="1260"/>
        <w:gridCol w:w="1350"/>
        <w:gridCol w:w="1350"/>
        <w:gridCol w:w="1260"/>
        <w:gridCol w:w="1350"/>
        <w:gridCol w:w="1265"/>
      </w:tblGrid>
      <w:tr w:rsidR="00DD0C67" w:rsidRPr="003A0CBE" w:rsidTr="00F17090">
        <w:trPr>
          <w:trHeight w:val="253"/>
        </w:trPr>
        <w:tc>
          <w:tcPr>
            <w:tcW w:w="1728" w:type="dxa"/>
          </w:tcPr>
          <w:p w:rsidR="00DD0C67" w:rsidRPr="00E041E4" w:rsidRDefault="00DD0C67" w:rsidP="00F17090">
            <w:pPr>
              <w:keepNext/>
              <w:jc w:val="center"/>
              <w:rPr>
                <w:b/>
                <w:sz w:val="18"/>
                <w:szCs w:val="18"/>
              </w:rPr>
            </w:pPr>
            <w:r w:rsidRPr="00E041E4">
              <w:rPr>
                <w:b/>
                <w:sz w:val="18"/>
                <w:szCs w:val="18"/>
              </w:rPr>
              <w:t>[REDACTED]</w:t>
            </w:r>
          </w:p>
        </w:tc>
        <w:tc>
          <w:tcPr>
            <w:tcW w:w="1260" w:type="dxa"/>
          </w:tcPr>
          <w:p w:rsidR="00DD0C67" w:rsidRPr="003A0CBE" w:rsidRDefault="00DD0C67" w:rsidP="00F17090">
            <w:pPr>
              <w:jc w:val="center"/>
              <w:rPr>
                <w:b/>
              </w:rPr>
            </w:pPr>
            <w:r w:rsidRPr="003A0CBE">
              <w:rPr>
                <w:b/>
              </w:rPr>
              <w:t>2010</w:t>
            </w:r>
          </w:p>
        </w:tc>
        <w:tc>
          <w:tcPr>
            <w:tcW w:w="1350" w:type="dxa"/>
          </w:tcPr>
          <w:p w:rsidR="00DD0C67" w:rsidRPr="003A0CBE" w:rsidRDefault="00DD0C67" w:rsidP="00F17090">
            <w:pPr>
              <w:jc w:val="center"/>
              <w:rPr>
                <w:b/>
              </w:rPr>
            </w:pPr>
            <w:r w:rsidRPr="003A0CBE">
              <w:rPr>
                <w:b/>
              </w:rPr>
              <w:t>2011</w:t>
            </w:r>
          </w:p>
        </w:tc>
        <w:tc>
          <w:tcPr>
            <w:tcW w:w="1350" w:type="dxa"/>
          </w:tcPr>
          <w:p w:rsidR="00DD0C67" w:rsidRPr="003A0CBE" w:rsidRDefault="00DD0C67" w:rsidP="00F17090">
            <w:pPr>
              <w:jc w:val="center"/>
              <w:rPr>
                <w:b/>
              </w:rPr>
            </w:pPr>
            <w:r w:rsidRPr="003A0CBE">
              <w:rPr>
                <w:b/>
              </w:rPr>
              <w:t>2012</w:t>
            </w:r>
          </w:p>
        </w:tc>
        <w:tc>
          <w:tcPr>
            <w:tcW w:w="1260" w:type="dxa"/>
          </w:tcPr>
          <w:p w:rsidR="00DD0C67" w:rsidRPr="003A0CBE" w:rsidRDefault="00DD0C67" w:rsidP="00F17090">
            <w:pPr>
              <w:jc w:val="center"/>
              <w:rPr>
                <w:b/>
              </w:rPr>
            </w:pPr>
            <w:r w:rsidRPr="003A0CBE">
              <w:rPr>
                <w:b/>
              </w:rPr>
              <w:t>2013</w:t>
            </w:r>
          </w:p>
        </w:tc>
        <w:tc>
          <w:tcPr>
            <w:tcW w:w="1350" w:type="dxa"/>
          </w:tcPr>
          <w:p w:rsidR="00DD0C67" w:rsidRPr="003A0CBE" w:rsidRDefault="00DD0C67" w:rsidP="00F17090">
            <w:pPr>
              <w:jc w:val="center"/>
              <w:rPr>
                <w:b/>
              </w:rPr>
            </w:pPr>
            <w:r w:rsidRPr="003A0CBE">
              <w:rPr>
                <w:b/>
              </w:rPr>
              <w:t>2014</w:t>
            </w:r>
          </w:p>
        </w:tc>
        <w:tc>
          <w:tcPr>
            <w:tcW w:w="1265" w:type="dxa"/>
          </w:tcPr>
          <w:p w:rsidR="00DD0C67" w:rsidRPr="003A0CBE" w:rsidRDefault="00DD0C67" w:rsidP="00F17090">
            <w:pPr>
              <w:jc w:val="center"/>
              <w:rPr>
                <w:b/>
              </w:rPr>
            </w:pPr>
            <w:r w:rsidRPr="003A0CBE">
              <w:rPr>
                <w:b/>
              </w:rPr>
              <w:t>2015</w:t>
            </w:r>
          </w:p>
        </w:tc>
      </w:tr>
      <w:tr w:rsidR="00DD0C67" w:rsidRPr="003A0CBE" w:rsidTr="00F17090">
        <w:trPr>
          <w:trHeight w:val="269"/>
        </w:trPr>
        <w:tc>
          <w:tcPr>
            <w:tcW w:w="1728" w:type="dxa"/>
          </w:tcPr>
          <w:p w:rsidR="00DD0C67" w:rsidRPr="003A0CBE" w:rsidRDefault="00DD0C67" w:rsidP="00F17090">
            <w:pPr>
              <w:keepNext/>
              <w:jc w:val="center"/>
              <w:rPr>
                <w:b/>
              </w:rPr>
            </w:pPr>
            <w:r w:rsidRPr="003A0CBE">
              <w:rPr>
                <w:b/>
              </w:rPr>
              <w:t>Armstrong</w:t>
            </w:r>
          </w:p>
        </w:tc>
        <w:tc>
          <w:tcPr>
            <w:tcW w:w="1260" w:type="dxa"/>
          </w:tcPr>
          <w:p w:rsidR="00DD0C67" w:rsidRPr="00E041E4" w:rsidRDefault="00DD0C67" w:rsidP="00F17090">
            <w:pPr>
              <w:jc w:val="center"/>
              <w:rPr>
                <w:b/>
                <w:sz w:val="16"/>
                <w:szCs w:val="16"/>
                <w:u w:val="single"/>
              </w:rPr>
            </w:pPr>
            <w:r w:rsidRPr="00E041E4">
              <w:rPr>
                <w:b/>
                <w:sz w:val="16"/>
                <w:szCs w:val="16"/>
              </w:rPr>
              <w:t>[REDACTED]</w:t>
            </w:r>
          </w:p>
        </w:tc>
        <w:tc>
          <w:tcPr>
            <w:tcW w:w="1350" w:type="dxa"/>
          </w:tcPr>
          <w:p w:rsidR="00DD0C67" w:rsidRPr="00E041E4" w:rsidRDefault="00DD0C67" w:rsidP="00F17090">
            <w:pPr>
              <w:jc w:val="center"/>
              <w:rPr>
                <w:b/>
                <w:sz w:val="16"/>
                <w:szCs w:val="16"/>
                <w:u w:val="single"/>
              </w:rPr>
            </w:pPr>
            <w:r w:rsidRPr="00E041E4">
              <w:rPr>
                <w:b/>
                <w:sz w:val="16"/>
                <w:szCs w:val="16"/>
              </w:rPr>
              <w:t>[REDACTED]</w:t>
            </w:r>
          </w:p>
        </w:tc>
        <w:tc>
          <w:tcPr>
            <w:tcW w:w="1350" w:type="dxa"/>
          </w:tcPr>
          <w:p w:rsidR="00DD0C67" w:rsidRPr="00E041E4" w:rsidRDefault="00DD0C67" w:rsidP="00F17090">
            <w:pPr>
              <w:jc w:val="center"/>
              <w:rPr>
                <w:b/>
                <w:sz w:val="16"/>
                <w:szCs w:val="16"/>
                <w:u w:val="single"/>
              </w:rPr>
            </w:pPr>
            <w:r w:rsidRPr="00E041E4">
              <w:rPr>
                <w:b/>
                <w:sz w:val="16"/>
                <w:szCs w:val="16"/>
              </w:rPr>
              <w:t>[REDACTED]</w:t>
            </w:r>
          </w:p>
        </w:tc>
        <w:tc>
          <w:tcPr>
            <w:tcW w:w="1260" w:type="dxa"/>
          </w:tcPr>
          <w:p w:rsidR="00DD0C67" w:rsidRPr="00E041E4" w:rsidRDefault="00DD0C67" w:rsidP="00F17090">
            <w:pPr>
              <w:jc w:val="center"/>
              <w:rPr>
                <w:b/>
                <w:sz w:val="16"/>
                <w:szCs w:val="16"/>
                <w:u w:val="single"/>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5" w:type="dxa"/>
          </w:tcPr>
          <w:p w:rsidR="00DD0C67" w:rsidRPr="00E041E4" w:rsidRDefault="00DD0C67" w:rsidP="00F17090">
            <w:pPr>
              <w:jc w:val="center"/>
              <w:rPr>
                <w:sz w:val="16"/>
                <w:szCs w:val="16"/>
              </w:rPr>
            </w:pPr>
            <w:r w:rsidRPr="00E041E4">
              <w:rPr>
                <w:b/>
                <w:sz w:val="16"/>
                <w:szCs w:val="16"/>
              </w:rPr>
              <w:t>[REDACTED]</w:t>
            </w:r>
          </w:p>
        </w:tc>
      </w:tr>
      <w:tr w:rsidR="00DD0C67" w:rsidRPr="003A0CBE" w:rsidTr="00F17090">
        <w:trPr>
          <w:trHeight w:val="253"/>
        </w:trPr>
        <w:tc>
          <w:tcPr>
            <w:tcW w:w="1728" w:type="dxa"/>
          </w:tcPr>
          <w:p w:rsidR="00DD0C67" w:rsidRPr="003A0CBE" w:rsidRDefault="00DD0C67" w:rsidP="00F17090">
            <w:pPr>
              <w:keepNext/>
              <w:jc w:val="center"/>
              <w:rPr>
                <w:b/>
              </w:rPr>
            </w:pPr>
            <w:r w:rsidRPr="003A0CBE">
              <w:rPr>
                <w:b/>
              </w:rPr>
              <w:t>DSNP</w:t>
            </w:r>
          </w:p>
        </w:tc>
        <w:tc>
          <w:tcPr>
            <w:tcW w:w="126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b/>
                <w:sz w:val="16"/>
                <w:szCs w:val="16"/>
                <w:u w:val="single"/>
              </w:rPr>
            </w:pPr>
            <w:r w:rsidRPr="00E041E4">
              <w:rPr>
                <w:b/>
                <w:sz w:val="16"/>
                <w:szCs w:val="16"/>
              </w:rPr>
              <w:t>[REDACTED]</w:t>
            </w:r>
          </w:p>
        </w:tc>
        <w:tc>
          <w:tcPr>
            <w:tcW w:w="1265" w:type="dxa"/>
          </w:tcPr>
          <w:p w:rsidR="00DD0C67" w:rsidRPr="00E041E4" w:rsidRDefault="00DD0C67" w:rsidP="00F17090">
            <w:pPr>
              <w:jc w:val="center"/>
              <w:rPr>
                <w:b/>
                <w:sz w:val="16"/>
                <w:szCs w:val="16"/>
                <w:u w:val="single"/>
              </w:rPr>
            </w:pPr>
            <w:r w:rsidRPr="00E041E4">
              <w:rPr>
                <w:b/>
                <w:sz w:val="16"/>
                <w:szCs w:val="16"/>
              </w:rPr>
              <w:t>[REDACTED]</w:t>
            </w:r>
          </w:p>
        </w:tc>
      </w:tr>
      <w:tr w:rsidR="00DD0C67" w:rsidRPr="003A0CBE" w:rsidTr="00F17090">
        <w:trPr>
          <w:trHeight w:val="269"/>
        </w:trPr>
        <w:tc>
          <w:tcPr>
            <w:tcW w:w="1728" w:type="dxa"/>
          </w:tcPr>
          <w:p w:rsidR="00DD0C67" w:rsidRPr="003A0CBE" w:rsidRDefault="00DD0C67" w:rsidP="00F17090">
            <w:pPr>
              <w:keepNext/>
              <w:jc w:val="center"/>
              <w:rPr>
                <w:b/>
              </w:rPr>
            </w:pPr>
            <w:r w:rsidRPr="003A0CBE">
              <w:rPr>
                <w:b/>
              </w:rPr>
              <w:t>FMV</w:t>
            </w:r>
          </w:p>
        </w:tc>
        <w:tc>
          <w:tcPr>
            <w:tcW w:w="126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0" w:type="dxa"/>
          </w:tcPr>
          <w:p w:rsidR="00DD0C67" w:rsidRPr="00E041E4" w:rsidRDefault="00DD0C67" w:rsidP="00F17090">
            <w:pPr>
              <w:jc w:val="center"/>
              <w:rPr>
                <w:sz w:val="16"/>
                <w:szCs w:val="16"/>
              </w:rPr>
            </w:pPr>
            <w:r w:rsidRPr="00E041E4">
              <w:rPr>
                <w:b/>
                <w:sz w:val="16"/>
                <w:szCs w:val="16"/>
              </w:rPr>
              <w:t>[REDACTED]</w:t>
            </w:r>
          </w:p>
        </w:tc>
        <w:tc>
          <w:tcPr>
            <w:tcW w:w="1350" w:type="dxa"/>
          </w:tcPr>
          <w:p w:rsidR="00DD0C67" w:rsidRPr="00E041E4" w:rsidRDefault="00DD0C67" w:rsidP="00F17090">
            <w:pPr>
              <w:jc w:val="center"/>
              <w:rPr>
                <w:sz w:val="16"/>
                <w:szCs w:val="16"/>
              </w:rPr>
            </w:pPr>
            <w:r w:rsidRPr="00E041E4">
              <w:rPr>
                <w:b/>
                <w:sz w:val="16"/>
                <w:szCs w:val="16"/>
              </w:rPr>
              <w:t>[REDACTED]</w:t>
            </w:r>
          </w:p>
        </w:tc>
        <w:tc>
          <w:tcPr>
            <w:tcW w:w="1265" w:type="dxa"/>
          </w:tcPr>
          <w:p w:rsidR="00DD0C67" w:rsidRPr="00E041E4" w:rsidRDefault="00DD0C67" w:rsidP="00F17090">
            <w:pPr>
              <w:jc w:val="center"/>
              <w:rPr>
                <w:sz w:val="16"/>
                <w:szCs w:val="16"/>
              </w:rPr>
            </w:pPr>
            <w:r w:rsidRPr="00E041E4">
              <w:rPr>
                <w:b/>
                <w:sz w:val="16"/>
                <w:szCs w:val="16"/>
              </w:rPr>
              <w:t>[REDACTED]</w:t>
            </w:r>
          </w:p>
        </w:tc>
      </w:tr>
    </w:tbl>
    <w:p w:rsidR="00DD0C67" w:rsidRDefault="00DD0C67" w:rsidP="00DD0C67">
      <w:pPr>
        <w:spacing w:after="120"/>
        <w:ind w:firstLine="720"/>
        <w:rPr>
          <w:rFonts w:eastAsiaTheme="minorHAnsi"/>
          <w:szCs w:val="22"/>
        </w:rPr>
      </w:pPr>
    </w:p>
    <w:p w:rsidR="00DD0C67" w:rsidRPr="003A0CBE" w:rsidRDefault="00DD0C67" w:rsidP="00DD0C67">
      <w:pPr>
        <w:spacing w:after="120"/>
        <w:ind w:firstLine="720"/>
        <w:rPr>
          <w:rFonts w:eastAsiaTheme="minorHAnsi"/>
          <w:szCs w:val="22"/>
        </w:rPr>
      </w:pPr>
      <w:r w:rsidRPr="003A0CBE">
        <w:rPr>
          <w:rFonts w:eastAsiaTheme="minorHAnsi"/>
          <w:szCs w:val="22"/>
        </w:rPr>
        <w:t xml:space="preserve">To be clear, I am not claiming that the figures produced by regressions or annual rate adjustments definitely reflect the fair market value of Armstrong’s carriage of FSNP.  Nor am I claiming that my analysis of regressions or annual rate adjustments constitutes conclusive proof that DSNP’s proposed rates were closer to fair market value than were Armstrong’s.  I do believe, however, that these analyses indicate that had the Commission hewed to the </w:t>
      </w:r>
      <w:r w:rsidRPr="003A0CBE">
        <w:rPr>
          <w:rFonts w:eastAsiaTheme="minorHAnsi"/>
          <w:i/>
          <w:szCs w:val="22"/>
        </w:rPr>
        <w:t xml:space="preserve">Liberty Media Order </w:t>
      </w:r>
      <w:r w:rsidRPr="003A0CBE">
        <w:rPr>
          <w:rFonts w:eastAsiaTheme="minorHAnsi"/>
          <w:szCs w:val="22"/>
        </w:rPr>
        <w:t>standard (picked the offer that “most closely approximates the fair market value of the programming carriage rights at issue”) and ascertained fair market value, it likely would have concluded that DSNP’s offer was superior to Armstrong’s.</w:t>
      </w:r>
      <w:r w:rsidRPr="003A0CBE">
        <w:rPr>
          <w:rFonts w:eastAsiaTheme="minorHAnsi"/>
          <w:szCs w:val="22"/>
          <w:vertAlign w:val="superscript"/>
        </w:rPr>
        <w:footnoteReference w:id="32"/>
      </w:r>
    </w:p>
    <w:p w:rsidR="00DD0C67" w:rsidRPr="003A0CBE" w:rsidRDefault="00DD0C67" w:rsidP="00DD0C67">
      <w:pPr>
        <w:keepNext/>
        <w:spacing w:before="240" w:after="120"/>
        <w:jc w:val="center"/>
        <w:rPr>
          <w:rFonts w:eastAsiaTheme="minorHAnsi"/>
          <w:szCs w:val="22"/>
        </w:rPr>
      </w:pPr>
      <w:r w:rsidRPr="003A0CBE">
        <w:rPr>
          <w:rFonts w:eastAsiaTheme="minorHAnsi"/>
          <w:szCs w:val="22"/>
        </w:rPr>
        <w:t>III.</w:t>
      </w:r>
    </w:p>
    <w:p w:rsidR="00DD0C67" w:rsidRPr="003A0CBE" w:rsidRDefault="00DD0C67" w:rsidP="00DD0C67">
      <w:pPr>
        <w:spacing w:after="120"/>
        <w:ind w:firstLine="720"/>
        <w:rPr>
          <w:rFonts w:eastAsiaTheme="minorHAnsi"/>
          <w:szCs w:val="22"/>
        </w:rPr>
      </w:pPr>
      <w:r w:rsidRPr="003A0CBE">
        <w:rPr>
          <w:rFonts w:eastAsiaTheme="minorHAnsi"/>
          <w:szCs w:val="22"/>
        </w:rPr>
        <w:t>Finally, the Commission claims that even were it to conclude that the rates proposed by DSNP were closer to the fair market value than those proposed by Armstrong, it would still rule in favor of Armstrong because “other provisions also favor the Armstrong offer as being more consistent with fair market value.”</w:t>
      </w:r>
      <w:r w:rsidRPr="003A0CBE">
        <w:rPr>
          <w:rFonts w:eastAsiaTheme="minorHAnsi"/>
          <w:szCs w:val="22"/>
          <w:vertAlign w:val="superscript"/>
        </w:rPr>
        <w:footnoteReference w:id="33"/>
      </w:r>
    </w:p>
    <w:p w:rsidR="00DD0C67" w:rsidRPr="003A0CBE" w:rsidRDefault="00DD0C67" w:rsidP="00DD0C67">
      <w:pPr>
        <w:spacing w:after="120"/>
        <w:ind w:firstLine="720"/>
        <w:rPr>
          <w:rFonts w:eastAsiaTheme="minorHAnsi"/>
          <w:szCs w:val="22"/>
        </w:rPr>
      </w:pPr>
      <w:r w:rsidRPr="003A0CBE">
        <w:rPr>
          <w:rFonts w:eastAsiaTheme="minorHAnsi"/>
          <w:szCs w:val="22"/>
        </w:rPr>
        <w:t>As a matter of rote arithmetic, I won’t dispute that four is greater than three; that is, the Bureau looked at seven “non-rate” terms of the contract and found that four terms favored Armstrong’s offer while three favored DSNP’s.  But it is difficult to see how any narrow advantage for Armstrong with respect to non-rate terms could outweigh an advantage for DSNP with respect to rates.  Indeed, as compared to the question of rates, some of the non-rate terms have an “Other than that, Mrs. Lincoln, how did you like the play?” flavor to them.</w:t>
      </w:r>
    </w:p>
    <w:p w:rsidR="00DD0C67" w:rsidRPr="003A0CBE" w:rsidRDefault="00DD0C67" w:rsidP="00DD0C67">
      <w:pPr>
        <w:spacing w:after="120"/>
        <w:ind w:firstLine="720"/>
        <w:rPr>
          <w:rFonts w:eastAsiaTheme="minorHAnsi"/>
          <w:szCs w:val="22"/>
        </w:rPr>
      </w:pPr>
      <w:r w:rsidRPr="003A0CBE">
        <w:rPr>
          <w:rFonts w:eastAsiaTheme="minorHAnsi"/>
          <w:szCs w:val="22"/>
        </w:rPr>
        <w:t xml:space="preserve">Consider, for example, the question of whether DSNP would be allowed to substitute a local </w:t>
      </w:r>
      <w:r w:rsidRPr="00430BEA">
        <w:rPr>
          <w:b/>
        </w:rPr>
        <w:t>[</w:t>
      </w:r>
      <w:r>
        <w:rPr>
          <w:b/>
        </w:rPr>
        <w:t>REDACTED</w:t>
      </w:r>
      <w:r w:rsidRPr="00430BEA">
        <w:rPr>
          <w:b/>
        </w:rPr>
        <w:t>]</w:t>
      </w:r>
      <w:r w:rsidRPr="003A0CBE">
        <w:rPr>
          <w:rFonts w:eastAsiaTheme="minorHAnsi"/>
          <w:szCs w:val="22"/>
        </w:rPr>
        <w:t xml:space="preserve"> games to cure any shortfall in Penguins or Pirates games.  The Bureau ruled that such a contract provision would not “most closely approximate fair market value” and thus, ruled for Armstrong on this point.  But how much does this issue really matter?  At the time, Pittsburgh did not even have an </w:t>
      </w:r>
      <w:r w:rsidRPr="00430BEA">
        <w:rPr>
          <w:b/>
        </w:rPr>
        <w:t>[</w:t>
      </w:r>
      <w:r>
        <w:rPr>
          <w:b/>
        </w:rPr>
        <w:t>REDACTED</w:t>
      </w:r>
      <w:r w:rsidRPr="00430BEA">
        <w:rPr>
          <w:b/>
        </w:rPr>
        <w:t>]</w:t>
      </w:r>
      <w:r>
        <w:rPr>
          <w:b/>
        </w:rPr>
        <w:t xml:space="preserve"> </w:t>
      </w:r>
      <w:r w:rsidRPr="003A0CBE">
        <w:rPr>
          <w:rFonts w:eastAsiaTheme="minorHAnsi"/>
          <w:szCs w:val="22"/>
        </w:rPr>
        <w:t>team.  There was no evidence in the record of any plans to create one.</w:t>
      </w:r>
      <w:r w:rsidRPr="003A0CBE">
        <w:rPr>
          <w:rFonts w:eastAsiaTheme="minorHAnsi"/>
          <w:szCs w:val="22"/>
          <w:vertAlign w:val="superscript"/>
        </w:rPr>
        <w:footnoteReference w:id="34"/>
      </w:r>
      <w:r w:rsidRPr="003A0CBE">
        <w:rPr>
          <w:rFonts w:eastAsiaTheme="minorHAnsi"/>
          <w:szCs w:val="22"/>
        </w:rPr>
        <w:t xml:space="preserve">  And four years later, Pittsburgh </w:t>
      </w:r>
      <w:r w:rsidRPr="003A0CBE">
        <w:rPr>
          <w:rFonts w:eastAsiaTheme="minorHAnsi"/>
          <w:i/>
          <w:szCs w:val="22"/>
        </w:rPr>
        <w:t xml:space="preserve">still </w:t>
      </w:r>
      <w:r w:rsidRPr="003A0CBE">
        <w:rPr>
          <w:rFonts w:eastAsiaTheme="minorHAnsi"/>
          <w:szCs w:val="22"/>
        </w:rPr>
        <w:t xml:space="preserve">does not have an </w:t>
      </w:r>
      <w:r w:rsidRPr="00430BEA">
        <w:rPr>
          <w:b/>
        </w:rPr>
        <w:t>[</w:t>
      </w:r>
      <w:r>
        <w:rPr>
          <w:b/>
        </w:rPr>
        <w:t>REDACTED</w:t>
      </w:r>
      <w:r w:rsidRPr="00430BEA">
        <w:rPr>
          <w:b/>
        </w:rPr>
        <w:t>]</w:t>
      </w:r>
      <w:r>
        <w:rPr>
          <w:b/>
        </w:rPr>
        <w:t xml:space="preserve"> </w:t>
      </w:r>
      <w:r w:rsidRPr="003A0CBE">
        <w:rPr>
          <w:rFonts w:eastAsiaTheme="minorHAnsi"/>
          <w:szCs w:val="22"/>
        </w:rPr>
        <w:t>team.  As such, the dispute over this issue was, and is, academic.  It’s strange to suggest that Armstrong’s victory on this issue should be weighed on par with DSNP prevailing on the issue of rates.</w:t>
      </w:r>
    </w:p>
    <w:p w:rsidR="00DD0C67" w:rsidRPr="003A0CBE" w:rsidRDefault="00DD0C67" w:rsidP="00DD0C67">
      <w:pPr>
        <w:keepNext/>
        <w:spacing w:before="240" w:after="120"/>
        <w:jc w:val="center"/>
        <w:rPr>
          <w:rFonts w:eastAsiaTheme="minorHAnsi"/>
          <w:szCs w:val="22"/>
        </w:rPr>
      </w:pPr>
      <w:r w:rsidRPr="003A0CBE">
        <w:rPr>
          <w:rFonts w:eastAsiaTheme="minorHAnsi"/>
          <w:szCs w:val="22"/>
        </w:rPr>
        <w:t>* * *</w:t>
      </w:r>
    </w:p>
    <w:p w:rsidR="00DD0C67" w:rsidRPr="003A0CBE" w:rsidRDefault="00DD0C67" w:rsidP="00DD0C67">
      <w:pPr>
        <w:spacing w:after="120"/>
        <w:ind w:firstLine="720"/>
        <w:rPr>
          <w:rFonts w:eastAsiaTheme="minorHAnsi"/>
          <w:szCs w:val="22"/>
        </w:rPr>
      </w:pPr>
      <w:r w:rsidRPr="003A0CBE">
        <w:rPr>
          <w:rFonts w:eastAsiaTheme="minorHAnsi"/>
          <w:szCs w:val="22"/>
        </w:rPr>
        <w:t>After reviewing the record as a whole, I believe it is unlikely that Armstrong’s offer was closer to the fair market value than was DSNP’s.  The Commission’s finding on that score, however, is not my major problem with this item.  What troubles me more is the flawed methodology used to resolve this case, particularly because it will set a precedent for resolving future disputes between RSNs and MVPDs.</w:t>
      </w:r>
    </w:p>
    <w:p w:rsidR="00DD0C67" w:rsidRPr="00AA0419" w:rsidRDefault="00DD0C67" w:rsidP="00DD0C67">
      <w:pPr>
        <w:keepNext/>
        <w:widowControl/>
        <w:spacing w:after="120"/>
        <w:ind w:firstLine="720"/>
      </w:pPr>
      <w:r w:rsidRPr="003A0CBE">
        <w:rPr>
          <w:rFonts w:eastAsiaTheme="minorHAnsi"/>
          <w:szCs w:val="22"/>
        </w:rPr>
        <w:t>My preference would have been for the Commission to remand this case back to the Bureau with simple instructions: (1) based on a comprehensive review of the record, estimate the fair market value of Armstrong’s carriage of FSNP; and (2) calculate which party’s offer was closest to that estimated fair market value.  Had the Bureau then concluded that Armstrong’s offer was closer to the fair market value, I would have reviewed that determination with an open mind.  But at this point, the reasoning contained in this item and in the Bureau’s decision below does not support a finding that Armstrong’s price was right.  Therefore, I must respectfully dissent.</w:t>
      </w:r>
    </w:p>
    <w:p w:rsidR="00D24228" w:rsidRDefault="008116F9" w:rsidP="00DD0C67"/>
    <w:sectPr w:rsidR="00D242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67" w:rsidRDefault="00DD0C67" w:rsidP="00DD0C67">
      <w:r>
        <w:separator/>
      </w:r>
    </w:p>
  </w:endnote>
  <w:endnote w:type="continuationSeparator" w:id="0">
    <w:p w:rsidR="00DD0C67" w:rsidRDefault="00DD0C67" w:rsidP="00DD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D1" w:rsidRDefault="00AA0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D1" w:rsidRDefault="00AA0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D1" w:rsidRDefault="00AA0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67" w:rsidRDefault="00DD0C67" w:rsidP="00DD0C67">
      <w:r>
        <w:separator/>
      </w:r>
    </w:p>
  </w:footnote>
  <w:footnote w:type="continuationSeparator" w:id="0">
    <w:p w:rsidR="00DD0C67" w:rsidRDefault="00DD0C67" w:rsidP="00DD0C67">
      <w:r>
        <w:continuationSeparator/>
      </w:r>
    </w:p>
  </w:footnote>
  <w:footnote w:id="1">
    <w:p w:rsidR="00DD0C67" w:rsidRPr="00AA0419" w:rsidRDefault="00DD0C67" w:rsidP="00DD0C67">
      <w:pPr>
        <w:pStyle w:val="FootnoteText"/>
      </w:pPr>
      <w:r w:rsidRPr="00AA0419">
        <w:rPr>
          <w:rStyle w:val="FootnoteReference"/>
        </w:rPr>
        <w:footnoteRef/>
      </w:r>
      <w:r w:rsidRPr="00AA0419">
        <w:t xml:space="preserve"> </w:t>
      </w:r>
      <w:r>
        <w:rPr>
          <w:i/>
        </w:rPr>
        <w:t>See, e</w:t>
      </w:r>
      <w:r w:rsidRPr="00AA0419">
        <w:rPr>
          <w:i/>
        </w:rPr>
        <w:t>.g.</w:t>
      </w:r>
      <w:r w:rsidRPr="00AA0419">
        <w:t>, http://www.youtube.com/watch?v=CuQ7ilMtKvg</w:t>
      </w:r>
      <w:r>
        <w:t>.</w:t>
      </w:r>
    </w:p>
  </w:footnote>
  <w:footnote w:id="2">
    <w:p w:rsidR="00DD0C67" w:rsidRDefault="00DD0C67" w:rsidP="00DD0C67">
      <w:pPr>
        <w:pStyle w:val="FootnoteText"/>
      </w:pPr>
      <w:r>
        <w:rPr>
          <w:rStyle w:val="FootnoteReference"/>
        </w:rPr>
        <w:footnoteRef/>
      </w:r>
      <w:r>
        <w:t xml:space="preserve"> In 2011, Fox Sports Net Pittsburgh was renamed Root Sports Pittsburgh.</w:t>
      </w:r>
    </w:p>
  </w:footnote>
  <w:footnote w:id="3">
    <w:p w:rsidR="00DD0C67" w:rsidRDefault="00DD0C67" w:rsidP="00DD0C67">
      <w:pPr>
        <w:pStyle w:val="FootnoteText"/>
      </w:pPr>
      <w:r>
        <w:rPr>
          <w:rStyle w:val="FootnoteReference"/>
        </w:rPr>
        <w:footnoteRef/>
      </w:r>
      <w:r>
        <w:t xml:space="preserve"> </w:t>
      </w:r>
      <w:r w:rsidRPr="00BC0318">
        <w:rPr>
          <w:i/>
        </w:rPr>
        <w:t>See Applications for Consent to the Assignment and/or Transfer of Control of Licenses, News Corporation and The DIRECTV Group, Inc., Transferors, to Liberty Media Corporation, Transferee</w:t>
      </w:r>
      <w:r>
        <w:t>, Memorandum Opinion and Order, 23 FCC Rcd 3265 (2008).</w:t>
      </w:r>
    </w:p>
  </w:footnote>
  <w:footnote w:id="4">
    <w:p w:rsidR="00DD0C67" w:rsidRPr="00AA0419" w:rsidRDefault="00DD0C67" w:rsidP="00DD0C67">
      <w:pPr>
        <w:pStyle w:val="FootnoteText"/>
      </w:pPr>
      <w:r w:rsidRPr="00AA0419">
        <w:rPr>
          <w:rStyle w:val="FootnoteReference"/>
        </w:rPr>
        <w:footnoteRef/>
      </w:r>
      <w:r w:rsidRPr="00AA0419">
        <w:t xml:space="preserve"> </w:t>
      </w:r>
      <w:r>
        <w:rPr>
          <w:i/>
        </w:rPr>
        <w:t>Id.</w:t>
      </w:r>
      <w:r>
        <w:t xml:space="preserve"> at 3347, Appendix B, Condition IV, § B “Rules of Arbitration,” paras. 1, 3.</w:t>
      </w:r>
    </w:p>
  </w:footnote>
  <w:footnote w:id="5">
    <w:p w:rsidR="00DD0C67" w:rsidRPr="00AA0419" w:rsidRDefault="00DD0C67" w:rsidP="00DD0C67">
      <w:pPr>
        <w:pStyle w:val="FootnoteText"/>
      </w:pPr>
      <w:r w:rsidRPr="00AA0419">
        <w:rPr>
          <w:rStyle w:val="FootnoteReference"/>
        </w:rPr>
        <w:footnoteRef/>
      </w:r>
      <w:r w:rsidRPr="00AA0419">
        <w:t xml:space="preserve"> </w:t>
      </w:r>
      <w:r w:rsidRPr="00BC0318">
        <w:rPr>
          <w:i/>
        </w:rPr>
        <w:t>Id</w:t>
      </w:r>
      <w:r>
        <w:t>. at 3348,</w:t>
      </w:r>
      <w:r w:rsidRPr="004C34A7">
        <w:t xml:space="preserve"> </w:t>
      </w:r>
      <w:r>
        <w:t>Appendix B, Condition IV, § C “Review of Final Award by the Commission,” paras. 1, 3.</w:t>
      </w:r>
    </w:p>
  </w:footnote>
  <w:footnote w:id="6">
    <w:p w:rsidR="00DD0C67" w:rsidRDefault="00DD0C67" w:rsidP="00DD0C67">
      <w:pPr>
        <w:pStyle w:val="FootnoteText"/>
      </w:pPr>
      <w:r>
        <w:rPr>
          <w:rStyle w:val="FootnoteReference"/>
        </w:rPr>
        <w:footnoteRef/>
      </w:r>
      <w:r>
        <w:t xml:space="preserve"> </w:t>
      </w:r>
      <w:r w:rsidRPr="00D2064E">
        <w:rPr>
          <w:i/>
        </w:rPr>
        <w:t>See Order</w:t>
      </w:r>
      <w:r>
        <w:t xml:space="preserve"> at note 117.</w:t>
      </w:r>
    </w:p>
  </w:footnote>
  <w:footnote w:id="7">
    <w:p w:rsidR="00DD0C67" w:rsidRDefault="00DD0C67" w:rsidP="00DD0C67">
      <w:pPr>
        <w:pStyle w:val="FootnoteText"/>
      </w:pPr>
      <w:r>
        <w:rPr>
          <w:rStyle w:val="FootnoteReference"/>
        </w:rPr>
        <w:footnoteRef/>
      </w:r>
      <w:r>
        <w:t xml:space="preserve"> </w:t>
      </w:r>
      <w:r w:rsidRPr="005B1E99">
        <w:rPr>
          <w:i/>
        </w:rPr>
        <w:t>Liberty Media Order</w:t>
      </w:r>
      <w:r w:rsidRPr="005B1E99">
        <w:t>, at 3347, Appendix B, Condition IV, para. 3.</w:t>
      </w:r>
    </w:p>
  </w:footnote>
  <w:footnote w:id="8">
    <w:p w:rsidR="00DD0C67" w:rsidRPr="00AA0419" w:rsidRDefault="00DD0C67" w:rsidP="00DD0C67">
      <w:pPr>
        <w:pStyle w:val="FootnoteText"/>
      </w:pPr>
      <w:r w:rsidRPr="00AA0419">
        <w:rPr>
          <w:rStyle w:val="FootnoteReference"/>
        </w:rPr>
        <w:footnoteRef/>
      </w:r>
      <w:r w:rsidRPr="00AA0419">
        <w:t xml:space="preserve"> </w:t>
      </w:r>
      <w:r w:rsidRPr="00BC0318">
        <w:rPr>
          <w:i/>
        </w:rPr>
        <w:t>Order</w:t>
      </w:r>
      <w:r>
        <w:t xml:space="preserve"> at para. 7.  It is worth noting that the Commission and the Bureau fail to apply this principle consistently.  Even though </w:t>
      </w:r>
      <w:r w:rsidRPr="00430BEA">
        <w:rPr>
          <w:b/>
        </w:rPr>
        <w:t>[</w:t>
      </w:r>
      <w:r>
        <w:rPr>
          <w:b/>
        </w:rPr>
        <w:t>REDACTED</w:t>
      </w:r>
      <w:r w:rsidRPr="00430BEA">
        <w:rPr>
          <w:b/>
        </w:rPr>
        <w:t>]</w:t>
      </w:r>
      <w:r>
        <w:rPr>
          <w:b/>
        </w:rPr>
        <w:t xml:space="preserve"> </w:t>
      </w:r>
      <w:r>
        <w:t xml:space="preserve">has more customers that subscribe to FSNP than does Armstrong, the Commission and the Bureau conclude that Armstrong should receive better rates than </w:t>
      </w:r>
      <w:r w:rsidRPr="00430BEA">
        <w:rPr>
          <w:b/>
        </w:rPr>
        <w:t>[</w:t>
      </w:r>
      <w:r>
        <w:rPr>
          <w:b/>
        </w:rPr>
        <w:t>REDACTED</w:t>
      </w:r>
      <w:r w:rsidRPr="00430BEA">
        <w:rPr>
          <w:b/>
        </w:rPr>
        <w:t>]</w:t>
      </w:r>
      <w:r>
        <w:t xml:space="preserve">.  I presume they make this determination because Armstrong generates more revenue for FSNP than does </w:t>
      </w:r>
      <w:r w:rsidRPr="00430BEA">
        <w:rPr>
          <w:b/>
        </w:rPr>
        <w:t>[</w:t>
      </w:r>
      <w:r>
        <w:rPr>
          <w:b/>
        </w:rPr>
        <w:t>REDACTED</w:t>
      </w:r>
      <w:r w:rsidRPr="00430BEA">
        <w:rPr>
          <w:b/>
        </w:rPr>
        <w:t>]</w:t>
      </w:r>
      <w:r>
        <w:t xml:space="preserve">.  </w:t>
      </w:r>
    </w:p>
  </w:footnote>
  <w:footnote w:id="9">
    <w:p w:rsidR="00DD0C67" w:rsidRPr="00AA0419" w:rsidRDefault="00DD0C67" w:rsidP="00DD0C67">
      <w:pPr>
        <w:pStyle w:val="FootnoteText"/>
      </w:pPr>
      <w:r w:rsidRPr="00AA0419">
        <w:rPr>
          <w:rStyle w:val="FootnoteReference"/>
        </w:rPr>
        <w:footnoteRef/>
      </w:r>
      <w:r w:rsidRPr="00AA0419">
        <w:t xml:space="preserve"> </w:t>
      </w:r>
      <w:r w:rsidRPr="00BC0318">
        <w:rPr>
          <w:i/>
        </w:rPr>
        <w:t>See</w:t>
      </w:r>
      <w:r>
        <w:t xml:space="preserve"> DIRECTV Sports Net Pittsburgh, LLC, Application for Review, File No. CSR-8480-P, Exh. 3, at 2 (filed Sept. 9, 2011) (</w:t>
      </w:r>
      <w:r w:rsidRPr="00BC0318">
        <w:rPr>
          <w:i/>
        </w:rPr>
        <w:t>DSNP Application for Review</w:t>
      </w:r>
      <w:r>
        <w:t>).</w:t>
      </w:r>
    </w:p>
  </w:footnote>
  <w:footnote w:id="10">
    <w:p w:rsidR="00DD0C67" w:rsidRDefault="00DD0C67" w:rsidP="00DD0C67">
      <w:pPr>
        <w:pStyle w:val="FootnoteText"/>
      </w:pPr>
      <w:r>
        <w:rPr>
          <w:rStyle w:val="FootnoteReference"/>
        </w:rPr>
        <w:footnoteRef/>
      </w:r>
      <w:r>
        <w:t xml:space="preserve"> </w:t>
      </w:r>
      <w:r w:rsidRPr="00BC0318">
        <w:rPr>
          <w:i/>
        </w:rPr>
        <w:t>See</w:t>
      </w:r>
      <w:r>
        <w:t xml:space="preserve"> </w:t>
      </w:r>
      <w:r w:rsidRPr="00BC0318">
        <w:rPr>
          <w:i/>
        </w:rPr>
        <w:t>id</w:t>
      </w:r>
      <w:r>
        <w:t>.</w:t>
      </w:r>
    </w:p>
  </w:footnote>
  <w:footnote w:id="11">
    <w:p w:rsidR="00DD0C67" w:rsidRDefault="00DD0C67" w:rsidP="00DD0C67">
      <w:pPr>
        <w:pStyle w:val="FootnoteText"/>
      </w:pPr>
      <w:r>
        <w:rPr>
          <w:rStyle w:val="FootnoteReference"/>
        </w:rPr>
        <w:footnoteRef/>
      </w:r>
      <w:r>
        <w:t xml:space="preserve"> </w:t>
      </w:r>
      <w:r w:rsidRPr="00BC0318">
        <w:rPr>
          <w:i/>
        </w:rPr>
        <w:t xml:space="preserve">See </w:t>
      </w:r>
      <w:r>
        <w:rPr>
          <w:i/>
        </w:rPr>
        <w:t>id.</w:t>
      </w:r>
      <w:r>
        <w:t>, Exh. 3, at 1.</w:t>
      </w:r>
    </w:p>
  </w:footnote>
  <w:footnote w:id="12">
    <w:p w:rsidR="00DD0C67" w:rsidRPr="00AA0419" w:rsidRDefault="00DD0C67" w:rsidP="00DD0C67">
      <w:pPr>
        <w:pStyle w:val="FootnoteText"/>
      </w:pPr>
      <w:r w:rsidRPr="00AA0419">
        <w:rPr>
          <w:rStyle w:val="FootnoteReference"/>
        </w:rPr>
        <w:footnoteRef/>
      </w:r>
      <w:r w:rsidRPr="00AA0419">
        <w:t xml:space="preserve"> </w:t>
      </w:r>
      <w:r w:rsidRPr="00BC0318">
        <w:rPr>
          <w:i/>
        </w:rPr>
        <w:t>See id.</w:t>
      </w:r>
      <w:r>
        <w:t>, Exh. 3, at 2.</w:t>
      </w:r>
    </w:p>
  </w:footnote>
  <w:footnote w:id="13">
    <w:p w:rsidR="00DD0C67" w:rsidRDefault="00DD0C67" w:rsidP="00DD0C67">
      <w:pPr>
        <w:pStyle w:val="FootnoteText"/>
      </w:pPr>
      <w:r>
        <w:rPr>
          <w:rStyle w:val="FootnoteReference"/>
        </w:rPr>
        <w:footnoteRef/>
      </w:r>
      <w:r>
        <w:t xml:space="preserve"> </w:t>
      </w:r>
      <w:r>
        <w:rPr>
          <w:i/>
        </w:rPr>
        <w:t>See DIRECTV Sports Net Pittsburgh, LLC v. Armstrong Utilities Inc.</w:t>
      </w:r>
      <w:r>
        <w:t>, Order on Review 26 FCC Rcd 12574, 12606–08, paras. 46, 48 (Media Bur. 2011) (</w:t>
      </w:r>
      <w:r w:rsidRPr="00BC0318">
        <w:rPr>
          <w:i/>
        </w:rPr>
        <w:t>Order on Review</w:t>
      </w:r>
      <w:r>
        <w:t>).</w:t>
      </w:r>
    </w:p>
  </w:footnote>
  <w:footnote w:id="14">
    <w:p w:rsidR="00DD0C67" w:rsidRPr="00AA0419" w:rsidRDefault="00DD0C67" w:rsidP="00DD0C67">
      <w:pPr>
        <w:pStyle w:val="FootnoteText"/>
      </w:pPr>
      <w:r w:rsidRPr="00AA0419">
        <w:rPr>
          <w:rStyle w:val="FootnoteReference"/>
        </w:rPr>
        <w:footnoteRef/>
      </w:r>
      <w:r w:rsidRPr="00AA0419">
        <w:t xml:space="preserve"> </w:t>
      </w:r>
      <w:r w:rsidRPr="00BC0318">
        <w:rPr>
          <w:i/>
        </w:rPr>
        <w:t xml:space="preserve">See </w:t>
      </w:r>
      <w:r>
        <w:rPr>
          <w:i/>
        </w:rPr>
        <w:t xml:space="preserve">Liberty Media </w:t>
      </w:r>
      <w:r w:rsidRPr="00894293">
        <w:rPr>
          <w:i/>
        </w:rPr>
        <w:t>Order</w:t>
      </w:r>
      <w:r>
        <w:t xml:space="preserve">, 23 FCC Rcd </w:t>
      </w:r>
      <w:r w:rsidRPr="00894293">
        <w:t>at</w:t>
      </w:r>
      <w:r>
        <w:t xml:space="preserve"> 3347, Appendix B, Condition IV, § B “Rules of Arbitration,” paras. 1, 3.</w:t>
      </w:r>
    </w:p>
  </w:footnote>
  <w:footnote w:id="15">
    <w:p w:rsidR="00DD0C67" w:rsidRPr="00AA0419" w:rsidRDefault="00DD0C67" w:rsidP="00DD0C67">
      <w:pPr>
        <w:pStyle w:val="FootnoteText"/>
      </w:pPr>
      <w:r w:rsidRPr="00AA0419">
        <w:rPr>
          <w:rStyle w:val="FootnoteReference"/>
        </w:rPr>
        <w:footnoteRef/>
      </w:r>
      <w:r w:rsidRPr="00AA0419">
        <w:t xml:space="preserve"> </w:t>
      </w:r>
      <w:r w:rsidRPr="0068794A">
        <w:rPr>
          <w:i/>
        </w:rPr>
        <w:t>See DSNP Application for Review</w:t>
      </w:r>
      <w:r>
        <w:t>, Exh. 3, at 1.</w:t>
      </w:r>
    </w:p>
  </w:footnote>
  <w:footnote w:id="16">
    <w:p w:rsidR="00DD0C67" w:rsidRDefault="00DD0C67" w:rsidP="00DD0C67">
      <w:pPr>
        <w:pStyle w:val="FootnoteText"/>
      </w:pPr>
      <w:r>
        <w:rPr>
          <w:rStyle w:val="FootnoteReference"/>
        </w:rPr>
        <w:footnoteRef/>
      </w:r>
      <w:r>
        <w:t xml:space="preserve"> Or looking at it another way, </w:t>
      </w:r>
      <w:r w:rsidRPr="00430BEA">
        <w:rPr>
          <w:b/>
        </w:rPr>
        <w:t>[</w:t>
      </w:r>
      <w:r>
        <w:rPr>
          <w:b/>
        </w:rPr>
        <w:t>REDACTED</w:t>
      </w:r>
      <w:r w:rsidRPr="00430BEA">
        <w:rPr>
          <w:b/>
        </w:rPr>
        <w:t>]</w:t>
      </w:r>
      <w:r>
        <w:rPr>
          <w:b/>
        </w:rPr>
        <w:t xml:space="preserve"> </w:t>
      </w:r>
      <w:r>
        <w:t xml:space="preserve">generated </w:t>
      </w:r>
      <w:r w:rsidRPr="00430BEA">
        <w:rPr>
          <w:b/>
        </w:rPr>
        <w:t>[</w:t>
      </w:r>
      <w:r>
        <w:rPr>
          <w:b/>
        </w:rPr>
        <w:t>REDACTED</w:t>
      </w:r>
      <w:r w:rsidRPr="00430BEA">
        <w:rPr>
          <w:b/>
        </w:rPr>
        <w:t>]</w:t>
      </w:r>
      <w:r>
        <w:t xml:space="preserve"> of Armstrong’s revenues, whereas Armstrong generated only </w:t>
      </w:r>
      <w:r w:rsidRPr="00430BEA">
        <w:rPr>
          <w:b/>
        </w:rPr>
        <w:t>[</w:t>
      </w:r>
      <w:r>
        <w:rPr>
          <w:b/>
        </w:rPr>
        <w:t>REDACTED</w:t>
      </w:r>
      <w:r w:rsidRPr="00430BEA">
        <w:rPr>
          <w:b/>
        </w:rPr>
        <w:t>]</w:t>
      </w:r>
      <w:r>
        <w:t xml:space="preserve"> more than </w:t>
      </w:r>
      <w:r w:rsidRPr="00430BEA">
        <w:rPr>
          <w:b/>
        </w:rPr>
        <w:t>[</w:t>
      </w:r>
      <w:r>
        <w:rPr>
          <w:b/>
        </w:rPr>
        <w:t>REDACTED</w:t>
      </w:r>
      <w:r w:rsidRPr="00430BEA">
        <w:rPr>
          <w:b/>
        </w:rPr>
        <w:t>]</w:t>
      </w:r>
      <w:r>
        <w:t xml:space="preserve">, </w:t>
      </w:r>
      <w:r w:rsidRPr="00430BEA">
        <w:rPr>
          <w:b/>
        </w:rPr>
        <w:t>[</w:t>
      </w:r>
      <w:r>
        <w:rPr>
          <w:b/>
        </w:rPr>
        <w:t>REDACTED</w:t>
      </w:r>
      <w:r w:rsidRPr="00430BEA">
        <w:rPr>
          <w:b/>
        </w:rPr>
        <w:t>]</w:t>
      </w:r>
      <w:r>
        <w:t xml:space="preserve"> more than </w:t>
      </w:r>
      <w:r w:rsidRPr="00430BEA">
        <w:rPr>
          <w:b/>
        </w:rPr>
        <w:t>[</w:t>
      </w:r>
      <w:r>
        <w:rPr>
          <w:b/>
        </w:rPr>
        <w:t>REDACTED</w:t>
      </w:r>
      <w:r w:rsidRPr="00430BEA">
        <w:rPr>
          <w:b/>
        </w:rPr>
        <w:t>]</w:t>
      </w:r>
      <w:r>
        <w:t xml:space="preserve">, and </w:t>
      </w:r>
      <w:r w:rsidRPr="00430BEA">
        <w:rPr>
          <w:b/>
        </w:rPr>
        <w:t>[</w:t>
      </w:r>
      <w:r>
        <w:rPr>
          <w:b/>
        </w:rPr>
        <w:t>REDACTED</w:t>
      </w:r>
      <w:r w:rsidRPr="00430BEA">
        <w:rPr>
          <w:b/>
        </w:rPr>
        <w:t>]</w:t>
      </w:r>
      <w:r>
        <w:t xml:space="preserve"> more than </w:t>
      </w:r>
      <w:r w:rsidRPr="00430BEA">
        <w:rPr>
          <w:b/>
        </w:rPr>
        <w:t>[</w:t>
      </w:r>
      <w:r>
        <w:rPr>
          <w:b/>
        </w:rPr>
        <w:t>REDACTED</w:t>
      </w:r>
      <w:r w:rsidRPr="00430BEA">
        <w:rPr>
          <w:b/>
        </w:rPr>
        <w:t>]</w:t>
      </w:r>
      <w:r>
        <w:t>.</w:t>
      </w:r>
    </w:p>
  </w:footnote>
  <w:footnote w:id="17">
    <w:p w:rsidR="00DD0C67" w:rsidRPr="00AA0419" w:rsidRDefault="00DD0C67" w:rsidP="00DD0C67">
      <w:pPr>
        <w:pStyle w:val="FootnoteText"/>
      </w:pPr>
      <w:r w:rsidRPr="00AA0419">
        <w:rPr>
          <w:rStyle w:val="FootnoteReference"/>
        </w:rPr>
        <w:footnoteRef/>
      </w:r>
      <w:r w:rsidRPr="00AA0419">
        <w:t xml:space="preserve"> </w:t>
      </w:r>
      <w:r w:rsidRPr="00050E51">
        <w:rPr>
          <w:i/>
        </w:rPr>
        <w:t>See</w:t>
      </w:r>
      <w:r>
        <w:t xml:space="preserve"> </w:t>
      </w:r>
      <w:r>
        <w:rPr>
          <w:i/>
        </w:rPr>
        <w:t>Order on Review</w:t>
      </w:r>
      <w:r w:rsidRPr="00894293">
        <w:t xml:space="preserve">, </w:t>
      </w:r>
      <w:r>
        <w:t xml:space="preserve">26 FCC Rcd at 12595–96, para. 31; </w:t>
      </w:r>
      <w:r w:rsidRPr="00BC0318">
        <w:rPr>
          <w:i/>
        </w:rPr>
        <w:t>DSNP Application for Review</w:t>
      </w:r>
      <w:r>
        <w:t xml:space="preserve"> at 13–14.</w:t>
      </w:r>
    </w:p>
  </w:footnote>
  <w:footnote w:id="18">
    <w:p w:rsidR="00DD0C67" w:rsidRPr="00AA0419" w:rsidRDefault="00DD0C67" w:rsidP="00DD0C67">
      <w:pPr>
        <w:pStyle w:val="FootnoteText"/>
      </w:pPr>
      <w:r w:rsidRPr="00AA0419">
        <w:rPr>
          <w:rStyle w:val="FootnoteReference"/>
        </w:rPr>
        <w:footnoteRef/>
      </w:r>
      <w:r w:rsidRPr="00AA0419">
        <w:t xml:space="preserve"> The Commission seeks to cast doubt on this analysis by speculating that the rates paid by Comcast to DSNP may not reflect fair market value.  Rather, it contends that those rates may have been artificially inflated by other carriage negotiations being conducted between Comcast and DIRECTV at the same time that Comcast was negotiating its carriage agreement with DSNP.</w:t>
      </w:r>
      <w:r>
        <w:t xml:space="preserve">  </w:t>
      </w:r>
      <w:r w:rsidRPr="00BC0318">
        <w:rPr>
          <w:i/>
        </w:rPr>
        <w:t xml:space="preserve">See Order </w:t>
      </w:r>
      <w:r>
        <w:t>at para. 20.</w:t>
      </w:r>
      <w:r w:rsidRPr="00AA0419">
        <w:t xml:space="preserve">  I suppose that is possible.  It is also possible that DSNP executives </w:t>
      </w:r>
      <w:r>
        <w:t>bribed</w:t>
      </w:r>
      <w:r w:rsidRPr="00AA0419">
        <w:t xml:space="preserve"> Comcast executives into </w:t>
      </w:r>
      <w:r>
        <w:t>agreeing to</w:t>
      </w:r>
      <w:r w:rsidRPr="00AA0419">
        <w:t xml:space="preserve"> above-market rates.  But there is the same amount of evidence in the record to support each theory:  None.  </w:t>
      </w:r>
      <w:r w:rsidRPr="001638B3">
        <w:rPr>
          <w:b/>
          <w:szCs w:val="22"/>
        </w:rPr>
        <w:t>[</w:t>
      </w:r>
      <w:r>
        <w:rPr>
          <w:b/>
        </w:rPr>
        <w:t>REDACTED</w:t>
      </w:r>
      <w:r w:rsidRPr="001638B3">
        <w:rPr>
          <w:b/>
          <w:szCs w:val="22"/>
        </w:rPr>
        <w:t>]</w:t>
      </w:r>
      <w:r w:rsidRPr="00AA0419">
        <w:t xml:space="preserve">.  </w:t>
      </w:r>
      <w:r w:rsidRPr="00BC0318">
        <w:rPr>
          <w:i/>
        </w:rPr>
        <w:t xml:space="preserve">See </w:t>
      </w:r>
      <w:r>
        <w:rPr>
          <w:i/>
        </w:rPr>
        <w:t xml:space="preserve">DSNP </w:t>
      </w:r>
      <w:r w:rsidRPr="00BC0318">
        <w:rPr>
          <w:i/>
        </w:rPr>
        <w:t>Application for Review</w:t>
      </w:r>
      <w:r>
        <w:t xml:space="preserve"> at 20–21.</w:t>
      </w:r>
      <w:r w:rsidRPr="00AA0419">
        <w:t xml:space="preserve"> </w:t>
      </w:r>
      <w:r>
        <w:t xml:space="preserve"> </w:t>
      </w:r>
      <w:r w:rsidRPr="00AA0419">
        <w:t xml:space="preserve">And there is no evidence in the record that contradicts this testimony.  To be sure, the Commission suggests that DIRECTV and Comcast executives could have linked negotiations involving DSNP to other carriage negotiations without the knowledge of the DSNP executives in charge of negotiating the Comcast-DSNP agreement.  </w:t>
      </w:r>
      <w:r w:rsidRPr="00BC0318">
        <w:rPr>
          <w:i/>
        </w:rPr>
        <w:t xml:space="preserve">See Order </w:t>
      </w:r>
      <w:r>
        <w:t xml:space="preserve">at para. 20.  </w:t>
      </w:r>
      <w:r w:rsidRPr="00AA0419">
        <w:t xml:space="preserve">But there is no evidence in the record to support this theory, and I find it difficult to believe that </w:t>
      </w:r>
      <w:r w:rsidRPr="001638B3">
        <w:rPr>
          <w:b/>
          <w:szCs w:val="22"/>
        </w:rPr>
        <w:t>[</w:t>
      </w:r>
      <w:r>
        <w:rPr>
          <w:b/>
        </w:rPr>
        <w:t>REDACTED</w:t>
      </w:r>
      <w:r w:rsidRPr="001638B3">
        <w:rPr>
          <w:b/>
          <w:szCs w:val="22"/>
        </w:rPr>
        <w:t>]</w:t>
      </w:r>
      <w:r w:rsidRPr="00AA0419">
        <w:t xml:space="preserve">.  Alternatively, the Commission implies that the </w:t>
      </w:r>
      <w:r w:rsidRPr="001638B3">
        <w:rPr>
          <w:b/>
          <w:szCs w:val="22"/>
        </w:rPr>
        <w:t>[</w:t>
      </w:r>
      <w:r>
        <w:rPr>
          <w:b/>
        </w:rPr>
        <w:t>REDACTED</w:t>
      </w:r>
      <w:r w:rsidRPr="001638B3">
        <w:rPr>
          <w:b/>
          <w:szCs w:val="22"/>
        </w:rPr>
        <w:t>]</w:t>
      </w:r>
      <w:r w:rsidRPr="00AA0419">
        <w:t xml:space="preserve">.  </w:t>
      </w:r>
      <w:r w:rsidRPr="00BC0318">
        <w:rPr>
          <w:i/>
        </w:rPr>
        <w:t>See id</w:t>
      </w:r>
      <w:r>
        <w:t xml:space="preserve">. </w:t>
      </w:r>
      <w:r w:rsidRPr="00AA0419">
        <w:t xml:space="preserve"> But at the risk of sounding like a broken record, there is no evidence to support this speculation either.  And when Armstrong had the chance to cross-examine DSNP executives at the arbitration hearing, </w:t>
      </w:r>
      <w:r w:rsidRPr="001638B3">
        <w:rPr>
          <w:b/>
          <w:szCs w:val="22"/>
        </w:rPr>
        <w:t>[</w:t>
      </w:r>
      <w:r>
        <w:rPr>
          <w:b/>
        </w:rPr>
        <w:t>REDACTED</w:t>
      </w:r>
      <w:r w:rsidRPr="001638B3">
        <w:rPr>
          <w:b/>
          <w:szCs w:val="22"/>
        </w:rPr>
        <w:t>]</w:t>
      </w:r>
      <w:r>
        <w:t xml:space="preserve">.  </w:t>
      </w:r>
      <w:r w:rsidRPr="00BC0318">
        <w:rPr>
          <w:i/>
        </w:rPr>
        <w:t xml:space="preserve">See DSNP Application for Review </w:t>
      </w:r>
      <w:r w:rsidRPr="00894293">
        <w:t>at 21.</w:t>
      </w:r>
    </w:p>
  </w:footnote>
  <w:footnote w:id="19">
    <w:p w:rsidR="00DD0C67" w:rsidRPr="00AA0419" w:rsidRDefault="00DD0C67" w:rsidP="00DD0C67">
      <w:pPr>
        <w:pStyle w:val="FootnoteText"/>
      </w:pPr>
      <w:r w:rsidRPr="00AA0419">
        <w:rPr>
          <w:rStyle w:val="FootnoteReference"/>
        </w:rPr>
        <w:footnoteRef/>
      </w:r>
      <w:r w:rsidRPr="00AA0419">
        <w:t xml:space="preserve"> </w:t>
      </w:r>
      <w:r w:rsidRPr="00AA0419">
        <w:rPr>
          <w:i/>
        </w:rPr>
        <w:t>See, e.g.</w:t>
      </w:r>
      <w:r w:rsidRPr="00AA0419">
        <w:t>, Cary Deck, Amy Farmer &amp; Dao-Zhi Zeng, Amended Final-Offer Arbitration is Improved Arbitration: Evidence from the Laboratory (2005)</w:t>
      </w:r>
      <w:r>
        <w:t>,</w:t>
      </w:r>
      <w:r w:rsidRPr="00AA0419">
        <w:t xml:space="preserve"> </w:t>
      </w:r>
      <w:r w:rsidRPr="00AA0419">
        <w:rPr>
          <w:i/>
        </w:rPr>
        <w:t>available at</w:t>
      </w:r>
      <w:r w:rsidRPr="00AA0419">
        <w:t xml:space="preserve"> http://comp.uark.edu/~cdeck/Amended%20Final-Offer%20Arbitration%20working%20paper.pdf; Steven J. Brames &amp; Samuel Merrill, III, </w:t>
      </w:r>
      <w:r w:rsidRPr="00AA0419">
        <w:rPr>
          <w:i/>
        </w:rPr>
        <w:t>Binding Versus Final-Offer Arbitration: A Combination Is Best</w:t>
      </w:r>
      <w:r>
        <w:t xml:space="preserve">, </w:t>
      </w:r>
      <w:r w:rsidRPr="00AA0419">
        <w:t>Management Science, Vol. 32, No. 10</w:t>
      </w:r>
      <w:r>
        <w:t>, at 1346–55</w:t>
      </w:r>
      <w:r w:rsidRPr="00AA0419">
        <w:t xml:space="preserve"> (1986); Steven J. Brames &amp; Samuel Merrill, III, </w:t>
      </w:r>
      <w:r w:rsidRPr="00AA0419">
        <w:rPr>
          <w:i/>
        </w:rPr>
        <w:t>Equilibrium Strategies for Final-Offer Arbitration: There Is No Median Convergence</w:t>
      </w:r>
      <w:r w:rsidRPr="00AA0419">
        <w:t>, Management Science, Vol. 29, No. 8</w:t>
      </w:r>
      <w:r>
        <w:t>, at 927–41 (1983)</w:t>
      </w:r>
      <w:r w:rsidRPr="00AA0419">
        <w:t>.</w:t>
      </w:r>
    </w:p>
  </w:footnote>
  <w:footnote w:id="20">
    <w:p w:rsidR="00DD0C67" w:rsidRDefault="00DD0C67" w:rsidP="00DD0C67">
      <w:pPr>
        <w:pStyle w:val="FootnoteText"/>
      </w:pPr>
      <w:r>
        <w:rPr>
          <w:rStyle w:val="FootnoteReference"/>
        </w:rPr>
        <w:footnoteRef/>
      </w:r>
      <w:r>
        <w:t xml:space="preserve"> The Commission criticizes me for analyzing rates on the basis of revenues generated for DSNP by MVPDs.  </w:t>
      </w:r>
      <w:r w:rsidRPr="00D2064E">
        <w:rPr>
          <w:i/>
        </w:rPr>
        <w:t xml:space="preserve">See Order </w:t>
      </w:r>
      <w:r>
        <w:t xml:space="preserve">at note 117.  Instead, it asserts that rates should be analyzed as a “function of subscribers per zone.”  </w:t>
      </w:r>
      <w:r w:rsidRPr="00D2064E">
        <w:rPr>
          <w:i/>
        </w:rPr>
        <w:t>Id</w:t>
      </w:r>
      <w:r>
        <w:t xml:space="preserve">.  This criticism is curious, to say the least, given that the Commission itself solely analyzes MVPDs’ rates based on aggregate revenues.  For example, </w:t>
      </w:r>
      <w:r w:rsidRPr="001638B3">
        <w:rPr>
          <w:b/>
          <w:szCs w:val="22"/>
        </w:rPr>
        <w:t>[</w:t>
      </w:r>
      <w:r>
        <w:rPr>
          <w:b/>
        </w:rPr>
        <w:t>REDACTED</w:t>
      </w:r>
      <w:r w:rsidRPr="001638B3">
        <w:rPr>
          <w:b/>
          <w:szCs w:val="22"/>
        </w:rPr>
        <w:t>]</w:t>
      </w:r>
      <w:r>
        <w:rPr>
          <w:b/>
          <w:szCs w:val="22"/>
        </w:rPr>
        <w:t xml:space="preserve"> </w:t>
      </w:r>
      <w:r w:rsidRPr="00812627">
        <w:t xml:space="preserve">has </w:t>
      </w:r>
      <w:r>
        <w:t xml:space="preserve">six times as many subscribers as Armstrong in Zone </w:t>
      </w:r>
      <w:r w:rsidRPr="001638B3">
        <w:rPr>
          <w:b/>
          <w:szCs w:val="22"/>
        </w:rPr>
        <w:t>[</w:t>
      </w:r>
      <w:r>
        <w:rPr>
          <w:b/>
        </w:rPr>
        <w:t>REDACTED</w:t>
      </w:r>
      <w:r w:rsidRPr="001638B3">
        <w:rPr>
          <w:b/>
          <w:szCs w:val="22"/>
        </w:rPr>
        <w:t>]</w:t>
      </w:r>
      <w:r>
        <w:t xml:space="preserve">.  Yet, the Commission never faults Armstrong’s offer for proposing Zone </w:t>
      </w:r>
      <w:r w:rsidRPr="001638B3">
        <w:rPr>
          <w:b/>
          <w:szCs w:val="22"/>
        </w:rPr>
        <w:t>[</w:t>
      </w:r>
      <w:r>
        <w:rPr>
          <w:b/>
        </w:rPr>
        <w:t>REDACTED</w:t>
      </w:r>
      <w:r w:rsidRPr="001638B3">
        <w:rPr>
          <w:b/>
          <w:szCs w:val="22"/>
        </w:rPr>
        <w:t>]</w:t>
      </w:r>
      <w:r>
        <w:t xml:space="preserve"> rates that are lower than </w:t>
      </w:r>
      <w:r w:rsidRPr="001638B3">
        <w:rPr>
          <w:b/>
          <w:szCs w:val="22"/>
        </w:rPr>
        <w:t>[</w:t>
      </w:r>
      <w:r>
        <w:rPr>
          <w:b/>
        </w:rPr>
        <w:t>REDACTED</w:t>
      </w:r>
      <w:r w:rsidRPr="001638B3">
        <w:rPr>
          <w:b/>
          <w:szCs w:val="22"/>
        </w:rPr>
        <w:t>]</w:t>
      </w:r>
      <w:r>
        <w:t xml:space="preserve">.  Indeed, as noted above, </w:t>
      </w:r>
      <w:r w:rsidRPr="00D2064E">
        <w:rPr>
          <w:i/>
        </w:rPr>
        <w:t>see supra</w:t>
      </w:r>
      <w:r>
        <w:t xml:space="preserve"> note 8, </w:t>
      </w:r>
      <w:r w:rsidRPr="001638B3">
        <w:rPr>
          <w:b/>
          <w:szCs w:val="22"/>
        </w:rPr>
        <w:t>[</w:t>
      </w:r>
      <w:r>
        <w:rPr>
          <w:b/>
        </w:rPr>
        <w:t>REDACTED</w:t>
      </w:r>
      <w:r w:rsidRPr="001638B3">
        <w:rPr>
          <w:b/>
          <w:szCs w:val="22"/>
        </w:rPr>
        <w:t>]</w:t>
      </w:r>
      <w:r>
        <w:rPr>
          <w:b/>
          <w:szCs w:val="22"/>
        </w:rPr>
        <w:t xml:space="preserve"> </w:t>
      </w:r>
      <w:r>
        <w:t xml:space="preserve">has more subscribers overall than Armstrong, yet the Commission concludes that Armstrong should pay lower rates than </w:t>
      </w:r>
      <w:r w:rsidRPr="001638B3">
        <w:rPr>
          <w:b/>
          <w:szCs w:val="22"/>
        </w:rPr>
        <w:t>[</w:t>
      </w:r>
      <w:r>
        <w:rPr>
          <w:b/>
        </w:rPr>
        <w:t>REDACTED</w:t>
      </w:r>
      <w:r w:rsidRPr="001638B3">
        <w:rPr>
          <w:b/>
          <w:szCs w:val="22"/>
        </w:rPr>
        <w:t>]</w:t>
      </w:r>
      <w:r>
        <w:rPr>
          <w:b/>
          <w:szCs w:val="22"/>
        </w:rPr>
        <w:t xml:space="preserve"> </w:t>
      </w:r>
      <w:r w:rsidRPr="00D2064E">
        <w:rPr>
          <w:i/>
        </w:rPr>
        <w:t xml:space="preserve">solely because </w:t>
      </w:r>
      <w:r w:rsidRPr="001638B3">
        <w:rPr>
          <w:b/>
          <w:szCs w:val="22"/>
        </w:rPr>
        <w:t>[</w:t>
      </w:r>
      <w:r>
        <w:rPr>
          <w:b/>
        </w:rPr>
        <w:t>REDACTED</w:t>
      </w:r>
      <w:r w:rsidRPr="001638B3">
        <w:rPr>
          <w:b/>
          <w:szCs w:val="22"/>
        </w:rPr>
        <w:t>]</w:t>
      </w:r>
      <w:r>
        <w:rPr>
          <w:b/>
          <w:szCs w:val="22"/>
        </w:rPr>
        <w:t xml:space="preserve"> </w:t>
      </w:r>
      <w:r w:rsidRPr="00D2064E">
        <w:rPr>
          <w:i/>
        </w:rPr>
        <w:t>generates less overall revenue for DSNP than does Armstrong</w:t>
      </w:r>
      <w:r>
        <w:t xml:space="preserve">.  Moreover, there is no evidence whatsoever in the record that rates are a function of subscribers per zone.  </w:t>
      </w:r>
      <w:r w:rsidRPr="001638B3">
        <w:rPr>
          <w:b/>
          <w:szCs w:val="22"/>
        </w:rPr>
        <w:t>[</w:t>
      </w:r>
      <w:r>
        <w:rPr>
          <w:b/>
        </w:rPr>
        <w:t>REDACTED</w:t>
      </w:r>
      <w:r w:rsidRPr="001638B3">
        <w:rPr>
          <w:b/>
          <w:szCs w:val="22"/>
        </w:rPr>
        <w:t>]</w:t>
      </w:r>
      <w:r>
        <w:t xml:space="preserve">, for instance, has about </w:t>
      </w:r>
      <w:r w:rsidRPr="00E041E4">
        <w:rPr>
          <w:szCs w:val="22"/>
        </w:rPr>
        <w:t>five times as many</w:t>
      </w:r>
      <w:r>
        <w:t xml:space="preserve"> Zone </w:t>
      </w:r>
      <w:r w:rsidRPr="001638B3">
        <w:rPr>
          <w:b/>
          <w:szCs w:val="22"/>
        </w:rPr>
        <w:t>[</w:t>
      </w:r>
      <w:r>
        <w:rPr>
          <w:b/>
        </w:rPr>
        <w:t>REDACTED</w:t>
      </w:r>
      <w:r w:rsidRPr="001638B3">
        <w:rPr>
          <w:b/>
          <w:szCs w:val="22"/>
        </w:rPr>
        <w:t>]</w:t>
      </w:r>
      <w:r>
        <w:t xml:space="preserve"> customers as does </w:t>
      </w:r>
      <w:r w:rsidRPr="001638B3">
        <w:rPr>
          <w:b/>
          <w:szCs w:val="22"/>
        </w:rPr>
        <w:t>[</w:t>
      </w:r>
      <w:r>
        <w:rPr>
          <w:b/>
        </w:rPr>
        <w:t>REDACTED</w:t>
      </w:r>
      <w:r w:rsidRPr="001638B3">
        <w:rPr>
          <w:b/>
          <w:szCs w:val="22"/>
        </w:rPr>
        <w:t>]</w:t>
      </w:r>
      <w:r>
        <w:t xml:space="preserve">, yet </w:t>
      </w:r>
      <w:r w:rsidRPr="001638B3">
        <w:rPr>
          <w:b/>
          <w:szCs w:val="22"/>
        </w:rPr>
        <w:t>[</w:t>
      </w:r>
      <w:r>
        <w:rPr>
          <w:b/>
        </w:rPr>
        <w:t>REDACTED</w:t>
      </w:r>
      <w:r w:rsidRPr="001638B3">
        <w:rPr>
          <w:b/>
          <w:szCs w:val="22"/>
        </w:rPr>
        <w:t>]</w:t>
      </w:r>
      <w:r>
        <w:rPr>
          <w:b/>
          <w:szCs w:val="22"/>
        </w:rPr>
        <w:t xml:space="preserve"> </w:t>
      </w:r>
      <w:r>
        <w:t xml:space="preserve">pays </w:t>
      </w:r>
      <w:r>
        <w:rPr>
          <w:szCs w:val="22"/>
        </w:rPr>
        <w:t>substantially lower</w:t>
      </w:r>
      <w:r>
        <w:t xml:space="preserve"> Zone </w:t>
      </w:r>
      <w:r w:rsidRPr="001638B3">
        <w:rPr>
          <w:b/>
          <w:szCs w:val="22"/>
        </w:rPr>
        <w:t>[</w:t>
      </w:r>
      <w:r>
        <w:rPr>
          <w:b/>
        </w:rPr>
        <w:t>REDACTED</w:t>
      </w:r>
      <w:r w:rsidRPr="001638B3">
        <w:rPr>
          <w:b/>
          <w:szCs w:val="22"/>
        </w:rPr>
        <w:t>]</w:t>
      </w:r>
      <w:r>
        <w:rPr>
          <w:b/>
          <w:szCs w:val="22"/>
        </w:rPr>
        <w:t xml:space="preserve"> </w:t>
      </w:r>
      <w:r>
        <w:t xml:space="preserve">rates than does </w:t>
      </w:r>
      <w:r w:rsidRPr="001638B3">
        <w:rPr>
          <w:b/>
          <w:szCs w:val="22"/>
        </w:rPr>
        <w:t>[</w:t>
      </w:r>
      <w:r>
        <w:rPr>
          <w:b/>
        </w:rPr>
        <w:t>REDACTED</w:t>
      </w:r>
      <w:r w:rsidRPr="001638B3">
        <w:rPr>
          <w:b/>
          <w:szCs w:val="22"/>
        </w:rPr>
        <w:t>]</w:t>
      </w:r>
      <w:r>
        <w:t xml:space="preserve">.  Or, to take another example, </w:t>
      </w:r>
      <w:r w:rsidRPr="001638B3">
        <w:rPr>
          <w:b/>
          <w:szCs w:val="22"/>
        </w:rPr>
        <w:t>[</w:t>
      </w:r>
      <w:r>
        <w:rPr>
          <w:b/>
        </w:rPr>
        <w:t>REDACTED</w:t>
      </w:r>
      <w:r w:rsidRPr="001638B3">
        <w:rPr>
          <w:b/>
          <w:szCs w:val="22"/>
        </w:rPr>
        <w:t>]</w:t>
      </w:r>
      <w:r>
        <w:rPr>
          <w:b/>
          <w:szCs w:val="22"/>
        </w:rPr>
        <w:t xml:space="preserve"> </w:t>
      </w:r>
      <w:r>
        <w:t xml:space="preserve">has </w:t>
      </w:r>
      <w:r>
        <w:rPr>
          <w:szCs w:val="22"/>
        </w:rPr>
        <w:t>over twenty-five times as many</w:t>
      </w:r>
      <w:r>
        <w:t xml:space="preserve"> Zone </w:t>
      </w:r>
      <w:r w:rsidRPr="001638B3">
        <w:rPr>
          <w:b/>
          <w:szCs w:val="22"/>
        </w:rPr>
        <w:t>[</w:t>
      </w:r>
      <w:r>
        <w:rPr>
          <w:b/>
        </w:rPr>
        <w:t>REDACTED</w:t>
      </w:r>
      <w:r w:rsidRPr="001638B3">
        <w:rPr>
          <w:b/>
          <w:szCs w:val="22"/>
        </w:rPr>
        <w:t>]</w:t>
      </w:r>
      <w:r>
        <w:rPr>
          <w:b/>
          <w:szCs w:val="22"/>
        </w:rPr>
        <w:t xml:space="preserve"> </w:t>
      </w:r>
      <w:r>
        <w:t xml:space="preserve">customers as </w:t>
      </w:r>
      <w:r w:rsidRPr="001638B3">
        <w:rPr>
          <w:b/>
          <w:szCs w:val="22"/>
        </w:rPr>
        <w:t>[</w:t>
      </w:r>
      <w:r>
        <w:rPr>
          <w:b/>
        </w:rPr>
        <w:t>REDACTED</w:t>
      </w:r>
      <w:r w:rsidRPr="001638B3">
        <w:rPr>
          <w:b/>
          <w:szCs w:val="22"/>
        </w:rPr>
        <w:t>]</w:t>
      </w:r>
      <w:r>
        <w:t xml:space="preserve">, yet </w:t>
      </w:r>
      <w:r w:rsidRPr="001638B3">
        <w:rPr>
          <w:b/>
          <w:szCs w:val="22"/>
        </w:rPr>
        <w:t>[</w:t>
      </w:r>
      <w:r>
        <w:rPr>
          <w:b/>
        </w:rPr>
        <w:t>REDACTED</w:t>
      </w:r>
      <w:r w:rsidRPr="001638B3">
        <w:rPr>
          <w:b/>
          <w:szCs w:val="22"/>
        </w:rPr>
        <w:t>]</w:t>
      </w:r>
      <w:r>
        <w:rPr>
          <w:b/>
          <w:szCs w:val="22"/>
        </w:rPr>
        <w:t xml:space="preserve"> </w:t>
      </w:r>
      <w:r>
        <w:t xml:space="preserve">pays lower Zone </w:t>
      </w:r>
      <w:r w:rsidRPr="001638B3">
        <w:rPr>
          <w:b/>
          <w:szCs w:val="22"/>
        </w:rPr>
        <w:t>[</w:t>
      </w:r>
      <w:r>
        <w:rPr>
          <w:b/>
        </w:rPr>
        <w:t>REDACTED</w:t>
      </w:r>
      <w:r w:rsidRPr="001638B3">
        <w:rPr>
          <w:b/>
          <w:szCs w:val="22"/>
        </w:rPr>
        <w:t>]</w:t>
      </w:r>
      <w:r>
        <w:rPr>
          <w:b/>
          <w:szCs w:val="22"/>
        </w:rPr>
        <w:t xml:space="preserve"> </w:t>
      </w:r>
      <w:r>
        <w:t xml:space="preserve">rates than does </w:t>
      </w:r>
      <w:r w:rsidRPr="001638B3">
        <w:rPr>
          <w:b/>
          <w:szCs w:val="22"/>
        </w:rPr>
        <w:t>[</w:t>
      </w:r>
      <w:r>
        <w:rPr>
          <w:b/>
        </w:rPr>
        <w:t>REDACTED</w:t>
      </w:r>
      <w:r w:rsidRPr="001638B3">
        <w:rPr>
          <w:b/>
          <w:szCs w:val="22"/>
        </w:rPr>
        <w:t>]</w:t>
      </w:r>
      <w:r>
        <w:t xml:space="preserve">.            </w:t>
      </w:r>
    </w:p>
  </w:footnote>
  <w:footnote w:id="21">
    <w:p w:rsidR="00DD0C67" w:rsidRDefault="00DD0C67" w:rsidP="00DD0C67">
      <w:pPr>
        <w:pStyle w:val="FootnoteText"/>
      </w:pPr>
      <w:r>
        <w:rPr>
          <w:rStyle w:val="FootnoteReference"/>
        </w:rPr>
        <w:footnoteRef/>
      </w:r>
      <w:r>
        <w:t xml:space="preserve"> </w:t>
      </w:r>
      <w:r w:rsidRPr="00BC0318">
        <w:rPr>
          <w:i/>
        </w:rPr>
        <w:t xml:space="preserve">See </w:t>
      </w:r>
      <w:r>
        <w:rPr>
          <w:i/>
        </w:rPr>
        <w:t xml:space="preserve">DSNP </w:t>
      </w:r>
      <w:r w:rsidRPr="00BC0318">
        <w:rPr>
          <w:i/>
        </w:rPr>
        <w:t>Application for Review</w:t>
      </w:r>
      <w:r>
        <w:t>, Exh. 3, at 2–5.</w:t>
      </w:r>
    </w:p>
  </w:footnote>
  <w:footnote w:id="22">
    <w:p w:rsidR="00DD0C67" w:rsidRDefault="00DD0C67" w:rsidP="00DD0C67">
      <w:pPr>
        <w:pStyle w:val="FootnoteText"/>
      </w:pPr>
      <w:r>
        <w:rPr>
          <w:rStyle w:val="FootnoteReference"/>
        </w:rPr>
        <w:footnoteRef/>
      </w:r>
      <w:r>
        <w:t xml:space="preserve"> The monetary values of DSNP’s offer and Armstrong’s offer may be found in Exhibit C of the Expert Report of Mark C. Wyche.  The value of the rates produced by the regression analyses was calculated using the number of Armstrong subscribers, by Zone, set forth in Armstrong’s offer.  </w:t>
      </w:r>
    </w:p>
  </w:footnote>
  <w:footnote w:id="23">
    <w:p w:rsidR="00DD0C67" w:rsidRDefault="00DD0C67" w:rsidP="00DD0C67">
      <w:pPr>
        <w:pStyle w:val="FootnoteText"/>
      </w:pPr>
      <w:r>
        <w:rPr>
          <w:rStyle w:val="FootnoteReference"/>
        </w:rPr>
        <w:footnoteRef/>
      </w:r>
      <w:r>
        <w:t xml:space="preserve"> Rates are expressed in dollars per subscriber per month.  Emboldened and underlined rates are closer to the fair market value for each zone each year.  I calculated these values using a linear regression of the equation </w:t>
      </w:r>
      <w:r w:rsidRPr="00894293">
        <w:rPr>
          <w:i/>
        </w:rPr>
        <w:t>y</w:t>
      </w:r>
      <w:r>
        <w:t xml:space="preserve"> = </w:t>
      </w:r>
      <w:r w:rsidRPr="00894293">
        <w:t>a</w:t>
      </w:r>
      <w:r>
        <w:t xml:space="preserve"> – </w:t>
      </w:r>
      <w:r w:rsidRPr="00894293">
        <w:t>b</w:t>
      </w:r>
      <w:r w:rsidRPr="00894293">
        <w:rPr>
          <w:i/>
        </w:rPr>
        <w:t>x</w:t>
      </w:r>
      <w:r>
        <w:t xml:space="preserve">, where a and b are constants, </w:t>
      </w:r>
      <w:r w:rsidRPr="00894293">
        <w:rPr>
          <w:i/>
        </w:rPr>
        <w:t>x</w:t>
      </w:r>
      <w:r>
        <w:t xml:space="preserve"> is the revenue generated for DSNP by a cable operator, and </w:t>
      </w:r>
      <w:r w:rsidRPr="00894293">
        <w:rPr>
          <w:i/>
        </w:rPr>
        <w:t>y</w:t>
      </w:r>
      <w:r>
        <w:t xml:space="preserve"> is the rate paid to DSNP by the cable operator.  </w:t>
      </w:r>
      <w:r w:rsidRPr="004C49AB">
        <w:rPr>
          <w:i/>
        </w:rPr>
        <w:t xml:space="preserve">See </w:t>
      </w:r>
      <w:r>
        <w:t xml:space="preserve">26 FCC Rcd at 12582, tbl. A &amp;12595, n.142 (providing data for variable </w:t>
      </w:r>
      <w:r>
        <w:rPr>
          <w:i/>
        </w:rPr>
        <w:t>x</w:t>
      </w:r>
      <w:r>
        <w:t xml:space="preserve">); </w:t>
      </w:r>
      <w:r>
        <w:rPr>
          <w:i/>
        </w:rPr>
        <w:t xml:space="preserve">DSNP </w:t>
      </w:r>
      <w:r w:rsidRPr="00BC0318">
        <w:rPr>
          <w:i/>
        </w:rPr>
        <w:t>Application for Review</w:t>
      </w:r>
      <w:r>
        <w:t xml:space="preserve">, Exh. 3, at 1 (same); </w:t>
      </w:r>
      <w:r>
        <w:rPr>
          <w:i/>
        </w:rPr>
        <w:t>id.</w:t>
      </w:r>
      <w:r>
        <w:t xml:space="preserve"> at 2–5 (providing data for variable </w:t>
      </w:r>
      <w:r>
        <w:rPr>
          <w:i/>
        </w:rPr>
        <w:t>y</w:t>
      </w:r>
      <w:r>
        <w:t>).</w:t>
      </w:r>
    </w:p>
  </w:footnote>
  <w:footnote w:id="24">
    <w:p w:rsidR="00DD0C67" w:rsidRDefault="00DD0C67" w:rsidP="00DD0C67">
      <w:pPr>
        <w:pStyle w:val="FootnoteText"/>
      </w:pPr>
      <w:r>
        <w:rPr>
          <w:rStyle w:val="FootnoteReference"/>
        </w:rPr>
        <w:footnoteRef/>
      </w:r>
      <w:r>
        <w:t xml:space="preserve"> </w:t>
      </w:r>
      <w:r w:rsidRPr="00D2064E">
        <w:rPr>
          <w:i/>
        </w:rPr>
        <w:t>Order</w:t>
      </w:r>
      <w:r>
        <w:t xml:space="preserve"> at note 117.  </w:t>
      </w:r>
    </w:p>
  </w:footnote>
  <w:footnote w:id="25">
    <w:p w:rsidR="00DD0C67" w:rsidRDefault="00DD0C67" w:rsidP="00DD0C67">
      <w:pPr>
        <w:pStyle w:val="FootnoteText"/>
      </w:pPr>
      <w:r>
        <w:rPr>
          <w:rStyle w:val="FootnoteReference"/>
        </w:rPr>
        <w:footnoteRef/>
      </w:r>
      <w:r>
        <w:t xml:space="preserve"> </w:t>
      </w:r>
      <w:r w:rsidRPr="00D2064E">
        <w:rPr>
          <w:i/>
        </w:rPr>
        <w:t>See supra</w:t>
      </w:r>
      <w:r>
        <w:t xml:space="preserve"> note 21.  </w:t>
      </w:r>
    </w:p>
  </w:footnote>
  <w:footnote w:id="26">
    <w:p w:rsidR="00DD0C67" w:rsidRDefault="00DD0C67" w:rsidP="00DD0C67">
      <w:pPr>
        <w:pStyle w:val="FootnoteText"/>
      </w:pPr>
      <w:r>
        <w:rPr>
          <w:rStyle w:val="FootnoteReference"/>
        </w:rPr>
        <w:footnoteRef/>
      </w:r>
      <w:r>
        <w:t xml:space="preserve"> Rates are expressed in dollars per subscriber per month.  Emboldened and underlined rates are closer to the fair market value for each zone each year.  I calculated these values using a regression of the equation </w:t>
      </w:r>
      <w:r w:rsidRPr="00894293">
        <w:rPr>
          <w:i/>
        </w:rPr>
        <w:t>y</w:t>
      </w:r>
      <w:r>
        <w:t xml:space="preserve"> = a*ln(x) + b, where a and b are constants, </w:t>
      </w:r>
      <w:r w:rsidRPr="00894293">
        <w:rPr>
          <w:i/>
        </w:rPr>
        <w:t>x</w:t>
      </w:r>
      <w:r>
        <w:t xml:space="preserve"> is the revenue generated for DSNP by a cable operator, and </w:t>
      </w:r>
      <w:r w:rsidRPr="00894293">
        <w:rPr>
          <w:i/>
        </w:rPr>
        <w:t>y</w:t>
      </w:r>
      <w:r>
        <w:t xml:space="preserve"> is the rate paid to DSNP by the cable operator.  </w:t>
      </w:r>
      <w:r w:rsidRPr="004C49AB">
        <w:rPr>
          <w:i/>
        </w:rPr>
        <w:t xml:space="preserve">See </w:t>
      </w:r>
      <w:r>
        <w:t xml:space="preserve">26 FCC Rcd at 12582, tbl. A &amp;12595, n.142 (providing data for variable </w:t>
      </w:r>
      <w:r>
        <w:rPr>
          <w:i/>
        </w:rPr>
        <w:t>x</w:t>
      </w:r>
      <w:r>
        <w:t xml:space="preserve">); </w:t>
      </w:r>
      <w:r>
        <w:rPr>
          <w:i/>
        </w:rPr>
        <w:t xml:space="preserve">DSNP </w:t>
      </w:r>
      <w:r w:rsidRPr="00BC0318">
        <w:rPr>
          <w:i/>
        </w:rPr>
        <w:t>Application for Review</w:t>
      </w:r>
      <w:r>
        <w:t xml:space="preserve">, Exh. 3, at 1 (same); </w:t>
      </w:r>
      <w:r>
        <w:rPr>
          <w:i/>
        </w:rPr>
        <w:t>id.</w:t>
      </w:r>
      <w:r>
        <w:t xml:space="preserve"> at 2–5 (providing data for variable </w:t>
      </w:r>
      <w:r>
        <w:rPr>
          <w:i/>
        </w:rPr>
        <w:t>y</w:t>
      </w:r>
      <w:r>
        <w:t>).</w:t>
      </w:r>
    </w:p>
  </w:footnote>
  <w:footnote w:id="27">
    <w:p w:rsidR="00DD0C67" w:rsidRDefault="00DD0C67" w:rsidP="00DD0C67">
      <w:pPr>
        <w:pStyle w:val="FootnoteText"/>
      </w:pPr>
      <w:r>
        <w:rPr>
          <w:rStyle w:val="FootnoteReference"/>
        </w:rPr>
        <w:footnoteRef/>
      </w:r>
      <w:r>
        <w:t xml:space="preserve"> </w:t>
      </w:r>
      <w:r w:rsidRPr="00C026B0">
        <w:rPr>
          <w:i/>
        </w:rPr>
        <w:t>See Order on Review</w:t>
      </w:r>
      <w:r>
        <w:t>, 26 FCC Rcd at 12607, para. 47.</w:t>
      </w:r>
    </w:p>
  </w:footnote>
  <w:footnote w:id="28">
    <w:p w:rsidR="00DD0C67" w:rsidRPr="004C49AB" w:rsidRDefault="00DD0C67" w:rsidP="00DD0C67">
      <w:pPr>
        <w:pStyle w:val="FootnoteText"/>
      </w:pPr>
      <w:r>
        <w:rPr>
          <w:rStyle w:val="FootnoteReference"/>
        </w:rPr>
        <w:footnoteRef/>
      </w:r>
      <w:r>
        <w:t xml:space="preserve"> My assessment of a fair-market-value rate renewal increase is also based, in part, on the fact that Armstrong had recently agreed to an </w:t>
      </w:r>
      <w:r w:rsidRPr="00430BEA">
        <w:rPr>
          <w:b/>
        </w:rPr>
        <w:t>[</w:t>
      </w:r>
      <w:r>
        <w:rPr>
          <w:b/>
        </w:rPr>
        <w:t>REDACTED</w:t>
      </w:r>
      <w:r w:rsidRPr="00430BEA">
        <w:rPr>
          <w:b/>
        </w:rPr>
        <w:t>]</w:t>
      </w:r>
      <w:r>
        <w:rPr>
          <w:b/>
        </w:rPr>
        <w:t xml:space="preserve"> </w:t>
      </w:r>
      <w:r w:rsidRPr="00AA0419">
        <w:t>increase in rates over the prior eighteen months in exchange for receiving a full-time HD feed and 36 additional Pittsburgh Pirates games</w:t>
      </w:r>
      <w:r>
        <w:t xml:space="preserve">.  </w:t>
      </w:r>
      <w:r w:rsidRPr="00BC0318">
        <w:rPr>
          <w:i/>
        </w:rPr>
        <w:t>See Order</w:t>
      </w:r>
      <w:r>
        <w:t xml:space="preserve"> at para. 23.  </w:t>
      </w:r>
      <w:r w:rsidRPr="00AA0419">
        <w:t xml:space="preserve">On one hand, given that Armstrong had recently agreed to an </w:t>
      </w:r>
      <w:r w:rsidRPr="00430BEA">
        <w:rPr>
          <w:b/>
        </w:rPr>
        <w:t>[</w:t>
      </w:r>
      <w:r>
        <w:rPr>
          <w:b/>
        </w:rPr>
        <w:t>REDACTED</w:t>
      </w:r>
      <w:r w:rsidRPr="00430BEA">
        <w:rPr>
          <w:b/>
        </w:rPr>
        <w:t>]</w:t>
      </w:r>
      <w:r>
        <w:rPr>
          <w:b/>
        </w:rPr>
        <w:t xml:space="preserve"> </w:t>
      </w:r>
      <w:r w:rsidRPr="00AA0419">
        <w:t>increase in rates, I find it difficult to believe that DSNP could have reasonably expected to receive here a typical re</w:t>
      </w:r>
      <w:r>
        <w:t xml:space="preserve">newal rate increase </w:t>
      </w:r>
      <w:r w:rsidRPr="00430BEA">
        <w:rPr>
          <w:b/>
        </w:rPr>
        <w:t>[</w:t>
      </w:r>
      <w:r>
        <w:rPr>
          <w:b/>
        </w:rPr>
        <w:t>REDACTED</w:t>
      </w:r>
      <w:r w:rsidRPr="00430BEA">
        <w:rPr>
          <w:b/>
        </w:rPr>
        <w:t>]</w:t>
      </w:r>
      <w:r w:rsidRPr="00AA0419">
        <w:t xml:space="preserve">.  On the other hand, I also have trouble concluding that DSNP should have received a negligible renewal rate increase.  After all, the recent </w:t>
      </w:r>
      <w:r w:rsidRPr="00430BEA">
        <w:rPr>
          <w:b/>
        </w:rPr>
        <w:t>[</w:t>
      </w:r>
      <w:r>
        <w:rPr>
          <w:b/>
        </w:rPr>
        <w:t>REDACTED</w:t>
      </w:r>
      <w:r w:rsidRPr="00430BEA">
        <w:rPr>
          <w:b/>
        </w:rPr>
        <w:t>]</w:t>
      </w:r>
      <w:r>
        <w:rPr>
          <w:b/>
        </w:rPr>
        <w:t xml:space="preserve"> </w:t>
      </w:r>
      <w:r w:rsidRPr="00AA0419">
        <w:t>increase in Armstrong’s rates had been in exchange for additional programming services.  But the record indicates that renewal rate increases are not based solely on service improvements.</w:t>
      </w:r>
      <w:r>
        <w:t xml:space="preserve">  </w:t>
      </w:r>
      <w:r w:rsidRPr="00AA0419">
        <w:t>Rather, they are also based on the fact that a programmer’s leverage is maximized when a contract expires.</w:t>
      </w:r>
      <w:r>
        <w:t xml:space="preserve">  </w:t>
      </w:r>
      <w:r w:rsidRPr="00BC0318">
        <w:rPr>
          <w:i/>
        </w:rPr>
        <w:t xml:space="preserve">See </w:t>
      </w:r>
      <w:r>
        <w:rPr>
          <w:i/>
        </w:rPr>
        <w:t xml:space="preserve">DSNP </w:t>
      </w:r>
      <w:r w:rsidRPr="00BC0318">
        <w:rPr>
          <w:i/>
        </w:rPr>
        <w:t>Application for Review</w:t>
      </w:r>
      <w:r>
        <w:t xml:space="preserve"> at 17 (summarizing testimony of Armstrong’s expert, Dr. Lindsay Gardner).</w:t>
      </w:r>
    </w:p>
  </w:footnote>
  <w:footnote w:id="29">
    <w:p w:rsidR="00DD0C67" w:rsidRDefault="00DD0C67" w:rsidP="00DD0C67">
      <w:pPr>
        <w:pStyle w:val="FootnoteText"/>
      </w:pPr>
      <w:r>
        <w:rPr>
          <w:rStyle w:val="FootnoteReference"/>
        </w:rPr>
        <w:footnoteRef/>
      </w:r>
      <w:r>
        <w:t xml:space="preserve"> </w:t>
      </w:r>
      <w:r w:rsidRPr="00D2064E">
        <w:rPr>
          <w:i/>
        </w:rPr>
        <w:t>See supra</w:t>
      </w:r>
      <w:r>
        <w:t xml:space="preserve"> note 21.  </w:t>
      </w:r>
    </w:p>
  </w:footnote>
  <w:footnote w:id="30">
    <w:p w:rsidR="00DD0C67" w:rsidRDefault="00DD0C67" w:rsidP="00DD0C67">
      <w:pPr>
        <w:pStyle w:val="FootnoteText"/>
      </w:pPr>
      <w:r>
        <w:rPr>
          <w:rStyle w:val="FootnoteReference"/>
        </w:rPr>
        <w:footnoteRef/>
      </w:r>
      <w:r>
        <w:t xml:space="preserve"> The Commission complains that a </w:t>
      </w:r>
      <w:r w:rsidRPr="00430BEA">
        <w:rPr>
          <w:b/>
        </w:rPr>
        <w:t>[</w:t>
      </w:r>
      <w:r>
        <w:rPr>
          <w:b/>
        </w:rPr>
        <w:t>REDACTED</w:t>
      </w:r>
      <w:r w:rsidRPr="00430BEA">
        <w:rPr>
          <w:b/>
        </w:rPr>
        <w:t>]</w:t>
      </w:r>
      <w:r>
        <w:t xml:space="preserve"> renewal rate increase “was not proposed in either party’s final offer.”  </w:t>
      </w:r>
      <w:r w:rsidRPr="00700F3D">
        <w:rPr>
          <w:i/>
        </w:rPr>
        <w:t>Order</w:t>
      </w:r>
      <w:r>
        <w:t xml:space="preserve"> at note 117.  Such an objection, however, simply underscores the fundamental problem with the Commission’s analysis.  In attempting to figure out which party’s offer most closely approximates fair market value, one should estimate fair market value.  That generally will be a figure somewhere in between each party’s offer.  The next step is to then see which party’s offer is closest to the estimated fair market value.  The Commission entirely skips that first step here.  Moreover, a </w:t>
      </w:r>
      <w:r w:rsidRPr="00430BEA">
        <w:rPr>
          <w:b/>
        </w:rPr>
        <w:t>[</w:t>
      </w:r>
      <w:r>
        <w:rPr>
          <w:b/>
        </w:rPr>
        <w:t>REDACTED</w:t>
      </w:r>
      <w:r w:rsidRPr="00430BEA">
        <w:rPr>
          <w:b/>
        </w:rPr>
        <w:t>]</w:t>
      </w:r>
      <w:r>
        <w:rPr>
          <w:b/>
        </w:rPr>
        <w:t xml:space="preserve"> </w:t>
      </w:r>
      <w:r>
        <w:t xml:space="preserve">renewal rate increase is entirely consistent with the Commission’s conclusion that Armstrong’s proposal renewal rate increase was closer to fair market value than was DSNP’s.  After all, </w:t>
      </w:r>
      <w:r w:rsidRPr="00430BEA">
        <w:rPr>
          <w:b/>
        </w:rPr>
        <w:t>[</w:t>
      </w:r>
      <w:r>
        <w:rPr>
          <w:b/>
        </w:rPr>
        <w:t>REDACTED</w:t>
      </w:r>
      <w:r w:rsidRPr="00430BEA">
        <w:rPr>
          <w:b/>
        </w:rPr>
        <w:t>]</w:t>
      </w:r>
      <w:r>
        <w:t xml:space="preserve"> is closer to </w:t>
      </w:r>
      <w:r w:rsidRPr="00430BEA">
        <w:rPr>
          <w:b/>
        </w:rPr>
        <w:t>[</w:t>
      </w:r>
      <w:r>
        <w:rPr>
          <w:b/>
        </w:rPr>
        <w:t>REDACTED</w:t>
      </w:r>
      <w:r w:rsidRPr="00430BEA">
        <w:rPr>
          <w:b/>
        </w:rPr>
        <w:t>]</w:t>
      </w:r>
      <w:r>
        <w:rPr>
          <w:b/>
        </w:rPr>
        <w:t xml:space="preserve"> </w:t>
      </w:r>
      <w:r>
        <w:t xml:space="preserve">than </w:t>
      </w:r>
      <w:r w:rsidRPr="00430BEA">
        <w:rPr>
          <w:b/>
        </w:rPr>
        <w:t>[</w:t>
      </w:r>
      <w:r>
        <w:rPr>
          <w:b/>
        </w:rPr>
        <w:t>REDACTED</w:t>
      </w:r>
      <w:r w:rsidRPr="00430BEA">
        <w:rPr>
          <w:b/>
        </w:rPr>
        <w:t>]</w:t>
      </w:r>
      <w:r>
        <w:t xml:space="preserve">.  And it is notable that even using a renewal rate increase that is closer to Armstrong’s proposal, the rates contained in DSNP’s offer turn out to be closer to estimated fair market value.          </w:t>
      </w:r>
    </w:p>
  </w:footnote>
  <w:footnote w:id="31">
    <w:p w:rsidR="00DD0C67" w:rsidRDefault="00DD0C67" w:rsidP="00DD0C67">
      <w:pPr>
        <w:pStyle w:val="FootnoteText"/>
      </w:pPr>
      <w:r>
        <w:rPr>
          <w:rStyle w:val="FootnoteReference"/>
        </w:rPr>
        <w:footnoteRef/>
      </w:r>
      <w:r>
        <w:t xml:space="preserve"> Rates are expressed in dollars per subscriber.  Emboldened and underlined rates are closer to the fair market value for each zone each year.  The rate increase for the last six months of 2010 is </w:t>
      </w:r>
      <w:r w:rsidRPr="00430BEA">
        <w:rPr>
          <w:b/>
        </w:rPr>
        <w:t>[</w:t>
      </w:r>
      <w:r>
        <w:rPr>
          <w:b/>
        </w:rPr>
        <w:t>REDACTED</w:t>
      </w:r>
      <w:r w:rsidRPr="00430BEA">
        <w:rPr>
          <w:b/>
        </w:rPr>
        <w:t>]</w:t>
      </w:r>
      <w:r>
        <w:t>.</w:t>
      </w:r>
    </w:p>
  </w:footnote>
  <w:footnote w:id="32">
    <w:p w:rsidR="00DD0C67" w:rsidRDefault="00DD0C67" w:rsidP="00DD0C67">
      <w:pPr>
        <w:pStyle w:val="FootnoteText"/>
      </w:pPr>
      <w:r>
        <w:rPr>
          <w:rStyle w:val="FootnoteReference"/>
        </w:rPr>
        <w:footnoteRef/>
      </w:r>
      <w:r>
        <w:t xml:space="preserve"> Given that the Bureau is tasked with reviewing the arbitrator’s award </w:t>
      </w:r>
      <w:r w:rsidRPr="004C49AB">
        <w:rPr>
          <w:i/>
        </w:rPr>
        <w:t>de novo</w:t>
      </w:r>
      <w:r>
        <w:t xml:space="preserve"> and the Commission is not obliged to defer to the Bureau, I am perplexed by the Commission’s claim that my analysis is not “relevant” because we are no longer at the “</w:t>
      </w:r>
      <w:r w:rsidRPr="004C49AB">
        <w:rPr>
          <w:i/>
        </w:rPr>
        <w:t>de novo</w:t>
      </w:r>
      <w:r>
        <w:t xml:space="preserve"> review stage.”  </w:t>
      </w:r>
      <w:r w:rsidRPr="004C49AB">
        <w:rPr>
          <w:i/>
        </w:rPr>
        <w:t>See Order</w:t>
      </w:r>
      <w:r>
        <w:t xml:space="preserve"> at note 117.  My analysis is based solely on evidence that was contained in the record compiled by the arbitrator and that was in front of the Bureau.  And once DSNP squarely placed in front of the Commission the question of which party’s proposed rates were closer to fair market value, we have every right, and indeed the obligation, to evaluate and analyze the evidence in the record to resolve that question.  Indeed, it is the Commission’s and the Bureau’s analyses that are not “relevant” here because they do not apply the governing standard set forth in the </w:t>
      </w:r>
      <w:r w:rsidRPr="004C49AB">
        <w:rPr>
          <w:i/>
        </w:rPr>
        <w:t>Liberty Media Order</w:t>
      </w:r>
      <w:r>
        <w:t xml:space="preserve">.  And that basic methodological flaw with the Commission’s decision, which is detailed in Section I above, provides more than sufficient justification, by itself, to vacate the decision below and remand the case to the Bureau with the instructions set forth </w:t>
      </w:r>
      <w:r w:rsidRPr="004C49AB">
        <w:rPr>
          <w:i/>
        </w:rPr>
        <w:t>infra</w:t>
      </w:r>
      <w:r>
        <w:t>.</w:t>
      </w:r>
    </w:p>
  </w:footnote>
  <w:footnote w:id="33">
    <w:p w:rsidR="00DD0C67" w:rsidRPr="00AA0419" w:rsidRDefault="00DD0C67" w:rsidP="00DD0C67">
      <w:pPr>
        <w:pStyle w:val="FootnoteText"/>
      </w:pPr>
      <w:r w:rsidRPr="00AA0419">
        <w:rPr>
          <w:rStyle w:val="FootnoteReference"/>
        </w:rPr>
        <w:footnoteRef/>
      </w:r>
      <w:r w:rsidRPr="00AA0419">
        <w:t xml:space="preserve"> </w:t>
      </w:r>
      <w:r w:rsidRPr="00BC0318">
        <w:rPr>
          <w:i/>
        </w:rPr>
        <w:t>Order</w:t>
      </w:r>
      <w:r>
        <w:t xml:space="preserve"> at para. 1.</w:t>
      </w:r>
    </w:p>
  </w:footnote>
  <w:footnote w:id="34">
    <w:p w:rsidR="00DD0C67" w:rsidRPr="00AA0419" w:rsidRDefault="00DD0C67" w:rsidP="00DD0C67">
      <w:pPr>
        <w:pStyle w:val="FootnoteText"/>
      </w:pPr>
      <w:r w:rsidRPr="00AA0419">
        <w:rPr>
          <w:rStyle w:val="FootnoteReference"/>
        </w:rPr>
        <w:footnoteRef/>
      </w:r>
      <w:r w:rsidRPr="00AA0419">
        <w:t xml:space="preserve"> </w:t>
      </w:r>
      <w:r w:rsidRPr="00BC0318">
        <w:rPr>
          <w:i/>
        </w:rPr>
        <w:t>See Order on Review</w:t>
      </w:r>
      <w:r>
        <w:t>, 26 FCC Rcd at 12611, para.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D1" w:rsidRDefault="00AA0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D1" w:rsidRDefault="00AA0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D1" w:rsidRDefault="00AA0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67"/>
    <w:rsid w:val="0046301B"/>
    <w:rsid w:val="008116F9"/>
    <w:rsid w:val="00837992"/>
    <w:rsid w:val="00AA0DD1"/>
    <w:rsid w:val="00DD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6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2"/>
    <w:link w:val="FootnoteTextChar1"/>
    <w:rsid w:val="00DD0C6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D0C67"/>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o,fr,Style 3,Appel note de bas de p,Style 124,Style 13,FR,Style 17,Style 6,Footnote Reference/"/>
    <w:rsid w:val="00DD0C67"/>
    <w:rPr>
      <w:rFonts w:ascii="Times New Roman" w:hAnsi="Times New Roman"/>
      <w:dstrike w:val="0"/>
      <w:color w:val="auto"/>
      <w:sz w:val="20"/>
      <w:vertAlign w:val="superscript"/>
    </w:rPr>
  </w:style>
  <w:style w:type="character" w:customStyle="1" w:styleId="FootnoteTextChar1">
    <w:name w:val="Footnote Text Char1"/>
    <w:aliases w:val="Footnote Text Char5 Char,Footnote Text Char1 Char Char,Footnote Text Char3 Char Char1 Char,Footnote Text Char2 Char1 Char Char1 Char,Footnote Text Char1 Char Char Char Char Char,Footnote Text Char2 Char Char Char Char Char1 Char"/>
    <w:link w:val="FootnoteText"/>
    <w:rsid w:val="00DD0C67"/>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D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D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DD1"/>
    <w:pPr>
      <w:tabs>
        <w:tab w:val="center" w:pos="4680"/>
        <w:tab w:val="right" w:pos="9360"/>
      </w:tabs>
    </w:pPr>
  </w:style>
  <w:style w:type="character" w:customStyle="1" w:styleId="HeaderChar">
    <w:name w:val="Header Char"/>
    <w:basedOn w:val="DefaultParagraphFont"/>
    <w:link w:val="Header"/>
    <w:uiPriority w:val="99"/>
    <w:rsid w:val="00AA0DD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A0DD1"/>
    <w:pPr>
      <w:tabs>
        <w:tab w:val="center" w:pos="4680"/>
        <w:tab w:val="right" w:pos="9360"/>
      </w:tabs>
    </w:pPr>
  </w:style>
  <w:style w:type="character" w:customStyle="1" w:styleId="FooterChar">
    <w:name w:val="Footer Char"/>
    <w:basedOn w:val="DefaultParagraphFont"/>
    <w:link w:val="Footer"/>
    <w:uiPriority w:val="99"/>
    <w:rsid w:val="00AA0DD1"/>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6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2"/>
    <w:link w:val="FootnoteTextChar1"/>
    <w:rsid w:val="00DD0C6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DD0C67"/>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o,fr,Style 3,Appel note de bas de p,Style 124,Style 13,FR,Style 17,Style 6,Footnote Reference/"/>
    <w:rsid w:val="00DD0C67"/>
    <w:rPr>
      <w:rFonts w:ascii="Times New Roman" w:hAnsi="Times New Roman"/>
      <w:dstrike w:val="0"/>
      <w:color w:val="auto"/>
      <w:sz w:val="20"/>
      <w:vertAlign w:val="superscript"/>
    </w:rPr>
  </w:style>
  <w:style w:type="character" w:customStyle="1" w:styleId="FootnoteTextChar1">
    <w:name w:val="Footnote Text Char1"/>
    <w:aliases w:val="Footnote Text Char5 Char,Footnote Text Char1 Char Char,Footnote Text Char3 Char Char1 Char,Footnote Text Char2 Char1 Char Char1 Char,Footnote Text Char1 Char Char Char Char Char,Footnote Text Char2 Char Char Char Char Char1 Char"/>
    <w:link w:val="FootnoteText"/>
    <w:rsid w:val="00DD0C67"/>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D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D0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0DD1"/>
    <w:pPr>
      <w:tabs>
        <w:tab w:val="center" w:pos="4680"/>
        <w:tab w:val="right" w:pos="9360"/>
      </w:tabs>
    </w:pPr>
  </w:style>
  <w:style w:type="character" w:customStyle="1" w:styleId="HeaderChar">
    <w:name w:val="Header Char"/>
    <w:basedOn w:val="DefaultParagraphFont"/>
    <w:link w:val="Header"/>
    <w:uiPriority w:val="99"/>
    <w:rsid w:val="00AA0DD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A0DD1"/>
    <w:pPr>
      <w:tabs>
        <w:tab w:val="center" w:pos="4680"/>
        <w:tab w:val="right" w:pos="9360"/>
      </w:tabs>
    </w:pPr>
  </w:style>
  <w:style w:type="character" w:customStyle="1" w:styleId="FooterChar">
    <w:name w:val="Footer Char"/>
    <w:basedOn w:val="DefaultParagraphFont"/>
    <w:link w:val="Footer"/>
    <w:uiPriority w:val="99"/>
    <w:rsid w:val="00AA0DD1"/>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2990</Words>
  <Characters>16357</Characters>
  <Application>Microsoft Office Word</Application>
  <DocSecurity>0</DocSecurity>
  <Lines>451</Lines>
  <Paragraphs>290</Paragraphs>
  <ScaleCrop>false</ScaleCrop>
  <Manager/>
  <Company/>
  <LinksUpToDate>false</LinksUpToDate>
  <CharactersWithSpaces>19163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2014-07-16T20:04:00Z</dcterms:created>
  <dcterms:modified xsi:type="dcterms:W3CDTF">2014-07-16T20:04:00Z</dcterms:modified>
  <cp:category> </cp:category>
  <cp:contentStatus> </cp:contentStatus>
</cp:coreProperties>
</file>