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EE3" w:rsidRDefault="004C2EE3">
      <w:pPr>
        <w:jc w:val="center"/>
        <w:rPr>
          <w:b/>
        </w:rPr>
      </w:pPr>
      <w:bookmarkStart w:id="0" w:name="_GoBack"/>
      <w:bookmarkEnd w:id="0"/>
      <w:r w:rsidRPr="0070224F">
        <w:rPr>
          <w:rFonts w:ascii="Times New Roman Bold" w:hAnsi="Times New Roman Bold"/>
          <w:b/>
          <w:kern w:val="0"/>
          <w:szCs w:val="22"/>
        </w:rPr>
        <w:t>Before</w:t>
      </w:r>
      <w:r>
        <w:rPr>
          <w:b/>
        </w:rPr>
        <w:t xml:space="preserve"> the</w:t>
      </w:r>
    </w:p>
    <w:p w:rsidR="00921803" w:rsidRDefault="00921803" w:rsidP="00921803">
      <w:pPr>
        <w:pStyle w:val="StyleBoldCentered"/>
      </w:pPr>
      <w:r>
        <w:t>F</w:t>
      </w:r>
      <w:r>
        <w:rPr>
          <w:caps w:val="0"/>
        </w:rPr>
        <w:t>ederal Communications Commission</w:t>
      </w:r>
    </w:p>
    <w:p w:rsidR="004C2EE3" w:rsidRDefault="00810B6F" w:rsidP="00096D8C">
      <w:pPr>
        <w:pStyle w:val="StyleBoldCentered"/>
      </w:pPr>
      <w:r>
        <w:rPr>
          <w:caps w:val="0"/>
        </w:rPr>
        <w:t>Washington, D.C. 20554</w:t>
      </w:r>
    </w:p>
    <w:p w:rsidR="004C2EE3" w:rsidRDefault="004C2EE3" w:rsidP="0070224F"/>
    <w:p w:rsidR="004C2EE3" w:rsidRDefault="004C2EE3" w:rsidP="0070224F"/>
    <w:tbl>
      <w:tblPr>
        <w:tblW w:w="0" w:type="auto"/>
        <w:tblLayout w:type="fixed"/>
        <w:tblLook w:val="0000" w:firstRow="0" w:lastRow="0" w:firstColumn="0" w:lastColumn="0" w:noHBand="0" w:noVBand="0"/>
      </w:tblPr>
      <w:tblGrid>
        <w:gridCol w:w="4698"/>
        <w:gridCol w:w="630"/>
        <w:gridCol w:w="4248"/>
      </w:tblGrid>
      <w:tr w:rsidR="00E66A17">
        <w:tc>
          <w:tcPr>
            <w:tcW w:w="4698" w:type="dxa"/>
          </w:tcPr>
          <w:p w:rsidR="00E66A17" w:rsidRPr="00150FBA" w:rsidRDefault="00E66A17" w:rsidP="002572B6">
            <w:pPr>
              <w:ind w:right="-18"/>
              <w:rPr>
                <w:szCs w:val="22"/>
              </w:rPr>
            </w:pPr>
            <w:r w:rsidRPr="00150FBA">
              <w:rPr>
                <w:szCs w:val="22"/>
              </w:rPr>
              <w:t xml:space="preserve">In </w:t>
            </w:r>
            <w:r>
              <w:rPr>
                <w:szCs w:val="22"/>
              </w:rPr>
              <w:t>th</w:t>
            </w:r>
            <w:r w:rsidRPr="00150FBA">
              <w:rPr>
                <w:szCs w:val="22"/>
              </w:rPr>
              <w:t>e</w:t>
            </w:r>
            <w:r>
              <w:rPr>
                <w:szCs w:val="22"/>
              </w:rPr>
              <w:t xml:space="preserve"> Matter of</w:t>
            </w:r>
            <w:r w:rsidRPr="00150FBA">
              <w:rPr>
                <w:szCs w:val="22"/>
              </w:rPr>
              <w:t xml:space="preserve">  </w:t>
            </w:r>
          </w:p>
          <w:p w:rsidR="00E66A17" w:rsidRPr="00150FBA" w:rsidRDefault="00E66A17" w:rsidP="002572B6">
            <w:pPr>
              <w:ind w:right="-18"/>
              <w:rPr>
                <w:szCs w:val="22"/>
              </w:rPr>
            </w:pPr>
          </w:p>
          <w:p w:rsidR="00E66A17" w:rsidRPr="0009224E" w:rsidRDefault="00E66A17" w:rsidP="002572B6">
            <w:pPr>
              <w:ind w:right="-18"/>
              <w:rPr>
                <w:szCs w:val="22"/>
              </w:rPr>
            </w:pPr>
            <w:r w:rsidRPr="0009224E">
              <w:rPr>
                <w:szCs w:val="22"/>
              </w:rPr>
              <w:t>Legion of Christ College, Inc.</w:t>
            </w:r>
          </w:p>
          <w:p w:rsidR="00E66A17" w:rsidRDefault="00E66A17" w:rsidP="002572B6">
            <w:pPr>
              <w:ind w:right="-18"/>
              <w:rPr>
                <w:b/>
                <w:szCs w:val="22"/>
              </w:rPr>
            </w:pPr>
          </w:p>
          <w:p w:rsidR="00E66A17" w:rsidRDefault="00E66A17" w:rsidP="002572B6">
            <w:pPr>
              <w:ind w:right="-18"/>
              <w:rPr>
                <w:szCs w:val="22"/>
              </w:rPr>
            </w:pPr>
            <w:r>
              <w:rPr>
                <w:szCs w:val="22"/>
              </w:rPr>
              <w:t>Application for a New NCE FM Station at</w:t>
            </w:r>
          </w:p>
          <w:p w:rsidR="00E66A17" w:rsidRDefault="00E66A17" w:rsidP="002572B6">
            <w:pPr>
              <w:ind w:right="-18"/>
              <w:rPr>
                <w:szCs w:val="22"/>
              </w:rPr>
            </w:pPr>
            <w:r>
              <w:rPr>
                <w:szCs w:val="22"/>
              </w:rPr>
              <w:t>Wethersfield, Connecticut</w:t>
            </w:r>
          </w:p>
          <w:p w:rsidR="00E66A17" w:rsidRDefault="00E66A17" w:rsidP="002572B6">
            <w:pPr>
              <w:ind w:right="-18"/>
              <w:rPr>
                <w:szCs w:val="22"/>
              </w:rPr>
            </w:pPr>
          </w:p>
          <w:p w:rsidR="00E66A17" w:rsidRDefault="00E66A17" w:rsidP="002572B6">
            <w:pPr>
              <w:ind w:right="-18"/>
              <w:rPr>
                <w:szCs w:val="22"/>
              </w:rPr>
            </w:pPr>
            <w:r>
              <w:rPr>
                <w:szCs w:val="22"/>
              </w:rPr>
              <w:t>and</w:t>
            </w:r>
          </w:p>
          <w:p w:rsidR="00E66A17" w:rsidRDefault="00E66A17" w:rsidP="002572B6">
            <w:pPr>
              <w:ind w:right="-18"/>
              <w:rPr>
                <w:szCs w:val="22"/>
              </w:rPr>
            </w:pPr>
          </w:p>
          <w:p w:rsidR="00E66A17" w:rsidRPr="0009224E" w:rsidRDefault="00E66A17" w:rsidP="002572B6">
            <w:pPr>
              <w:ind w:right="-18"/>
              <w:rPr>
                <w:szCs w:val="22"/>
              </w:rPr>
            </w:pPr>
            <w:r w:rsidRPr="0009224E">
              <w:rPr>
                <w:szCs w:val="22"/>
              </w:rPr>
              <w:t>Northeast Hartford Acorn</w:t>
            </w:r>
          </w:p>
          <w:p w:rsidR="00E66A17" w:rsidRPr="00150FBA" w:rsidRDefault="00E66A17" w:rsidP="002572B6">
            <w:pPr>
              <w:ind w:right="-18"/>
              <w:rPr>
                <w:szCs w:val="22"/>
              </w:rPr>
            </w:pPr>
          </w:p>
          <w:p w:rsidR="00E66A17" w:rsidRDefault="00E66A17" w:rsidP="002572B6">
            <w:pPr>
              <w:ind w:right="-18"/>
              <w:rPr>
                <w:szCs w:val="22"/>
              </w:rPr>
            </w:pPr>
            <w:r>
              <w:rPr>
                <w:szCs w:val="22"/>
              </w:rPr>
              <w:t>Application for a New NCE FM Station at</w:t>
            </w:r>
          </w:p>
          <w:p w:rsidR="00E66A17" w:rsidRPr="00150FBA" w:rsidRDefault="00E66A17" w:rsidP="002572B6">
            <w:pPr>
              <w:ind w:right="-18"/>
              <w:rPr>
                <w:szCs w:val="22"/>
              </w:rPr>
            </w:pPr>
            <w:r>
              <w:rPr>
                <w:szCs w:val="22"/>
              </w:rPr>
              <w:t>Manchester, Connecticut</w:t>
            </w:r>
          </w:p>
          <w:p w:rsidR="00E66A17" w:rsidRPr="00150FBA" w:rsidRDefault="00E66A17" w:rsidP="002572B6">
            <w:pPr>
              <w:ind w:right="-18"/>
              <w:rPr>
                <w:b/>
                <w:szCs w:val="22"/>
              </w:rPr>
            </w:pPr>
            <w:r w:rsidRPr="00150FBA">
              <w:rPr>
                <w:szCs w:val="22"/>
              </w:rPr>
              <w:t xml:space="preserve">                                            </w:t>
            </w:r>
          </w:p>
        </w:tc>
        <w:tc>
          <w:tcPr>
            <w:tcW w:w="630" w:type="dxa"/>
          </w:tcPr>
          <w:p w:rsidR="00E66A17" w:rsidRPr="00150FBA" w:rsidRDefault="00E66A17" w:rsidP="002572B6">
            <w:pPr>
              <w:rPr>
                <w:b/>
                <w:szCs w:val="22"/>
              </w:rPr>
            </w:pPr>
            <w:r w:rsidRPr="00150FBA">
              <w:rPr>
                <w:b/>
                <w:szCs w:val="22"/>
              </w:rPr>
              <w:t>)</w:t>
            </w:r>
          </w:p>
          <w:p w:rsidR="00E66A17" w:rsidRPr="00150FBA" w:rsidRDefault="00E66A17" w:rsidP="002572B6">
            <w:pPr>
              <w:rPr>
                <w:b/>
                <w:szCs w:val="22"/>
              </w:rPr>
            </w:pPr>
            <w:r w:rsidRPr="00150FBA">
              <w:rPr>
                <w:b/>
                <w:szCs w:val="22"/>
              </w:rPr>
              <w:t>)</w:t>
            </w:r>
          </w:p>
          <w:p w:rsidR="00E66A17" w:rsidRPr="00150FBA" w:rsidRDefault="00E66A17" w:rsidP="002572B6">
            <w:pPr>
              <w:rPr>
                <w:b/>
                <w:szCs w:val="22"/>
              </w:rPr>
            </w:pPr>
            <w:r w:rsidRPr="00150FBA">
              <w:rPr>
                <w:b/>
                <w:szCs w:val="22"/>
              </w:rPr>
              <w:t>)</w:t>
            </w:r>
          </w:p>
          <w:p w:rsidR="00E66A17" w:rsidRPr="00150FBA" w:rsidRDefault="00E66A17" w:rsidP="002572B6">
            <w:pPr>
              <w:rPr>
                <w:b/>
                <w:szCs w:val="22"/>
              </w:rPr>
            </w:pPr>
            <w:r w:rsidRPr="00150FBA">
              <w:rPr>
                <w:b/>
                <w:szCs w:val="22"/>
              </w:rPr>
              <w:t>)</w:t>
            </w:r>
          </w:p>
          <w:p w:rsidR="00E66A17" w:rsidRPr="00150FBA" w:rsidRDefault="00E66A17" w:rsidP="002572B6">
            <w:pPr>
              <w:rPr>
                <w:b/>
                <w:szCs w:val="22"/>
              </w:rPr>
            </w:pPr>
            <w:r w:rsidRPr="00150FBA">
              <w:rPr>
                <w:b/>
                <w:szCs w:val="22"/>
              </w:rPr>
              <w:t>)</w:t>
            </w:r>
          </w:p>
          <w:p w:rsidR="00E66A17" w:rsidRPr="00150FBA" w:rsidRDefault="00E66A17" w:rsidP="002572B6">
            <w:pPr>
              <w:rPr>
                <w:b/>
                <w:szCs w:val="22"/>
              </w:rPr>
            </w:pPr>
            <w:r w:rsidRPr="00150FBA">
              <w:rPr>
                <w:b/>
                <w:szCs w:val="22"/>
              </w:rPr>
              <w:t>)</w:t>
            </w:r>
          </w:p>
          <w:p w:rsidR="00E66A17" w:rsidRPr="00150FBA" w:rsidRDefault="00E66A17" w:rsidP="002572B6">
            <w:pPr>
              <w:rPr>
                <w:b/>
                <w:szCs w:val="22"/>
              </w:rPr>
            </w:pPr>
            <w:r w:rsidRPr="00150FBA">
              <w:rPr>
                <w:b/>
                <w:szCs w:val="22"/>
              </w:rPr>
              <w:t>)</w:t>
            </w:r>
          </w:p>
          <w:p w:rsidR="00E66A17" w:rsidRPr="00150FBA" w:rsidRDefault="00E66A17" w:rsidP="002572B6">
            <w:pPr>
              <w:rPr>
                <w:b/>
                <w:szCs w:val="22"/>
              </w:rPr>
            </w:pPr>
            <w:r w:rsidRPr="00150FBA">
              <w:rPr>
                <w:b/>
                <w:szCs w:val="22"/>
              </w:rPr>
              <w:t>)</w:t>
            </w:r>
          </w:p>
          <w:p w:rsidR="00E66A17" w:rsidRPr="00150FBA" w:rsidRDefault="00E66A17" w:rsidP="002572B6">
            <w:pPr>
              <w:rPr>
                <w:b/>
                <w:szCs w:val="22"/>
              </w:rPr>
            </w:pPr>
            <w:r w:rsidRPr="00150FBA">
              <w:rPr>
                <w:b/>
                <w:szCs w:val="22"/>
              </w:rPr>
              <w:t>)</w:t>
            </w:r>
          </w:p>
          <w:p w:rsidR="00E66A17" w:rsidRPr="00150FBA" w:rsidRDefault="00E66A17" w:rsidP="002572B6">
            <w:pPr>
              <w:rPr>
                <w:b/>
                <w:szCs w:val="22"/>
              </w:rPr>
            </w:pPr>
            <w:r w:rsidRPr="00150FBA">
              <w:rPr>
                <w:b/>
                <w:szCs w:val="22"/>
              </w:rPr>
              <w:t>)</w:t>
            </w:r>
          </w:p>
          <w:p w:rsidR="00E66A17" w:rsidRPr="00150FBA" w:rsidRDefault="00E66A17" w:rsidP="002572B6">
            <w:pPr>
              <w:rPr>
                <w:b/>
                <w:szCs w:val="22"/>
              </w:rPr>
            </w:pPr>
            <w:r w:rsidRPr="00150FBA">
              <w:rPr>
                <w:b/>
                <w:szCs w:val="22"/>
              </w:rPr>
              <w:t>)</w:t>
            </w:r>
          </w:p>
          <w:p w:rsidR="00E66A17" w:rsidRPr="00150FBA" w:rsidRDefault="00E66A17" w:rsidP="002572B6">
            <w:pPr>
              <w:rPr>
                <w:b/>
                <w:szCs w:val="22"/>
              </w:rPr>
            </w:pPr>
            <w:r w:rsidRPr="00150FBA">
              <w:rPr>
                <w:b/>
                <w:szCs w:val="22"/>
              </w:rPr>
              <w:t>)</w:t>
            </w:r>
          </w:p>
          <w:p w:rsidR="00E66A17" w:rsidRPr="00150FBA" w:rsidRDefault="00E66A17" w:rsidP="002572B6">
            <w:pPr>
              <w:rPr>
                <w:b/>
                <w:szCs w:val="22"/>
              </w:rPr>
            </w:pPr>
            <w:r w:rsidRPr="00150FBA">
              <w:rPr>
                <w:b/>
                <w:szCs w:val="22"/>
              </w:rPr>
              <w:t xml:space="preserve">) </w:t>
            </w:r>
          </w:p>
        </w:tc>
        <w:tc>
          <w:tcPr>
            <w:tcW w:w="4248" w:type="dxa"/>
          </w:tcPr>
          <w:p w:rsidR="00E66A17" w:rsidRPr="00150FBA" w:rsidRDefault="00E66A17" w:rsidP="002572B6">
            <w:pPr>
              <w:rPr>
                <w:szCs w:val="22"/>
              </w:rPr>
            </w:pPr>
          </w:p>
          <w:p w:rsidR="00E66A17" w:rsidRDefault="00E66A17" w:rsidP="002572B6">
            <w:pPr>
              <w:rPr>
                <w:szCs w:val="22"/>
              </w:rPr>
            </w:pPr>
          </w:p>
          <w:p w:rsidR="00E66A17" w:rsidRPr="00150FBA" w:rsidRDefault="00E66A17" w:rsidP="002572B6">
            <w:pPr>
              <w:rPr>
                <w:szCs w:val="22"/>
              </w:rPr>
            </w:pPr>
            <w:r>
              <w:rPr>
                <w:szCs w:val="22"/>
              </w:rPr>
              <w:t>NCE MX Group No. 327</w:t>
            </w:r>
          </w:p>
          <w:p w:rsidR="00E66A17" w:rsidRDefault="00E66A17" w:rsidP="002572B6">
            <w:pPr>
              <w:rPr>
                <w:szCs w:val="22"/>
              </w:rPr>
            </w:pPr>
          </w:p>
          <w:p w:rsidR="00E66A17" w:rsidRPr="00150FBA" w:rsidRDefault="00E66A17" w:rsidP="002572B6">
            <w:pPr>
              <w:rPr>
                <w:szCs w:val="22"/>
              </w:rPr>
            </w:pPr>
            <w:r w:rsidRPr="00150FBA">
              <w:rPr>
                <w:szCs w:val="22"/>
              </w:rPr>
              <w:t xml:space="preserve">File No. </w:t>
            </w:r>
            <w:r>
              <w:rPr>
                <w:szCs w:val="22"/>
              </w:rPr>
              <w:t>BNPED-20071019AME</w:t>
            </w:r>
          </w:p>
          <w:p w:rsidR="00E66A17" w:rsidRPr="00150FBA" w:rsidRDefault="00E66A17" w:rsidP="002572B6">
            <w:pPr>
              <w:rPr>
                <w:szCs w:val="22"/>
              </w:rPr>
            </w:pPr>
            <w:r w:rsidRPr="00150FBA">
              <w:rPr>
                <w:szCs w:val="22"/>
              </w:rPr>
              <w:t xml:space="preserve">Facility I.D. No. </w:t>
            </w:r>
            <w:r>
              <w:rPr>
                <w:szCs w:val="22"/>
              </w:rPr>
              <w:t>175802</w:t>
            </w:r>
            <w:r w:rsidRPr="00150FBA">
              <w:rPr>
                <w:szCs w:val="22"/>
              </w:rPr>
              <w:t xml:space="preserve">                      </w:t>
            </w:r>
          </w:p>
          <w:p w:rsidR="00E66A17" w:rsidRDefault="00E66A17" w:rsidP="002572B6">
            <w:pPr>
              <w:rPr>
                <w:szCs w:val="22"/>
              </w:rPr>
            </w:pPr>
          </w:p>
          <w:p w:rsidR="00E66A17" w:rsidRPr="00150FBA" w:rsidRDefault="00E66A17" w:rsidP="002572B6">
            <w:pPr>
              <w:rPr>
                <w:szCs w:val="22"/>
              </w:rPr>
            </w:pPr>
          </w:p>
          <w:p w:rsidR="00E66A17" w:rsidRDefault="00E66A17" w:rsidP="002572B6">
            <w:pPr>
              <w:rPr>
                <w:szCs w:val="22"/>
              </w:rPr>
            </w:pPr>
          </w:p>
          <w:p w:rsidR="00E66A17" w:rsidRDefault="00E66A17" w:rsidP="002572B6">
            <w:pPr>
              <w:rPr>
                <w:szCs w:val="22"/>
              </w:rPr>
            </w:pPr>
          </w:p>
          <w:p w:rsidR="00E66A17" w:rsidRDefault="00E66A17" w:rsidP="002572B6">
            <w:pPr>
              <w:rPr>
                <w:szCs w:val="22"/>
              </w:rPr>
            </w:pPr>
          </w:p>
          <w:p w:rsidR="00E66A17" w:rsidRPr="00150FBA" w:rsidRDefault="00E66A17" w:rsidP="002572B6">
            <w:pPr>
              <w:rPr>
                <w:szCs w:val="22"/>
              </w:rPr>
            </w:pPr>
            <w:r w:rsidRPr="00150FBA">
              <w:rPr>
                <w:szCs w:val="22"/>
              </w:rPr>
              <w:t xml:space="preserve">File No. </w:t>
            </w:r>
            <w:r>
              <w:rPr>
                <w:szCs w:val="22"/>
              </w:rPr>
              <w:t>BNPED-20071019AMM</w:t>
            </w:r>
          </w:p>
          <w:p w:rsidR="00E66A17" w:rsidRPr="00150FBA" w:rsidRDefault="00E66A17" w:rsidP="002572B6">
            <w:pPr>
              <w:rPr>
                <w:szCs w:val="22"/>
              </w:rPr>
            </w:pPr>
            <w:r w:rsidRPr="00150FBA">
              <w:rPr>
                <w:szCs w:val="22"/>
              </w:rPr>
              <w:t xml:space="preserve">Facility ID No. </w:t>
            </w:r>
            <w:r>
              <w:rPr>
                <w:szCs w:val="22"/>
              </w:rPr>
              <w:t>173376</w:t>
            </w:r>
          </w:p>
          <w:p w:rsidR="00E66A17" w:rsidRPr="00150FBA" w:rsidRDefault="00E66A17" w:rsidP="002572B6">
            <w:pPr>
              <w:rPr>
                <w:szCs w:val="22"/>
              </w:rPr>
            </w:pPr>
          </w:p>
        </w:tc>
      </w:tr>
    </w:tbl>
    <w:p w:rsidR="00841AB1" w:rsidRDefault="00E66A17" w:rsidP="00F021FA">
      <w:pPr>
        <w:pStyle w:val="StyleBoldCentered"/>
      </w:pPr>
      <w:r>
        <w:t>MEMORANDUM OPINION AND ORDER</w:t>
      </w:r>
    </w:p>
    <w:p w:rsidR="004C2EE3" w:rsidRDefault="004C2EE3">
      <w:pPr>
        <w:tabs>
          <w:tab w:val="left" w:pos="-720"/>
        </w:tabs>
        <w:suppressAutoHyphens/>
        <w:spacing w:line="227" w:lineRule="auto"/>
        <w:rPr>
          <w:spacing w:val="-2"/>
        </w:rPr>
      </w:pPr>
    </w:p>
    <w:p w:rsidR="004C2EE3" w:rsidRDefault="004C2EE3" w:rsidP="00133F79">
      <w:pPr>
        <w:tabs>
          <w:tab w:val="left" w:pos="720"/>
          <w:tab w:val="right" w:pos="9360"/>
        </w:tabs>
        <w:suppressAutoHyphens/>
        <w:spacing w:line="227" w:lineRule="auto"/>
        <w:rPr>
          <w:spacing w:val="-2"/>
        </w:rPr>
      </w:pPr>
      <w:r>
        <w:rPr>
          <w:b/>
          <w:spacing w:val="-2"/>
        </w:rPr>
        <w:t xml:space="preserve">Adopted:  </w:t>
      </w:r>
      <w:r w:rsidR="0009224E">
        <w:rPr>
          <w:b/>
          <w:spacing w:val="-2"/>
        </w:rPr>
        <w:t>April 15, 2014</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09224E">
        <w:rPr>
          <w:b/>
          <w:spacing w:val="-2"/>
        </w:rPr>
        <w:t>April 16, 2014</w:t>
      </w:r>
    </w:p>
    <w:p w:rsidR="00822CE0" w:rsidRDefault="00822CE0"/>
    <w:p w:rsidR="004C2EE3" w:rsidRDefault="004C2EE3">
      <w:pPr>
        <w:rPr>
          <w:spacing w:val="-2"/>
        </w:rPr>
      </w:pPr>
      <w:r>
        <w:t xml:space="preserve">By </w:t>
      </w:r>
      <w:r w:rsidR="004E4A22">
        <w:t>the</w:t>
      </w:r>
      <w:r w:rsidR="002A2D2E">
        <w:t xml:space="preserve"> </w:t>
      </w:r>
      <w:r w:rsidR="00E66A17">
        <w:rPr>
          <w:spacing w:val="-2"/>
        </w:rPr>
        <w:t>Commission</w:t>
      </w:r>
      <w:r>
        <w:rPr>
          <w:spacing w:val="-2"/>
        </w:rPr>
        <w:t>:</w:t>
      </w:r>
    </w:p>
    <w:p w:rsidR="00822CE0" w:rsidRDefault="00822CE0">
      <w:pPr>
        <w:rPr>
          <w:spacing w:val="-2"/>
        </w:rPr>
      </w:pPr>
    </w:p>
    <w:p w:rsidR="00E66A17" w:rsidRDefault="00E66A17" w:rsidP="00AB6110">
      <w:pPr>
        <w:pStyle w:val="ParaNum"/>
      </w:pPr>
      <w:r w:rsidRPr="00150FBA">
        <w:t xml:space="preserve">The Commission has before it </w:t>
      </w:r>
      <w:r>
        <w:t>an</w:t>
      </w:r>
      <w:r w:rsidRPr="00150FBA">
        <w:t xml:space="preserve"> Application for Review (“AFR</w:t>
      </w:r>
      <w:r>
        <w:t>”</w:t>
      </w:r>
      <w:r w:rsidRPr="00150FBA">
        <w:t xml:space="preserve">) </w:t>
      </w:r>
      <w:r>
        <w:t xml:space="preserve">filed by Northeast Hartford Acorn (“NHA”) on December 20, 2010.  In the AFR, NHA seeks review of a </w:t>
      </w:r>
      <w:r w:rsidR="009106B2">
        <w:t xml:space="preserve">Media </w:t>
      </w:r>
      <w:r>
        <w:t>Bureau</w:t>
      </w:r>
      <w:r w:rsidR="009106B2">
        <w:t xml:space="preserve"> (“Bureau”)</w:t>
      </w:r>
      <w:r>
        <w:t xml:space="preserve"> decision</w:t>
      </w:r>
      <w:r w:rsidR="009106B2">
        <w:rPr>
          <w:rStyle w:val="FootnoteReference"/>
        </w:rPr>
        <w:footnoteReference w:id="2"/>
      </w:r>
      <w:r>
        <w:t xml:space="preserve"> that denied NHA’s Petition to Deny (“Petition”) the captioned application of Legion of Christ College, Inc. (“LCC”) for a new noncommercial (“NCE”) FM Station at Wethersfield, Connecticut (“LCC Application”), dismissed the captioned application of NHA for a </w:t>
      </w:r>
      <w:r w:rsidR="00122925">
        <w:t>new NCE</w:t>
      </w:r>
      <w:r w:rsidR="00830F22">
        <w:t xml:space="preserve"> </w:t>
      </w:r>
      <w:r w:rsidR="00B7728F">
        <w:t xml:space="preserve">FM </w:t>
      </w:r>
      <w:r>
        <w:t>station at Mancheste</w:t>
      </w:r>
      <w:r w:rsidR="00830F22">
        <w:t>r, Connecticut</w:t>
      </w:r>
      <w:r>
        <w:t>, and granted the LCC Application.</w:t>
      </w:r>
      <w:r w:rsidR="009106B2">
        <w:rPr>
          <w:rStyle w:val="FootnoteReference"/>
        </w:rPr>
        <w:footnoteReference w:id="3"/>
      </w:r>
      <w:r>
        <w:t xml:space="preserve">  For the reasons set forth below, we dismiss the AFR. </w:t>
      </w:r>
    </w:p>
    <w:p w:rsidR="00E66A17" w:rsidRDefault="00E66A17" w:rsidP="002B5F61">
      <w:pPr>
        <w:pStyle w:val="ParaNum"/>
        <w:widowControl/>
      </w:pPr>
      <w:r>
        <w:t>LCC and NHA filed their respective applications during a filing window opened by the Commission in October 2007.</w:t>
      </w:r>
      <w:r>
        <w:rPr>
          <w:rStyle w:val="FootnoteReference"/>
          <w:szCs w:val="22"/>
        </w:rPr>
        <w:footnoteReference w:id="4"/>
      </w:r>
      <w:r>
        <w:t xml:space="preserve">  </w:t>
      </w:r>
      <w:r w:rsidRPr="00EC5899">
        <w:t xml:space="preserve">Subsequently, the Commission determined that the </w:t>
      </w:r>
      <w:r>
        <w:t>applications were mutually exclusive and identified them as part of MX Group 327</w:t>
      </w:r>
      <w:r w:rsidRPr="00EC5899">
        <w:t>.</w:t>
      </w:r>
      <w:r w:rsidRPr="00EC5899">
        <w:rPr>
          <w:rStyle w:val="FootnoteReference"/>
          <w:szCs w:val="22"/>
        </w:rPr>
        <w:footnoteReference w:id="5"/>
      </w:r>
      <w:r>
        <w:t xml:space="preserve">  The Commission identified the LCC </w:t>
      </w:r>
      <w:r>
        <w:lastRenderedPageBreak/>
        <w:t>Application as the tentative selectee of MX Group 327, accepted the LCC Application for filing, and announced a 30-day period for filing petitions to deny the LCC Application.</w:t>
      </w:r>
      <w:r>
        <w:rPr>
          <w:rStyle w:val="FootnoteReference"/>
          <w:szCs w:val="22"/>
        </w:rPr>
        <w:footnoteReference w:id="6"/>
      </w:r>
      <w:r>
        <w:t xml:space="preserve">  </w:t>
      </w:r>
    </w:p>
    <w:p w:rsidR="00E66A17" w:rsidRDefault="00E66A17" w:rsidP="00AB6110">
      <w:pPr>
        <w:pStyle w:val="ParaNum"/>
      </w:pPr>
      <w:r>
        <w:t>NHA filed the Petition on June 28, 2010.</w:t>
      </w:r>
      <w:r>
        <w:rPr>
          <w:rStyle w:val="FootnoteReference"/>
          <w:szCs w:val="22"/>
        </w:rPr>
        <w:footnoteReference w:id="7"/>
      </w:r>
      <w:r>
        <w:t xml:space="preserve">  It argued that</w:t>
      </w:r>
      <w:r w:rsidRPr="00DA3CA5">
        <w:t xml:space="preserve"> LCC lacked reasonable assurance of site availability at the tower site identified in the </w:t>
      </w:r>
      <w:r w:rsidR="001F4889">
        <w:t xml:space="preserve">LCC </w:t>
      </w:r>
      <w:r w:rsidRPr="00DA3CA5">
        <w:t>Application</w:t>
      </w:r>
      <w:r>
        <w:t>.</w:t>
      </w:r>
      <w:r>
        <w:rPr>
          <w:rStyle w:val="FootnoteReference"/>
          <w:szCs w:val="22"/>
        </w:rPr>
        <w:footnoteReference w:id="8"/>
      </w:r>
      <w:r w:rsidRPr="00DA3CA5">
        <w:t xml:space="preserve"> </w:t>
      </w:r>
      <w:r>
        <w:t xml:space="preserve"> NHA explained that one of its representatives contacted </w:t>
      </w:r>
      <w:r w:rsidRPr="00DA3CA5">
        <w:t>SBA</w:t>
      </w:r>
      <w:r>
        <w:t xml:space="preserve"> Communications (“SBA”), the current owner of the tower site,</w:t>
      </w:r>
      <w:r w:rsidRPr="00DA3CA5">
        <w:t xml:space="preserve"> </w:t>
      </w:r>
      <w:r>
        <w:t>and the SBA representative was</w:t>
      </w:r>
      <w:r w:rsidRPr="00DA3CA5">
        <w:t xml:space="preserve"> unable to confirm</w:t>
      </w:r>
      <w:r>
        <w:t xml:space="preserve"> </w:t>
      </w:r>
      <w:r w:rsidRPr="00DA3CA5">
        <w:t>that LCC had obtained permission to use the proposed tower.</w:t>
      </w:r>
      <w:r>
        <w:rPr>
          <w:rStyle w:val="FootnoteReference"/>
          <w:szCs w:val="22"/>
        </w:rPr>
        <w:footnoteReference w:id="9"/>
      </w:r>
      <w:r>
        <w:t xml:space="preserve">  In the Opposition, LCC noted the proposed tower site was, in October of 2007, owned by Optasite Tower, LLC (“Optasite”),  and provided</w:t>
      </w:r>
      <w:r w:rsidRPr="00DA3CA5">
        <w:t xml:space="preserve"> e-mails </w:t>
      </w:r>
      <w:r>
        <w:t xml:space="preserve">dated </w:t>
      </w:r>
      <w:r w:rsidRPr="00DA3CA5">
        <w:t xml:space="preserve">October </w:t>
      </w:r>
      <w:r>
        <w:t xml:space="preserve">16, </w:t>
      </w:r>
      <w:r w:rsidRPr="00DA3CA5">
        <w:t>2007</w:t>
      </w:r>
      <w:r>
        <w:t>,</w:t>
      </w:r>
      <w:r w:rsidRPr="00DA3CA5">
        <w:t xml:space="preserve"> between </w:t>
      </w:r>
      <w:r>
        <w:t xml:space="preserve">Stephen Gajdosik, </w:t>
      </w:r>
      <w:r w:rsidRPr="00DA3CA5">
        <w:t>LCC’s engineer</w:t>
      </w:r>
      <w:r>
        <w:t xml:space="preserve">,  and Kevin Gallagher, </w:t>
      </w:r>
      <w:r w:rsidRPr="00DA3CA5">
        <w:t>a representative of Optasite</w:t>
      </w:r>
      <w:r>
        <w:t>.</w:t>
      </w:r>
      <w:r>
        <w:rPr>
          <w:rStyle w:val="FootnoteReference"/>
          <w:szCs w:val="22"/>
        </w:rPr>
        <w:footnoteReference w:id="10"/>
      </w:r>
      <w:r>
        <w:t xml:space="preserve">  The emails showed </w:t>
      </w:r>
      <w:r w:rsidRPr="00DA3CA5">
        <w:t xml:space="preserve">that </w:t>
      </w:r>
      <w:r>
        <w:t>Gallagher had informed Gajdosik that LCC could use the proposed tower.</w:t>
      </w:r>
      <w:r>
        <w:rPr>
          <w:rStyle w:val="FootnoteReference"/>
          <w:szCs w:val="22"/>
        </w:rPr>
        <w:footnoteReference w:id="11"/>
      </w:r>
      <w:r>
        <w:t xml:space="preserve">  The Bureau determined that these emails demonstrated that </w:t>
      </w:r>
      <w:r w:rsidRPr="00DA3CA5">
        <w:t>L</w:t>
      </w:r>
      <w:r>
        <w:t>C</w:t>
      </w:r>
      <w:r w:rsidRPr="00DA3CA5">
        <w:t>C had obtained reasonabl</w:t>
      </w:r>
      <w:r w:rsidR="00EF1FC0">
        <w:t xml:space="preserve">e assurance prior to filing </w:t>
      </w:r>
      <w:r w:rsidR="001F4889">
        <w:t>the LCC</w:t>
      </w:r>
      <w:r w:rsidR="00EF1FC0">
        <w:t xml:space="preserve"> a</w:t>
      </w:r>
      <w:r w:rsidRPr="00DA3CA5">
        <w:t>pplication.</w:t>
      </w:r>
      <w:r>
        <w:rPr>
          <w:rStyle w:val="FootnoteReference"/>
          <w:szCs w:val="22"/>
        </w:rPr>
        <w:footnoteReference w:id="12"/>
      </w:r>
      <w:r w:rsidRPr="00DA3CA5">
        <w:t xml:space="preserve">  </w:t>
      </w:r>
    </w:p>
    <w:p w:rsidR="00E66A17" w:rsidRPr="00DA3CA5" w:rsidRDefault="00E66A17" w:rsidP="00AB6110">
      <w:pPr>
        <w:pStyle w:val="ParaNum"/>
      </w:pPr>
      <w:r>
        <w:t xml:space="preserve">NHA seeks review of the </w:t>
      </w:r>
      <w:r>
        <w:rPr>
          <w:i/>
        </w:rPr>
        <w:t xml:space="preserve">Staff </w:t>
      </w:r>
      <w:r w:rsidRPr="00E1582B">
        <w:rPr>
          <w:i/>
        </w:rPr>
        <w:t>Decision</w:t>
      </w:r>
      <w:r>
        <w:t>.  It</w:t>
      </w:r>
      <w:r w:rsidRPr="00DA3CA5">
        <w:t xml:space="preserve"> </w:t>
      </w:r>
      <w:r>
        <w:t xml:space="preserve">now </w:t>
      </w:r>
      <w:r w:rsidRPr="00DA3CA5">
        <w:t xml:space="preserve">argues that LCC lacked reasonable assurance of site availability because the proposed tower </w:t>
      </w:r>
      <w:r>
        <w:t xml:space="preserve">did not exist at the time LCC filed its application and </w:t>
      </w:r>
      <w:r w:rsidR="00F84455">
        <w:t xml:space="preserve">that </w:t>
      </w:r>
      <w:r>
        <w:t>in fact Optasite had apparently cancelled its plans to construct the proposed tower in March of 2007</w:t>
      </w:r>
      <w:r w:rsidRPr="00DA3CA5">
        <w:t>.</w:t>
      </w:r>
      <w:r>
        <w:rPr>
          <w:rStyle w:val="FootnoteReference"/>
          <w:szCs w:val="22"/>
        </w:rPr>
        <w:footnoteReference w:id="13"/>
      </w:r>
      <w:r>
        <w:t xml:space="preserve">  NHA</w:t>
      </w:r>
      <w:r w:rsidRPr="00EC5899">
        <w:t xml:space="preserve"> makes th</w:t>
      </w:r>
      <w:r>
        <w:t>is argument</w:t>
      </w:r>
      <w:r w:rsidRPr="00EC5899">
        <w:t xml:space="preserve"> for the first time in</w:t>
      </w:r>
      <w:r>
        <w:t xml:space="preserve"> the</w:t>
      </w:r>
      <w:r w:rsidRPr="00EC5899">
        <w:t xml:space="preserve"> AFR.</w:t>
      </w:r>
    </w:p>
    <w:p w:rsidR="00E66A17" w:rsidRDefault="00E66A17" w:rsidP="00AB6110">
      <w:pPr>
        <w:pStyle w:val="ParaNum"/>
      </w:pPr>
      <w:r w:rsidRPr="00EC5899">
        <w:t xml:space="preserve">Upon review of the AFR and the entire record, we conclude that </w:t>
      </w:r>
      <w:r>
        <w:t>NHA</w:t>
      </w:r>
      <w:r w:rsidRPr="00EC5899">
        <w:t xml:space="preserve">’s argument must fail because </w:t>
      </w:r>
      <w:r>
        <w:t>NHA</w:t>
      </w:r>
      <w:r w:rsidRPr="00EC5899">
        <w:t xml:space="preserve"> never presented </w:t>
      </w:r>
      <w:r>
        <w:t>it</w:t>
      </w:r>
      <w:r w:rsidRPr="00EC5899">
        <w:t xml:space="preserve"> to the Bureau.  Section 5(c)(5) of the Communications Act of 1934, as amended, and Section 1.115(c) of</w:t>
      </w:r>
      <w:r>
        <w:t xml:space="preserve"> the Commission’s Rules</w:t>
      </w:r>
      <w:r w:rsidRPr="00EC5899">
        <w:t xml:space="preserve"> bar applications for review that rely “on questions of fact or law upon which the [designated authority issuing the decision] has been afforded no opportunity to pass.”</w:t>
      </w:r>
      <w:r w:rsidRPr="00EC5899">
        <w:rPr>
          <w:rStyle w:val="FootnoteReference"/>
          <w:szCs w:val="22"/>
        </w:rPr>
        <w:footnoteReference w:id="14"/>
      </w:r>
      <w:r w:rsidRPr="00EC5899">
        <w:t xml:space="preserve">  </w:t>
      </w:r>
      <w:r>
        <w:t>We will therefore dismiss the AFR.</w:t>
      </w:r>
      <w:r>
        <w:rPr>
          <w:rStyle w:val="FootnoteReference"/>
          <w:szCs w:val="22"/>
        </w:rPr>
        <w:footnoteReference w:id="15"/>
      </w:r>
      <w:r w:rsidRPr="00EC5899">
        <w:t xml:space="preserve">  </w:t>
      </w:r>
    </w:p>
    <w:p w:rsidR="00E66A17" w:rsidRPr="00EC5899" w:rsidRDefault="00E66A17" w:rsidP="00AB6110">
      <w:pPr>
        <w:pStyle w:val="ParaNum"/>
      </w:pPr>
      <w:r w:rsidRPr="00EC5899">
        <w:lastRenderedPageBreak/>
        <w:t>ACCORDINGLY, IT IS ORDERED that, pursuant to Section 5(c)(5) of the Communications Act of 1934, as amended,</w:t>
      </w:r>
      <w:r w:rsidRPr="00EC5899">
        <w:rPr>
          <w:rStyle w:val="FootnoteReference"/>
          <w:szCs w:val="22"/>
        </w:rPr>
        <w:footnoteReference w:id="16"/>
      </w:r>
      <w:r w:rsidRPr="00EC5899">
        <w:t xml:space="preserve"> and Section 1.115(c) of the Commission’s Rules,</w:t>
      </w:r>
      <w:r w:rsidRPr="00EC5899">
        <w:rPr>
          <w:rStyle w:val="FootnoteReference"/>
          <w:szCs w:val="22"/>
        </w:rPr>
        <w:footnoteReference w:id="17"/>
      </w:r>
      <w:r w:rsidRPr="00EC5899">
        <w:t xml:space="preserve"> the Application for Review filed by </w:t>
      </w:r>
      <w:r>
        <w:t>Northeast Hartford Acorn</w:t>
      </w:r>
      <w:r w:rsidRPr="00EC5899">
        <w:t xml:space="preserve"> IS DISMISSED.  </w:t>
      </w:r>
    </w:p>
    <w:p w:rsidR="00E66A17" w:rsidRPr="006358C3" w:rsidRDefault="00E66A17" w:rsidP="00E66A17">
      <w:r w:rsidRPr="006358C3">
        <w:tab/>
      </w:r>
      <w:r w:rsidRPr="006358C3">
        <w:tab/>
      </w:r>
      <w:r w:rsidRPr="006358C3">
        <w:tab/>
      </w:r>
      <w:r w:rsidRPr="006358C3">
        <w:tab/>
      </w:r>
      <w:r w:rsidRPr="006358C3">
        <w:tab/>
      </w:r>
      <w:r w:rsidRPr="006358C3">
        <w:tab/>
        <w:t>FEDERAL COMMUNICATIONS COMMISSION</w:t>
      </w:r>
    </w:p>
    <w:p w:rsidR="00E66A17" w:rsidRDefault="00E66A17" w:rsidP="00E66A17"/>
    <w:p w:rsidR="00E66A17" w:rsidRDefault="00E66A17" w:rsidP="00E66A17"/>
    <w:p w:rsidR="0009224E" w:rsidRDefault="0009224E" w:rsidP="00E66A17"/>
    <w:p w:rsidR="00E66A17" w:rsidRPr="006358C3" w:rsidRDefault="00E66A17" w:rsidP="00E66A17"/>
    <w:p w:rsidR="00E66A17" w:rsidRPr="006358C3" w:rsidRDefault="00E66A17" w:rsidP="00E66A17">
      <w:r>
        <w:t xml:space="preserve"> </w:t>
      </w:r>
      <w:r>
        <w:tab/>
      </w:r>
      <w:r>
        <w:tab/>
      </w:r>
      <w:r>
        <w:tab/>
      </w:r>
      <w:r>
        <w:tab/>
      </w:r>
      <w:r>
        <w:tab/>
      </w:r>
      <w:r>
        <w:tab/>
      </w:r>
      <w:r w:rsidRPr="006358C3">
        <w:t>Marlene H. Dortch</w:t>
      </w:r>
    </w:p>
    <w:p w:rsidR="00E66A17" w:rsidRPr="006358C3" w:rsidRDefault="00E66A17" w:rsidP="00E66A17">
      <w:r>
        <w:t xml:space="preserve"> </w:t>
      </w:r>
      <w:r>
        <w:tab/>
      </w:r>
      <w:r>
        <w:tab/>
      </w:r>
      <w:r>
        <w:tab/>
      </w:r>
      <w:r>
        <w:tab/>
      </w:r>
      <w:r>
        <w:tab/>
      </w:r>
      <w:r>
        <w:tab/>
      </w:r>
      <w:r w:rsidRPr="006358C3">
        <w:t>Secretary</w:t>
      </w:r>
    </w:p>
    <w:p w:rsidR="002C00E8" w:rsidRPr="002C00E8" w:rsidRDefault="002C00E8" w:rsidP="00E66A17">
      <w:pPr>
        <w:pStyle w:val="Heading1"/>
        <w:numPr>
          <w:ilvl w:val="0"/>
          <w:numId w:val="0"/>
        </w:numPr>
        <w:ind w:left="720" w:hanging="720"/>
      </w:pPr>
    </w:p>
    <w:sectPr w:rsidR="002C00E8" w:rsidRPr="002C00E8" w:rsidSect="0055614C">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pgMar w:top="1440" w:right="1440" w:bottom="720" w:left="1440" w:header="720" w:footer="720" w:gutter="0"/>
      <w:pgNumType w:start="1"/>
      <w:cols w:space="720"/>
      <w:noEndnote/>
      <w:titlePg/>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Manifest>
    <wne:toolbarData r:id="rId1"/>
  </wne:toolbars>
  <wne:acds>
    <wne:acd wne:argValue="AgBQAGEAcgBhAE4AdQBtAA==" wne:acdName="acd0" wne:fciIndexBasedOn="0065"/>
    <wne:acd wne:argValue="AQAAAAAA" wne:acdName="acd1"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5460" w:rsidRDefault="006C5460">
      <w:pPr>
        <w:spacing w:line="20" w:lineRule="exact"/>
      </w:pPr>
    </w:p>
  </w:endnote>
  <w:endnote w:type="continuationSeparator" w:id="0">
    <w:p w:rsidR="006C5460" w:rsidRDefault="006C5460">
      <w:r>
        <w:t xml:space="preserve"> </w:t>
      </w:r>
    </w:p>
  </w:endnote>
  <w:endnote w:type="continuationNotice" w:id="1">
    <w:p w:rsidR="006C5460" w:rsidRDefault="006C5460">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panose1 w:val="02020803070505020304"/>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7240A5">
      <w:rPr>
        <w:noProof/>
      </w:rPr>
      <w:t>2</w:t>
    </w:r>
    <w:r>
      <w:fldChar w:fldCharType="end"/>
    </w:r>
  </w:p>
  <w:p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5460" w:rsidRDefault="006C5460">
      <w:r>
        <w:separator/>
      </w:r>
    </w:p>
  </w:footnote>
  <w:footnote w:type="continuationSeparator" w:id="0">
    <w:p w:rsidR="006C5460" w:rsidRDefault="006C5460" w:rsidP="00C721AC">
      <w:pPr>
        <w:spacing w:before="120"/>
        <w:rPr>
          <w:sz w:val="20"/>
        </w:rPr>
      </w:pPr>
      <w:r>
        <w:rPr>
          <w:sz w:val="20"/>
        </w:rPr>
        <w:t xml:space="preserve">(Continued from previous page)  </w:t>
      </w:r>
      <w:r>
        <w:rPr>
          <w:sz w:val="20"/>
        </w:rPr>
        <w:separator/>
      </w:r>
    </w:p>
  </w:footnote>
  <w:footnote w:type="continuationNotice" w:id="1">
    <w:p w:rsidR="006C5460" w:rsidRDefault="006C5460" w:rsidP="00C721AC">
      <w:pPr>
        <w:jc w:val="right"/>
        <w:rPr>
          <w:sz w:val="20"/>
        </w:rPr>
      </w:pPr>
      <w:r>
        <w:rPr>
          <w:sz w:val="20"/>
        </w:rPr>
        <w:t>(continued….)</w:t>
      </w:r>
    </w:p>
  </w:footnote>
  <w:footnote w:id="2">
    <w:p w:rsidR="009106B2" w:rsidRPr="00FD5A10" w:rsidRDefault="009106B2" w:rsidP="009106B2">
      <w:pPr>
        <w:pStyle w:val="FootnoteText"/>
      </w:pPr>
      <w:r w:rsidRPr="00FD5A10">
        <w:rPr>
          <w:rStyle w:val="FootnoteReference"/>
        </w:rPr>
        <w:footnoteRef/>
      </w:r>
      <w:r w:rsidRPr="00FD5A10">
        <w:t xml:space="preserve"> </w:t>
      </w:r>
      <w:r w:rsidRPr="00FD5A10">
        <w:rPr>
          <w:i/>
        </w:rPr>
        <w:t>NCE MX Group 327</w:t>
      </w:r>
      <w:r w:rsidRPr="00FD5A10">
        <w:t>, Letter, Ref. 1800B3-VMM (MB Nov. 18, 2010) (“</w:t>
      </w:r>
      <w:r w:rsidRPr="00FD5A10">
        <w:rPr>
          <w:i/>
        </w:rPr>
        <w:t>Staff Decision</w:t>
      </w:r>
      <w:r w:rsidRPr="00FD5A10">
        <w:t xml:space="preserve">”).  </w:t>
      </w:r>
      <w:r w:rsidRPr="00FD5A10">
        <w:rPr>
          <w:i/>
        </w:rPr>
        <w:t>See also Broadcast Actions</w:t>
      </w:r>
      <w:r w:rsidRPr="00FD5A10">
        <w:t>, Report No. 47368 (MB Nov. 23, 2010).</w:t>
      </w:r>
    </w:p>
  </w:footnote>
  <w:footnote w:id="3">
    <w:p w:rsidR="009106B2" w:rsidRDefault="009106B2" w:rsidP="009106B2">
      <w:pPr>
        <w:pStyle w:val="FootnoteText"/>
      </w:pPr>
      <w:r>
        <w:rPr>
          <w:rStyle w:val="FootnoteReference"/>
        </w:rPr>
        <w:footnoteRef/>
      </w:r>
      <w:r>
        <w:t xml:space="preserve"> LCC filed an Opposition on January 24, 2011 (“AFR Opposition”).  NHA filed a Reply on February 1, 2011 (“AFR Reply”).  NHA argues in the AFR Reply that the AFR Opposition is defective because the Certificate of Service did not indicate that a copy had been provided to the Office of the Secretary, but rather only to NHA and </w:t>
      </w:r>
      <w:r w:rsidRPr="00C320E1">
        <w:t>the Bureau</w:t>
      </w:r>
      <w:r w:rsidR="000C7B27">
        <w:t xml:space="preserve">.  </w:t>
      </w:r>
      <w:r w:rsidRPr="00C320E1">
        <w:rPr>
          <w:i/>
        </w:rPr>
        <w:t xml:space="preserve">See </w:t>
      </w:r>
      <w:r w:rsidRPr="00C320E1">
        <w:t>AFR Reply at 2</w:t>
      </w:r>
      <w:r w:rsidRPr="00C320E1">
        <w:rPr>
          <w:i/>
        </w:rPr>
        <w:t>.</w:t>
      </w:r>
      <w:r w:rsidRPr="00C320E1">
        <w:t xml:space="preserve">  Contrary to NHA’s assertions, Commission records confirm that the AFR Opposition was properly filed with the Office of the Secretary</w:t>
      </w:r>
      <w:r>
        <w:t xml:space="preserve"> </w:t>
      </w:r>
      <w:r w:rsidRPr="00C320E1">
        <w:t xml:space="preserve">on January 24, 2011.    </w:t>
      </w:r>
    </w:p>
  </w:footnote>
  <w:footnote w:id="4">
    <w:p w:rsidR="00E66A17" w:rsidRPr="00FD5A10" w:rsidRDefault="00E66A17" w:rsidP="00E66A17">
      <w:pPr>
        <w:pStyle w:val="FootnoteText"/>
      </w:pPr>
      <w:r w:rsidRPr="00FD5A10">
        <w:rPr>
          <w:rStyle w:val="FootnoteReference"/>
        </w:rPr>
        <w:footnoteRef/>
      </w:r>
      <w:r w:rsidRPr="00FD5A10">
        <w:t xml:space="preserve"> </w:t>
      </w:r>
      <w:r w:rsidRPr="00FD5A10">
        <w:rPr>
          <w:i/>
        </w:rPr>
        <w:t>Media Bureau Announces NCE FM New Station and Major Modification Application Filing Window for New and Certain Pending Proposals; Window to Open on October 12, 2007</w:t>
      </w:r>
      <w:r w:rsidRPr="00FD5A10">
        <w:t>, Public Notice, 22 FCC Rcd 6726 (MB 2007).</w:t>
      </w:r>
    </w:p>
  </w:footnote>
  <w:footnote w:id="5">
    <w:p w:rsidR="00E66A17" w:rsidRPr="00FD5A10" w:rsidRDefault="00E66A17" w:rsidP="00E66A17">
      <w:pPr>
        <w:pStyle w:val="FootnoteText"/>
      </w:pPr>
      <w:r w:rsidRPr="00FD5A10">
        <w:rPr>
          <w:rStyle w:val="FootnoteReference"/>
        </w:rPr>
        <w:footnoteRef/>
      </w:r>
      <w:r w:rsidRPr="00FD5A10">
        <w:t xml:space="preserve"> </w:t>
      </w:r>
      <w:r w:rsidRPr="00FD5A10">
        <w:rPr>
          <w:i/>
        </w:rPr>
        <w:t>Media Bureau Announces Groups of Mutually Exclusive Applications Submitted in the October 2007 Filing Window for Noncommercial Educational FM Stations</w:t>
      </w:r>
      <w:r w:rsidRPr="00FD5A10">
        <w:t xml:space="preserve">, Public Notice, 23 FCC Rcd 95084 (MB 2008).  </w:t>
      </w:r>
    </w:p>
  </w:footnote>
  <w:footnote w:id="6">
    <w:p w:rsidR="00E66A17" w:rsidRPr="00FD5A10" w:rsidRDefault="00E66A17" w:rsidP="00E66A17">
      <w:pPr>
        <w:pStyle w:val="FootnoteText"/>
      </w:pPr>
      <w:r w:rsidRPr="00FD5A10">
        <w:rPr>
          <w:rStyle w:val="FootnoteReference"/>
        </w:rPr>
        <w:footnoteRef/>
      </w:r>
      <w:r w:rsidRPr="00FD5A10">
        <w:t xml:space="preserve"> </w:t>
      </w:r>
      <w:r w:rsidRPr="00FD5A10">
        <w:rPr>
          <w:i/>
        </w:rPr>
        <w:t>See Comparative Consideration of 52 Groups of Mutually Exclusive Applications for Permits to Construct New or Modified Noncommercial Educational FM Stations filed in the October 2007 Filing Window</w:t>
      </w:r>
      <w:r w:rsidRPr="00FD5A10">
        <w:t>, Memorandum Opinion and Order, 25 FCC Rcd 8793, 8811, 8840 (2010).</w:t>
      </w:r>
    </w:p>
  </w:footnote>
  <w:footnote w:id="7">
    <w:p w:rsidR="00E66A17" w:rsidRPr="00FD5A10" w:rsidRDefault="00E66A17" w:rsidP="00E66A17">
      <w:pPr>
        <w:pStyle w:val="FootnoteText"/>
      </w:pPr>
      <w:r w:rsidRPr="00FD5A10">
        <w:rPr>
          <w:rStyle w:val="FootnoteReference"/>
        </w:rPr>
        <w:footnoteRef/>
      </w:r>
      <w:r w:rsidRPr="00FD5A10">
        <w:t xml:space="preserve"> LCC filed an Opposition on August 26, 2010</w:t>
      </w:r>
      <w:r w:rsidR="00B96AD6">
        <w:t xml:space="preserve"> (“Opposition”)</w:t>
      </w:r>
      <w:r w:rsidRPr="00FD5A10">
        <w:t>.  NHA filed a Reply on February 2, 2011.</w:t>
      </w:r>
    </w:p>
  </w:footnote>
  <w:footnote w:id="8">
    <w:p w:rsidR="00E66A17" w:rsidRPr="00FD5A10" w:rsidRDefault="00E66A17" w:rsidP="00E66A17">
      <w:pPr>
        <w:pStyle w:val="FootnoteText"/>
      </w:pPr>
      <w:r w:rsidRPr="00FD5A10">
        <w:rPr>
          <w:rStyle w:val="FootnoteReference"/>
        </w:rPr>
        <w:footnoteRef/>
      </w:r>
      <w:r w:rsidRPr="00FD5A10">
        <w:t xml:space="preserve"> LCC Application at Section VII, Question 3.  The </w:t>
      </w:r>
      <w:r w:rsidRPr="00FD5A10">
        <w:rPr>
          <w:i/>
        </w:rPr>
        <w:t>Staff Decision</w:t>
      </w:r>
      <w:r w:rsidRPr="00FD5A10">
        <w:t xml:space="preserve"> incorrectly stated that LCC proposed to mount its antenna on an existing tower.  LCC never made such a representation in its application or subsequent pleadings.</w:t>
      </w:r>
    </w:p>
  </w:footnote>
  <w:footnote w:id="9">
    <w:p w:rsidR="00E66A17" w:rsidRPr="00FD5A10" w:rsidRDefault="00E66A17" w:rsidP="00E66A17">
      <w:pPr>
        <w:pStyle w:val="FootnoteText"/>
      </w:pPr>
      <w:r w:rsidRPr="00FD5A10">
        <w:rPr>
          <w:rStyle w:val="FootnoteReference"/>
        </w:rPr>
        <w:footnoteRef/>
      </w:r>
      <w:r w:rsidRPr="00FD5A10">
        <w:t xml:space="preserve"> Petition at 2.  </w:t>
      </w:r>
      <w:r w:rsidR="00612E9A">
        <w:t xml:space="preserve">As noted by the Bureau in the </w:t>
      </w:r>
      <w:r w:rsidR="00612E9A" w:rsidRPr="00B7728F">
        <w:rPr>
          <w:i/>
        </w:rPr>
        <w:t>Staff Decision</w:t>
      </w:r>
      <w:r w:rsidR="00612E9A">
        <w:t xml:space="preserve">, </w:t>
      </w:r>
      <w:r w:rsidR="00EB5E29">
        <w:t>NHA failed to provide the name</w:t>
      </w:r>
      <w:r w:rsidR="00041DD6">
        <w:t xml:space="preserve"> of its representative or that of </w:t>
      </w:r>
      <w:r w:rsidR="00EB5E29">
        <w:t xml:space="preserve">the </w:t>
      </w:r>
      <w:r w:rsidR="00041DD6">
        <w:t xml:space="preserve">SBA </w:t>
      </w:r>
      <w:r w:rsidR="00EB5E29">
        <w:t xml:space="preserve">representative </w:t>
      </w:r>
      <w:r w:rsidR="00041DD6">
        <w:t xml:space="preserve">with whom he or she spoke, much less an affidavit of an individual with first-hand knowledge of such a conversation attesting to </w:t>
      </w:r>
      <w:r w:rsidR="00612E9A">
        <w:t>NHA’s</w:t>
      </w:r>
      <w:r w:rsidR="00041DD6">
        <w:t xml:space="preserve"> allegations.  </w:t>
      </w:r>
      <w:r w:rsidR="00041DD6" w:rsidRPr="00B7728F">
        <w:rPr>
          <w:i/>
        </w:rPr>
        <w:t>See</w:t>
      </w:r>
      <w:r w:rsidR="00041DD6">
        <w:t xml:space="preserve"> </w:t>
      </w:r>
      <w:r w:rsidR="00612E9A">
        <w:t xml:space="preserve">47 USC </w:t>
      </w:r>
      <w:r w:rsidR="00612E9A" w:rsidRPr="00FD5A10">
        <w:t>§</w:t>
      </w:r>
      <w:r w:rsidR="00612E9A">
        <w:t xml:space="preserve"> 309(d)(1).</w:t>
      </w:r>
      <w:r w:rsidR="00392367">
        <w:t xml:space="preserve"> </w:t>
      </w:r>
    </w:p>
  </w:footnote>
  <w:footnote w:id="10">
    <w:p w:rsidR="00E66A17" w:rsidRPr="00FD5A10" w:rsidRDefault="00E66A17" w:rsidP="00E66A17">
      <w:pPr>
        <w:pStyle w:val="FootnoteText"/>
      </w:pPr>
      <w:r w:rsidRPr="00FD5A10">
        <w:rPr>
          <w:rStyle w:val="FootnoteReference"/>
        </w:rPr>
        <w:footnoteRef/>
      </w:r>
      <w:r w:rsidRPr="00FD5A10">
        <w:t xml:space="preserve"> Opposition at 3 and Attachment 1.</w:t>
      </w:r>
    </w:p>
  </w:footnote>
  <w:footnote w:id="11">
    <w:p w:rsidR="00E66A17" w:rsidRPr="00FD5A10" w:rsidRDefault="00E66A17" w:rsidP="00E66A17">
      <w:pPr>
        <w:pStyle w:val="FootnoteText"/>
      </w:pPr>
      <w:r w:rsidRPr="00FD5A10">
        <w:rPr>
          <w:rStyle w:val="FootnoteReference"/>
        </w:rPr>
        <w:footnoteRef/>
      </w:r>
      <w:r w:rsidRPr="00FD5A10">
        <w:t xml:space="preserve"> </w:t>
      </w:r>
      <w:r w:rsidRPr="00FD5A10">
        <w:rPr>
          <w:i/>
        </w:rPr>
        <w:t>Id</w:t>
      </w:r>
      <w:r w:rsidRPr="00FD5A10">
        <w:t>. at Attachment 1.</w:t>
      </w:r>
    </w:p>
  </w:footnote>
  <w:footnote w:id="12">
    <w:p w:rsidR="00E66A17" w:rsidRPr="00FD5A10" w:rsidRDefault="00E66A17" w:rsidP="00E66A17">
      <w:pPr>
        <w:pStyle w:val="FootnoteText"/>
      </w:pPr>
      <w:r w:rsidRPr="00FD5A10">
        <w:rPr>
          <w:rStyle w:val="FootnoteReference"/>
        </w:rPr>
        <w:footnoteRef/>
      </w:r>
      <w:r w:rsidRPr="00FD5A10">
        <w:t xml:space="preserve"> </w:t>
      </w:r>
      <w:r w:rsidRPr="00FD5A10">
        <w:rPr>
          <w:i/>
        </w:rPr>
        <w:t xml:space="preserve">Staff Decision </w:t>
      </w:r>
      <w:r w:rsidRPr="00FD5A10">
        <w:t>at 2-3.</w:t>
      </w:r>
    </w:p>
  </w:footnote>
  <w:footnote w:id="13">
    <w:p w:rsidR="00E66A17" w:rsidRPr="00FD5A10" w:rsidRDefault="00E66A17" w:rsidP="00E66A17">
      <w:pPr>
        <w:pStyle w:val="FootnoteText"/>
      </w:pPr>
      <w:r w:rsidRPr="00FD5A10">
        <w:rPr>
          <w:rStyle w:val="FootnoteReference"/>
        </w:rPr>
        <w:footnoteRef/>
      </w:r>
      <w:r w:rsidRPr="00FD5A10">
        <w:t xml:space="preserve"> AFR at 2-3.</w:t>
      </w:r>
    </w:p>
  </w:footnote>
  <w:footnote w:id="14">
    <w:p w:rsidR="00E66A17" w:rsidRPr="00FD5A10" w:rsidRDefault="00E66A17" w:rsidP="00E66A17">
      <w:pPr>
        <w:pStyle w:val="FootnoteText"/>
      </w:pPr>
      <w:r w:rsidRPr="00FD5A10">
        <w:rPr>
          <w:rStyle w:val="FootnoteReference"/>
        </w:rPr>
        <w:footnoteRef/>
      </w:r>
      <w:r w:rsidRPr="00FD5A10">
        <w:t xml:space="preserve"> </w:t>
      </w:r>
      <w:r w:rsidRPr="00FD5A10">
        <w:rPr>
          <w:i/>
          <w:iCs/>
        </w:rPr>
        <w:t>See</w:t>
      </w:r>
      <w:r w:rsidRPr="00FD5A10">
        <w:t xml:space="preserve"> 47 U.S.C. § 155(c)(5); 47 C.F.R. §</w:t>
      </w:r>
      <w:r>
        <w:t xml:space="preserve"> 1.115(c); </w:t>
      </w:r>
      <w:r>
        <w:rPr>
          <w:i/>
        </w:rPr>
        <w:t xml:space="preserve">BDPCS, Inc. v. FCC, </w:t>
      </w:r>
      <w:r>
        <w:t>351 F.3d 1177, 1184 (D.C. Cir. 2003) (upholding Commission’s order dismissing arguments under Section 1.115(c) because that rule does not allow the Commission to grant an application for review if it relies upon arguments that were not presented below).</w:t>
      </w:r>
    </w:p>
  </w:footnote>
  <w:footnote w:id="15">
    <w:p w:rsidR="00E66A17" w:rsidRPr="00FD5A10" w:rsidRDefault="00E66A17" w:rsidP="00E66A17">
      <w:pPr>
        <w:pStyle w:val="FootnoteText"/>
      </w:pPr>
      <w:r w:rsidRPr="00FD5A10">
        <w:rPr>
          <w:rStyle w:val="FootnoteReference"/>
        </w:rPr>
        <w:footnoteRef/>
      </w:r>
      <w:r w:rsidRPr="00FD5A10">
        <w:t xml:space="preserve"> </w:t>
      </w:r>
      <w:r>
        <w:t>In any event</w:t>
      </w:r>
      <w:r w:rsidRPr="00FD5A10">
        <w:t xml:space="preserve">, were we to consider NHA’s new argument, we would deny the AFR.  Even if Optasite did not intend to construct the proposed tower, its agent nonetheless indicated that the site was available for LCC’s </w:t>
      </w:r>
      <w:r>
        <w:t>proposed station</w:t>
      </w:r>
      <w:r w:rsidRPr="00FD5A10">
        <w:t xml:space="preserve">.  That is sufficient to satisfy the requirement of reasonable assurance of site availability.  </w:t>
      </w:r>
      <w:r w:rsidRPr="00FD5A10">
        <w:rPr>
          <w:color w:val="000000"/>
          <w:szCs w:val="22"/>
        </w:rPr>
        <w:t xml:space="preserve">The Commission has held that applicants who misplace their reliance on someone who lacks authority have still obtained reasonable assurance.  </w:t>
      </w:r>
      <w:r w:rsidRPr="00FD5A10">
        <w:rPr>
          <w:i/>
        </w:rPr>
        <w:t>See, e.g.</w:t>
      </w:r>
      <w:r w:rsidRPr="00FD5A10">
        <w:t xml:space="preserve">, </w:t>
      </w:r>
      <w:r w:rsidRPr="00FD5A10">
        <w:rPr>
          <w:i/>
        </w:rPr>
        <w:t>Millard V. Oakley</w:t>
      </w:r>
      <w:r w:rsidRPr="00FD5A10">
        <w:t xml:space="preserve">, </w:t>
      </w:r>
      <w:r>
        <w:t xml:space="preserve">Opinion, </w:t>
      </w:r>
      <w:r w:rsidRPr="00FD5A10">
        <w:t>42 RR 2d 1495 (1978) (holding that the recipient of a construction permit for an AM station, whose real estate broker erroneously informed</w:t>
      </w:r>
      <w:r>
        <w:t xml:space="preserve"> him that a site was available</w:t>
      </w:r>
      <w:r w:rsidRPr="00FD5A10">
        <w:t>, had obtained reasonable assurance of site availability)</w:t>
      </w:r>
      <w:r>
        <w:t>.</w:t>
      </w:r>
      <w:r w:rsidRPr="00FD5A10">
        <w:t xml:space="preserve"> </w:t>
      </w:r>
      <w:r>
        <w:t xml:space="preserve"> </w:t>
      </w:r>
      <w:r w:rsidRPr="00FD5A10">
        <w:t xml:space="preserve">Additionally, there is no requirement that an applicant propose using an </w:t>
      </w:r>
      <w:r w:rsidRPr="00FD5A10">
        <w:rPr>
          <w:i/>
        </w:rPr>
        <w:t>existing</w:t>
      </w:r>
      <w:r w:rsidRPr="00FD5A10">
        <w:t xml:space="preserve"> tower at the time it files its application.  </w:t>
      </w:r>
      <w:r w:rsidRPr="00FD5A10">
        <w:rPr>
          <w:i/>
        </w:rPr>
        <w:t>See, e.g., NCE Reserved Allotment Group 7</w:t>
      </w:r>
      <w:r w:rsidRPr="00FD5A10">
        <w:t xml:space="preserve">, Letter, 27 FCC Rcd 11218, 11221-23 (MB 2012) (finding that applicant had reasonable assurance of site availability where land owner had agreed to allow it to construct a new tower on the specified site).  </w:t>
      </w:r>
    </w:p>
  </w:footnote>
  <w:footnote w:id="16">
    <w:p w:rsidR="00E66A17" w:rsidRPr="00FD5A10" w:rsidRDefault="00E66A17" w:rsidP="00E66A17">
      <w:pPr>
        <w:pStyle w:val="FootnoteText"/>
      </w:pPr>
      <w:r w:rsidRPr="00FD5A10">
        <w:rPr>
          <w:rStyle w:val="FootnoteReference"/>
        </w:rPr>
        <w:footnoteRef/>
      </w:r>
      <w:r w:rsidRPr="00FD5A10">
        <w:t xml:space="preserve"> 47 U.S.C. § 155(c)(5).</w:t>
      </w:r>
    </w:p>
  </w:footnote>
  <w:footnote w:id="17">
    <w:p w:rsidR="00E66A17" w:rsidRPr="00FD5A10" w:rsidRDefault="00E66A17" w:rsidP="00E66A17">
      <w:pPr>
        <w:pStyle w:val="FootnoteText"/>
      </w:pPr>
      <w:r w:rsidRPr="00FD5A10">
        <w:rPr>
          <w:rStyle w:val="FootnoteReference"/>
        </w:rPr>
        <w:footnoteRef/>
      </w:r>
      <w:r w:rsidRPr="00FD5A10">
        <w:t xml:space="preserve"> 47 C.F.R. § 1.115(g).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597" w:rsidRDefault="007C659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810B6F">
    <w:pPr>
      <w:pStyle w:val="Header"/>
      <w:rPr>
        <w:b w:val="0"/>
      </w:rPr>
    </w:pPr>
    <w:r>
      <w:tab/>
      <w:t>Federal Communications Commission</w:t>
    </w:r>
    <w:r>
      <w:tab/>
    </w:r>
    <w:r w:rsidR="0009224E">
      <w:t>FCC 14-42</w:t>
    </w:r>
  </w:p>
  <w:p w:rsidR="00D25FB5" w:rsidRDefault="00E66A17">
    <w:pPr>
      <w:tabs>
        <w:tab w:val="left" w:pos="-720"/>
      </w:tabs>
      <w:suppressAutoHyphens/>
      <w:spacing w:line="19" w:lineRule="exact"/>
      <w:rPr>
        <w:spacing w:val="-2"/>
      </w:rPr>
    </w:pPr>
    <w:r>
      <w:rPr>
        <w:noProof/>
        <w:snapToGrid/>
      </w:rPr>
      <mc:AlternateContent>
        <mc:Choice Requires="wps">
          <w:drawing>
            <wp:anchor distT="0" distB="0" distL="114300" distR="114300" simplePos="0" relativeHeight="251657216" behindDoc="1" locked="0" layoutInCell="0" allowOverlap="1" wp14:anchorId="504402AD" wp14:editId="5C2778BE">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E66A17" w:rsidP="00810B6F">
    <w:pPr>
      <w:pStyle w:val="Header"/>
      <w:rPr>
        <w:b w:val="0"/>
      </w:rPr>
    </w:pPr>
    <w:r>
      <w:rPr>
        <w:noProof/>
        <w:snapToGrid/>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00D25FB5">
      <w:tab/>
      <w:t>Federal Communications Commission</w:t>
    </w:r>
    <w:r w:rsidR="00D25FB5">
      <w:tab/>
    </w:r>
    <w:r w:rsidR="0009224E">
      <w:rPr>
        <w:spacing w:val="-2"/>
      </w:rPr>
      <w:t>FCC 14-42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3D0F1B3D"/>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843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E97"/>
    <w:rsid w:val="00036039"/>
    <w:rsid w:val="00037F90"/>
    <w:rsid w:val="00041DD6"/>
    <w:rsid w:val="000875BF"/>
    <w:rsid w:val="0009224E"/>
    <w:rsid w:val="00096D8C"/>
    <w:rsid w:val="000C0B65"/>
    <w:rsid w:val="000C7B27"/>
    <w:rsid w:val="000E05FE"/>
    <w:rsid w:val="000E3D42"/>
    <w:rsid w:val="00122925"/>
    <w:rsid w:val="00122BD5"/>
    <w:rsid w:val="00126D3C"/>
    <w:rsid w:val="00133F79"/>
    <w:rsid w:val="001949F2"/>
    <w:rsid w:val="00194A66"/>
    <w:rsid w:val="001B6FB8"/>
    <w:rsid w:val="001D6BCF"/>
    <w:rsid w:val="001E01CA"/>
    <w:rsid w:val="001F4889"/>
    <w:rsid w:val="00255FFF"/>
    <w:rsid w:val="00262A7E"/>
    <w:rsid w:val="00275CF5"/>
    <w:rsid w:val="0028301F"/>
    <w:rsid w:val="00285017"/>
    <w:rsid w:val="002A2D2E"/>
    <w:rsid w:val="002B5F61"/>
    <w:rsid w:val="002B7FC6"/>
    <w:rsid w:val="002C00E8"/>
    <w:rsid w:val="002C360E"/>
    <w:rsid w:val="00343749"/>
    <w:rsid w:val="003660ED"/>
    <w:rsid w:val="00387346"/>
    <w:rsid w:val="00392367"/>
    <w:rsid w:val="003B0550"/>
    <w:rsid w:val="003B694F"/>
    <w:rsid w:val="003F171C"/>
    <w:rsid w:val="00412FC5"/>
    <w:rsid w:val="00422276"/>
    <w:rsid w:val="004242F1"/>
    <w:rsid w:val="00445A00"/>
    <w:rsid w:val="00451B0F"/>
    <w:rsid w:val="004C2EE3"/>
    <w:rsid w:val="004E4A22"/>
    <w:rsid w:val="00511968"/>
    <w:rsid w:val="0055614C"/>
    <w:rsid w:val="005A20C2"/>
    <w:rsid w:val="005E14C2"/>
    <w:rsid w:val="005E4A6F"/>
    <w:rsid w:val="00607304"/>
    <w:rsid w:val="00607BA5"/>
    <w:rsid w:val="0061180A"/>
    <w:rsid w:val="00612E9A"/>
    <w:rsid w:val="00626EB6"/>
    <w:rsid w:val="00644AA8"/>
    <w:rsid w:val="00655D03"/>
    <w:rsid w:val="00683388"/>
    <w:rsid w:val="00683F84"/>
    <w:rsid w:val="006A6A81"/>
    <w:rsid w:val="006C5460"/>
    <w:rsid w:val="006F7393"/>
    <w:rsid w:val="0070224F"/>
    <w:rsid w:val="007115F7"/>
    <w:rsid w:val="007240A5"/>
    <w:rsid w:val="00734E43"/>
    <w:rsid w:val="00785689"/>
    <w:rsid w:val="00785CD1"/>
    <w:rsid w:val="0079754B"/>
    <w:rsid w:val="007A1E6D"/>
    <w:rsid w:val="007B0EB2"/>
    <w:rsid w:val="007C6597"/>
    <w:rsid w:val="007F4B30"/>
    <w:rsid w:val="00810B6F"/>
    <w:rsid w:val="00815531"/>
    <w:rsid w:val="00822CE0"/>
    <w:rsid w:val="00830F22"/>
    <w:rsid w:val="008360AC"/>
    <w:rsid w:val="00841AB1"/>
    <w:rsid w:val="0084529A"/>
    <w:rsid w:val="008C68F1"/>
    <w:rsid w:val="008F529E"/>
    <w:rsid w:val="0090562F"/>
    <w:rsid w:val="00910360"/>
    <w:rsid w:val="009106B2"/>
    <w:rsid w:val="00921803"/>
    <w:rsid w:val="00926503"/>
    <w:rsid w:val="00927443"/>
    <w:rsid w:val="00946EE4"/>
    <w:rsid w:val="009726D8"/>
    <w:rsid w:val="009B5E14"/>
    <w:rsid w:val="009E484D"/>
    <w:rsid w:val="009E71BE"/>
    <w:rsid w:val="009F76DB"/>
    <w:rsid w:val="00A32C3B"/>
    <w:rsid w:val="00A45F4F"/>
    <w:rsid w:val="00A600A9"/>
    <w:rsid w:val="00A71B74"/>
    <w:rsid w:val="00AA3D6F"/>
    <w:rsid w:val="00AA55B7"/>
    <w:rsid w:val="00AA5B9E"/>
    <w:rsid w:val="00AB2407"/>
    <w:rsid w:val="00AB53DF"/>
    <w:rsid w:val="00AB6110"/>
    <w:rsid w:val="00B04B79"/>
    <w:rsid w:val="00B07E5C"/>
    <w:rsid w:val="00B7728F"/>
    <w:rsid w:val="00B77767"/>
    <w:rsid w:val="00B811F7"/>
    <w:rsid w:val="00B96AD6"/>
    <w:rsid w:val="00B97E6C"/>
    <w:rsid w:val="00BA5DC6"/>
    <w:rsid w:val="00BA6196"/>
    <w:rsid w:val="00BC6D8C"/>
    <w:rsid w:val="00C320E1"/>
    <w:rsid w:val="00C34006"/>
    <w:rsid w:val="00C426B1"/>
    <w:rsid w:val="00C57194"/>
    <w:rsid w:val="00C66160"/>
    <w:rsid w:val="00C721AC"/>
    <w:rsid w:val="00C90D6A"/>
    <w:rsid w:val="00CA247E"/>
    <w:rsid w:val="00CA5513"/>
    <w:rsid w:val="00CC72B6"/>
    <w:rsid w:val="00CE467E"/>
    <w:rsid w:val="00CF0D91"/>
    <w:rsid w:val="00D0218D"/>
    <w:rsid w:val="00D25FB5"/>
    <w:rsid w:val="00D44223"/>
    <w:rsid w:val="00DA2529"/>
    <w:rsid w:val="00DB130A"/>
    <w:rsid w:val="00DB2EBB"/>
    <w:rsid w:val="00DC0E91"/>
    <w:rsid w:val="00DC10A1"/>
    <w:rsid w:val="00DC655F"/>
    <w:rsid w:val="00DD0B59"/>
    <w:rsid w:val="00DD7EBD"/>
    <w:rsid w:val="00DF62B6"/>
    <w:rsid w:val="00E07225"/>
    <w:rsid w:val="00E5409F"/>
    <w:rsid w:val="00E66A17"/>
    <w:rsid w:val="00EB5E29"/>
    <w:rsid w:val="00EE6488"/>
    <w:rsid w:val="00EF1FC0"/>
    <w:rsid w:val="00F021FA"/>
    <w:rsid w:val="00F62E97"/>
    <w:rsid w:val="00F64209"/>
    <w:rsid w:val="00F70BAE"/>
    <w:rsid w:val="00F84455"/>
    <w:rsid w:val="00F93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40A5"/>
    <w:pPr>
      <w:widowControl w:val="0"/>
    </w:pPr>
    <w:rPr>
      <w:snapToGrid w:val="0"/>
      <w:kern w:val="28"/>
      <w:sz w:val="22"/>
    </w:rPr>
  </w:style>
  <w:style w:type="paragraph" w:styleId="Heading1">
    <w:name w:val="heading 1"/>
    <w:basedOn w:val="Normal"/>
    <w:next w:val="ParaNum"/>
    <w:qFormat/>
    <w:rsid w:val="007240A5"/>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240A5"/>
    <w:pPr>
      <w:keepNext/>
      <w:numPr>
        <w:ilvl w:val="1"/>
        <w:numId w:val="3"/>
      </w:numPr>
      <w:spacing w:after="120"/>
      <w:outlineLvl w:val="1"/>
    </w:pPr>
    <w:rPr>
      <w:b/>
    </w:rPr>
  </w:style>
  <w:style w:type="paragraph" w:styleId="Heading3">
    <w:name w:val="heading 3"/>
    <w:basedOn w:val="Normal"/>
    <w:next w:val="ParaNum"/>
    <w:qFormat/>
    <w:rsid w:val="007240A5"/>
    <w:pPr>
      <w:keepNext/>
      <w:numPr>
        <w:ilvl w:val="2"/>
        <w:numId w:val="3"/>
      </w:numPr>
      <w:tabs>
        <w:tab w:val="left" w:pos="2160"/>
      </w:tabs>
      <w:spacing w:after="120"/>
      <w:outlineLvl w:val="2"/>
    </w:pPr>
    <w:rPr>
      <w:b/>
    </w:rPr>
  </w:style>
  <w:style w:type="paragraph" w:styleId="Heading4">
    <w:name w:val="heading 4"/>
    <w:basedOn w:val="Normal"/>
    <w:next w:val="ParaNum"/>
    <w:qFormat/>
    <w:rsid w:val="007240A5"/>
    <w:pPr>
      <w:keepNext/>
      <w:numPr>
        <w:ilvl w:val="3"/>
        <w:numId w:val="3"/>
      </w:numPr>
      <w:tabs>
        <w:tab w:val="left" w:pos="2880"/>
      </w:tabs>
      <w:spacing w:after="120"/>
      <w:outlineLvl w:val="3"/>
    </w:pPr>
    <w:rPr>
      <w:b/>
    </w:rPr>
  </w:style>
  <w:style w:type="paragraph" w:styleId="Heading5">
    <w:name w:val="heading 5"/>
    <w:basedOn w:val="Normal"/>
    <w:next w:val="ParaNum"/>
    <w:qFormat/>
    <w:rsid w:val="007240A5"/>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7240A5"/>
    <w:pPr>
      <w:numPr>
        <w:ilvl w:val="5"/>
        <w:numId w:val="3"/>
      </w:numPr>
      <w:tabs>
        <w:tab w:val="left" w:pos="4320"/>
      </w:tabs>
      <w:spacing w:after="120"/>
      <w:outlineLvl w:val="5"/>
    </w:pPr>
    <w:rPr>
      <w:b/>
    </w:rPr>
  </w:style>
  <w:style w:type="paragraph" w:styleId="Heading7">
    <w:name w:val="heading 7"/>
    <w:basedOn w:val="Normal"/>
    <w:next w:val="ParaNum"/>
    <w:qFormat/>
    <w:rsid w:val="007240A5"/>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7240A5"/>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7240A5"/>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7240A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240A5"/>
  </w:style>
  <w:style w:type="paragraph" w:customStyle="1" w:styleId="ParaNum">
    <w:name w:val="ParaNum"/>
    <w:basedOn w:val="Normal"/>
    <w:link w:val="ParaNumChar"/>
    <w:rsid w:val="007240A5"/>
    <w:pPr>
      <w:numPr>
        <w:numId w:val="2"/>
      </w:numPr>
      <w:tabs>
        <w:tab w:val="clear" w:pos="1080"/>
        <w:tab w:val="num" w:pos="1440"/>
      </w:tabs>
      <w:spacing w:after="120"/>
    </w:pPr>
  </w:style>
  <w:style w:type="paragraph" w:styleId="EndnoteText">
    <w:name w:val="endnote text"/>
    <w:basedOn w:val="Normal"/>
    <w:semiHidden/>
    <w:rsid w:val="007240A5"/>
    <w:rPr>
      <w:sz w:val="20"/>
    </w:rPr>
  </w:style>
  <w:style w:type="character" w:styleId="EndnoteReference">
    <w:name w:val="endnote reference"/>
    <w:semiHidden/>
    <w:rsid w:val="007240A5"/>
    <w:rPr>
      <w:vertAlign w:val="superscript"/>
    </w:rPr>
  </w:style>
  <w:style w:type="paragraph" w:styleId="FootnoteText">
    <w:name w:val="footnote text"/>
    <w:aliases w:val="Footnote Text Char,Footnote Text Char3 Char,Footnote Text Char2 Char Char,Footnote Text Char1 Char Char Char,Footnote Text Char7 Char Char Char Char,Footnote Text Char4 Char1 Char Char Char Char,Footnote Text Char2,Footnote Text Char1 Char"/>
    <w:link w:val="FootnoteTextChar1"/>
    <w:rsid w:val="007240A5"/>
    <w:pPr>
      <w:spacing w:after="120"/>
    </w:pPr>
  </w:style>
  <w:style w:type="character" w:styleId="FootnoteReference">
    <w:name w:val="footnote reference"/>
    <w:aliases w:val="Style 12,(NECG) Footnote Reference,Appel note de bas de p,Style 124,o,fr,Style 3,Style 13"/>
    <w:rsid w:val="007240A5"/>
    <w:rPr>
      <w:rFonts w:ascii="Times New Roman" w:hAnsi="Times New Roman"/>
      <w:dstrike w:val="0"/>
      <w:color w:val="auto"/>
      <w:sz w:val="20"/>
      <w:vertAlign w:val="superscript"/>
    </w:rPr>
  </w:style>
  <w:style w:type="paragraph" w:styleId="TOC1">
    <w:name w:val="toc 1"/>
    <w:basedOn w:val="Normal"/>
    <w:next w:val="Normal"/>
    <w:semiHidden/>
    <w:rsid w:val="007240A5"/>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7240A5"/>
    <w:pPr>
      <w:tabs>
        <w:tab w:val="left" w:pos="720"/>
        <w:tab w:val="right" w:leader="dot" w:pos="9360"/>
      </w:tabs>
      <w:suppressAutoHyphens/>
      <w:ind w:left="720" w:right="720" w:hanging="360"/>
    </w:pPr>
    <w:rPr>
      <w:noProof/>
    </w:rPr>
  </w:style>
  <w:style w:type="paragraph" w:styleId="TOC3">
    <w:name w:val="toc 3"/>
    <w:basedOn w:val="Normal"/>
    <w:next w:val="Normal"/>
    <w:semiHidden/>
    <w:rsid w:val="007240A5"/>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7240A5"/>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7240A5"/>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7240A5"/>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7240A5"/>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7240A5"/>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7240A5"/>
    <w:pPr>
      <w:tabs>
        <w:tab w:val="left" w:pos="3240"/>
        <w:tab w:val="right" w:leader="dot" w:pos="9360"/>
      </w:tabs>
      <w:suppressAutoHyphens/>
      <w:ind w:left="3240" w:hanging="360"/>
    </w:pPr>
    <w:rPr>
      <w:noProof/>
    </w:rPr>
  </w:style>
  <w:style w:type="paragraph" w:styleId="TOAHeading">
    <w:name w:val="toa heading"/>
    <w:basedOn w:val="Normal"/>
    <w:next w:val="Normal"/>
    <w:semiHidden/>
    <w:rsid w:val="007240A5"/>
    <w:pPr>
      <w:tabs>
        <w:tab w:val="right" w:pos="9360"/>
      </w:tabs>
      <w:suppressAutoHyphens/>
    </w:pPr>
  </w:style>
  <w:style w:type="character" w:customStyle="1" w:styleId="EquationCaption">
    <w:name w:val="_Equation Caption"/>
    <w:rsid w:val="007240A5"/>
  </w:style>
  <w:style w:type="paragraph" w:styleId="Header">
    <w:name w:val="header"/>
    <w:basedOn w:val="Normal"/>
    <w:autoRedefine/>
    <w:rsid w:val="007240A5"/>
    <w:pPr>
      <w:tabs>
        <w:tab w:val="center" w:pos="4680"/>
        <w:tab w:val="right" w:pos="9360"/>
      </w:tabs>
    </w:pPr>
    <w:rPr>
      <w:b/>
    </w:rPr>
  </w:style>
  <w:style w:type="paragraph" w:styleId="Footer">
    <w:name w:val="footer"/>
    <w:basedOn w:val="Normal"/>
    <w:rsid w:val="007240A5"/>
    <w:pPr>
      <w:tabs>
        <w:tab w:val="center" w:pos="4320"/>
        <w:tab w:val="right" w:pos="8640"/>
      </w:tabs>
    </w:pPr>
  </w:style>
  <w:style w:type="character" w:styleId="PageNumber">
    <w:name w:val="page number"/>
    <w:basedOn w:val="DefaultParagraphFont"/>
    <w:rsid w:val="007240A5"/>
  </w:style>
  <w:style w:type="paragraph" w:styleId="BlockText">
    <w:name w:val="Block Text"/>
    <w:basedOn w:val="Normal"/>
    <w:rsid w:val="007240A5"/>
    <w:pPr>
      <w:spacing w:after="240"/>
      <w:ind w:left="1440" w:right="1440"/>
    </w:pPr>
  </w:style>
  <w:style w:type="paragraph" w:customStyle="1" w:styleId="Paratitle">
    <w:name w:val="Para title"/>
    <w:basedOn w:val="Normal"/>
    <w:rsid w:val="007240A5"/>
    <w:pPr>
      <w:tabs>
        <w:tab w:val="center" w:pos="9270"/>
      </w:tabs>
      <w:spacing w:after="240"/>
    </w:pPr>
    <w:rPr>
      <w:spacing w:val="-2"/>
    </w:rPr>
  </w:style>
  <w:style w:type="paragraph" w:customStyle="1" w:styleId="Bullet">
    <w:name w:val="Bullet"/>
    <w:basedOn w:val="Normal"/>
    <w:rsid w:val="007240A5"/>
    <w:pPr>
      <w:tabs>
        <w:tab w:val="left" w:pos="2160"/>
      </w:tabs>
      <w:spacing w:after="220"/>
      <w:ind w:left="2160" w:hanging="720"/>
    </w:pPr>
  </w:style>
  <w:style w:type="paragraph" w:customStyle="1" w:styleId="TableFormat">
    <w:name w:val="TableFormat"/>
    <w:basedOn w:val="Bullet"/>
    <w:rsid w:val="007240A5"/>
    <w:pPr>
      <w:tabs>
        <w:tab w:val="clear" w:pos="2160"/>
        <w:tab w:val="left" w:pos="5040"/>
      </w:tabs>
      <w:ind w:left="5040" w:hanging="3600"/>
    </w:pPr>
  </w:style>
  <w:style w:type="paragraph" w:customStyle="1" w:styleId="TOCTitle">
    <w:name w:val="TOC Title"/>
    <w:basedOn w:val="Normal"/>
    <w:rsid w:val="007240A5"/>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7240A5"/>
    <w:pPr>
      <w:jc w:val="center"/>
    </w:pPr>
    <w:rPr>
      <w:rFonts w:ascii="Times New Roman Bold" w:hAnsi="Times New Roman Bold"/>
      <w:b/>
      <w:bCs/>
      <w:caps/>
      <w:szCs w:val="22"/>
    </w:rPr>
  </w:style>
  <w:style w:type="character" w:styleId="Hyperlink">
    <w:name w:val="Hyperlink"/>
    <w:rsid w:val="007240A5"/>
    <w:rPr>
      <w:color w:val="0000FF"/>
      <w:u w:val="single"/>
    </w:rPr>
  </w:style>
  <w:style w:type="character" w:customStyle="1" w:styleId="FootnoteTextChar1">
    <w:name w:val="Footnote Text Char1"/>
    <w:aliases w:val="Footnote Text Char Char,Footnote Text Char3 Char Char,Footnote Text Char2 Char Char Char,Footnote Text Char1 Char Char Char Char,Footnote Text Char7 Char Char Char Char Char,Footnote Text Char4 Char1 Char Char Char Char Char"/>
    <w:link w:val="FootnoteText"/>
    <w:rsid w:val="00E66A17"/>
  </w:style>
  <w:style w:type="character" w:customStyle="1" w:styleId="ParaNumChar">
    <w:name w:val="ParaNum Char"/>
    <w:link w:val="ParaNum"/>
    <w:rsid w:val="00E66A17"/>
    <w:rPr>
      <w:snapToGrid w:val="0"/>
      <w:kern w:val="28"/>
      <w:sz w:val="22"/>
    </w:rPr>
  </w:style>
  <w:style w:type="paragraph" w:styleId="BalloonText">
    <w:name w:val="Balloon Text"/>
    <w:basedOn w:val="Normal"/>
    <w:link w:val="BalloonTextChar"/>
    <w:rsid w:val="002B7FC6"/>
    <w:rPr>
      <w:rFonts w:ascii="Tahoma" w:hAnsi="Tahoma" w:cs="Tahoma"/>
      <w:sz w:val="16"/>
      <w:szCs w:val="16"/>
    </w:rPr>
  </w:style>
  <w:style w:type="character" w:customStyle="1" w:styleId="BalloonTextChar">
    <w:name w:val="Balloon Text Char"/>
    <w:basedOn w:val="DefaultParagraphFont"/>
    <w:link w:val="BalloonText"/>
    <w:rsid w:val="002B7FC6"/>
    <w:rPr>
      <w:rFonts w:ascii="Tahoma" w:hAnsi="Tahoma" w:cs="Tahoma"/>
      <w:snapToGrid w:val="0"/>
      <w:kern w:val="28"/>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40A5"/>
    <w:pPr>
      <w:widowControl w:val="0"/>
    </w:pPr>
    <w:rPr>
      <w:snapToGrid w:val="0"/>
      <w:kern w:val="28"/>
      <w:sz w:val="22"/>
    </w:rPr>
  </w:style>
  <w:style w:type="paragraph" w:styleId="Heading1">
    <w:name w:val="heading 1"/>
    <w:basedOn w:val="Normal"/>
    <w:next w:val="ParaNum"/>
    <w:qFormat/>
    <w:rsid w:val="007240A5"/>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240A5"/>
    <w:pPr>
      <w:keepNext/>
      <w:numPr>
        <w:ilvl w:val="1"/>
        <w:numId w:val="3"/>
      </w:numPr>
      <w:spacing w:after="120"/>
      <w:outlineLvl w:val="1"/>
    </w:pPr>
    <w:rPr>
      <w:b/>
    </w:rPr>
  </w:style>
  <w:style w:type="paragraph" w:styleId="Heading3">
    <w:name w:val="heading 3"/>
    <w:basedOn w:val="Normal"/>
    <w:next w:val="ParaNum"/>
    <w:qFormat/>
    <w:rsid w:val="007240A5"/>
    <w:pPr>
      <w:keepNext/>
      <w:numPr>
        <w:ilvl w:val="2"/>
        <w:numId w:val="3"/>
      </w:numPr>
      <w:tabs>
        <w:tab w:val="left" w:pos="2160"/>
      </w:tabs>
      <w:spacing w:after="120"/>
      <w:outlineLvl w:val="2"/>
    </w:pPr>
    <w:rPr>
      <w:b/>
    </w:rPr>
  </w:style>
  <w:style w:type="paragraph" w:styleId="Heading4">
    <w:name w:val="heading 4"/>
    <w:basedOn w:val="Normal"/>
    <w:next w:val="ParaNum"/>
    <w:qFormat/>
    <w:rsid w:val="007240A5"/>
    <w:pPr>
      <w:keepNext/>
      <w:numPr>
        <w:ilvl w:val="3"/>
        <w:numId w:val="3"/>
      </w:numPr>
      <w:tabs>
        <w:tab w:val="left" w:pos="2880"/>
      </w:tabs>
      <w:spacing w:after="120"/>
      <w:outlineLvl w:val="3"/>
    </w:pPr>
    <w:rPr>
      <w:b/>
    </w:rPr>
  </w:style>
  <w:style w:type="paragraph" w:styleId="Heading5">
    <w:name w:val="heading 5"/>
    <w:basedOn w:val="Normal"/>
    <w:next w:val="ParaNum"/>
    <w:qFormat/>
    <w:rsid w:val="007240A5"/>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7240A5"/>
    <w:pPr>
      <w:numPr>
        <w:ilvl w:val="5"/>
        <w:numId w:val="3"/>
      </w:numPr>
      <w:tabs>
        <w:tab w:val="left" w:pos="4320"/>
      </w:tabs>
      <w:spacing w:after="120"/>
      <w:outlineLvl w:val="5"/>
    </w:pPr>
    <w:rPr>
      <w:b/>
    </w:rPr>
  </w:style>
  <w:style w:type="paragraph" w:styleId="Heading7">
    <w:name w:val="heading 7"/>
    <w:basedOn w:val="Normal"/>
    <w:next w:val="ParaNum"/>
    <w:qFormat/>
    <w:rsid w:val="007240A5"/>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7240A5"/>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7240A5"/>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7240A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240A5"/>
  </w:style>
  <w:style w:type="paragraph" w:customStyle="1" w:styleId="ParaNum">
    <w:name w:val="ParaNum"/>
    <w:basedOn w:val="Normal"/>
    <w:link w:val="ParaNumChar"/>
    <w:rsid w:val="007240A5"/>
    <w:pPr>
      <w:numPr>
        <w:numId w:val="2"/>
      </w:numPr>
      <w:tabs>
        <w:tab w:val="clear" w:pos="1080"/>
        <w:tab w:val="num" w:pos="1440"/>
      </w:tabs>
      <w:spacing w:after="120"/>
    </w:pPr>
  </w:style>
  <w:style w:type="paragraph" w:styleId="EndnoteText">
    <w:name w:val="endnote text"/>
    <w:basedOn w:val="Normal"/>
    <w:semiHidden/>
    <w:rsid w:val="007240A5"/>
    <w:rPr>
      <w:sz w:val="20"/>
    </w:rPr>
  </w:style>
  <w:style w:type="character" w:styleId="EndnoteReference">
    <w:name w:val="endnote reference"/>
    <w:semiHidden/>
    <w:rsid w:val="007240A5"/>
    <w:rPr>
      <w:vertAlign w:val="superscript"/>
    </w:rPr>
  </w:style>
  <w:style w:type="paragraph" w:styleId="FootnoteText">
    <w:name w:val="footnote text"/>
    <w:aliases w:val="Footnote Text Char,Footnote Text Char3 Char,Footnote Text Char2 Char Char,Footnote Text Char1 Char Char Char,Footnote Text Char7 Char Char Char Char,Footnote Text Char4 Char1 Char Char Char Char,Footnote Text Char2,Footnote Text Char1 Char"/>
    <w:link w:val="FootnoteTextChar1"/>
    <w:rsid w:val="007240A5"/>
    <w:pPr>
      <w:spacing w:after="120"/>
    </w:pPr>
  </w:style>
  <w:style w:type="character" w:styleId="FootnoteReference">
    <w:name w:val="footnote reference"/>
    <w:aliases w:val="Style 12,(NECG) Footnote Reference,Appel note de bas de p,Style 124,o,fr,Style 3,Style 13"/>
    <w:rsid w:val="007240A5"/>
    <w:rPr>
      <w:rFonts w:ascii="Times New Roman" w:hAnsi="Times New Roman"/>
      <w:dstrike w:val="0"/>
      <w:color w:val="auto"/>
      <w:sz w:val="20"/>
      <w:vertAlign w:val="superscript"/>
    </w:rPr>
  </w:style>
  <w:style w:type="paragraph" w:styleId="TOC1">
    <w:name w:val="toc 1"/>
    <w:basedOn w:val="Normal"/>
    <w:next w:val="Normal"/>
    <w:semiHidden/>
    <w:rsid w:val="007240A5"/>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7240A5"/>
    <w:pPr>
      <w:tabs>
        <w:tab w:val="left" w:pos="720"/>
        <w:tab w:val="right" w:leader="dot" w:pos="9360"/>
      </w:tabs>
      <w:suppressAutoHyphens/>
      <w:ind w:left="720" w:right="720" w:hanging="360"/>
    </w:pPr>
    <w:rPr>
      <w:noProof/>
    </w:rPr>
  </w:style>
  <w:style w:type="paragraph" w:styleId="TOC3">
    <w:name w:val="toc 3"/>
    <w:basedOn w:val="Normal"/>
    <w:next w:val="Normal"/>
    <w:semiHidden/>
    <w:rsid w:val="007240A5"/>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7240A5"/>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7240A5"/>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7240A5"/>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7240A5"/>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7240A5"/>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7240A5"/>
    <w:pPr>
      <w:tabs>
        <w:tab w:val="left" w:pos="3240"/>
        <w:tab w:val="right" w:leader="dot" w:pos="9360"/>
      </w:tabs>
      <w:suppressAutoHyphens/>
      <w:ind w:left="3240" w:hanging="360"/>
    </w:pPr>
    <w:rPr>
      <w:noProof/>
    </w:rPr>
  </w:style>
  <w:style w:type="paragraph" w:styleId="TOAHeading">
    <w:name w:val="toa heading"/>
    <w:basedOn w:val="Normal"/>
    <w:next w:val="Normal"/>
    <w:semiHidden/>
    <w:rsid w:val="007240A5"/>
    <w:pPr>
      <w:tabs>
        <w:tab w:val="right" w:pos="9360"/>
      </w:tabs>
      <w:suppressAutoHyphens/>
    </w:pPr>
  </w:style>
  <w:style w:type="character" w:customStyle="1" w:styleId="EquationCaption">
    <w:name w:val="_Equation Caption"/>
    <w:rsid w:val="007240A5"/>
  </w:style>
  <w:style w:type="paragraph" w:styleId="Header">
    <w:name w:val="header"/>
    <w:basedOn w:val="Normal"/>
    <w:autoRedefine/>
    <w:rsid w:val="007240A5"/>
    <w:pPr>
      <w:tabs>
        <w:tab w:val="center" w:pos="4680"/>
        <w:tab w:val="right" w:pos="9360"/>
      </w:tabs>
    </w:pPr>
    <w:rPr>
      <w:b/>
    </w:rPr>
  </w:style>
  <w:style w:type="paragraph" w:styleId="Footer">
    <w:name w:val="footer"/>
    <w:basedOn w:val="Normal"/>
    <w:rsid w:val="007240A5"/>
    <w:pPr>
      <w:tabs>
        <w:tab w:val="center" w:pos="4320"/>
        <w:tab w:val="right" w:pos="8640"/>
      </w:tabs>
    </w:pPr>
  </w:style>
  <w:style w:type="character" w:styleId="PageNumber">
    <w:name w:val="page number"/>
    <w:basedOn w:val="DefaultParagraphFont"/>
    <w:rsid w:val="007240A5"/>
  </w:style>
  <w:style w:type="paragraph" w:styleId="BlockText">
    <w:name w:val="Block Text"/>
    <w:basedOn w:val="Normal"/>
    <w:rsid w:val="007240A5"/>
    <w:pPr>
      <w:spacing w:after="240"/>
      <w:ind w:left="1440" w:right="1440"/>
    </w:pPr>
  </w:style>
  <w:style w:type="paragraph" w:customStyle="1" w:styleId="Paratitle">
    <w:name w:val="Para title"/>
    <w:basedOn w:val="Normal"/>
    <w:rsid w:val="007240A5"/>
    <w:pPr>
      <w:tabs>
        <w:tab w:val="center" w:pos="9270"/>
      </w:tabs>
      <w:spacing w:after="240"/>
    </w:pPr>
    <w:rPr>
      <w:spacing w:val="-2"/>
    </w:rPr>
  </w:style>
  <w:style w:type="paragraph" w:customStyle="1" w:styleId="Bullet">
    <w:name w:val="Bullet"/>
    <w:basedOn w:val="Normal"/>
    <w:rsid w:val="007240A5"/>
    <w:pPr>
      <w:tabs>
        <w:tab w:val="left" w:pos="2160"/>
      </w:tabs>
      <w:spacing w:after="220"/>
      <w:ind w:left="2160" w:hanging="720"/>
    </w:pPr>
  </w:style>
  <w:style w:type="paragraph" w:customStyle="1" w:styleId="TableFormat">
    <w:name w:val="TableFormat"/>
    <w:basedOn w:val="Bullet"/>
    <w:rsid w:val="007240A5"/>
    <w:pPr>
      <w:tabs>
        <w:tab w:val="clear" w:pos="2160"/>
        <w:tab w:val="left" w:pos="5040"/>
      </w:tabs>
      <w:ind w:left="5040" w:hanging="3600"/>
    </w:pPr>
  </w:style>
  <w:style w:type="paragraph" w:customStyle="1" w:styleId="TOCTitle">
    <w:name w:val="TOC Title"/>
    <w:basedOn w:val="Normal"/>
    <w:rsid w:val="007240A5"/>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7240A5"/>
    <w:pPr>
      <w:jc w:val="center"/>
    </w:pPr>
    <w:rPr>
      <w:rFonts w:ascii="Times New Roman Bold" w:hAnsi="Times New Roman Bold"/>
      <w:b/>
      <w:bCs/>
      <w:caps/>
      <w:szCs w:val="22"/>
    </w:rPr>
  </w:style>
  <w:style w:type="character" w:styleId="Hyperlink">
    <w:name w:val="Hyperlink"/>
    <w:rsid w:val="007240A5"/>
    <w:rPr>
      <w:color w:val="0000FF"/>
      <w:u w:val="single"/>
    </w:rPr>
  </w:style>
  <w:style w:type="character" w:customStyle="1" w:styleId="FootnoteTextChar1">
    <w:name w:val="Footnote Text Char1"/>
    <w:aliases w:val="Footnote Text Char Char,Footnote Text Char3 Char Char,Footnote Text Char2 Char Char Char,Footnote Text Char1 Char Char Char Char,Footnote Text Char7 Char Char Char Char Char,Footnote Text Char4 Char1 Char Char Char Char Char"/>
    <w:link w:val="FootnoteText"/>
    <w:rsid w:val="00E66A17"/>
  </w:style>
  <w:style w:type="character" w:customStyle="1" w:styleId="ParaNumChar">
    <w:name w:val="ParaNum Char"/>
    <w:link w:val="ParaNum"/>
    <w:rsid w:val="00E66A17"/>
    <w:rPr>
      <w:snapToGrid w:val="0"/>
      <w:kern w:val="28"/>
      <w:sz w:val="22"/>
    </w:rPr>
  </w:style>
  <w:style w:type="paragraph" w:styleId="BalloonText">
    <w:name w:val="Balloon Text"/>
    <w:basedOn w:val="Normal"/>
    <w:link w:val="BalloonTextChar"/>
    <w:rsid w:val="002B7FC6"/>
    <w:rPr>
      <w:rFonts w:ascii="Tahoma" w:hAnsi="Tahoma" w:cs="Tahoma"/>
      <w:sz w:val="16"/>
      <w:szCs w:val="16"/>
    </w:rPr>
  </w:style>
  <w:style w:type="character" w:customStyle="1" w:styleId="BalloonTextChar">
    <w:name w:val="Balloon Text Char"/>
    <w:basedOn w:val="DefaultParagraphFont"/>
    <w:link w:val="BalloonText"/>
    <w:rsid w:val="002B7FC6"/>
    <w:rPr>
      <w:rFonts w:ascii="Tahoma" w:hAnsi="Tahoma" w:cs="Tahoma"/>
      <w:snapToGrid w:val="0"/>
      <w:kern w:val="28"/>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569</Words>
  <Characters>3001</Characters>
  <Application>Microsoft Office Word</Application>
  <DocSecurity>0</DocSecurity>
  <Lines>93</Lines>
  <Paragraphs>41</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3644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2014-04-16T12:32:00Z</cp:lastPrinted>
  <dcterms:created xsi:type="dcterms:W3CDTF">2014-04-16T16:48:00Z</dcterms:created>
  <dcterms:modified xsi:type="dcterms:W3CDTF">2014-04-16T16:48:00Z</dcterms:modified>
  <cp:category> </cp:category>
  <cp:contentStatus> </cp:contentStatus>
</cp:coreProperties>
</file>