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80DE" w14:textId="77777777" w:rsidR="00041AC1" w:rsidRPr="00495256" w:rsidRDefault="00041AC1" w:rsidP="00041AC1">
      <w:pPr>
        <w:spacing w:after="240"/>
        <w:jc w:val="center"/>
        <w:rPr>
          <w:b/>
        </w:rPr>
      </w:pPr>
      <w:bookmarkStart w:id="0" w:name="_GoBack"/>
      <w:bookmarkEnd w:id="0"/>
      <w:r w:rsidRPr="00495256">
        <w:rPr>
          <w:b/>
        </w:rPr>
        <w:t>STATEMENT OF</w:t>
      </w:r>
      <w:r w:rsidRPr="00495256">
        <w:rPr>
          <w:b/>
        </w:rPr>
        <w:br/>
        <w:t>COMMISSIONER AJIT PAI</w:t>
      </w:r>
    </w:p>
    <w:p w14:paraId="03B0A88C" w14:textId="77777777" w:rsidR="0071676A" w:rsidRDefault="0071676A" w:rsidP="0071676A">
      <w:pPr>
        <w:ind w:left="720" w:hanging="720"/>
      </w:pPr>
      <w:r w:rsidRPr="00CA0935">
        <w:t>Re</w:t>
      </w:r>
      <w:r w:rsidRPr="00D109B7">
        <w:t>:</w:t>
      </w:r>
      <w:r w:rsidRPr="00AF0BB7">
        <w:rPr>
          <w:i/>
        </w:rPr>
        <w:t xml:space="preserve"> </w:t>
      </w:r>
      <w:r w:rsidRPr="00AF0BB7">
        <w:rPr>
          <w:i/>
        </w:rPr>
        <w:tab/>
      </w:r>
      <w:r w:rsidRPr="00D9606A">
        <w:rPr>
          <w:i/>
        </w:rPr>
        <w:t>Amendment of the Commission's Rules Related to Retransmission Consent</w:t>
      </w:r>
      <w:r w:rsidRPr="00323884">
        <w:rPr>
          <w:i/>
        </w:rPr>
        <w:t xml:space="preserve">, </w:t>
      </w:r>
      <w:r w:rsidRPr="00CA0935">
        <w:t>MB Docket No. 10-71</w:t>
      </w:r>
    </w:p>
    <w:p w14:paraId="2B3EC027" w14:textId="77777777" w:rsidR="0071676A" w:rsidRDefault="0071676A">
      <w:pPr>
        <w:ind w:firstLine="720"/>
      </w:pPr>
    </w:p>
    <w:p w14:paraId="3AC03A95" w14:textId="263905FB" w:rsidR="00A053EF" w:rsidRDefault="00A053EF" w:rsidP="00A053EF">
      <w:pPr>
        <w:ind w:firstLine="720"/>
      </w:pPr>
      <w:r>
        <w:t>When it comes to retransmission</w:t>
      </w:r>
      <w:r w:rsidR="00165E26">
        <w:t xml:space="preserve"> </w:t>
      </w:r>
      <w:r>
        <w:t xml:space="preserve">consent negotiations, I take counsel from </w:t>
      </w:r>
      <w:r w:rsidR="001575CE">
        <w:t>two wise communications experts—</w:t>
      </w:r>
      <w:r>
        <w:t>Rob Base &amp; DJ E-Z Rock</w:t>
      </w:r>
      <w:r w:rsidR="001575CE">
        <w:t>—</w:t>
      </w:r>
      <w:r>
        <w:t>who</w:t>
      </w:r>
      <w:r w:rsidR="00165E26">
        <w:t>se hit song reminds us</w:t>
      </w:r>
      <w:r>
        <w:t>, “It takes two to make a thing go right.”</w:t>
      </w:r>
      <w:r>
        <w:rPr>
          <w:rStyle w:val="FootnoteReference"/>
        </w:rPr>
        <w:footnoteReference w:id="1"/>
      </w:r>
      <w:r>
        <w:t xml:space="preserve">  After carefully reviewing the record and meeting with numerous parties to this proceeding, I have concluded that good-faith </w:t>
      </w:r>
      <w:r w:rsidR="000223DB">
        <w:t xml:space="preserve">retransmission-consent </w:t>
      </w:r>
      <w:r>
        <w:t xml:space="preserve">negotiations generally involve two parties: one </w:t>
      </w:r>
      <w:r w:rsidR="000A4D4B">
        <w:t xml:space="preserve">multichannel video programming distributor (MVPD) </w:t>
      </w:r>
      <w:r>
        <w:t xml:space="preserve">and one broadcast company.  Adding a third or fourth party to the mix raises </w:t>
      </w:r>
      <w:r w:rsidR="001A1640">
        <w:t xml:space="preserve">troubling </w:t>
      </w:r>
      <w:r>
        <w:t>competitive concerns.</w:t>
      </w:r>
    </w:p>
    <w:p w14:paraId="38BCAAA6" w14:textId="77777777" w:rsidR="00C55846" w:rsidRDefault="00C55846" w:rsidP="00A053EF">
      <w:pPr>
        <w:ind w:firstLine="720"/>
      </w:pPr>
    </w:p>
    <w:p w14:paraId="7B94485B" w14:textId="6D5789F7" w:rsidR="00A053EF" w:rsidRDefault="00A053EF" w:rsidP="00A053EF">
      <w:pPr>
        <w:ind w:firstLine="720"/>
      </w:pPr>
      <w:r>
        <w:t xml:space="preserve">Accordingly, I am pleased to support today’s </w:t>
      </w:r>
      <w:r w:rsidR="00165E26">
        <w:t>item</w:t>
      </w:r>
      <w:r w:rsidR="00046FE1">
        <w:t xml:space="preserve">.  The order </w:t>
      </w:r>
      <w:r>
        <w:t>states that the joint negotiation of retransmission consent agreements by separately-owned, top-four stations in the same market violates the statutory duty to negotiate in good faith</w:t>
      </w:r>
      <w:r w:rsidR="00046FE1">
        <w:t xml:space="preserve">.  </w:t>
      </w:r>
    </w:p>
    <w:p w14:paraId="2817EA1C" w14:textId="77777777" w:rsidR="00C55846" w:rsidRDefault="00C55846" w:rsidP="00A053EF">
      <w:pPr>
        <w:ind w:firstLine="720"/>
      </w:pPr>
    </w:p>
    <w:p w14:paraId="02A8D049" w14:textId="77777777" w:rsidR="00A053EF" w:rsidRDefault="005739E6" w:rsidP="00F25BC2">
      <w:pPr>
        <w:ind w:firstLine="720"/>
      </w:pPr>
      <w:r>
        <w:t xml:space="preserve">To be sure, such joint negotiations </w:t>
      </w:r>
      <w:r w:rsidR="00B84521">
        <w:t>may bring</w:t>
      </w:r>
      <w:r>
        <w:t xml:space="preserve"> some benefits.  But given that retransmission consent negotiations </w:t>
      </w:r>
      <w:r w:rsidR="00A053EF">
        <w:t>usually</w:t>
      </w:r>
      <w:r>
        <w:t xml:space="preserve"> occur only once every three years, the cost savings are at best intermittent and do not compare with the efficiencies produced by television stations sharing sales staff or other backroom operations.</w:t>
      </w:r>
    </w:p>
    <w:p w14:paraId="387D0924" w14:textId="77777777" w:rsidR="00C55846" w:rsidRDefault="00C55846" w:rsidP="00F25BC2">
      <w:pPr>
        <w:ind w:firstLine="720"/>
      </w:pPr>
    </w:p>
    <w:p w14:paraId="214B3280" w14:textId="7159A12C" w:rsidR="001D173B" w:rsidRDefault="00C75D9B" w:rsidP="00FC1CC7">
      <w:pPr>
        <w:ind w:firstLine="720"/>
      </w:pPr>
      <w:r>
        <w:t xml:space="preserve">And </w:t>
      </w:r>
      <w:r w:rsidR="00046FE1">
        <w:t xml:space="preserve">in my judgment, </w:t>
      </w:r>
      <w:r w:rsidR="00A053EF">
        <w:t xml:space="preserve">the harms outweigh </w:t>
      </w:r>
      <w:r w:rsidR="007E156C">
        <w:t>any such</w:t>
      </w:r>
      <w:r>
        <w:t xml:space="preserve"> benefits</w:t>
      </w:r>
      <w:r w:rsidR="002E3D2F">
        <w:t>.</w:t>
      </w:r>
      <w:r w:rsidR="00A053EF">
        <w:t xml:space="preserve">  </w:t>
      </w:r>
      <w:r w:rsidR="00677667">
        <w:t xml:space="preserve">The record indicates that </w:t>
      </w:r>
      <w:r w:rsidR="00A053EF">
        <w:t>joint negotiations may result in</w:t>
      </w:r>
      <w:r w:rsidR="00677667">
        <w:t xml:space="preserve"> supra-competit</w:t>
      </w:r>
      <w:r w:rsidR="00A053EF">
        <w:t>ive increases in retransmission-</w:t>
      </w:r>
      <w:r w:rsidR="00677667">
        <w:t>consent fees.</w:t>
      </w:r>
      <w:r w:rsidR="00C2089D">
        <w:rPr>
          <w:rStyle w:val="FootnoteReference"/>
        </w:rPr>
        <w:footnoteReference w:id="2"/>
      </w:r>
      <w:r w:rsidR="00677667">
        <w:t xml:space="preserve">  This suggests that such conduct is collusive and could be a “</w:t>
      </w:r>
      <w:r w:rsidR="00677667" w:rsidRPr="00677667">
        <w:t>contract, combination . . . or conspiracy, in restraint of trade</w:t>
      </w:r>
      <w:r w:rsidR="00677667">
        <w:t>” that is prohibited by the Sherman Act.</w:t>
      </w:r>
      <w:r w:rsidR="00C2089D">
        <w:rPr>
          <w:rStyle w:val="FootnoteReference"/>
        </w:rPr>
        <w:footnoteReference w:id="3"/>
      </w:r>
      <w:r w:rsidR="00677667">
        <w:t xml:space="preserve">  </w:t>
      </w:r>
      <w:r w:rsidR="008C24EB">
        <w:t xml:space="preserve">The anti-competitive potential of joint negotiations </w:t>
      </w:r>
      <w:r w:rsidR="009C7272">
        <w:t xml:space="preserve">here </w:t>
      </w:r>
      <w:r w:rsidR="008C24EB">
        <w:t xml:space="preserve">is only amplified by the regulatory context for video carriage, including </w:t>
      </w:r>
      <w:r w:rsidR="001D173B">
        <w:t>the compulsory copyright license, network non-duplication rule, and</w:t>
      </w:r>
      <w:r w:rsidR="00D75BE7">
        <w:t xml:space="preserve"> </w:t>
      </w:r>
      <w:r w:rsidR="001D173B">
        <w:t>syndicated exclusivity rule</w:t>
      </w:r>
      <w:r w:rsidR="000A4D4B">
        <w:t xml:space="preserve">.  </w:t>
      </w:r>
    </w:p>
    <w:p w14:paraId="2FD4832B" w14:textId="77777777" w:rsidR="00C55846" w:rsidRDefault="00C55846" w:rsidP="00FC1CC7">
      <w:pPr>
        <w:ind w:firstLine="720"/>
      </w:pPr>
    </w:p>
    <w:p w14:paraId="5CDD11E5" w14:textId="36261027" w:rsidR="000A4D4B" w:rsidRDefault="000A4D4B" w:rsidP="000A4D4B">
      <w:pPr>
        <w:ind w:firstLine="720"/>
      </w:pPr>
      <w:r>
        <w:t xml:space="preserve">Also crucial to my vote is that the Commission </w:t>
      </w:r>
      <w:r w:rsidR="000223DB">
        <w:t xml:space="preserve">today </w:t>
      </w:r>
      <w:r>
        <w:t>carefully remains within its limited authority over retransmission consent.  Section 325(b)(3)(C) of the Communications Act instructs the FCC to enact regulations to prohibit a television broadcast station or MVPD from “failing to negotiate in good faith.”  This provision allows the Commission to proscribe certain negotiating tactics</w:t>
      </w:r>
      <w:r w:rsidR="00046FE1" w:rsidRPr="00046FE1">
        <w:t xml:space="preserve"> </w:t>
      </w:r>
      <w:r w:rsidR="00046FE1">
        <w:t>in order to ensure good faith negotiations between broadcast stations and MVPDs</w:t>
      </w:r>
      <w:r>
        <w:t>, such as refusing to respond to a retransmission consent proposal</w:t>
      </w:r>
      <w:r w:rsidR="00046FE1">
        <w:t>.</w:t>
      </w:r>
      <w:r>
        <w:rPr>
          <w:rStyle w:val="FootnoteReference"/>
        </w:rPr>
        <w:footnoteReference w:id="4"/>
      </w:r>
      <w:r>
        <w:t xml:space="preserve"> </w:t>
      </w:r>
      <w:r w:rsidR="00046FE1">
        <w:t xml:space="preserve"> B</w:t>
      </w:r>
      <w:r>
        <w:t xml:space="preserve">ut </w:t>
      </w:r>
      <w:r w:rsidR="008C24EB">
        <w:t xml:space="preserve">it </w:t>
      </w:r>
      <w:r>
        <w:t xml:space="preserve">does not give the Commission the power to mandate the substantive outcome of retransmission consent negotiations.  </w:t>
      </w:r>
      <w:r w:rsidR="008C24EB">
        <w:t>T</w:t>
      </w:r>
      <w:r w:rsidR="0078768D">
        <w:t>h</w:t>
      </w:r>
      <w:r w:rsidR="00046FE1">
        <w:t>is</w:t>
      </w:r>
      <w:r w:rsidR="0078768D">
        <w:t xml:space="preserve"> will remain the case after today’s vote.</w:t>
      </w:r>
    </w:p>
    <w:p w14:paraId="06B8E157" w14:textId="77777777" w:rsidR="00C55846" w:rsidRDefault="00C55846" w:rsidP="000A4D4B">
      <w:pPr>
        <w:ind w:firstLine="720"/>
      </w:pPr>
    </w:p>
    <w:p w14:paraId="28047448" w14:textId="638FA373" w:rsidR="00FB248B" w:rsidRDefault="0088653A" w:rsidP="00F25BC2">
      <w:pPr>
        <w:ind w:firstLine="720"/>
      </w:pPr>
      <w:r>
        <w:t xml:space="preserve">I appreciate my colleagues’ willingness to incorporate </w:t>
      </w:r>
      <w:r w:rsidR="00F71806">
        <w:t xml:space="preserve">many </w:t>
      </w:r>
      <w:r>
        <w:t>of my suggestions into the item.  In particular, I am pleased that today we are not extending the so-called “sweeps prohibition” to direct broadcast satellite providers.</w:t>
      </w:r>
      <w:r w:rsidR="00FB248B">
        <w:t xml:space="preserve">  The record did not reveal a need for such regulation, and we should not impose new regulatory mandates</w:t>
      </w:r>
      <w:r w:rsidR="007E156C">
        <w:t xml:space="preserve"> where</w:t>
      </w:r>
      <w:r w:rsidR="00FB248B">
        <w:t xml:space="preserve"> there is not a concrete problem </w:t>
      </w:r>
      <w:r w:rsidR="008C24EB">
        <w:t xml:space="preserve">to </w:t>
      </w:r>
      <w:r w:rsidR="00FB248B">
        <w:t>solve.</w:t>
      </w:r>
    </w:p>
    <w:p w14:paraId="7DA97C7A" w14:textId="77777777" w:rsidR="00C55846" w:rsidRDefault="00C55846" w:rsidP="00F25BC2">
      <w:pPr>
        <w:ind w:firstLine="720"/>
      </w:pPr>
    </w:p>
    <w:p w14:paraId="4DEDABD2" w14:textId="77777777" w:rsidR="00BE7DAA" w:rsidRDefault="00FB248B" w:rsidP="00F25BC2">
      <w:pPr>
        <w:ind w:firstLine="720"/>
      </w:pPr>
      <w:r>
        <w:t xml:space="preserve">Finally, I support the Commission’s decision to seek additional comment on whether we should eliminate or modify our network non-duplication and syndicated exclusivity rules.  In particular, I encourage parties to focus </w:t>
      </w:r>
      <w:r w:rsidR="00C2089D">
        <w:t xml:space="preserve">their feedback </w:t>
      </w:r>
      <w:r>
        <w:t xml:space="preserve">on whether the interests these rules are designed to advance can </w:t>
      </w:r>
      <w:r w:rsidR="005A3F33">
        <w:lastRenderedPageBreak/>
        <w:t xml:space="preserve">and should </w:t>
      </w:r>
      <w:r>
        <w:t xml:space="preserve">be protected </w:t>
      </w:r>
      <w:r w:rsidR="007E156C">
        <w:t xml:space="preserve">through </w:t>
      </w:r>
      <w:r>
        <w:t xml:space="preserve">private contractual arrangements or whether the compulsory copyright license </w:t>
      </w:r>
      <w:r w:rsidR="00082B30">
        <w:t>would render</w:t>
      </w:r>
      <w:r w:rsidR="00F25BC2">
        <w:t xml:space="preserve"> such a scheme unworkable.</w:t>
      </w:r>
    </w:p>
    <w:p w14:paraId="6A194529" w14:textId="77777777" w:rsidR="00C55846" w:rsidRDefault="00C55846" w:rsidP="00F25BC2">
      <w:pPr>
        <w:ind w:firstLine="720"/>
      </w:pPr>
    </w:p>
    <w:p w14:paraId="02880DEB" w14:textId="05538D34" w:rsidR="00034921" w:rsidRPr="00665A13" w:rsidRDefault="00034921" w:rsidP="00165E26">
      <w:pPr>
        <w:spacing w:before="40" w:after="40"/>
        <w:ind w:firstLine="720"/>
      </w:pPr>
      <w:r>
        <w:t>Many thanks to the Media Bureau for its efforts</w:t>
      </w:r>
      <w:r w:rsidR="003966F1">
        <w:t xml:space="preserve">.  It took more than two to make this item outta sight, so I </w:t>
      </w:r>
      <w:r>
        <w:t xml:space="preserve">particularly </w:t>
      </w:r>
      <w:r w:rsidR="003966F1">
        <w:t xml:space="preserve">want to recognize </w:t>
      </w:r>
      <w:r>
        <w:t xml:space="preserve">Raelynn Remy, Diana Sokolow, Kathy Berthot, Michelle Carey, Nancy Murphy, Mary Beth Murphy, and Steven Broeckaert.  For this recovering antitrust lawyer and staffer on the 2007 </w:t>
      </w:r>
      <w:r w:rsidRPr="00165E26">
        <w:rPr>
          <w:i/>
        </w:rPr>
        <w:t>MDU Order</w:t>
      </w:r>
      <w:r>
        <w:t>,</w:t>
      </w:r>
      <w:r w:rsidR="00BB30C8">
        <w:rPr>
          <w:rStyle w:val="FootnoteReference"/>
        </w:rPr>
        <w:footnoteReference w:id="5"/>
      </w:r>
      <w:r>
        <w:t xml:space="preserve"> the item truly was a pleasure to read.</w:t>
      </w:r>
    </w:p>
    <w:sectPr w:rsidR="00034921" w:rsidRPr="00665A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EB5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CA00C" w14:textId="77777777" w:rsidR="00AB6C8E" w:rsidRDefault="00AB6C8E" w:rsidP="00C2089D">
      <w:r>
        <w:separator/>
      </w:r>
    </w:p>
  </w:endnote>
  <w:endnote w:type="continuationSeparator" w:id="0">
    <w:p w14:paraId="28A6F334" w14:textId="77777777" w:rsidR="00AB6C8E" w:rsidRDefault="00AB6C8E" w:rsidP="00C2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907C" w14:textId="77777777" w:rsidR="00A96DC6" w:rsidRDefault="00A96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6C2C" w14:textId="77777777" w:rsidR="00A96DC6" w:rsidRDefault="00A96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F8C3" w14:textId="77777777" w:rsidR="00A96DC6" w:rsidRDefault="00A96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AD7A" w14:textId="77777777" w:rsidR="00AB6C8E" w:rsidRDefault="00AB6C8E" w:rsidP="00C2089D">
      <w:r>
        <w:separator/>
      </w:r>
    </w:p>
  </w:footnote>
  <w:footnote w:type="continuationSeparator" w:id="0">
    <w:p w14:paraId="0FB02CD0" w14:textId="77777777" w:rsidR="00AB6C8E" w:rsidRDefault="00AB6C8E" w:rsidP="00C2089D">
      <w:r>
        <w:continuationSeparator/>
      </w:r>
    </w:p>
  </w:footnote>
  <w:footnote w:id="1">
    <w:p w14:paraId="56B22048" w14:textId="0859F509" w:rsidR="00FD7D80" w:rsidRPr="00FC1CC7" w:rsidRDefault="00FD7D80" w:rsidP="00A053EF">
      <w:pPr>
        <w:pStyle w:val="FootnoteText"/>
      </w:pPr>
      <w:r w:rsidRPr="00FC1CC7">
        <w:rPr>
          <w:rStyle w:val="FootnoteReference"/>
        </w:rPr>
        <w:footnoteRef/>
      </w:r>
      <w:r w:rsidRPr="00FC1CC7">
        <w:t xml:space="preserve"> Rob Base &amp; DJ E-Z Rock, </w:t>
      </w:r>
      <w:r w:rsidRPr="00FC1CC7">
        <w:rPr>
          <w:i/>
        </w:rPr>
        <w:t>It Takes Two</w:t>
      </w:r>
      <w:r w:rsidR="00BB30C8">
        <w:t xml:space="preserve"> (It Takes Two, 1988).</w:t>
      </w:r>
    </w:p>
  </w:footnote>
  <w:footnote w:id="2">
    <w:p w14:paraId="0A8D4DAB" w14:textId="4E413E44" w:rsidR="00FD7D80" w:rsidRPr="00FC1CC7" w:rsidRDefault="00FD7D80" w:rsidP="00BA25DB">
      <w:pPr>
        <w:pStyle w:val="FootnoteText"/>
      </w:pPr>
      <w:r w:rsidRPr="00FC1CC7">
        <w:rPr>
          <w:rStyle w:val="FootnoteReference"/>
        </w:rPr>
        <w:footnoteRef/>
      </w:r>
      <w:r w:rsidRPr="00FC1CC7">
        <w:t xml:space="preserve"> </w:t>
      </w:r>
      <w:r w:rsidRPr="00FC1CC7">
        <w:rPr>
          <w:i/>
        </w:rPr>
        <w:t>See</w:t>
      </w:r>
      <w:r w:rsidR="00BB30C8">
        <w:t xml:space="preserve"> Order at para. 16.</w:t>
      </w:r>
    </w:p>
  </w:footnote>
  <w:footnote w:id="3">
    <w:p w14:paraId="69E93D02" w14:textId="77777777" w:rsidR="00FD7D80" w:rsidRPr="00FC1CC7" w:rsidRDefault="00FD7D80" w:rsidP="00BA25DB">
      <w:pPr>
        <w:pStyle w:val="FootnoteText"/>
      </w:pPr>
      <w:r w:rsidRPr="00FC1CC7">
        <w:rPr>
          <w:rStyle w:val="FootnoteReference"/>
        </w:rPr>
        <w:footnoteRef/>
      </w:r>
      <w:r w:rsidRPr="00FC1CC7">
        <w:t xml:space="preserve"> </w:t>
      </w:r>
      <w:r w:rsidRPr="00FC1CC7">
        <w:rPr>
          <w:i/>
        </w:rPr>
        <w:t>See</w:t>
      </w:r>
      <w:r w:rsidRPr="00FC1CC7">
        <w:t xml:space="preserve"> 15 U.S.C. § 1.</w:t>
      </w:r>
    </w:p>
  </w:footnote>
  <w:footnote w:id="4">
    <w:p w14:paraId="33D67628" w14:textId="3C1E749E" w:rsidR="00FD7D80" w:rsidRPr="00FC1CC7" w:rsidRDefault="00FD7D80" w:rsidP="000A4D4B">
      <w:pPr>
        <w:pStyle w:val="FootnoteText"/>
      </w:pPr>
      <w:r w:rsidRPr="00FC1CC7">
        <w:rPr>
          <w:rStyle w:val="FootnoteReference"/>
        </w:rPr>
        <w:footnoteRef/>
      </w:r>
      <w:r w:rsidRPr="00FC1CC7">
        <w:t xml:space="preserve"> </w:t>
      </w:r>
      <w:r w:rsidRPr="00FC1CC7">
        <w:rPr>
          <w:i/>
        </w:rPr>
        <w:t>See</w:t>
      </w:r>
      <w:r w:rsidR="00BB30C8">
        <w:t xml:space="preserve"> 47 C.F.R. § 76.65(b)(1)(v).</w:t>
      </w:r>
    </w:p>
  </w:footnote>
  <w:footnote w:id="5">
    <w:p w14:paraId="715CA6A8" w14:textId="392C98C6" w:rsidR="00BB30C8" w:rsidRDefault="00BB30C8">
      <w:pPr>
        <w:pStyle w:val="FootnoteText"/>
      </w:pPr>
      <w:r>
        <w:rPr>
          <w:rStyle w:val="FootnoteReference"/>
        </w:rPr>
        <w:footnoteRef/>
      </w:r>
      <w:r>
        <w:t xml:space="preserve"> </w:t>
      </w:r>
      <w:r w:rsidRPr="00BB30C8">
        <w:rPr>
          <w:i/>
        </w:rPr>
        <w:t>Exclusive Service Contracts for Provision of Video Services in Multiple Dwelling Units and Other Real Estate Developments</w:t>
      </w:r>
      <w:r w:rsidRPr="00BB30C8">
        <w:t>, MB Docket No. 07-51, Report and Order and Further Notice of Propos</w:t>
      </w:r>
      <w:r>
        <w:t>ed Rulemaking, 22 FCC Rcd 20235</w:t>
      </w:r>
      <w:r w:rsidRPr="00BB30C8">
        <w:t xml:space="preserve"> (2007), </w:t>
      </w:r>
      <w:r w:rsidRPr="00BB30C8">
        <w:rPr>
          <w:i/>
        </w:rPr>
        <w:t>aff’d, National Cable &amp; Telecommunications Ass</w:t>
      </w:r>
      <w:r>
        <w:rPr>
          <w:i/>
        </w:rPr>
        <w:t>’</w:t>
      </w:r>
      <w:r w:rsidRPr="00BB30C8">
        <w:rPr>
          <w:i/>
        </w:rPr>
        <w:t>n v. FCC</w:t>
      </w:r>
      <w:r w:rsidRPr="00BB30C8">
        <w:t>, 567 F.3d 659 (D.C. Cir.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15A5" w14:textId="77777777" w:rsidR="00A96DC6" w:rsidRDefault="00A96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A60D" w14:textId="77777777" w:rsidR="00A96DC6" w:rsidRDefault="00A96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74E5" w14:textId="77777777" w:rsidR="00A96DC6" w:rsidRDefault="00A96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FF"/>
    <w:rsid w:val="000223DB"/>
    <w:rsid w:val="00034921"/>
    <w:rsid w:val="00041AC1"/>
    <w:rsid w:val="00046FE1"/>
    <w:rsid w:val="00082B30"/>
    <w:rsid w:val="000A4D4B"/>
    <w:rsid w:val="0010689F"/>
    <w:rsid w:val="001575CE"/>
    <w:rsid w:val="00165E26"/>
    <w:rsid w:val="001A1640"/>
    <w:rsid w:val="001D173B"/>
    <w:rsid w:val="001E3FAA"/>
    <w:rsid w:val="00212BEE"/>
    <w:rsid w:val="00213E48"/>
    <w:rsid w:val="00272F83"/>
    <w:rsid w:val="002D3045"/>
    <w:rsid w:val="002D7D07"/>
    <w:rsid w:val="002E3D2F"/>
    <w:rsid w:val="003966F1"/>
    <w:rsid w:val="003A4E90"/>
    <w:rsid w:val="00495256"/>
    <w:rsid w:val="00503F19"/>
    <w:rsid w:val="00541734"/>
    <w:rsid w:val="005739E6"/>
    <w:rsid w:val="00580237"/>
    <w:rsid w:val="00596365"/>
    <w:rsid w:val="005A3F33"/>
    <w:rsid w:val="005B7F20"/>
    <w:rsid w:val="005F7CFF"/>
    <w:rsid w:val="00677667"/>
    <w:rsid w:val="0071676A"/>
    <w:rsid w:val="0078768D"/>
    <w:rsid w:val="007E156C"/>
    <w:rsid w:val="0088653A"/>
    <w:rsid w:val="008C24EB"/>
    <w:rsid w:val="00966C36"/>
    <w:rsid w:val="009C7272"/>
    <w:rsid w:val="009F73F8"/>
    <w:rsid w:val="00A053EF"/>
    <w:rsid w:val="00A96DC6"/>
    <w:rsid w:val="00AB6C8E"/>
    <w:rsid w:val="00AC6971"/>
    <w:rsid w:val="00B5159D"/>
    <w:rsid w:val="00B84521"/>
    <w:rsid w:val="00BA25DB"/>
    <w:rsid w:val="00BB30C8"/>
    <w:rsid w:val="00BD26B5"/>
    <w:rsid w:val="00BE7DAA"/>
    <w:rsid w:val="00C059B4"/>
    <w:rsid w:val="00C2089D"/>
    <w:rsid w:val="00C22481"/>
    <w:rsid w:val="00C3019C"/>
    <w:rsid w:val="00C55846"/>
    <w:rsid w:val="00C75D9B"/>
    <w:rsid w:val="00C92E76"/>
    <w:rsid w:val="00C93670"/>
    <w:rsid w:val="00CC27C0"/>
    <w:rsid w:val="00D20FF6"/>
    <w:rsid w:val="00D75BE7"/>
    <w:rsid w:val="00E04BE2"/>
    <w:rsid w:val="00E85EEC"/>
    <w:rsid w:val="00F25BC2"/>
    <w:rsid w:val="00F66CAB"/>
    <w:rsid w:val="00F71806"/>
    <w:rsid w:val="00FB248B"/>
    <w:rsid w:val="00FC1CC7"/>
    <w:rsid w:val="00FD4ADF"/>
    <w:rsid w:val="00FD7D80"/>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8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224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22481"/>
    <w:pPr>
      <w:keepNext/>
      <w:numPr>
        <w:ilvl w:val="1"/>
        <w:numId w:val="3"/>
      </w:numPr>
      <w:spacing w:after="120"/>
      <w:outlineLvl w:val="1"/>
    </w:pPr>
    <w:rPr>
      <w:b/>
    </w:rPr>
  </w:style>
  <w:style w:type="paragraph" w:styleId="Heading3">
    <w:name w:val="heading 3"/>
    <w:basedOn w:val="Normal"/>
    <w:next w:val="ParaNum"/>
    <w:link w:val="Heading3Char"/>
    <w:qFormat/>
    <w:rsid w:val="00C2248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2248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2248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2248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2248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224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224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22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481"/>
  </w:style>
  <w:style w:type="paragraph" w:styleId="FootnoteText">
    <w:name w:val="footnote text"/>
    <w:link w:val="FootnoteTextChar"/>
    <w:rsid w:val="00C2248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2089D"/>
    <w:rPr>
      <w:rFonts w:ascii="Times New Roman" w:eastAsia="Times New Roman" w:hAnsi="Times New Roman" w:cs="Times New Roman"/>
      <w:sz w:val="20"/>
      <w:szCs w:val="20"/>
    </w:rPr>
  </w:style>
  <w:style w:type="character" w:styleId="FootnoteReference">
    <w:name w:val="footnote reference"/>
    <w:rsid w:val="00C22481"/>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1575CE"/>
    <w:rPr>
      <w:rFonts w:ascii="Tahoma" w:hAnsi="Tahoma" w:cs="Tahoma"/>
      <w:sz w:val="16"/>
      <w:szCs w:val="16"/>
    </w:rPr>
  </w:style>
  <w:style w:type="character" w:customStyle="1" w:styleId="BalloonTextChar">
    <w:name w:val="Balloon Text Char"/>
    <w:basedOn w:val="DefaultParagraphFont"/>
    <w:link w:val="BalloonText"/>
    <w:uiPriority w:val="99"/>
    <w:semiHidden/>
    <w:rsid w:val="001575CE"/>
    <w:rPr>
      <w:rFonts w:ascii="Tahoma" w:hAnsi="Tahoma" w:cs="Tahoma"/>
      <w:sz w:val="16"/>
      <w:szCs w:val="16"/>
    </w:rPr>
  </w:style>
  <w:style w:type="character" w:styleId="CommentReference">
    <w:name w:val="annotation reference"/>
    <w:basedOn w:val="DefaultParagraphFont"/>
    <w:uiPriority w:val="99"/>
    <w:semiHidden/>
    <w:unhideWhenUsed/>
    <w:rsid w:val="001575CE"/>
    <w:rPr>
      <w:sz w:val="16"/>
      <w:szCs w:val="16"/>
    </w:rPr>
  </w:style>
  <w:style w:type="paragraph" w:styleId="CommentText">
    <w:name w:val="annotation text"/>
    <w:basedOn w:val="Normal"/>
    <w:link w:val="CommentTextChar"/>
    <w:uiPriority w:val="99"/>
    <w:semiHidden/>
    <w:unhideWhenUsed/>
    <w:rsid w:val="001575CE"/>
    <w:rPr>
      <w:sz w:val="20"/>
    </w:rPr>
  </w:style>
  <w:style w:type="character" w:customStyle="1" w:styleId="CommentTextChar">
    <w:name w:val="Comment Text Char"/>
    <w:basedOn w:val="DefaultParagraphFont"/>
    <w:link w:val="CommentText"/>
    <w:uiPriority w:val="99"/>
    <w:semiHidden/>
    <w:rsid w:val="001575CE"/>
    <w:rPr>
      <w:sz w:val="20"/>
      <w:szCs w:val="20"/>
    </w:rPr>
  </w:style>
  <w:style w:type="paragraph" w:styleId="CommentSubject">
    <w:name w:val="annotation subject"/>
    <w:basedOn w:val="CommentText"/>
    <w:next w:val="CommentText"/>
    <w:link w:val="CommentSubjectChar"/>
    <w:uiPriority w:val="99"/>
    <w:semiHidden/>
    <w:unhideWhenUsed/>
    <w:rsid w:val="001575CE"/>
    <w:rPr>
      <w:b/>
      <w:bCs/>
    </w:rPr>
  </w:style>
  <w:style w:type="character" w:customStyle="1" w:styleId="CommentSubjectChar">
    <w:name w:val="Comment Subject Char"/>
    <w:basedOn w:val="CommentTextChar"/>
    <w:link w:val="CommentSubject"/>
    <w:uiPriority w:val="99"/>
    <w:semiHidden/>
    <w:rsid w:val="001575CE"/>
    <w:rPr>
      <w:b/>
      <w:bCs/>
      <w:sz w:val="20"/>
      <w:szCs w:val="20"/>
    </w:rPr>
  </w:style>
  <w:style w:type="character" w:styleId="Hyperlink">
    <w:name w:val="Hyperlink"/>
    <w:rsid w:val="00C22481"/>
    <w:rPr>
      <w:color w:val="0000FF"/>
      <w:u w:val="single"/>
    </w:rPr>
  </w:style>
  <w:style w:type="character" w:customStyle="1" w:styleId="Heading1Char">
    <w:name w:val="Heading 1 Char"/>
    <w:basedOn w:val="DefaultParagraphFont"/>
    <w:link w:val="Heading1"/>
    <w:rsid w:val="00C5584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5584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5584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5584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5584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5584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5584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5584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55846"/>
    <w:rPr>
      <w:rFonts w:ascii="Times New Roman" w:eastAsia="Times New Roman" w:hAnsi="Times New Roman" w:cs="Times New Roman"/>
      <w:b/>
      <w:snapToGrid w:val="0"/>
      <w:kern w:val="28"/>
      <w:szCs w:val="20"/>
    </w:rPr>
  </w:style>
  <w:style w:type="paragraph" w:customStyle="1" w:styleId="ParaNum">
    <w:name w:val="ParaNum"/>
    <w:basedOn w:val="Normal"/>
    <w:rsid w:val="00C22481"/>
    <w:pPr>
      <w:numPr>
        <w:numId w:val="2"/>
      </w:numPr>
      <w:tabs>
        <w:tab w:val="clear" w:pos="1080"/>
        <w:tab w:val="num" w:pos="1440"/>
      </w:tabs>
      <w:spacing w:after="120"/>
    </w:pPr>
  </w:style>
  <w:style w:type="paragraph" w:styleId="EndnoteText">
    <w:name w:val="endnote text"/>
    <w:basedOn w:val="Normal"/>
    <w:link w:val="EndnoteTextChar"/>
    <w:semiHidden/>
    <w:rsid w:val="00C22481"/>
    <w:rPr>
      <w:sz w:val="20"/>
    </w:rPr>
  </w:style>
  <w:style w:type="character" w:customStyle="1" w:styleId="EndnoteTextChar">
    <w:name w:val="Endnote Text Char"/>
    <w:basedOn w:val="DefaultParagraphFont"/>
    <w:link w:val="EndnoteText"/>
    <w:semiHidden/>
    <w:rsid w:val="00C55846"/>
    <w:rPr>
      <w:rFonts w:ascii="Times New Roman" w:eastAsia="Times New Roman" w:hAnsi="Times New Roman" w:cs="Times New Roman"/>
      <w:snapToGrid w:val="0"/>
      <w:kern w:val="28"/>
      <w:sz w:val="20"/>
      <w:szCs w:val="20"/>
    </w:rPr>
  </w:style>
  <w:style w:type="character" w:styleId="EndnoteReference">
    <w:name w:val="endnote reference"/>
    <w:semiHidden/>
    <w:rsid w:val="00C22481"/>
    <w:rPr>
      <w:vertAlign w:val="superscript"/>
    </w:rPr>
  </w:style>
  <w:style w:type="paragraph" w:styleId="TOC1">
    <w:name w:val="toc 1"/>
    <w:basedOn w:val="Normal"/>
    <w:next w:val="Normal"/>
    <w:semiHidden/>
    <w:rsid w:val="00C224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22481"/>
    <w:pPr>
      <w:tabs>
        <w:tab w:val="left" w:pos="720"/>
        <w:tab w:val="right" w:leader="dot" w:pos="9360"/>
      </w:tabs>
      <w:suppressAutoHyphens/>
      <w:ind w:left="720" w:right="720" w:hanging="360"/>
    </w:pPr>
    <w:rPr>
      <w:noProof/>
    </w:rPr>
  </w:style>
  <w:style w:type="paragraph" w:styleId="TOC3">
    <w:name w:val="toc 3"/>
    <w:basedOn w:val="Normal"/>
    <w:next w:val="Normal"/>
    <w:semiHidden/>
    <w:rsid w:val="00C224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24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24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24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24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24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24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22481"/>
    <w:pPr>
      <w:tabs>
        <w:tab w:val="right" w:pos="9360"/>
      </w:tabs>
      <w:suppressAutoHyphens/>
    </w:pPr>
  </w:style>
  <w:style w:type="character" w:customStyle="1" w:styleId="EquationCaption">
    <w:name w:val="_Equation Caption"/>
    <w:rsid w:val="00C22481"/>
  </w:style>
  <w:style w:type="paragraph" w:styleId="Header">
    <w:name w:val="header"/>
    <w:basedOn w:val="Normal"/>
    <w:link w:val="HeaderChar"/>
    <w:autoRedefine/>
    <w:rsid w:val="00C22481"/>
    <w:pPr>
      <w:tabs>
        <w:tab w:val="center" w:pos="4680"/>
        <w:tab w:val="right" w:pos="9360"/>
      </w:tabs>
    </w:pPr>
    <w:rPr>
      <w:b/>
    </w:rPr>
  </w:style>
  <w:style w:type="character" w:customStyle="1" w:styleId="HeaderChar">
    <w:name w:val="Header Char"/>
    <w:basedOn w:val="DefaultParagraphFont"/>
    <w:link w:val="Header"/>
    <w:rsid w:val="00C55846"/>
    <w:rPr>
      <w:rFonts w:ascii="Times New Roman" w:eastAsia="Times New Roman" w:hAnsi="Times New Roman" w:cs="Times New Roman"/>
      <w:b/>
      <w:snapToGrid w:val="0"/>
      <w:kern w:val="28"/>
      <w:szCs w:val="20"/>
    </w:rPr>
  </w:style>
  <w:style w:type="paragraph" w:styleId="Footer">
    <w:name w:val="footer"/>
    <w:basedOn w:val="Normal"/>
    <w:link w:val="FooterChar"/>
    <w:rsid w:val="00C22481"/>
    <w:pPr>
      <w:tabs>
        <w:tab w:val="center" w:pos="4320"/>
        <w:tab w:val="right" w:pos="8640"/>
      </w:tabs>
    </w:pPr>
  </w:style>
  <w:style w:type="character" w:customStyle="1" w:styleId="FooterChar">
    <w:name w:val="Footer Char"/>
    <w:basedOn w:val="DefaultParagraphFont"/>
    <w:link w:val="Footer"/>
    <w:rsid w:val="00C55846"/>
    <w:rPr>
      <w:rFonts w:ascii="Times New Roman" w:eastAsia="Times New Roman" w:hAnsi="Times New Roman" w:cs="Times New Roman"/>
      <w:snapToGrid w:val="0"/>
      <w:kern w:val="28"/>
      <w:szCs w:val="20"/>
    </w:rPr>
  </w:style>
  <w:style w:type="character" w:styleId="PageNumber">
    <w:name w:val="page number"/>
    <w:basedOn w:val="DefaultParagraphFont"/>
    <w:rsid w:val="00C22481"/>
  </w:style>
  <w:style w:type="paragraph" w:styleId="BlockText">
    <w:name w:val="Block Text"/>
    <w:basedOn w:val="Normal"/>
    <w:rsid w:val="00C22481"/>
    <w:pPr>
      <w:spacing w:after="240"/>
      <w:ind w:left="1440" w:right="1440"/>
    </w:pPr>
  </w:style>
  <w:style w:type="paragraph" w:customStyle="1" w:styleId="Paratitle">
    <w:name w:val="Para title"/>
    <w:basedOn w:val="Normal"/>
    <w:rsid w:val="00C22481"/>
    <w:pPr>
      <w:tabs>
        <w:tab w:val="center" w:pos="9270"/>
      </w:tabs>
      <w:spacing w:after="240"/>
    </w:pPr>
    <w:rPr>
      <w:spacing w:val="-2"/>
    </w:rPr>
  </w:style>
  <w:style w:type="paragraph" w:customStyle="1" w:styleId="Bullet">
    <w:name w:val="Bullet"/>
    <w:basedOn w:val="Normal"/>
    <w:rsid w:val="00C22481"/>
    <w:pPr>
      <w:tabs>
        <w:tab w:val="left" w:pos="2160"/>
      </w:tabs>
      <w:spacing w:after="220"/>
      <w:ind w:left="2160" w:hanging="720"/>
    </w:pPr>
  </w:style>
  <w:style w:type="paragraph" w:customStyle="1" w:styleId="TableFormat">
    <w:name w:val="TableFormat"/>
    <w:basedOn w:val="Bullet"/>
    <w:rsid w:val="00C22481"/>
    <w:pPr>
      <w:tabs>
        <w:tab w:val="clear" w:pos="2160"/>
        <w:tab w:val="left" w:pos="5040"/>
      </w:tabs>
      <w:ind w:left="5040" w:hanging="3600"/>
    </w:pPr>
  </w:style>
  <w:style w:type="paragraph" w:customStyle="1" w:styleId="TOCTitle">
    <w:name w:val="TOC Title"/>
    <w:basedOn w:val="Normal"/>
    <w:rsid w:val="00C224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2481"/>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8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224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22481"/>
    <w:pPr>
      <w:keepNext/>
      <w:numPr>
        <w:ilvl w:val="1"/>
        <w:numId w:val="3"/>
      </w:numPr>
      <w:spacing w:after="120"/>
      <w:outlineLvl w:val="1"/>
    </w:pPr>
    <w:rPr>
      <w:b/>
    </w:rPr>
  </w:style>
  <w:style w:type="paragraph" w:styleId="Heading3">
    <w:name w:val="heading 3"/>
    <w:basedOn w:val="Normal"/>
    <w:next w:val="ParaNum"/>
    <w:link w:val="Heading3Char"/>
    <w:qFormat/>
    <w:rsid w:val="00C2248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2248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2248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2248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2248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224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224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22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481"/>
  </w:style>
  <w:style w:type="paragraph" w:styleId="FootnoteText">
    <w:name w:val="footnote text"/>
    <w:link w:val="FootnoteTextChar"/>
    <w:rsid w:val="00C2248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2089D"/>
    <w:rPr>
      <w:rFonts w:ascii="Times New Roman" w:eastAsia="Times New Roman" w:hAnsi="Times New Roman" w:cs="Times New Roman"/>
      <w:sz w:val="20"/>
      <w:szCs w:val="20"/>
    </w:rPr>
  </w:style>
  <w:style w:type="character" w:styleId="FootnoteReference">
    <w:name w:val="footnote reference"/>
    <w:rsid w:val="00C22481"/>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1575CE"/>
    <w:rPr>
      <w:rFonts w:ascii="Tahoma" w:hAnsi="Tahoma" w:cs="Tahoma"/>
      <w:sz w:val="16"/>
      <w:szCs w:val="16"/>
    </w:rPr>
  </w:style>
  <w:style w:type="character" w:customStyle="1" w:styleId="BalloonTextChar">
    <w:name w:val="Balloon Text Char"/>
    <w:basedOn w:val="DefaultParagraphFont"/>
    <w:link w:val="BalloonText"/>
    <w:uiPriority w:val="99"/>
    <w:semiHidden/>
    <w:rsid w:val="001575CE"/>
    <w:rPr>
      <w:rFonts w:ascii="Tahoma" w:hAnsi="Tahoma" w:cs="Tahoma"/>
      <w:sz w:val="16"/>
      <w:szCs w:val="16"/>
    </w:rPr>
  </w:style>
  <w:style w:type="character" w:styleId="CommentReference">
    <w:name w:val="annotation reference"/>
    <w:basedOn w:val="DefaultParagraphFont"/>
    <w:uiPriority w:val="99"/>
    <w:semiHidden/>
    <w:unhideWhenUsed/>
    <w:rsid w:val="001575CE"/>
    <w:rPr>
      <w:sz w:val="16"/>
      <w:szCs w:val="16"/>
    </w:rPr>
  </w:style>
  <w:style w:type="paragraph" w:styleId="CommentText">
    <w:name w:val="annotation text"/>
    <w:basedOn w:val="Normal"/>
    <w:link w:val="CommentTextChar"/>
    <w:uiPriority w:val="99"/>
    <w:semiHidden/>
    <w:unhideWhenUsed/>
    <w:rsid w:val="001575CE"/>
    <w:rPr>
      <w:sz w:val="20"/>
    </w:rPr>
  </w:style>
  <w:style w:type="character" w:customStyle="1" w:styleId="CommentTextChar">
    <w:name w:val="Comment Text Char"/>
    <w:basedOn w:val="DefaultParagraphFont"/>
    <w:link w:val="CommentText"/>
    <w:uiPriority w:val="99"/>
    <w:semiHidden/>
    <w:rsid w:val="001575CE"/>
    <w:rPr>
      <w:sz w:val="20"/>
      <w:szCs w:val="20"/>
    </w:rPr>
  </w:style>
  <w:style w:type="paragraph" w:styleId="CommentSubject">
    <w:name w:val="annotation subject"/>
    <w:basedOn w:val="CommentText"/>
    <w:next w:val="CommentText"/>
    <w:link w:val="CommentSubjectChar"/>
    <w:uiPriority w:val="99"/>
    <w:semiHidden/>
    <w:unhideWhenUsed/>
    <w:rsid w:val="001575CE"/>
    <w:rPr>
      <w:b/>
      <w:bCs/>
    </w:rPr>
  </w:style>
  <w:style w:type="character" w:customStyle="1" w:styleId="CommentSubjectChar">
    <w:name w:val="Comment Subject Char"/>
    <w:basedOn w:val="CommentTextChar"/>
    <w:link w:val="CommentSubject"/>
    <w:uiPriority w:val="99"/>
    <w:semiHidden/>
    <w:rsid w:val="001575CE"/>
    <w:rPr>
      <w:b/>
      <w:bCs/>
      <w:sz w:val="20"/>
      <w:szCs w:val="20"/>
    </w:rPr>
  </w:style>
  <w:style w:type="character" w:styleId="Hyperlink">
    <w:name w:val="Hyperlink"/>
    <w:rsid w:val="00C22481"/>
    <w:rPr>
      <w:color w:val="0000FF"/>
      <w:u w:val="single"/>
    </w:rPr>
  </w:style>
  <w:style w:type="character" w:customStyle="1" w:styleId="Heading1Char">
    <w:name w:val="Heading 1 Char"/>
    <w:basedOn w:val="DefaultParagraphFont"/>
    <w:link w:val="Heading1"/>
    <w:rsid w:val="00C5584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5584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5584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5584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5584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5584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5584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5584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55846"/>
    <w:rPr>
      <w:rFonts w:ascii="Times New Roman" w:eastAsia="Times New Roman" w:hAnsi="Times New Roman" w:cs="Times New Roman"/>
      <w:b/>
      <w:snapToGrid w:val="0"/>
      <w:kern w:val="28"/>
      <w:szCs w:val="20"/>
    </w:rPr>
  </w:style>
  <w:style w:type="paragraph" w:customStyle="1" w:styleId="ParaNum">
    <w:name w:val="ParaNum"/>
    <w:basedOn w:val="Normal"/>
    <w:rsid w:val="00C22481"/>
    <w:pPr>
      <w:numPr>
        <w:numId w:val="2"/>
      </w:numPr>
      <w:tabs>
        <w:tab w:val="clear" w:pos="1080"/>
        <w:tab w:val="num" w:pos="1440"/>
      </w:tabs>
      <w:spacing w:after="120"/>
    </w:pPr>
  </w:style>
  <w:style w:type="paragraph" w:styleId="EndnoteText">
    <w:name w:val="endnote text"/>
    <w:basedOn w:val="Normal"/>
    <w:link w:val="EndnoteTextChar"/>
    <w:semiHidden/>
    <w:rsid w:val="00C22481"/>
    <w:rPr>
      <w:sz w:val="20"/>
    </w:rPr>
  </w:style>
  <w:style w:type="character" w:customStyle="1" w:styleId="EndnoteTextChar">
    <w:name w:val="Endnote Text Char"/>
    <w:basedOn w:val="DefaultParagraphFont"/>
    <w:link w:val="EndnoteText"/>
    <w:semiHidden/>
    <w:rsid w:val="00C55846"/>
    <w:rPr>
      <w:rFonts w:ascii="Times New Roman" w:eastAsia="Times New Roman" w:hAnsi="Times New Roman" w:cs="Times New Roman"/>
      <w:snapToGrid w:val="0"/>
      <w:kern w:val="28"/>
      <w:sz w:val="20"/>
      <w:szCs w:val="20"/>
    </w:rPr>
  </w:style>
  <w:style w:type="character" w:styleId="EndnoteReference">
    <w:name w:val="endnote reference"/>
    <w:semiHidden/>
    <w:rsid w:val="00C22481"/>
    <w:rPr>
      <w:vertAlign w:val="superscript"/>
    </w:rPr>
  </w:style>
  <w:style w:type="paragraph" w:styleId="TOC1">
    <w:name w:val="toc 1"/>
    <w:basedOn w:val="Normal"/>
    <w:next w:val="Normal"/>
    <w:semiHidden/>
    <w:rsid w:val="00C224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22481"/>
    <w:pPr>
      <w:tabs>
        <w:tab w:val="left" w:pos="720"/>
        <w:tab w:val="right" w:leader="dot" w:pos="9360"/>
      </w:tabs>
      <w:suppressAutoHyphens/>
      <w:ind w:left="720" w:right="720" w:hanging="360"/>
    </w:pPr>
    <w:rPr>
      <w:noProof/>
    </w:rPr>
  </w:style>
  <w:style w:type="paragraph" w:styleId="TOC3">
    <w:name w:val="toc 3"/>
    <w:basedOn w:val="Normal"/>
    <w:next w:val="Normal"/>
    <w:semiHidden/>
    <w:rsid w:val="00C224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24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24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24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24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24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24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22481"/>
    <w:pPr>
      <w:tabs>
        <w:tab w:val="right" w:pos="9360"/>
      </w:tabs>
      <w:suppressAutoHyphens/>
    </w:pPr>
  </w:style>
  <w:style w:type="character" w:customStyle="1" w:styleId="EquationCaption">
    <w:name w:val="_Equation Caption"/>
    <w:rsid w:val="00C22481"/>
  </w:style>
  <w:style w:type="paragraph" w:styleId="Header">
    <w:name w:val="header"/>
    <w:basedOn w:val="Normal"/>
    <w:link w:val="HeaderChar"/>
    <w:autoRedefine/>
    <w:rsid w:val="00C22481"/>
    <w:pPr>
      <w:tabs>
        <w:tab w:val="center" w:pos="4680"/>
        <w:tab w:val="right" w:pos="9360"/>
      </w:tabs>
    </w:pPr>
    <w:rPr>
      <w:b/>
    </w:rPr>
  </w:style>
  <w:style w:type="character" w:customStyle="1" w:styleId="HeaderChar">
    <w:name w:val="Header Char"/>
    <w:basedOn w:val="DefaultParagraphFont"/>
    <w:link w:val="Header"/>
    <w:rsid w:val="00C55846"/>
    <w:rPr>
      <w:rFonts w:ascii="Times New Roman" w:eastAsia="Times New Roman" w:hAnsi="Times New Roman" w:cs="Times New Roman"/>
      <w:b/>
      <w:snapToGrid w:val="0"/>
      <w:kern w:val="28"/>
      <w:szCs w:val="20"/>
    </w:rPr>
  </w:style>
  <w:style w:type="paragraph" w:styleId="Footer">
    <w:name w:val="footer"/>
    <w:basedOn w:val="Normal"/>
    <w:link w:val="FooterChar"/>
    <w:rsid w:val="00C22481"/>
    <w:pPr>
      <w:tabs>
        <w:tab w:val="center" w:pos="4320"/>
        <w:tab w:val="right" w:pos="8640"/>
      </w:tabs>
    </w:pPr>
  </w:style>
  <w:style w:type="character" w:customStyle="1" w:styleId="FooterChar">
    <w:name w:val="Footer Char"/>
    <w:basedOn w:val="DefaultParagraphFont"/>
    <w:link w:val="Footer"/>
    <w:rsid w:val="00C55846"/>
    <w:rPr>
      <w:rFonts w:ascii="Times New Roman" w:eastAsia="Times New Roman" w:hAnsi="Times New Roman" w:cs="Times New Roman"/>
      <w:snapToGrid w:val="0"/>
      <w:kern w:val="28"/>
      <w:szCs w:val="20"/>
    </w:rPr>
  </w:style>
  <w:style w:type="character" w:styleId="PageNumber">
    <w:name w:val="page number"/>
    <w:basedOn w:val="DefaultParagraphFont"/>
    <w:rsid w:val="00C22481"/>
  </w:style>
  <w:style w:type="paragraph" w:styleId="BlockText">
    <w:name w:val="Block Text"/>
    <w:basedOn w:val="Normal"/>
    <w:rsid w:val="00C22481"/>
    <w:pPr>
      <w:spacing w:after="240"/>
      <w:ind w:left="1440" w:right="1440"/>
    </w:pPr>
  </w:style>
  <w:style w:type="paragraph" w:customStyle="1" w:styleId="Paratitle">
    <w:name w:val="Para title"/>
    <w:basedOn w:val="Normal"/>
    <w:rsid w:val="00C22481"/>
    <w:pPr>
      <w:tabs>
        <w:tab w:val="center" w:pos="9270"/>
      </w:tabs>
      <w:spacing w:after="240"/>
    </w:pPr>
    <w:rPr>
      <w:spacing w:val="-2"/>
    </w:rPr>
  </w:style>
  <w:style w:type="paragraph" w:customStyle="1" w:styleId="Bullet">
    <w:name w:val="Bullet"/>
    <w:basedOn w:val="Normal"/>
    <w:rsid w:val="00C22481"/>
    <w:pPr>
      <w:tabs>
        <w:tab w:val="left" w:pos="2160"/>
      </w:tabs>
      <w:spacing w:after="220"/>
      <w:ind w:left="2160" w:hanging="720"/>
    </w:pPr>
  </w:style>
  <w:style w:type="paragraph" w:customStyle="1" w:styleId="TableFormat">
    <w:name w:val="TableFormat"/>
    <w:basedOn w:val="Bullet"/>
    <w:rsid w:val="00C22481"/>
    <w:pPr>
      <w:tabs>
        <w:tab w:val="clear" w:pos="2160"/>
        <w:tab w:val="left" w:pos="5040"/>
      </w:tabs>
      <w:ind w:left="5040" w:hanging="3600"/>
    </w:pPr>
  </w:style>
  <w:style w:type="paragraph" w:customStyle="1" w:styleId="TOCTitle">
    <w:name w:val="TOC Title"/>
    <w:basedOn w:val="Normal"/>
    <w:rsid w:val="00C224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2481"/>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558</Words>
  <Characters>3159</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2014-03-31T21:15:00Z</dcterms:created>
  <dcterms:modified xsi:type="dcterms:W3CDTF">2014-03-31T21:15:00Z</dcterms:modified>
  <cp:category> </cp:category>
  <cp:contentStatus> </cp:contentStatus>
</cp:coreProperties>
</file>