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41D7A" w:rsidP="007115F7">
            <w:pPr>
              <w:tabs>
                <w:tab w:val="center" w:pos="4680"/>
              </w:tabs>
              <w:suppressAutoHyphens/>
              <w:rPr>
                <w:spacing w:val="-2"/>
              </w:rPr>
            </w:pPr>
            <w:r>
              <w:rPr>
                <w:spacing w:val="-2"/>
              </w:rPr>
              <w:t>Aerco Broadcasting Corporation</w:t>
            </w:r>
          </w:p>
          <w:p w:rsidR="00141D7A" w:rsidRDefault="00141D7A" w:rsidP="007115F7">
            <w:pPr>
              <w:tabs>
                <w:tab w:val="center" w:pos="4680"/>
              </w:tabs>
              <w:suppressAutoHyphens/>
              <w:rPr>
                <w:spacing w:val="-2"/>
              </w:rPr>
            </w:pPr>
            <w:r>
              <w:rPr>
                <w:spacing w:val="-2"/>
              </w:rPr>
              <w:t>Licensee of Station WSJU-TV</w:t>
            </w:r>
          </w:p>
          <w:p w:rsidR="00141D7A" w:rsidRPr="007115F7" w:rsidRDefault="00141D7A" w:rsidP="007115F7">
            <w:pPr>
              <w:tabs>
                <w:tab w:val="center" w:pos="4680"/>
              </w:tabs>
              <w:suppressAutoHyphens/>
              <w:rPr>
                <w:spacing w:val="-2"/>
              </w:rPr>
            </w:pPr>
            <w:r>
              <w:rPr>
                <w:spacing w:val="-2"/>
              </w:rPr>
              <w:t>San Juan, Puerto Rico</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141D7A" w:rsidRDefault="004C2EE3">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41D7A">
            <w:pPr>
              <w:tabs>
                <w:tab w:val="center" w:pos="4680"/>
              </w:tabs>
              <w:suppressAutoHyphens/>
              <w:rPr>
                <w:spacing w:val="-2"/>
              </w:rPr>
            </w:pPr>
            <w:r>
              <w:rPr>
                <w:spacing w:val="-2"/>
              </w:rPr>
              <w:t>Facility ID No. 4077</w:t>
            </w:r>
          </w:p>
          <w:p w:rsidR="00141D7A" w:rsidRDefault="00141D7A">
            <w:pPr>
              <w:tabs>
                <w:tab w:val="center" w:pos="4680"/>
              </w:tabs>
              <w:suppressAutoHyphens/>
              <w:rPr>
                <w:spacing w:val="-2"/>
              </w:rPr>
            </w:pPr>
            <w:r>
              <w:rPr>
                <w:spacing w:val="-2"/>
              </w:rPr>
              <w:t>NAL/Acct. No. 201441420</w:t>
            </w:r>
            <w:r w:rsidR="00FC432D">
              <w:rPr>
                <w:spacing w:val="-2"/>
              </w:rPr>
              <w:t>0</w:t>
            </w:r>
            <w:r w:rsidR="00196F12">
              <w:rPr>
                <w:spacing w:val="-2"/>
              </w:rPr>
              <w:t>0</w:t>
            </w:r>
            <w:r>
              <w:rPr>
                <w:spacing w:val="-2"/>
              </w:rPr>
              <w:t>3</w:t>
            </w:r>
          </w:p>
          <w:p w:rsidR="00141D7A" w:rsidRDefault="00141D7A">
            <w:pPr>
              <w:tabs>
                <w:tab w:val="center" w:pos="4680"/>
              </w:tabs>
              <w:suppressAutoHyphens/>
              <w:rPr>
                <w:spacing w:val="-2"/>
              </w:rPr>
            </w:pPr>
            <w:r>
              <w:rPr>
                <w:spacing w:val="-2"/>
              </w:rPr>
              <w:t>FRN</w:t>
            </w:r>
            <w:r w:rsidR="00FC432D">
              <w:rPr>
                <w:spacing w:val="-2"/>
              </w:rPr>
              <w:t>:  0003759560</w:t>
            </w:r>
          </w:p>
        </w:tc>
      </w:tr>
    </w:tbl>
    <w:p w:rsidR="004C2EE3" w:rsidRDefault="004C2EE3" w:rsidP="0070224F"/>
    <w:p w:rsidR="00841AB1" w:rsidRDefault="00141D7A"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41D7A">
        <w:rPr>
          <w:b/>
          <w:spacing w:val="-2"/>
        </w:rPr>
        <w:t>December 11,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F7A94">
        <w:rPr>
          <w:b/>
          <w:spacing w:val="-2"/>
        </w:rPr>
        <w:t>December 1</w:t>
      </w:r>
      <w:r w:rsidR="0011320A">
        <w:rPr>
          <w:b/>
          <w:spacing w:val="-2"/>
        </w:rPr>
        <w:t>2</w:t>
      </w:r>
      <w:r w:rsidR="006F7A94">
        <w:rPr>
          <w:b/>
          <w:spacing w:val="-2"/>
        </w:rPr>
        <w:t>, 2014</w:t>
      </w:r>
    </w:p>
    <w:p w:rsidR="00822CE0" w:rsidRDefault="00822CE0"/>
    <w:p w:rsidR="004C2EE3" w:rsidRDefault="004C2EE3">
      <w:pPr>
        <w:rPr>
          <w:spacing w:val="-2"/>
        </w:rPr>
      </w:pPr>
      <w:r>
        <w:t xml:space="preserve">By </w:t>
      </w:r>
      <w:r w:rsidR="004E4A22">
        <w:t>the</w:t>
      </w:r>
      <w:r w:rsidR="002A2D2E">
        <w:t xml:space="preserve"> </w:t>
      </w:r>
      <w:r w:rsidR="00141D7A">
        <w:rPr>
          <w:spacing w:val="-2"/>
        </w:rPr>
        <w:t>Commission</w:t>
      </w:r>
      <w:r>
        <w:rPr>
          <w:spacing w:val="-2"/>
        </w:rPr>
        <w:t>:</w:t>
      </w:r>
    </w:p>
    <w:p w:rsidR="00822CE0" w:rsidRDefault="00822CE0">
      <w:pPr>
        <w:rPr>
          <w:spacing w:val="-2"/>
        </w:rPr>
      </w:pPr>
    </w:p>
    <w:p w:rsidR="00141D7A" w:rsidRPr="0009298B" w:rsidRDefault="00141D7A" w:rsidP="00141D7A">
      <w:pPr>
        <w:pStyle w:val="ParaNum"/>
      </w:pPr>
      <w:r w:rsidRPr="0009298B">
        <w:t>In this Memorandum Opinion and Order</w:t>
      </w:r>
      <w:r>
        <w:t>,</w:t>
      </w:r>
      <w:r w:rsidRPr="0009298B">
        <w:t xml:space="preserve"> we deny the </w:t>
      </w:r>
      <w:r>
        <w:t xml:space="preserve">September 12, 2014 </w:t>
      </w:r>
      <w:r w:rsidRPr="0009298B">
        <w:t>App</w:t>
      </w:r>
      <w:r>
        <w:t>lication for Review (the “AFR”) filed by Aerco Broadcasting Corporation (“Aerco”), licensee of Station WSJU-TV, San Juan, Puerto Rico (the “Station”).  Aerco seeks review of the Memorandum Opinion and Order</w:t>
      </w:r>
      <w:r>
        <w:rPr>
          <w:rStyle w:val="FootnoteReference"/>
          <w:szCs w:val="22"/>
        </w:rPr>
        <w:footnoteReference w:id="2"/>
      </w:r>
      <w:r>
        <w:t xml:space="preserve"> issued by the</w:t>
      </w:r>
      <w:r w:rsidRPr="0009298B">
        <w:t xml:space="preserve"> Video Division</w:t>
      </w:r>
      <w:r>
        <w:t>, Media Bureau (the “Bureau”) denying reconsideration of a Forfeiture Order</w:t>
      </w:r>
      <w:r>
        <w:rPr>
          <w:rStyle w:val="FootnoteReference"/>
          <w:szCs w:val="22"/>
        </w:rPr>
        <w:footnoteReference w:id="3"/>
      </w:r>
      <w:r>
        <w:t xml:space="preserve"> which found that Aerco was </w:t>
      </w:r>
      <w:r w:rsidRPr="0009298B">
        <w:t xml:space="preserve">liable </w:t>
      </w:r>
      <w:r>
        <w:t xml:space="preserve">for a $20,000 forfeiture </w:t>
      </w:r>
      <w:r w:rsidRPr="0009298B">
        <w:t>for its apparent willful and repeated violation</w:t>
      </w:r>
      <w:r>
        <w:t>s at the Station of</w:t>
      </w:r>
      <w:r w:rsidRPr="0009298B">
        <w:t xml:space="preserve"> Section</w:t>
      </w:r>
      <w:r>
        <w:t>s 73.3526(e)(11)(i) &amp; (iii) of the Commission’s rules (“Rules”) for failure to timely electronically file issues/programs lists and Children’s Television Programming Reports and Section 73.3514(a) of the Rules for failure to report those violations in its license renewal application for the Station.</w:t>
      </w:r>
      <w:r>
        <w:rPr>
          <w:rStyle w:val="FootnoteReference"/>
          <w:szCs w:val="22"/>
        </w:rPr>
        <w:footnoteReference w:id="4"/>
      </w:r>
      <w:r w:rsidRPr="0009298B">
        <w:t xml:space="preserve"> </w:t>
      </w:r>
    </w:p>
    <w:p w:rsidR="00141D7A" w:rsidRPr="00A04152" w:rsidRDefault="00141D7A" w:rsidP="00141D7A">
      <w:pPr>
        <w:pStyle w:val="ParaNum"/>
        <w:rPr>
          <w:color w:val="010101"/>
        </w:rPr>
      </w:pPr>
      <w:r>
        <w:t>At the outset, Aerco does not dispute that it committed the violations. Instead, it continues to maintain that the forfeiture should be “overturned or revised.”</w:t>
      </w:r>
      <w:r>
        <w:rPr>
          <w:rStyle w:val="FootnoteReference"/>
          <w:szCs w:val="22"/>
        </w:rPr>
        <w:footnoteReference w:id="5"/>
      </w:r>
      <w:r>
        <w:t xml:space="preserve">  In support of this contention, Aerco </w:t>
      </w:r>
      <w:r w:rsidRPr="002E5335">
        <w:t>raise</w:t>
      </w:r>
      <w:r>
        <w:t>s three issues on review that</w:t>
      </w:r>
      <w:r w:rsidRPr="002E5335">
        <w:t xml:space="preserve"> it also argued below</w:t>
      </w:r>
      <w:r>
        <w:t xml:space="preserve">: (1) that, in assessing the forfeiture for failure to file issues/programs lists,  the Bureau should have taken into consideration the Station’s history of providing locally produced public affairs programming; (2) that, in assessing the forfeiture for failure to file timely the Station’s Children’s Television Programming Reports, the Bureau failed to consider that certain reports were filed soon after the deadline and that no members of the public complained of the violations; and (3) that the Bureau should have reduced the forfeiture amount based on Aerco’s claimed inability </w:t>
      </w:r>
      <w:r w:rsidRPr="00954E3C">
        <w:t>to pay</w:t>
      </w:r>
      <w:r>
        <w:t>.   Aerco also argues for the first time that in assessing its failure to report the violations in its renewal application, the Bureau should have taken into account that Aerco did not act with intent to deceive.  B</w:t>
      </w:r>
      <w:r w:rsidRPr="0042224F">
        <w:t xml:space="preserve">ecause </w:t>
      </w:r>
      <w:r>
        <w:t>Aerco</w:t>
      </w:r>
      <w:r w:rsidRPr="0042224F">
        <w:t xml:space="preserve"> failed to </w:t>
      </w:r>
      <w:r>
        <w:t>make</w:t>
      </w:r>
      <w:r w:rsidRPr="0042224F">
        <w:t xml:space="preserve"> </w:t>
      </w:r>
      <w:r>
        <w:t>t</w:t>
      </w:r>
      <w:r w:rsidRPr="0042224F">
        <w:t xml:space="preserve">his </w:t>
      </w:r>
      <w:r>
        <w:t>argument to the Bureau</w:t>
      </w:r>
      <w:r w:rsidRPr="0042224F">
        <w:t xml:space="preserve">, </w:t>
      </w:r>
      <w:r>
        <w:t>the Bureau</w:t>
      </w:r>
      <w:r w:rsidRPr="0042224F">
        <w:t xml:space="preserve"> never had the opportunity to pass on that </w:t>
      </w:r>
      <w:r>
        <w:t>contention</w:t>
      </w:r>
      <w:r w:rsidRPr="0042224F">
        <w:t xml:space="preserve">.  Accordingly, </w:t>
      </w:r>
      <w:r>
        <w:t>Aerco</w:t>
      </w:r>
      <w:r w:rsidRPr="0042224F">
        <w:t xml:space="preserve"> may not introduce it here. To the extent that the AFR contains this argument, we dismiss the AFR.</w:t>
      </w:r>
      <w:r>
        <w:rPr>
          <w:rStyle w:val="FootnoteReference"/>
          <w:szCs w:val="22"/>
        </w:rPr>
        <w:footnoteReference w:id="6"/>
      </w:r>
      <w:r w:rsidRPr="0042224F">
        <w:t xml:space="preserve"> </w:t>
      </w:r>
    </w:p>
    <w:p w:rsidR="00141D7A" w:rsidRDefault="00141D7A" w:rsidP="00141D7A">
      <w:pPr>
        <w:pStyle w:val="ParaNum"/>
      </w:pPr>
      <w:r w:rsidRPr="008208C0">
        <w:lastRenderedPageBreak/>
        <w:t xml:space="preserve">Upon consideration of the Application for Review and the entire record, we conclude that </w:t>
      </w:r>
      <w:r>
        <w:t>Aerco h</w:t>
      </w:r>
      <w:r w:rsidRPr="008208C0">
        <w:t xml:space="preserve">as not demonstrated that the Bureau erred.  The Bureau, in the </w:t>
      </w:r>
      <w:r>
        <w:rPr>
          <w:i/>
        </w:rPr>
        <w:t>Memorandum Opinion and Order</w:t>
      </w:r>
      <w:r w:rsidRPr="008208C0">
        <w:t>, properly decided the matters raised, and we uphold its decision for the reasons stated therein.</w:t>
      </w:r>
    </w:p>
    <w:p w:rsidR="00141D7A" w:rsidRDefault="00141D7A" w:rsidP="00141D7A">
      <w:pPr>
        <w:pStyle w:val="ParaNum"/>
      </w:pPr>
      <w:r w:rsidRPr="008208C0">
        <w:t>A</w:t>
      </w:r>
      <w:r>
        <w:t xml:space="preserve">CCORDINGLY, IT IS ORDERED that, pursuant to </w:t>
      </w:r>
      <w:r w:rsidRPr="008208C0">
        <w:t>Section 5(c)(5) of the Communications Act of 1934, as amended, 47 U.S.C. § 155(c)(5), and Section</w:t>
      </w:r>
      <w:r>
        <w:t>s</w:t>
      </w:r>
      <w:r w:rsidRPr="008208C0">
        <w:t xml:space="preserve"> 1.115</w:t>
      </w:r>
      <w:r>
        <w:t xml:space="preserve">(c) and </w:t>
      </w:r>
      <w:r w:rsidRPr="008208C0">
        <w:t>(</w:t>
      </w:r>
      <w:r>
        <w:t>g</w:t>
      </w:r>
      <w:r w:rsidRPr="008208C0">
        <w:t>)</w:t>
      </w:r>
      <w:r>
        <w:t xml:space="preserve">, </w:t>
      </w:r>
      <w:r w:rsidRPr="008208C0">
        <w:t>of the Commission’s rules, 47 C.F.R. § 1.115</w:t>
      </w:r>
      <w:r>
        <w:t xml:space="preserve">(c),(g), </w:t>
      </w:r>
      <w:r w:rsidRPr="008208C0">
        <w:t xml:space="preserve">the Application for Review </w:t>
      </w:r>
      <w:r>
        <w:t xml:space="preserve">of Aerco Broadcasting Corporation IS DISMISSED IN PART and, in all other respects, IS </w:t>
      </w:r>
      <w:r w:rsidRPr="008208C0">
        <w:t xml:space="preserve">DENIED.  </w:t>
      </w:r>
    </w:p>
    <w:p w:rsidR="00141D7A" w:rsidRDefault="00141D7A" w:rsidP="00141D7A">
      <w:pPr>
        <w:pStyle w:val="ParaNum"/>
        <w:numPr>
          <w:ilvl w:val="0"/>
          <w:numId w:val="0"/>
        </w:numPr>
        <w:ind w:left="720"/>
      </w:pPr>
    </w:p>
    <w:p w:rsidR="00141D7A" w:rsidRDefault="00141D7A" w:rsidP="00141D7A">
      <w:r>
        <w:tab/>
      </w:r>
      <w:r>
        <w:tab/>
      </w:r>
      <w:r>
        <w:tab/>
      </w:r>
      <w:r>
        <w:tab/>
      </w:r>
      <w:r>
        <w:tab/>
      </w:r>
      <w:r>
        <w:tab/>
        <w:t>FEDERAL COMMUNICATIONS COMMISSION</w:t>
      </w:r>
    </w:p>
    <w:p w:rsidR="00141D7A" w:rsidRDefault="00141D7A" w:rsidP="00141D7A"/>
    <w:p w:rsidR="00141D7A" w:rsidRDefault="00141D7A" w:rsidP="00141D7A"/>
    <w:p w:rsidR="00141D7A" w:rsidRDefault="00141D7A" w:rsidP="00141D7A"/>
    <w:p w:rsidR="00141D7A" w:rsidRDefault="00141D7A" w:rsidP="00141D7A"/>
    <w:p w:rsidR="00141D7A" w:rsidRDefault="00141D7A" w:rsidP="00141D7A">
      <w:r>
        <w:tab/>
      </w:r>
      <w:r>
        <w:tab/>
      </w:r>
      <w:r>
        <w:tab/>
      </w:r>
      <w:r>
        <w:tab/>
      </w:r>
      <w:r>
        <w:tab/>
      </w:r>
      <w:r>
        <w:tab/>
        <w:t>Marlene H. Dortch</w:t>
      </w:r>
    </w:p>
    <w:p w:rsidR="002C00E8" w:rsidRPr="002C00E8" w:rsidRDefault="00141D7A" w:rsidP="00141D7A">
      <w:r>
        <w:tab/>
      </w:r>
      <w:r>
        <w:tab/>
      </w:r>
      <w:r>
        <w:tab/>
      </w:r>
      <w:r>
        <w:tab/>
      </w:r>
      <w:r>
        <w:tab/>
      </w:r>
      <w:r>
        <w:tab/>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81" w:rsidRDefault="00C63881">
      <w:pPr>
        <w:spacing w:line="20" w:lineRule="exact"/>
      </w:pPr>
    </w:p>
  </w:endnote>
  <w:endnote w:type="continuationSeparator" w:id="0">
    <w:p w:rsidR="00C63881" w:rsidRDefault="00C63881">
      <w:r>
        <w:t xml:space="preserve"> </w:t>
      </w:r>
    </w:p>
  </w:endnote>
  <w:endnote w:type="continuationNotice" w:id="1">
    <w:p w:rsidR="00C63881" w:rsidRDefault="00C638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5686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81" w:rsidRDefault="00C63881">
      <w:r>
        <w:separator/>
      </w:r>
    </w:p>
  </w:footnote>
  <w:footnote w:type="continuationSeparator" w:id="0">
    <w:p w:rsidR="00C63881" w:rsidRDefault="00C63881" w:rsidP="00C721AC">
      <w:pPr>
        <w:spacing w:before="120"/>
        <w:rPr>
          <w:sz w:val="20"/>
        </w:rPr>
      </w:pPr>
      <w:r>
        <w:rPr>
          <w:sz w:val="20"/>
        </w:rPr>
        <w:t xml:space="preserve">(Continued from previous page)  </w:t>
      </w:r>
      <w:r>
        <w:rPr>
          <w:sz w:val="20"/>
        </w:rPr>
        <w:separator/>
      </w:r>
    </w:p>
  </w:footnote>
  <w:footnote w:type="continuationNotice" w:id="1">
    <w:p w:rsidR="00C63881" w:rsidRDefault="00C63881" w:rsidP="00C721AC">
      <w:pPr>
        <w:jc w:val="right"/>
        <w:rPr>
          <w:sz w:val="20"/>
        </w:rPr>
      </w:pPr>
      <w:r>
        <w:rPr>
          <w:sz w:val="20"/>
        </w:rPr>
        <w:t>(continued….)</w:t>
      </w:r>
    </w:p>
  </w:footnote>
  <w:footnote w:id="2">
    <w:p w:rsidR="00141D7A" w:rsidRDefault="00141D7A" w:rsidP="00141D7A">
      <w:pPr>
        <w:pStyle w:val="FootnoteText"/>
      </w:pPr>
      <w:r>
        <w:rPr>
          <w:rStyle w:val="FootnoteReference"/>
        </w:rPr>
        <w:footnoteRef/>
      </w:r>
      <w:r>
        <w:rPr>
          <w:i/>
        </w:rPr>
        <w:t xml:space="preserve"> Aerco Broadcasting Corporation</w:t>
      </w:r>
      <w:r>
        <w:t>, Memorandum Opinion and Order, DA 14-1184 (Vid. Div. Aug. 14, 2014</w:t>
      </w:r>
      <w:r w:rsidRPr="00704E5B">
        <w:t>)</w:t>
      </w:r>
      <w:r>
        <w:t xml:space="preserve"> </w:t>
      </w:r>
      <w:r w:rsidRPr="00704E5B">
        <w:t>(“</w:t>
      </w:r>
      <w:r>
        <w:rPr>
          <w:i/>
        </w:rPr>
        <w:t>Memorandum Opinion and Order</w:t>
      </w:r>
      <w:r w:rsidRPr="00704E5B">
        <w:t>”).</w:t>
      </w:r>
    </w:p>
  </w:footnote>
  <w:footnote w:id="3">
    <w:p w:rsidR="00141D7A" w:rsidRPr="00704E5B" w:rsidRDefault="00141D7A" w:rsidP="00141D7A">
      <w:pPr>
        <w:pStyle w:val="FootnoteText"/>
      </w:pPr>
      <w:r w:rsidRPr="00704E5B">
        <w:rPr>
          <w:rStyle w:val="FootnoteReference"/>
        </w:rPr>
        <w:footnoteRef/>
      </w:r>
      <w:r>
        <w:rPr>
          <w:i/>
        </w:rPr>
        <w:t>Aerco Broadcasting Corporation</w:t>
      </w:r>
      <w:r>
        <w:t xml:space="preserve">, Forfeiture Order, 29 FCC Rcd 5730 (Vid. Div. 2014) </w:t>
      </w:r>
      <w:r w:rsidRPr="00704E5B">
        <w:t>(“</w:t>
      </w:r>
      <w:r w:rsidRPr="00704E5B">
        <w:rPr>
          <w:i/>
        </w:rPr>
        <w:t>Forfeiture Order</w:t>
      </w:r>
      <w:r w:rsidRPr="00704E5B">
        <w:t xml:space="preserve">”). </w:t>
      </w:r>
    </w:p>
  </w:footnote>
  <w:footnote w:id="4">
    <w:p w:rsidR="00141D7A" w:rsidRDefault="00141D7A" w:rsidP="00141D7A">
      <w:pPr>
        <w:pStyle w:val="FootnoteText"/>
      </w:pPr>
      <w:r>
        <w:rPr>
          <w:rStyle w:val="FootnoteReference"/>
        </w:rPr>
        <w:footnoteRef/>
      </w:r>
      <w:r>
        <w:t xml:space="preserve"> FCC File No. BRCDT-20120928ACZ. </w:t>
      </w:r>
    </w:p>
  </w:footnote>
  <w:footnote w:id="5">
    <w:p w:rsidR="00141D7A" w:rsidRDefault="00141D7A" w:rsidP="00141D7A">
      <w:pPr>
        <w:pStyle w:val="FootnoteText"/>
      </w:pPr>
      <w:r>
        <w:rPr>
          <w:rStyle w:val="FootnoteReference"/>
        </w:rPr>
        <w:footnoteRef/>
      </w:r>
      <w:r>
        <w:t xml:space="preserve"> AFR at 1.</w:t>
      </w:r>
    </w:p>
  </w:footnote>
  <w:footnote w:id="6">
    <w:p w:rsidR="00141D7A" w:rsidRPr="00C0123C" w:rsidRDefault="00141D7A" w:rsidP="00FD096B">
      <w:pPr>
        <w:pStyle w:val="FootnoteText"/>
      </w:pPr>
      <w:r w:rsidRPr="00C0123C">
        <w:rPr>
          <w:rStyle w:val="FootnoteReference"/>
        </w:rPr>
        <w:footnoteRef/>
      </w:r>
      <w:r w:rsidRPr="00C0123C">
        <w:t xml:space="preserve"> </w:t>
      </w:r>
      <w:r w:rsidRPr="00F93F58">
        <w:rPr>
          <w:i/>
        </w:rPr>
        <w:t>See</w:t>
      </w:r>
      <w:r w:rsidRPr="00C0123C">
        <w:t xml:space="preserve"> 47 C.F.R. § 1.115(c).  Aerco’s inability to pay argument was based on its history of operating losses.  See Response at 4-7; Supplemental Response at 1; AFR at 5 to 8.   When evaluating an individual or entity’s inability to pay a claim, the Commission has determined that, in general, gross income or revenues are the best indicator of an ability to pay a forfeiture (emphasis added).  </w:t>
      </w:r>
      <w:r w:rsidRPr="00C0123C">
        <w:rPr>
          <w:i/>
        </w:rPr>
        <w:t>See, e.g., Local Long Distance, Inc.</w:t>
      </w:r>
      <w:r w:rsidRPr="00C0123C">
        <w:t xml:space="preserve">, Order of Forfeiture, 15 FCC Rcd 24385 (2000) (evaluating licensee’s ability to pay based on the forfeiture as a percentage of gross revenue); </w:t>
      </w:r>
      <w:r w:rsidRPr="00C0123C">
        <w:rPr>
          <w:i/>
        </w:rPr>
        <w:t>Forfeiture Order</w:t>
      </w:r>
      <w:r w:rsidRPr="00C0123C">
        <w:t xml:space="preserve">, 29 FCC Rcd at 5213.  The forfeiture issued against Aerco represented approximately 2.9 percent of Aerco’s $693,089 average annual gross revenue between 2010 and 2013.  Based on Commission precedent, such a forfeiture is not excessive.  </w:t>
      </w:r>
      <w:r w:rsidRPr="00C0123C">
        <w:rPr>
          <w:i/>
        </w:rPr>
        <w:t>See e.g., Hoosier Broadcasting Corp.</w:t>
      </w:r>
      <w:r w:rsidRPr="00C0123C">
        <w:t>, Memorandum Opinion and Order, 15 FCC Rcd 8640 (2000)(forfeiture not deemed excessive where it represented approximately 7.6 percent of the violator's gross revenues).</w:t>
      </w:r>
      <w:r>
        <w:t xml:space="preserve">  </w:t>
      </w:r>
      <w:r w:rsidRPr="00C0123C">
        <w:t xml:space="preserve">In its AFR, Aerco also argues that the Bureau should have cancelled </w:t>
      </w:r>
      <w:r>
        <w:t>the</w:t>
      </w:r>
      <w:r w:rsidRPr="00C0123C">
        <w:t xml:space="preserve"> forfeiture just </w:t>
      </w:r>
      <w:r>
        <w:t>as the Enforcement Bureau did in one</w:t>
      </w:r>
      <w:r w:rsidRPr="00C0123C">
        <w:t xml:space="preserve"> of its recent cases, </w:t>
      </w:r>
      <w:r w:rsidRPr="00C0123C">
        <w:rPr>
          <w:i/>
        </w:rPr>
        <w:t>Jeannine M. Mason</w:t>
      </w:r>
      <w:r w:rsidRPr="00C0123C">
        <w:t>, Or</w:t>
      </w:r>
      <w:r>
        <w:t xml:space="preserve">der, 29 FCC Rcd 10070 (EB 2014); </w:t>
      </w:r>
      <w:r w:rsidRPr="00C0123C">
        <w:t>AFR at 8.  Aerco itself notes that the En</w:t>
      </w:r>
      <w:r>
        <w:t>forcement Bureau’s decision in </w:t>
      </w:r>
      <w:r w:rsidRPr="00C0123C">
        <w:rPr>
          <w:i/>
        </w:rPr>
        <w:t>Jeannine M. Mason</w:t>
      </w:r>
      <w:r w:rsidRPr="00C0123C">
        <w:t xml:space="preserve"> to cancel the forfeiture was “based upon gross income and tax returns.”  </w:t>
      </w:r>
      <w:r w:rsidRPr="003D74EB">
        <w:rPr>
          <w:i/>
        </w:rPr>
        <w:t>Id.</w:t>
      </w:r>
      <w:r w:rsidRPr="00C0123C">
        <w:t>  Accordingly, the Bureau’s decision below is not only consistent with Commission precedent for determining when forfeiture reduction is appropriate, but also the Enforcement Bureau’s decision in </w:t>
      </w:r>
      <w:r w:rsidRPr="00C0123C">
        <w:rPr>
          <w:i/>
        </w:rPr>
        <w:t>Jeannine M. Mason</w:t>
      </w:r>
      <w:r w:rsidRPr="00C012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C8" w:rsidRDefault="004E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41D7A">
      <w:t>FCC 14-205</w:t>
    </w:r>
  </w:p>
  <w:p w:rsidR="00D25FB5" w:rsidRDefault="00141D7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41D7A"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A"/>
    <w:rsid w:val="00036039"/>
    <w:rsid w:val="00037F90"/>
    <w:rsid w:val="000875BF"/>
    <w:rsid w:val="00096D8C"/>
    <w:rsid w:val="000C0B65"/>
    <w:rsid w:val="000E05FE"/>
    <w:rsid w:val="000E3D42"/>
    <w:rsid w:val="0011320A"/>
    <w:rsid w:val="00122BD5"/>
    <w:rsid w:val="00133F79"/>
    <w:rsid w:val="00141D7A"/>
    <w:rsid w:val="00194A66"/>
    <w:rsid w:val="00196F12"/>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2FC8"/>
    <w:rsid w:val="004E4A22"/>
    <w:rsid w:val="00511968"/>
    <w:rsid w:val="0055614C"/>
    <w:rsid w:val="005E14C2"/>
    <w:rsid w:val="00607BA5"/>
    <w:rsid w:val="0061180A"/>
    <w:rsid w:val="00626EB6"/>
    <w:rsid w:val="00655D03"/>
    <w:rsid w:val="00683388"/>
    <w:rsid w:val="00683F84"/>
    <w:rsid w:val="006A6A81"/>
    <w:rsid w:val="006F7393"/>
    <w:rsid w:val="006F7A94"/>
    <w:rsid w:val="0070224F"/>
    <w:rsid w:val="007115F7"/>
    <w:rsid w:val="00785689"/>
    <w:rsid w:val="0079754B"/>
    <w:rsid w:val="007A1E6D"/>
    <w:rsid w:val="007B0EB2"/>
    <w:rsid w:val="00810B6F"/>
    <w:rsid w:val="00822CE0"/>
    <w:rsid w:val="00841AB1"/>
    <w:rsid w:val="008C68F1"/>
    <w:rsid w:val="00921803"/>
    <w:rsid w:val="00926503"/>
    <w:rsid w:val="0096678C"/>
    <w:rsid w:val="009726D8"/>
    <w:rsid w:val="009F76DB"/>
    <w:rsid w:val="00A32C3B"/>
    <w:rsid w:val="00A45F4F"/>
    <w:rsid w:val="00A469E8"/>
    <w:rsid w:val="00A600A9"/>
    <w:rsid w:val="00AA55B7"/>
    <w:rsid w:val="00AA5B9E"/>
    <w:rsid w:val="00AB2407"/>
    <w:rsid w:val="00AB53DF"/>
    <w:rsid w:val="00B07E5C"/>
    <w:rsid w:val="00B811F7"/>
    <w:rsid w:val="00BA5DC6"/>
    <w:rsid w:val="00BA6196"/>
    <w:rsid w:val="00BC6D8C"/>
    <w:rsid w:val="00C34006"/>
    <w:rsid w:val="00C426B1"/>
    <w:rsid w:val="00C56865"/>
    <w:rsid w:val="00C63881"/>
    <w:rsid w:val="00C66160"/>
    <w:rsid w:val="00C721AC"/>
    <w:rsid w:val="00C84D9E"/>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C432D"/>
    <w:rsid w:val="00FD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865"/>
    <w:pPr>
      <w:widowControl w:val="0"/>
    </w:pPr>
    <w:rPr>
      <w:snapToGrid w:val="0"/>
      <w:kern w:val="28"/>
      <w:sz w:val="22"/>
    </w:rPr>
  </w:style>
  <w:style w:type="paragraph" w:styleId="Heading1">
    <w:name w:val="heading 1"/>
    <w:basedOn w:val="Normal"/>
    <w:next w:val="ParaNum"/>
    <w:qFormat/>
    <w:rsid w:val="00C568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6865"/>
    <w:pPr>
      <w:keepNext/>
      <w:numPr>
        <w:ilvl w:val="1"/>
        <w:numId w:val="3"/>
      </w:numPr>
      <w:spacing w:after="120"/>
      <w:outlineLvl w:val="1"/>
    </w:pPr>
    <w:rPr>
      <w:b/>
    </w:rPr>
  </w:style>
  <w:style w:type="paragraph" w:styleId="Heading3">
    <w:name w:val="heading 3"/>
    <w:basedOn w:val="Normal"/>
    <w:next w:val="ParaNum"/>
    <w:qFormat/>
    <w:rsid w:val="00C56865"/>
    <w:pPr>
      <w:keepNext/>
      <w:numPr>
        <w:ilvl w:val="2"/>
        <w:numId w:val="3"/>
      </w:numPr>
      <w:tabs>
        <w:tab w:val="left" w:pos="2160"/>
      </w:tabs>
      <w:spacing w:after="120"/>
      <w:outlineLvl w:val="2"/>
    </w:pPr>
    <w:rPr>
      <w:b/>
    </w:rPr>
  </w:style>
  <w:style w:type="paragraph" w:styleId="Heading4">
    <w:name w:val="heading 4"/>
    <w:basedOn w:val="Normal"/>
    <w:next w:val="ParaNum"/>
    <w:qFormat/>
    <w:rsid w:val="00C56865"/>
    <w:pPr>
      <w:keepNext/>
      <w:numPr>
        <w:ilvl w:val="3"/>
        <w:numId w:val="3"/>
      </w:numPr>
      <w:tabs>
        <w:tab w:val="left" w:pos="2880"/>
      </w:tabs>
      <w:spacing w:after="120"/>
      <w:outlineLvl w:val="3"/>
    </w:pPr>
    <w:rPr>
      <w:b/>
    </w:rPr>
  </w:style>
  <w:style w:type="paragraph" w:styleId="Heading5">
    <w:name w:val="heading 5"/>
    <w:basedOn w:val="Normal"/>
    <w:next w:val="ParaNum"/>
    <w:qFormat/>
    <w:rsid w:val="00C5686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6865"/>
    <w:pPr>
      <w:numPr>
        <w:ilvl w:val="5"/>
        <w:numId w:val="3"/>
      </w:numPr>
      <w:tabs>
        <w:tab w:val="left" w:pos="4320"/>
      </w:tabs>
      <w:spacing w:after="120"/>
      <w:outlineLvl w:val="5"/>
    </w:pPr>
    <w:rPr>
      <w:b/>
    </w:rPr>
  </w:style>
  <w:style w:type="paragraph" w:styleId="Heading7">
    <w:name w:val="heading 7"/>
    <w:basedOn w:val="Normal"/>
    <w:next w:val="ParaNum"/>
    <w:qFormat/>
    <w:rsid w:val="00C5686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686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68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68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6865"/>
  </w:style>
  <w:style w:type="paragraph" w:customStyle="1" w:styleId="ParaNum">
    <w:name w:val="ParaNum"/>
    <w:basedOn w:val="Normal"/>
    <w:link w:val="ParaNumChar1"/>
    <w:rsid w:val="00C56865"/>
    <w:pPr>
      <w:numPr>
        <w:numId w:val="2"/>
      </w:numPr>
      <w:tabs>
        <w:tab w:val="clear" w:pos="1080"/>
        <w:tab w:val="num" w:pos="1440"/>
      </w:tabs>
      <w:spacing w:after="120"/>
    </w:pPr>
  </w:style>
  <w:style w:type="paragraph" w:styleId="EndnoteText">
    <w:name w:val="endnote text"/>
    <w:basedOn w:val="Normal"/>
    <w:semiHidden/>
    <w:rsid w:val="00C56865"/>
    <w:rPr>
      <w:sz w:val="20"/>
    </w:rPr>
  </w:style>
  <w:style w:type="character" w:styleId="EndnoteReference">
    <w:name w:val="endnote reference"/>
    <w:semiHidden/>
    <w:rsid w:val="00C56865"/>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C56865"/>
    <w:pPr>
      <w:spacing w:after="120"/>
    </w:pPr>
  </w:style>
  <w:style w:type="character" w:styleId="FootnoteReference">
    <w:name w:val="footnote reference"/>
    <w:aliases w:val="Style 4,Style 12,(NECG) Footnote Reference,Appel note de bas de p,Style 124,Style 13,o,fr,Style 3,Style 17,FR,Footnote Reference/"/>
    <w:rsid w:val="00C56865"/>
    <w:rPr>
      <w:rFonts w:ascii="Times New Roman" w:hAnsi="Times New Roman"/>
      <w:dstrike w:val="0"/>
      <w:color w:val="auto"/>
      <w:sz w:val="20"/>
      <w:vertAlign w:val="superscript"/>
    </w:rPr>
  </w:style>
  <w:style w:type="paragraph" w:styleId="TOC1">
    <w:name w:val="toc 1"/>
    <w:basedOn w:val="Normal"/>
    <w:next w:val="Normal"/>
    <w:semiHidden/>
    <w:rsid w:val="00C568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6865"/>
    <w:pPr>
      <w:tabs>
        <w:tab w:val="left" w:pos="720"/>
        <w:tab w:val="right" w:leader="dot" w:pos="9360"/>
      </w:tabs>
      <w:suppressAutoHyphens/>
      <w:ind w:left="720" w:right="720" w:hanging="360"/>
    </w:pPr>
    <w:rPr>
      <w:noProof/>
    </w:rPr>
  </w:style>
  <w:style w:type="paragraph" w:styleId="TOC3">
    <w:name w:val="toc 3"/>
    <w:basedOn w:val="Normal"/>
    <w:next w:val="Normal"/>
    <w:semiHidden/>
    <w:rsid w:val="00C568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68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68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68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68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68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68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6865"/>
    <w:pPr>
      <w:tabs>
        <w:tab w:val="right" w:pos="9360"/>
      </w:tabs>
      <w:suppressAutoHyphens/>
    </w:pPr>
  </w:style>
  <w:style w:type="character" w:customStyle="1" w:styleId="EquationCaption">
    <w:name w:val="_Equation Caption"/>
    <w:rsid w:val="00C56865"/>
  </w:style>
  <w:style w:type="paragraph" w:styleId="Header">
    <w:name w:val="header"/>
    <w:basedOn w:val="Normal"/>
    <w:autoRedefine/>
    <w:rsid w:val="00C56865"/>
    <w:pPr>
      <w:tabs>
        <w:tab w:val="center" w:pos="4680"/>
        <w:tab w:val="right" w:pos="9360"/>
      </w:tabs>
    </w:pPr>
    <w:rPr>
      <w:b/>
    </w:rPr>
  </w:style>
  <w:style w:type="paragraph" w:styleId="Footer">
    <w:name w:val="footer"/>
    <w:basedOn w:val="Normal"/>
    <w:rsid w:val="00C56865"/>
    <w:pPr>
      <w:tabs>
        <w:tab w:val="center" w:pos="4320"/>
        <w:tab w:val="right" w:pos="8640"/>
      </w:tabs>
    </w:pPr>
  </w:style>
  <w:style w:type="character" w:styleId="PageNumber">
    <w:name w:val="page number"/>
    <w:basedOn w:val="DefaultParagraphFont"/>
    <w:rsid w:val="00C56865"/>
  </w:style>
  <w:style w:type="paragraph" w:styleId="BlockText">
    <w:name w:val="Block Text"/>
    <w:basedOn w:val="Normal"/>
    <w:rsid w:val="00C56865"/>
    <w:pPr>
      <w:spacing w:after="240"/>
      <w:ind w:left="1440" w:right="1440"/>
    </w:pPr>
  </w:style>
  <w:style w:type="paragraph" w:customStyle="1" w:styleId="Paratitle">
    <w:name w:val="Para title"/>
    <w:basedOn w:val="Normal"/>
    <w:rsid w:val="00C56865"/>
    <w:pPr>
      <w:tabs>
        <w:tab w:val="center" w:pos="9270"/>
      </w:tabs>
      <w:spacing w:after="240"/>
    </w:pPr>
    <w:rPr>
      <w:spacing w:val="-2"/>
    </w:rPr>
  </w:style>
  <w:style w:type="paragraph" w:customStyle="1" w:styleId="Bullet">
    <w:name w:val="Bullet"/>
    <w:basedOn w:val="Normal"/>
    <w:rsid w:val="00C56865"/>
    <w:pPr>
      <w:tabs>
        <w:tab w:val="left" w:pos="2160"/>
      </w:tabs>
      <w:spacing w:after="220"/>
      <w:ind w:left="2160" w:hanging="720"/>
    </w:pPr>
  </w:style>
  <w:style w:type="paragraph" w:customStyle="1" w:styleId="TableFormat">
    <w:name w:val="TableFormat"/>
    <w:basedOn w:val="Bullet"/>
    <w:rsid w:val="00C56865"/>
    <w:pPr>
      <w:tabs>
        <w:tab w:val="clear" w:pos="2160"/>
        <w:tab w:val="left" w:pos="5040"/>
      </w:tabs>
      <w:ind w:left="5040" w:hanging="3600"/>
    </w:pPr>
  </w:style>
  <w:style w:type="paragraph" w:customStyle="1" w:styleId="TOCTitle">
    <w:name w:val="TOC Title"/>
    <w:basedOn w:val="Normal"/>
    <w:rsid w:val="00C568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6865"/>
    <w:pPr>
      <w:jc w:val="center"/>
    </w:pPr>
    <w:rPr>
      <w:rFonts w:ascii="Times New Roman Bold" w:hAnsi="Times New Roman Bold"/>
      <w:b/>
      <w:bCs/>
      <w:caps/>
      <w:szCs w:val="22"/>
    </w:rPr>
  </w:style>
  <w:style w:type="character" w:styleId="Hyperlink">
    <w:name w:val="Hyperlink"/>
    <w:rsid w:val="00C56865"/>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link w:val="FootnoteText"/>
    <w:rsid w:val="00141D7A"/>
  </w:style>
  <w:style w:type="character" w:customStyle="1" w:styleId="ParaNumChar1">
    <w:name w:val="ParaNum Char1"/>
    <w:link w:val="ParaNum"/>
    <w:locked/>
    <w:rsid w:val="00141D7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865"/>
    <w:pPr>
      <w:widowControl w:val="0"/>
    </w:pPr>
    <w:rPr>
      <w:snapToGrid w:val="0"/>
      <w:kern w:val="28"/>
      <w:sz w:val="22"/>
    </w:rPr>
  </w:style>
  <w:style w:type="paragraph" w:styleId="Heading1">
    <w:name w:val="heading 1"/>
    <w:basedOn w:val="Normal"/>
    <w:next w:val="ParaNum"/>
    <w:qFormat/>
    <w:rsid w:val="00C568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6865"/>
    <w:pPr>
      <w:keepNext/>
      <w:numPr>
        <w:ilvl w:val="1"/>
        <w:numId w:val="3"/>
      </w:numPr>
      <w:spacing w:after="120"/>
      <w:outlineLvl w:val="1"/>
    </w:pPr>
    <w:rPr>
      <w:b/>
    </w:rPr>
  </w:style>
  <w:style w:type="paragraph" w:styleId="Heading3">
    <w:name w:val="heading 3"/>
    <w:basedOn w:val="Normal"/>
    <w:next w:val="ParaNum"/>
    <w:qFormat/>
    <w:rsid w:val="00C56865"/>
    <w:pPr>
      <w:keepNext/>
      <w:numPr>
        <w:ilvl w:val="2"/>
        <w:numId w:val="3"/>
      </w:numPr>
      <w:tabs>
        <w:tab w:val="left" w:pos="2160"/>
      </w:tabs>
      <w:spacing w:after="120"/>
      <w:outlineLvl w:val="2"/>
    </w:pPr>
    <w:rPr>
      <w:b/>
    </w:rPr>
  </w:style>
  <w:style w:type="paragraph" w:styleId="Heading4">
    <w:name w:val="heading 4"/>
    <w:basedOn w:val="Normal"/>
    <w:next w:val="ParaNum"/>
    <w:qFormat/>
    <w:rsid w:val="00C56865"/>
    <w:pPr>
      <w:keepNext/>
      <w:numPr>
        <w:ilvl w:val="3"/>
        <w:numId w:val="3"/>
      </w:numPr>
      <w:tabs>
        <w:tab w:val="left" w:pos="2880"/>
      </w:tabs>
      <w:spacing w:after="120"/>
      <w:outlineLvl w:val="3"/>
    </w:pPr>
    <w:rPr>
      <w:b/>
    </w:rPr>
  </w:style>
  <w:style w:type="paragraph" w:styleId="Heading5">
    <w:name w:val="heading 5"/>
    <w:basedOn w:val="Normal"/>
    <w:next w:val="ParaNum"/>
    <w:qFormat/>
    <w:rsid w:val="00C5686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6865"/>
    <w:pPr>
      <w:numPr>
        <w:ilvl w:val="5"/>
        <w:numId w:val="3"/>
      </w:numPr>
      <w:tabs>
        <w:tab w:val="left" w:pos="4320"/>
      </w:tabs>
      <w:spacing w:after="120"/>
      <w:outlineLvl w:val="5"/>
    </w:pPr>
    <w:rPr>
      <w:b/>
    </w:rPr>
  </w:style>
  <w:style w:type="paragraph" w:styleId="Heading7">
    <w:name w:val="heading 7"/>
    <w:basedOn w:val="Normal"/>
    <w:next w:val="ParaNum"/>
    <w:qFormat/>
    <w:rsid w:val="00C5686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686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68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68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6865"/>
  </w:style>
  <w:style w:type="paragraph" w:customStyle="1" w:styleId="ParaNum">
    <w:name w:val="ParaNum"/>
    <w:basedOn w:val="Normal"/>
    <w:link w:val="ParaNumChar1"/>
    <w:rsid w:val="00C56865"/>
    <w:pPr>
      <w:numPr>
        <w:numId w:val="2"/>
      </w:numPr>
      <w:tabs>
        <w:tab w:val="clear" w:pos="1080"/>
        <w:tab w:val="num" w:pos="1440"/>
      </w:tabs>
      <w:spacing w:after="120"/>
    </w:pPr>
  </w:style>
  <w:style w:type="paragraph" w:styleId="EndnoteText">
    <w:name w:val="endnote text"/>
    <w:basedOn w:val="Normal"/>
    <w:semiHidden/>
    <w:rsid w:val="00C56865"/>
    <w:rPr>
      <w:sz w:val="20"/>
    </w:rPr>
  </w:style>
  <w:style w:type="character" w:styleId="EndnoteReference">
    <w:name w:val="endnote reference"/>
    <w:semiHidden/>
    <w:rsid w:val="00C56865"/>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C56865"/>
    <w:pPr>
      <w:spacing w:after="120"/>
    </w:pPr>
  </w:style>
  <w:style w:type="character" w:styleId="FootnoteReference">
    <w:name w:val="footnote reference"/>
    <w:aliases w:val="Style 4,Style 12,(NECG) Footnote Reference,Appel note de bas de p,Style 124,Style 13,o,fr,Style 3,Style 17,FR,Footnote Reference/"/>
    <w:rsid w:val="00C56865"/>
    <w:rPr>
      <w:rFonts w:ascii="Times New Roman" w:hAnsi="Times New Roman"/>
      <w:dstrike w:val="0"/>
      <w:color w:val="auto"/>
      <w:sz w:val="20"/>
      <w:vertAlign w:val="superscript"/>
    </w:rPr>
  </w:style>
  <w:style w:type="paragraph" w:styleId="TOC1">
    <w:name w:val="toc 1"/>
    <w:basedOn w:val="Normal"/>
    <w:next w:val="Normal"/>
    <w:semiHidden/>
    <w:rsid w:val="00C568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6865"/>
    <w:pPr>
      <w:tabs>
        <w:tab w:val="left" w:pos="720"/>
        <w:tab w:val="right" w:leader="dot" w:pos="9360"/>
      </w:tabs>
      <w:suppressAutoHyphens/>
      <w:ind w:left="720" w:right="720" w:hanging="360"/>
    </w:pPr>
    <w:rPr>
      <w:noProof/>
    </w:rPr>
  </w:style>
  <w:style w:type="paragraph" w:styleId="TOC3">
    <w:name w:val="toc 3"/>
    <w:basedOn w:val="Normal"/>
    <w:next w:val="Normal"/>
    <w:semiHidden/>
    <w:rsid w:val="00C568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68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68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68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68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68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68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6865"/>
    <w:pPr>
      <w:tabs>
        <w:tab w:val="right" w:pos="9360"/>
      </w:tabs>
      <w:suppressAutoHyphens/>
    </w:pPr>
  </w:style>
  <w:style w:type="character" w:customStyle="1" w:styleId="EquationCaption">
    <w:name w:val="_Equation Caption"/>
    <w:rsid w:val="00C56865"/>
  </w:style>
  <w:style w:type="paragraph" w:styleId="Header">
    <w:name w:val="header"/>
    <w:basedOn w:val="Normal"/>
    <w:autoRedefine/>
    <w:rsid w:val="00C56865"/>
    <w:pPr>
      <w:tabs>
        <w:tab w:val="center" w:pos="4680"/>
        <w:tab w:val="right" w:pos="9360"/>
      </w:tabs>
    </w:pPr>
    <w:rPr>
      <w:b/>
    </w:rPr>
  </w:style>
  <w:style w:type="paragraph" w:styleId="Footer">
    <w:name w:val="footer"/>
    <w:basedOn w:val="Normal"/>
    <w:rsid w:val="00C56865"/>
    <w:pPr>
      <w:tabs>
        <w:tab w:val="center" w:pos="4320"/>
        <w:tab w:val="right" w:pos="8640"/>
      </w:tabs>
    </w:pPr>
  </w:style>
  <w:style w:type="character" w:styleId="PageNumber">
    <w:name w:val="page number"/>
    <w:basedOn w:val="DefaultParagraphFont"/>
    <w:rsid w:val="00C56865"/>
  </w:style>
  <w:style w:type="paragraph" w:styleId="BlockText">
    <w:name w:val="Block Text"/>
    <w:basedOn w:val="Normal"/>
    <w:rsid w:val="00C56865"/>
    <w:pPr>
      <w:spacing w:after="240"/>
      <w:ind w:left="1440" w:right="1440"/>
    </w:pPr>
  </w:style>
  <w:style w:type="paragraph" w:customStyle="1" w:styleId="Paratitle">
    <w:name w:val="Para title"/>
    <w:basedOn w:val="Normal"/>
    <w:rsid w:val="00C56865"/>
    <w:pPr>
      <w:tabs>
        <w:tab w:val="center" w:pos="9270"/>
      </w:tabs>
      <w:spacing w:after="240"/>
    </w:pPr>
    <w:rPr>
      <w:spacing w:val="-2"/>
    </w:rPr>
  </w:style>
  <w:style w:type="paragraph" w:customStyle="1" w:styleId="Bullet">
    <w:name w:val="Bullet"/>
    <w:basedOn w:val="Normal"/>
    <w:rsid w:val="00C56865"/>
    <w:pPr>
      <w:tabs>
        <w:tab w:val="left" w:pos="2160"/>
      </w:tabs>
      <w:spacing w:after="220"/>
      <w:ind w:left="2160" w:hanging="720"/>
    </w:pPr>
  </w:style>
  <w:style w:type="paragraph" w:customStyle="1" w:styleId="TableFormat">
    <w:name w:val="TableFormat"/>
    <w:basedOn w:val="Bullet"/>
    <w:rsid w:val="00C56865"/>
    <w:pPr>
      <w:tabs>
        <w:tab w:val="clear" w:pos="2160"/>
        <w:tab w:val="left" w:pos="5040"/>
      </w:tabs>
      <w:ind w:left="5040" w:hanging="3600"/>
    </w:pPr>
  </w:style>
  <w:style w:type="paragraph" w:customStyle="1" w:styleId="TOCTitle">
    <w:name w:val="TOC Title"/>
    <w:basedOn w:val="Normal"/>
    <w:rsid w:val="00C568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6865"/>
    <w:pPr>
      <w:jc w:val="center"/>
    </w:pPr>
    <w:rPr>
      <w:rFonts w:ascii="Times New Roman Bold" w:hAnsi="Times New Roman Bold"/>
      <w:b/>
      <w:bCs/>
      <w:caps/>
      <w:szCs w:val="22"/>
    </w:rPr>
  </w:style>
  <w:style w:type="character" w:styleId="Hyperlink">
    <w:name w:val="Hyperlink"/>
    <w:rsid w:val="00C56865"/>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link w:val="FootnoteText"/>
    <w:rsid w:val="00141D7A"/>
  </w:style>
  <w:style w:type="character" w:customStyle="1" w:styleId="ParaNumChar1">
    <w:name w:val="ParaNum Char1"/>
    <w:link w:val="ParaNum"/>
    <w:locked/>
    <w:rsid w:val="00141D7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488</Words>
  <Characters>2664</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2014-12-12T15:40:00Z</dcterms:created>
  <dcterms:modified xsi:type="dcterms:W3CDTF">2014-12-12T15:40:00Z</dcterms:modified>
  <cp:category> </cp:category>
  <cp:contentStatus> </cp:contentStatus>
</cp:coreProperties>
</file>