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63774A" w:rsidP="007115F7">
            <w:pPr>
              <w:tabs>
                <w:tab w:val="center" w:pos="4680"/>
              </w:tabs>
              <w:suppressAutoHyphens/>
              <w:rPr>
                <w:spacing w:val="-2"/>
              </w:rPr>
            </w:pPr>
            <w:r>
              <w:rPr>
                <w:spacing w:val="-2"/>
              </w:rPr>
              <w:t>Educational Media Foundation</w:t>
            </w:r>
          </w:p>
          <w:p w:rsidR="0063774A" w:rsidRDefault="0063774A" w:rsidP="007115F7">
            <w:pPr>
              <w:tabs>
                <w:tab w:val="center" w:pos="4680"/>
              </w:tabs>
              <w:suppressAutoHyphens/>
              <w:rPr>
                <w:spacing w:val="-2"/>
              </w:rPr>
            </w:pPr>
          </w:p>
          <w:p w:rsidR="0063774A" w:rsidRDefault="0063774A" w:rsidP="007115F7">
            <w:pPr>
              <w:tabs>
                <w:tab w:val="center" w:pos="4680"/>
              </w:tabs>
              <w:suppressAutoHyphens/>
              <w:rPr>
                <w:spacing w:val="-2"/>
              </w:rPr>
            </w:pPr>
            <w:r>
              <w:rPr>
                <w:spacing w:val="-2"/>
              </w:rPr>
              <w:t xml:space="preserve">Application for a </w:t>
            </w:r>
            <w:r w:rsidRPr="00EF056B">
              <w:rPr>
                <w:spacing w:val="-2"/>
              </w:rPr>
              <w:t>Construction Permit for a</w:t>
            </w:r>
          </w:p>
          <w:p w:rsidR="0063774A" w:rsidRDefault="0063774A" w:rsidP="0063774A">
            <w:pPr>
              <w:tabs>
                <w:tab w:val="center" w:pos="4680"/>
              </w:tabs>
              <w:suppressAutoHyphens/>
              <w:rPr>
                <w:spacing w:val="-2"/>
              </w:rPr>
            </w:pPr>
            <w:r w:rsidRPr="00EF056B">
              <w:rPr>
                <w:spacing w:val="-2"/>
              </w:rPr>
              <w:t>Minor Change to a Licensed Facility</w:t>
            </w:r>
          </w:p>
          <w:p w:rsidR="0063774A" w:rsidRDefault="0063774A" w:rsidP="007115F7">
            <w:pPr>
              <w:tabs>
                <w:tab w:val="center" w:pos="4680"/>
              </w:tabs>
              <w:suppressAutoHyphens/>
              <w:rPr>
                <w:spacing w:val="-2"/>
              </w:rPr>
            </w:pPr>
          </w:p>
          <w:p w:rsidR="0063774A" w:rsidRPr="007115F7" w:rsidRDefault="00B40BAA" w:rsidP="00B40BAA">
            <w:pPr>
              <w:tabs>
                <w:tab w:val="center" w:pos="4680"/>
              </w:tabs>
              <w:suppressAutoHyphens/>
              <w:rPr>
                <w:spacing w:val="-2"/>
              </w:rPr>
            </w:pPr>
            <w:r>
              <w:rPr>
                <w:spacing w:val="-2"/>
              </w:rPr>
              <w:t>Station W267AT, Sherburne</w:t>
            </w:r>
            <w:r w:rsidR="0063774A">
              <w:rPr>
                <w:spacing w:val="-2"/>
              </w:rPr>
              <w:t>, New York</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3774A" w:rsidRDefault="0063774A" w:rsidP="0063774A">
            <w:pPr>
              <w:tabs>
                <w:tab w:val="center" w:pos="4680"/>
              </w:tabs>
              <w:suppressAutoHyphens/>
              <w:rPr>
                <w:spacing w:val="-2"/>
              </w:rPr>
            </w:pPr>
          </w:p>
          <w:p w:rsidR="0063774A" w:rsidRDefault="0063774A" w:rsidP="0063774A">
            <w:pPr>
              <w:tabs>
                <w:tab w:val="center" w:pos="4680"/>
              </w:tabs>
              <w:suppressAutoHyphens/>
              <w:rPr>
                <w:spacing w:val="-2"/>
              </w:rPr>
            </w:pPr>
          </w:p>
          <w:p w:rsidR="0063774A" w:rsidRDefault="0063774A" w:rsidP="0063774A">
            <w:pPr>
              <w:tabs>
                <w:tab w:val="center" w:pos="4680"/>
              </w:tabs>
              <w:suppressAutoHyphens/>
              <w:rPr>
                <w:spacing w:val="-2"/>
              </w:rPr>
            </w:pPr>
            <w:r>
              <w:rPr>
                <w:spacing w:val="-2"/>
              </w:rPr>
              <w:t>File No. BPFT-20130416AAG</w:t>
            </w:r>
          </w:p>
          <w:p w:rsidR="0063774A" w:rsidRDefault="0063774A" w:rsidP="0063774A">
            <w:pPr>
              <w:tabs>
                <w:tab w:val="center" w:pos="4680"/>
              </w:tabs>
              <w:suppressAutoHyphens/>
              <w:rPr>
                <w:spacing w:val="-2"/>
              </w:rPr>
            </w:pPr>
          </w:p>
          <w:p w:rsidR="0063774A" w:rsidRDefault="0063774A" w:rsidP="0063774A">
            <w:pPr>
              <w:tabs>
                <w:tab w:val="center" w:pos="4680"/>
              </w:tabs>
              <w:suppressAutoHyphens/>
              <w:rPr>
                <w:spacing w:val="-2"/>
              </w:rPr>
            </w:pPr>
          </w:p>
          <w:p w:rsidR="004C2EE3" w:rsidRDefault="0063774A" w:rsidP="0063774A">
            <w:pPr>
              <w:tabs>
                <w:tab w:val="center" w:pos="4680"/>
              </w:tabs>
              <w:suppressAutoHyphens/>
              <w:rPr>
                <w:spacing w:val="-2"/>
              </w:rPr>
            </w:pPr>
            <w:r>
              <w:rPr>
                <w:spacing w:val="-2"/>
              </w:rPr>
              <w:t>Facility ID No. 140739</w:t>
            </w:r>
          </w:p>
        </w:tc>
      </w:tr>
    </w:tbl>
    <w:p w:rsidR="004C2EE3" w:rsidRDefault="004C2EE3" w:rsidP="0070224F"/>
    <w:p w:rsidR="0063774A" w:rsidRDefault="0063774A" w:rsidP="0063774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D6328">
        <w:rPr>
          <w:b/>
          <w:spacing w:val="-2"/>
        </w:rPr>
        <w:t>December 10,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D6328">
        <w:rPr>
          <w:b/>
          <w:spacing w:val="-2"/>
        </w:rPr>
        <w:t>December 1</w:t>
      </w:r>
      <w:r w:rsidR="003D54DB">
        <w:rPr>
          <w:b/>
          <w:spacing w:val="-2"/>
        </w:rPr>
        <w:t>0</w:t>
      </w:r>
      <w:r w:rsidR="001D6328">
        <w:rPr>
          <w:b/>
          <w:spacing w:val="-2"/>
        </w:rPr>
        <w:t>, 2014</w:t>
      </w:r>
    </w:p>
    <w:p w:rsidR="00822CE0" w:rsidRDefault="00822CE0"/>
    <w:p w:rsidR="004C2EE3" w:rsidRDefault="004C2EE3">
      <w:pPr>
        <w:rPr>
          <w:spacing w:val="-2"/>
        </w:rPr>
      </w:pPr>
      <w:r>
        <w:t xml:space="preserve">By </w:t>
      </w:r>
      <w:r w:rsidR="004E4A22">
        <w:t>the</w:t>
      </w:r>
      <w:r w:rsidR="002A2D2E">
        <w:t xml:space="preserve"> </w:t>
      </w:r>
      <w:r w:rsidR="0063774A">
        <w:rPr>
          <w:spacing w:val="-2"/>
        </w:rPr>
        <w:t>Commission:</w:t>
      </w:r>
    </w:p>
    <w:p w:rsidR="00412FC5" w:rsidRDefault="00412FC5" w:rsidP="00412FC5"/>
    <w:p w:rsidR="0063774A" w:rsidRDefault="0063774A" w:rsidP="0063774A">
      <w:pPr>
        <w:pStyle w:val="ParaNum"/>
      </w:pPr>
      <w:r>
        <w:t xml:space="preserve">In this Memorandum Opinion and Order, we deny the Application for Review filed by </w:t>
      </w:r>
      <w:r w:rsidR="006A4E17">
        <w:t>Educational Media Foundation</w:t>
      </w:r>
      <w:r>
        <w:t xml:space="preserve"> (“</w:t>
      </w:r>
      <w:r w:rsidR="006A4E17">
        <w:t>EMF</w:t>
      </w:r>
      <w:r>
        <w:t xml:space="preserve">”) on </w:t>
      </w:r>
      <w:r w:rsidR="006A4E17">
        <w:t>December 2, 2013.  EMF seeks review of an October 31</w:t>
      </w:r>
      <w:r>
        <w:t>, 201</w:t>
      </w:r>
      <w:r w:rsidR="006A4E17">
        <w:t>3</w:t>
      </w:r>
      <w:r>
        <w:t>, action by the Media Bureau (“Bureau”),</w:t>
      </w:r>
      <w:r>
        <w:rPr>
          <w:rStyle w:val="FootnoteReference"/>
        </w:rPr>
        <w:footnoteReference w:id="2"/>
      </w:r>
      <w:r w:rsidR="006A4E17">
        <w:t xml:space="preserve"> which denied EMF</w:t>
      </w:r>
      <w:r>
        <w:t xml:space="preserve">’s Petition for Reconsideration of a </w:t>
      </w:r>
      <w:r w:rsidR="006A4E17">
        <w:t>June 10, 2013, letter decision dismissing</w:t>
      </w:r>
      <w:r>
        <w:t xml:space="preserve"> the above-captioned application (“Application”) of</w:t>
      </w:r>
      <w:r w:rsidR="006A4E17">
        <w:t xml:space="preserve"> EMF to move the transmitter site for </w:t>
      </w:r>
      <w:r w:rsidR="00493AC8">
        <w:t xml:space="preserve">its </w:t>
      </w:r>
      <w:r w:rsidR="006A4E17">
        <w:t>FM translator Station W267AT</w:t>
      </w:r>
      <w:r w:rsidR="00B40BAA">
        <w:t>, Sherburne, New York, (“Station”) to a new site at Oneonta, New York</w:t>
      </w:r>
      <w:r>
        <w:t>.</w:t>
      </w:r>
      <w:r>
        <w:rPr>
          <w:rStyle w:val="FootnoteReference"/>
        </w:rPr>
        <w:footnoteReference w:id="3"/>
      </w:r>
      <w:r>
        <w:t xml:space="preserve">  </w:t>
      </w:r>
      <w:r w:rsidR="00B40BAA">
        <w:t xml:space="preserve">At the proposed site, the Station would rebroadcast </w:t>
      </w:r>
      <w:r w:rsidR="00493AC8">
        <w:t xml:space="preserve">EMF’s </w:t>
      </w:r>
      <w:r w:rsidR="007D135A">
        <w:t xml:space="preserve">primary </w:t>
      </w:r>
      <w:r w:rsidR="00493AC8">
        <w:t xml:space="preserve">noncommercial educational (NCE) </w:t>
      </w:r>
      <w:r w:rsidR="00B40BAA">
        <w:t>Station WKVU(FM), Utica, New York.  The Station’s proposed facilities do not</w:t>
      </w:r>
      <w:r w:rsidR="00493AC8">
        <w:t xml:space="preserve"> overlap the 60 dBu contour of its</w:t>
      </w:r>
      <w:r w:rsidR="00B40BAA">
        <w:t xml:space="preserve"> existing facilities, so the Ap</w:t>
      </w:r>
      <w:r w:rsidR="00DA5243">
        <w:t>plication is</w:t>
      </w:r>
      <w:r w:rsidR="00B40BAA">
        <w:t xml:space="preserve"> considered a major change under Section 74.1233(a)(1) of the Rules.</w:t>
      </w:r>
      <w:r w:rsidR="00B40BAA">
        <w:rPr>
          <w:rStyle w:val="FootnoteReference"/>
        </w:rPr>
        <w:footnoteReference w:id="4"/>
      </w:r>
      <w:r w:rsidR="00B40BAA">
        <w:t xml:space="preserve">  </w:t>
      </w:r>
      <w:r w:rsidR="00DA5243">
        <w:t>However</w:t>
      </w:r>
      <w:r w:rsidR="00B40BAA">
        <w:t>, the Application includes a request for waiver of Section 74.1233(a)(1) to permit the proposed move using a minor change application (“Waiver Request”).</w:t>
      </w:r>
    </w:p>
    <w:p w:rsidR="00670D64" w:rsidRDefault="00670D64" w:rsidP="006069FD">
      <w:pPr>
        <w:pStyle w:val="ParaNum"/>
        <w:widowControl/>
      </w:pPr>
      <w:r>
        <w:t xml:space="preserve">EMF seeks waiver based on </w:t>
      </w:r>
      <w:r w:rsidR="00D2176E">
        <w:t xml:space="preserve">the Bureau’s </w:t>
      </w:r>
      <w:r>
        <w:t xml:space="preserve">2011 </w:t>
      </w:r>
      <w:r>
        <w:rPr>
          <w:i/>
        </w:rPr>
        <w:t xml:space="preserve">Mattoon </w:t>
      </w:r>
      <w:r>
        <w:t>case.</w:t>
      </w:r>
      <w:r>
        <w:rPr>
          <w:rStyle w:val="FootnoteReference"/>
        </w:rPr>
        <w:footnoteReference w:id="5"/>
      </w:r>
      <w:r>
        <w:t xml:space="preserve">  In </w:t>
      </w:r>
      <w:r>
        <w:rPr>
          <w:i/>
        </w:rPr>
        <w:t>Mattoon</w:t>
      </w:r>
      <w:r>
        <w:t xml:space="preserve">, </w:t>
      </w:r>
      <w:r w:rsidR="00D2176E">
        <w:rPr>
          <w:color w:val="000000"/>
          <w:szCs w:val="22"/>
        </w:rPr>
        <w:t>the Bureau</w:t>
      </w:r>
      <w:r w:rsidR="00D2176E" w:rsidRPr="000C3745">
        <w:rPr>
          <w:color w:val="000000"/>
          <w:szCs w:val="22"/>
        </w:rPr>
        <w:t xml:space="preserve"> </w:t>
      </w:r>
      <w:r w:rsidRPr="000C3745">
        <w:rPr>
          <w:color w:val="000000"/>
          <w:szCs w:val="22"/>
        </w:rPr>
        <w:t xml:space="preserve">found that waiver of Section 74.1233(a)(1) was in the public interest because: (1) the </w:t>
      </w:r>
      <w:r w:rsidR="00493AC8">
        <w:rPr>
          <w:color w:val="000000"/>
          <w:szCs w:val="22"/>
        </w:rPr>
        <w:t xml:space="preserve">translator modification </w:t>
      </w:r>
      <w:r w:rsidRPr="000C3745">
        <w:rPr>
          <w:color w:val="000000"/>
          <w:szCs w:val="22"/>
        </w:rPr>
        <w:t>applicant did not have a history of filing serial minor modification applications; (2) the proposed site was mutually exclusive with the licensed facility; (3) the proposed move was not in an LPFM spectrum-limited market; and (4) the translator would rebroadcast an AM station</w:t>
      </w:r>
      <w:r w:rsidR="00A22302">
        <w:rPr>
          <w:color w:val="000000"/>
          <w:szCs w:val="22"/>
        </w:rPr>
        <w:t xml:space="preserve"> as an AM fill-in translator</w:t>
      </w:r>
      <w:r w:rsidRPr="000C3745">
        <w:rPr>
          <w:color w:val="000000"/>
          <w:szCs w:val="22"/>
        </w:rPr>
        <w:t>.</w:t>
      </w:r>
      <w:r w:rsidRPr="00485A73">
        <w:rPr>
          <w:rStyle w:val="FootnoteReference"/>
          <w:color w:val="000000"/>
          <w:szCs w:val="22"/>
        </w:rPr>
        <w:footnoteReference w:id="6"/>
      </w:r>
      <w:r w:rsidRPr="00485A73">
        <w:rPr>
          <w:color w:val="000000"/>
          <w:szCs w:val="22"/>
        </w:rPr>
        <w:t xml:space="preserve">  </w:t>
      </w:r>
      <w:r w:rsidR="00906B67">
        <w:rPr>
          <w:color w:val="000000"/>
          <w:szCs w:val="22"/>
        </w:rPr>
        <w:t>EMF</w:t>
      </w:r>
      <w:r w:rsidR="00E040FC">
        <w:rPr>
          <w:color w:val="000000"/>
          <w:szCs w:val="22"/>
        </w:rPr>
        <w:t xml:space="preserve"> concedes that its</w:t>
      </w:r>
      <w:r w:rsidR="00906B67">
        <w:rPr>
          <w:color w:val="000000"/>
          <w:szCs w:val="22"/>
        </w:rPr>
        <w:t xml:space="preserve"> </w:t>
      </w:r>
      <w:r w:rsidR="00C95A46">
        <w:rPr>
          <w:color w:val="000000"/>
          <w:szCs w:val="22"/>
        </w:rPr>
        <w:t xml:space="preserve">subject </w:t>
      </w:r>
      <w:r w:rsidR="00906B67">
        <w:rPr>
          <w:color w:val="000000"/>
          <w:szCs w:val="22"/>
        </w:rPr>
        <w:t>proposal</w:t>
      </w:r>
      <w:r>
        <w:rPr>
          <w:color w:val="000000"/>
          <w:szCs w:val="22"/>
        </w:rPr>
        <w:t xml:space="preserve"> </w:t>
      </w:r>
      <w:r w:rsidR="00E040FC">
        <w:rPr>
          <w:color w:val="000000"/>
          <w:szCs w:val="22"/>
        </w:rPr>
        <w:t xml:space="preserve">would not be used to rebroadcast an AM station.  However, it contends that it </w:t>
      </w:r>
      <w:r w:rsidR="00E040FC">
        <w:rPr>
          <w:i/>
          <w:color w:val="000000"/>
          <w:szCs w:val="22"/>
        </w:rPr>
        <w:t xml:space="preserve">satisfies </w:t>
      </w:r>
      <w:r w:rsidR="00E040FC">
        <w:rPr>
          <w:color w:val="000000"/>
          <w:szCs w:val="22"/>
        </w:rPr>
        <w:t xml:space="preserve">the fourth criterion because </w:t>
      </w:r>
      <w:r>
        <w:rPr>
          <w:color w:val="000000"/>
          <w:szCs w:val="22"/>
        </w:rPr>
        <w:t>“the public interest of the grant of the Application would be in many ways like the benefits enjoyed by the applicant in [</w:t>
      </w:r>
      <w:r>
        <w:rPr>
          <w:i/>
          <w:color w:val="000000"/>
          <w:szCs w:val="22"/>
        </w:rPr>
        <w:t>Mattoon</w:t>
      </w:r>
      <w:r>
        <w:rPr>
          <w:color w:val="000000"/>
          <w:szCs w:val="22"/>
        </w:rPr>
        <w:t xml:space="preserve">], saving </w:t>
      </w:r>
      <w:r>
        <w:rPr>
          <w:color w:val="000000"/>
          <w:szCs w:val="22"/>
        </w:rPr>
        <w:lastRenderedPageBreak/>
        <w:t>resources of the applicant and the Commission in processing multiple applications, and resulting in the ‘efficient use of limited spectrum.’”</w:t>
      </w:r>
      <w:r>
        <w:rPr>
          <w:rStyle w:val="FootnoteReference"/>
          <w:szCs w:val="22"/>
        </w:rPr>
        <w:footnoteReference w:id="7"/>
      </w:r>
    </w:p>
    <w:p w:rsidR="00FF1B11" w:rsidRDefault="00B11A48" w:rsidP="0063774A">
      <w:pPr>
        <w:pStyle w:val="ParaNum"/>
      </w:pPr>
      <w:r>
        <w:t xml:space="preserve">We uphold the Bureau’s decision not to expand </w:t>
      </w:r>
      <w:r>
        <w:rPr>
          <w:i/>
        </w:rPr>
        <w:t xml:space="preserve">Mattoon </w:t>
      </w:r>
      <w:r>
        <w:t>to</w:t>
      </w:r>
      <w:r w:rsidR="007E770E">
        <w:t xml:space="preserve"> include</w:t>
      </w:r>
      <w:r>
        <w:t xml:space="preserve"> </w:t>
      </w:r>
      <w:r w:rsidR="00C95A46">
        <w:t xml:space="preserve">the </w:t>
      </w:r>
      <w:r w:rsidR="00493AC8">
        <w:t>waiver of Section 74.1233(a)(1) to allow the proposed modification of an FM translator to rebroadcast a station in the</w:t>
      </w:r>
      <w:r>
        <w:t xml:space="preserve"> FM </w:t>
      </w:r>
      <w:r w:rsidR="00493AC8">
        <w:t xml:space="preserve">(rather than the AM) </w:t>
      </w:r>
      <w:r>
        <w:t>service</w:t>
      </w:r>
      <w:r w:rsidR="00493AC8">
        <w:t xml:space="preserve"> as a minor modification</w:t>
      </w:r>
      <w:r w:rsidR="00FA6AC3">
        <w:t xml:space="preserve">.  </w:t>
      </w:r>
      <w:r w:rsidR="006F58EB">
        <w:t xml:space="preserve">We reject EMF’s untethered reading of the </w:t>
      </w:r>
      <w:r w:rsidR="006F58EB">
        <w:rPr>
          <w:i/>
        </w:rPr>
        <w:t xml:space="preserve">Mattoon </w:t>
      </w:r>
      <w:r w:rsidR="006F58EB">
        <w:t>waiver criteria</w:t>
      </w:r>
      <w:r w:rsidR="00BC50CD">
        <w:t>,</w:t>
      </w:r>
      <w:r w:rsidR="006F58EB">
        <w:t xml:space="preserve"> which explicitly included the requirement to rebroadcast an AM station.  We agree with the Bureau that the AM/FM distinction was crucial to the outcome in </w:t>
      </w:r>
      <w:r w:rsidR="006F58EB">
        <w:rPr>
          <w:i/>
        </w:rPr>
        <w:t xml:space="preserve">Mattoon </w:t>
      </w:r>
      <w:r w:rsidR="006F58EB">
        <w:t>which was express</w:t>
      </w:r>
      <w:r w:rsidR="00FF1B11">
        <w:t>ly</w:t>
      </w:r>
      <w:r w:rsidR="006F58EB">
        <w:t xml:space="preserve"> based, in part, on the public interest goal of AM revitalization.  The Commission’s 2009 deregulatory rule change</w:t>
      </w:r>
      <w:r w:rsidR="00FF1B11">
        <w:rPr>
          <w:rStyle w:val="FootnoteReference"/>
        </w:rPr>
        <w:footnoteReference w:id="8"/>
      </w:r>
      <w:r w:rsidR="006F58EB">
        <w:t xml:space="preserve"> to permit AM/FM translator rebroadcasting has been an “unqualified success.”</w:t>
      </w:r>
      <w:r w:rsidR="00FF1B11">
        <w:rPr>
          <w:rStyle w:val="FootnoteReference"/>
        </w:rPr>
        <w:footnoteReference w:id="9"/>
      </w:r>
      <w:r w:rsidR="00FF1B11">
        <w:t xml:space="preserve"> </w:t>
      </w:r>
      <w:r w:rsidR="006F58EB">
        <w:t xml:space="preserve"> That action, coming six years after the first FM translator window, instantly created a gap between the demand for FM translator licenses and supply.  The AM “fill-in” restriction further exacerbated this problem.</w:t>
      </w:r>
      <w:r w:rsidR="00FF1B11">
        <w:rPr>
          <w:rStyle w:val="FootnoteReference"/>
        </w:rPr>
        <w:footnoteReference w:id="10"/>
      </w:r>
      <w:r w:rsidR="006F58EB">
        <w:t xml:space="preserve">  </w:t>
      </w:r>
      <w:r w:rsidR="00FF1B11">
        <w:t>A further supply i</w:t>
      </w:r>
      <w:r w:rsidR="00201CFD">
        <w:t>mpediment</w:t>
      </w:r>
      <w:r w:rsidR="00FF1B11">
        <w:t>, subsequently eliminated by the Commission,</w:t>
      </w:r>
      <w:r w:rsidR="00606513">
        <w:rPr>
          <w:rStyle w:val="FootnoteReference"/>
        </w:rPr>
        <w:footnoteReference w:id="11"/>
      </w:r>
      <w:r w:rsidR="00FF1B11">
        <w:t xml:space="preserve"> was that </w:t>
      </w:r>
      <w:r w:rsidR="00FF1B11">
        <w:rPr>
          <w:i/>
        </w:rPr>
        <w:t xml:space="preserve">Mattoon </w:t>
      </w:r>
      <w:r w:rsidR="00FF1B11">
        <w:t xml:space="preserve">waivers were </w:t>
      </w:r>
      <w:r w:rsidR="00606513">
        <w:t xml:space="preserve">initially </w:t>
      </w:r>
      <w:r w:rsidR="00FF1B11">
        <w:t>limited to already-authorized translator stations.</w:t>
      </w:r>
      <w:r w:rsidR="00FF1B11">
        <w:rPr>
          <w:rStyle w:val="FootnoteReference"/>
        </w:rPr>
        <w:footnoteReference w:id="12"/>
      </w:r>
      <w:r w:rsidR="00FF1B11">
        <w:t xml:space="preserve">  None of these factors is relevant for NCE FM stations</w:t>
      </w:r>
      <w:r w:rsidR="00BC50CD">
        <w:t>,</w:t>
      </w:r>
      <w:r w:rsidR="00FF1B11">
        <w:t xml:space="preserve"> </w:t>
      </w:r>
      <w:r w:rsidR="00493AC8">
        <w:t xml:space="preserve">such as EMF’s Station WKVU(FM) here, </w:t>
      </w:r>
      <w:r w:rsidR="00FF1B11">
        <w:t>which for decades have had the ability to use new and existing FM translators to extend their signal distribution systems.</w:t>
      </w:r>
      <w:r w:rsidR="00606513">
        <w:rPr>
          <w:rStyle w:val="FootnoteReference"/>
        </w:rPr>
        <w:footnoteReference w:id="13"/>
      </w:r>
      <w:r w:rsidR="00FF1B11">
        <w:t xml:space="preserve">  </w:t>
      </w:r>
    </w:p>
    <w:p w:rsidR="00BC50CD" w:rsidRDefault="00FF1B11" w:rsidP="0063774A">
      <w:pPr>
        <w:pStyle w:val="ParaNum"/>
      </w:pPr>
      <w:r>
        <w:t xml:space="preserve">We also </w:t>
      </w:r>
      <w:r w:rsidR="00F17591" w:rsidRPr="00CF1F81">
        <w:rPr>
          <w:color w:val="000000"/>
          <w:szCs w:val="22"/>
        </w:rPr>
        <w:t xml:space="preserve">agree with the Bureau that </w:t>
      </w:r>
      <w:r w:rsidR="009A76CE" w:rsidRPr="00CF1F81">
        <w:rPr>
          <w:color w:val="000000"/>
          <w:szCs w:val="22"/>
        </w:rPr>
        <w:t>EMF has failed to identify any special circumstances in this case that would warrant a deviation from the general rule.</w:t>
      </w:r>
      <w:r w:rsidR="009A76CE" w:rsidRPr="00485A73">
        <w:rPr>
          <w:color w:val="000000"/>
          <w:szCs w:val="22"/>
          <w:vertAlign w:val="superscript"/>
        </w:rPr>
        <w:footnoteReference w:id="14"/>
      </w:r>
      <w:r w:rsidR="009A76CE" w:rsidRPr="00CF1F81">
        <w:rPr>
          <w:color w:val="000000"/>
          <w:szCs w:val="22"/>
        </w:rPr>
        <w:t xml:space="preserve">  Rather, grant of the Waiver Request, as EMF acknowledges, would affect not only EMF but “many other like-situated licensees.”</w:t>
      </w:r>
      <w:r w:rsidR="009A76CE">
        <w:rPr>
          <w:rStyle w:val="FootnoteReference"/>
          <w:szCs w:val="22"/>
        </w:rPr>
        <w:footnoteReference w:id="15"/>
      </w:r>
      <w:r w:rsidR="009A76CE" w:rsidRPr="00CF1F81">
        <w:rPr>
          <w:color w:val="000000"/>
          <w:szCs w:val="22"/>
        </w:rPr>
        <w:t xml:space="preserve">  Furthermore, the pub</w:t>
      </w:r>
      <w:r w:rsidR="009A76CE" w:rsidRPr="008C579A">
        <w:rPr>
          <w:color w:val="000000"/>
          <w:szCs w:val="22"/>
        </w:rPr>
        <w:t>lic interest benefits cited by EMF—the inherent public interest benefit in expanding noncommercial educational service  and eliminating the resource-intensive processing of serial translator “hops” applications —are neither particularized nor compelling enough to warrant waiver.  Not only could these arguments be asserted</w:t>
      </w:r>
      <w:r w:rsidR="009A76CE" w:rsidRPr="00CF1F81" w:rsidDel="004D35B6">
        <w:rPr>
          <w:color w:val="000000"/>
          <w:szCs w:val="22"/>
        </w:rPr>
        <w:t xml:space="preserve"> </w:t>
      </w:r>
      <w:r w:rsidR="009A76CE" w:rsidRPr="00CF1F81">
        <w:rPr>
          <w:color w:val="000000"/>
          <w:szCs w:val="22"/>
        </w:rPr>
        <w:t xml:space="preserve">for any station in any service, but the Bureau has </w:t>
      </w:r>
      <w:r w:rsidR="009A76CE">
        <w:t>determined that</w:t>
      </w:r>
      <w:r w:rsidR="009A76CE" w:rsidRPr="00FB51B6">
        <w:t xml:space="preserve"> the serial modification applications</w:t>
      </w:r>
      <w:r w:rsidR="00B4733F">
        <w:t xml:space="preserve"> EMF warns </w:t>
      </w:r>
      <w:r w:rsidR="009A76CE">
        <w:t>of are not mere administrative inconveniences but rather disallowed as</w:t>
      </w:r>
      <w:r w:rsidR="009A76CE" w:rsidRPr="00FB51B6">
        <w:t xml:space="preserve"> an abuse of process.</w:t>
      </w:r>
      <w:r w:rsidR="009A76CE">
        <w:rPr>
          <w:rStyle w:val="FootnoteReference"/>
        </w:rPr>
        <w:footnoteReference w:id="16"/>
      </w:r>
      <w:r w:rsidR="00066234">
        <w:t xml:space="preserve"> </w:t>
      </w:r>
      <w:r w:rsidR="00A009BC">
        <w:t xml:space="preserve"> </w:t>
      </w:r>
    </w:p>
    <w:p w:rsidR="002C00E8" w:rsidRDefault="00AF1E21" w:rsidP="0063774A">
      <w:pPr>
        <w:pStyle w:val="ParaNum"/>
      </w:pPr>
      <w:r>
        <w:t xml:space="preserve">In the Application for Review, </w:t>
      </w:r>
      <w:r w:rsidR="00FA6AC3">
        <w:t xml:space="preserve">EMF </w:t>
      </w:r>
      <w:r w:rsidR="007562E7">
        <w:t>cites</w:t>
      </w:r>
      <w:r w:rsidR="00FA6AC3">
        <w:t xml:space="preserve"> a</w:t>
      </w:r>
      <w:r w:rsidR="006A4E17">
        <w:t xml:space="preserve"> number of </w:t>
      </w:r>
      <w:r w:rsidR="007562E7">
        <w:t xml:space="preserve">waiver requests that </w:t>
      </w:r>
      <w:r>
        <w:t xml:space="preserve">likewise </w:t>
      </w:r>
      <w:r w:rsidR="007562E7">
        <w:t xml:space="preserve">did not comply with the fourth criterion of </w:t>
      </w:r>
      <w:r w:rsidR="007562E7">
        <w:rPr>
          <w:i/>
        </w:rPr>
        <w:t>Mattoon</w:t>
      </w:r>
      <w:r w:rsidR="00C95A46" w:rsidRPr="00332B82">
        <w:t xml:space="preserve">, </w:t>
      </w:r>
      <w:r w:rsidR="00C95A46">
        <w:t>because they involved</w:t>
      </w:r>
      <w:r w:rsidR="00C95A46" w:rsidRPr="00332B82">
        <w:t xml:space="preserve"> modification of FM translator fac</w:t>
      </w:r>
      <w:r w:rsidR="00C95A46">
        <w:t>ilities</w:t>
      </w:r>
      <w:r w:rsidR="00C95A46" w:rsidRPr="00332B82">
        <w:t xml:space="preserve"> to </w:t>
      </w:r>
      <w:r w:rsidR="00C95A46">
        <w:t>rebroadcast</w:t>
      </w:r>
      <w:r w:rsidR="00C95A46" w:rsidRPr="00332B82">
        <w:t xml:space="preserve"> FM stations, </w:t>
      </w:r>
      <w:r w:rsidR="007562E7">
        <w:t xml:space="preserve">but </w:t>
      </w:r>
      <w:r w:rsidR="006A4E17">
        <w:t xml:space="preserve">were </w:t>
      </w:r>
      <w:r w:rsidR="00493AC8">
        <w:t xml:space="preserve">nevertheless </w:t>
      </w:r>
      <w:r w:rsidR="006A4E17">
        <w:t>granted</w:t>
      </w:r>
      <w:r w:rsidR="000C7ACC">
        <w:t xml:space="preserve"> by Bureau staff</w:t>
      </w:r>
      <w:r w:rsidR="006A4E17">
        <w:t xml:space="preserve">.  </w:t>
      </w:r>
      <w:r w:rsidR="0081232E">
        <w:t>These grants were made in error</w:t>
      </w:r>
      <w:r w:rsidR="000B43C5">
        <w:t xml:space="preserve"> </w:t>
      </w:r>
      <w:r w:rsidR="00201CFD">
        <w:t xml:space="preserve">and without written decisions </w:t>
      </w:r>
      <w:r w:rsidR="000B43C5">
        <w:t xml:space="preserve">during a </w:t>
      </w:r>
      <w:r w:rsidR="00201CFD">
        <w:t>period</w:t>
      </w:r>
      <w:r w:rsidR="000B43C5">
        <w:t xml:space="preserve"> </w:t>
      </w:r>
      <w:r w:rsidR="0008612A">
        <w:t>of</w:t>
      </w:r>
      <w:r w:rsidR="00A009BC">
        <w:t xml:space="preserve"> </w:t>
      </w:r>
      <w:r w:rsidR="000B43C5">
        <w:t>high volume FM translator modification application</w:t>
      </w:r>
      <w:r w:rsidR="00201CFD">
        <w:t xml:space="preserve"> filing</w:t>
      </w:r>
      <w:r w:rsidR="008C579A">
        <w:t>s</w:t>
      </w:r>
      <w:r w:rsidR="00201CFD">
        <w:t xml:space="preserve">.  </w:t>
      </w:r>
      <w:r w:rsidR="00493AC8">
        <w:t>In</w:t>
      </w:r>
      <w:r w:rsidR="00632A5C">
        <w:t xml:space="preserve"> 2013</w:t>
      </w:r>
      <w:r w:rsidR="000C7ACC">
        <w:t>,</w:t>
      </w:r>
      <w:r w:rsidR="00632A5C">
        <w:t xml:space="preserve"> the Bureau directed</w:t>
      </w:r>
      <w:r>
        <w:t xml:space="preserve"> </w:t>
      </w:r>
      <w:r w:rsidR="00C626EB">
        <w:t>staff to cease granting such waivers</w:t>
      </w:r>
      <w:r w:rsidR="00C95A46">
        <w:t xml:space="preserve">, for the reasons noted in paragraph three, </w:t>
      </w:r>
      <w:r w:rsidR="00C95A46">
        <w:rPr>
          <w:i/>
        </w:rPr>
        <w:t>supra</w:t>
      </w:r>
      <w:r w:rsidR="00C626EB">
        <w:t xml:space="preserve">.  However, </w:t>
      </w:r>
      <w:r w:rsidR="00FA6AC3">
        <w:t xml:space="preserve">as stated in the </w:t>
      </w:r>
      <w:r w:rsidR="00FA6AC3">
        <w:rPr>
          <w:i/>
        </w:rPr>
        <w:t>Reconsideration Decision</w:t>
      </w:r>
      <w:r w:rsidR="0081232E">
        <w:t xml:space="preserve">, those </w:t>
      </w:r>
      <w:r w:rsidR="00FA6AC3">
        <w:t xml:space="preserve">grants </w:t>
      </w:r>
      <w:r w:rsidR="00C626EB">
        <w:t>are final</w:t>
      </w:r>
      <w:r w:rsidR="0050202A">
        <w:t xml:space="preserve"> and cannot be rescinded</w:t>
      </w:r>
      <w:r w:rsidR="00C626EB">
        <w:t>.</w:t>
      </w:r>
      <w:r w:rsidR="00FA6AC3">
        <w:rPr>
          <w:rStyle w:val="FootnoteReference"/>
        </w:rPr>
        <w:footnoteReference w:id="17"/>
      </w:r>
      <w:r w:rsidR="00493AC8">
        <w:t xml:space="preserve">  It is well established</w:t>
      </w:r>
      <w:r w:rsidR="004D13CC">
        <w:t>, how</w:t>
      </w:r>
      <w:r w:rsidR="00015641">
        <w:t>ever,</w:t>
      </w:r>
      <w:r w:rsidR="00493AC8">
        <w:t xml:space="preserve"> that </w:t>
      </w:r>
      <w:r w:rsidR="00FC5FA2">
        <w:t xml:space="preserve">erroneous </w:t>
      </w:r>
      <w:r w:rsidR="00A009BC">
        <w:t>staff</w:t>
      </w:r>
      <w:r w:rsidR="00FC5FA2">
        <w:t xml:space="preserve"> actions do not </w:t>
      </w:r>
      <w:r w:rsidR="00493AC8">
        <w:t>bind the Commission</w:t>
      </w:r>
      <w:r w:rsidR="00FC5FA2">
        <w:t>.</w:t>
      </w:r>
      <w:r w:rsidR="000B43C5">
        <w:rPr>
          <w:rStyle w:val="FootnoteReference"/>
        </w:rPr>
        <w:footnoteReference w:id="18"/>
      </w:r>
      <w:r w:rsidR="00FC5FA2">
        <w:t xml:space="preserve"> </w:t>
      </w:r>
      <w:r w:rsidR="007E770E">
        <w:t xml:space="preserve"> </w:t>
      </w:r>
    </w:p>
    <w:p w:rsidR="007562E7" w:rsidRPr="007562E7" w:rsidRDefault="007562E7" w:rsidP="007562E7">
      <w:pPr>
        <w:pStyle w:val="ParaNum"/>
        <w:widowControl/>
        <w:rPr>
          <w:snapToGrid/>
        </w:rPr>
      </w:pPr>
      <w:r w:rsidRPr="007562E7">
        <w:rPr>
          <w:snapToGrid/>
        </w:rPr>
        <w:t xml:space="preserve">Upon review of the Application for Review and the entire record, we conclude that </w:t>
      </w:r>
      <w:r w:rsidR="007E770E">
        <w:rPr>
          <w:snapToGrid/>
        </w:rPr>
        <w:t>EMF</w:t>
      </w:r>
      <w:r w:rsidRPr="007562E7">
        <w:rPr>
          <w:snapToGrid/>
        </w:rPr>
        <w:t xml:space="preserve"> has not demonstrated that the Bureau erred.  The Bureau, in the </w:t>
      </w:r>
      <w:r w:rsidRPr="007562E7">
        <w:rPr>
          <w:i/>
          <w:snapToGrid/>
        </w:rPr>
        <w:t>Reconsideration Decision</w:t>
      </w:r>
      <w:r w:rsidRPr="007562E7">
        <w:rPr>
          <w:snapToGrid/>
        </w:rPr>
        <w:t>, properly decided the matters raised, and we uphold its decision for the reasons stated therein</w:t>
      </w:r>
      <w:r w:rsidR="007E770E">
        <w:rPr>
          <w:snapToGrid/>
        </w:rPr>
        <w:t xml:space="preserve"> and in paragraph</w:t>
      </w:r>
      <w:r w:rsidR="00C95A46">
        <w:rPr>
          <w:snapToGrid/>
        </w:rPr>
        <w:t>s</w:t>
      </w:r>
      <w:r w:rsidR="007E770E">
        <w:rPr>
          <w:snapToGrid/>
        </w:rPr>
        <w:t xml:space="preserve"> three</w:t>
      </w:r>
      <w:r w:rsidR="001D6328">
        <w:rPr>
          <w:snapToGrid/>
        </w:rPr>
        <w:t xml:space="preserve"> to</w:t>
      </w:r>
      <w:r w:rsidR="00BC50CD">
        <w:rPr>
          <w:snapToGrid/>
        </w:rPr>
        <w:t xml:space="preserve"> five</w:t>
      </w:r>
      <w:r w:rsidR="007E770E">
        <w:rPr>
          <w:snapToGrid/>
        </w:rPr>
        <w:t xml:space="preserve">, </w:t>
      </w:r>
      <w:r w:rsidR="007E770E">
        <w:rPr>
          <w:i/>
          <w:snapToGrid/>
        </w:rPr>
        <w:t>supra</w:t>
      </w:r>
      <w:r w:rsidRPr="007562E7">
        <w:rPr>
          <w:snapToGrid/>
        </w:rPr>
        <w:t>.</w:t>
      </w:r>
    </w:p>
    <w:p w:rsidR="007562E7" w:rsidRPr="009D21C5" w:rsidRDefault="007562E7" w:rsidP="007562E7">
      <w:pPr>
        <w:pStyle w:val="ParaNum"/>
        <w:rPr>
          <w:snapToGrid/>
        </w:rPr>
      </w:pPr>
      <w:r w:rsidRPr="0040710F">
        <w:rPr>
          <w:snapToGrid/>
        </w:rPr>
        <w:t>ACCORDINGLY, IT IS ORDERED that, pursuant to Section 5(c)(5) of the Communications Act of 1934, as amended,</w:t>
      </w:r>
      <w:r w:rsidRPr="0040710F">
        <w:rPr>
          <w:snapToGrid/>
          <w:vertAlign w:val="superscript"/>
        </w:rPr>
        <w:footnoteReference w:id="19"/>
      </w:r>
      <w:r w:rsidRPr="0040710F">
        <w:rPr>
          <w:snapToGrid/>
        </w:rPr>
        <w:t xml:space="preserve"> and Section 1.115(g) of the Commission’s rules,</w:t>
      </w:r>
      <w:r w:rsidRPr="0040710F">
        <w:rPr>
          <w:snapToGrid/>
          <w:vertAlign w:val="superscript"/>
        </w:rPr>
        <w:footnoteReference w:id="20"/>
      </w:r>
      <w:r w:rsidRPr="0040710F">
        <w:rPr>
          <w:snapToGrid/>
        </w:rPr>
        <w:t xml:space="preserve"> the Application for Review IS DENIED.  </w:t>
      </w:r>
    </w:p>
    <w:p w:rsidR="007562E7" w:rsidRDefault="007562E7" w:rsidP="007562E7">
      <w:r>
        <w:tab/>
      </w:r>
      <w:r>
        <w:tab/>
      </w:r>
      <w:r>
        <w:tab/>
      </w:r>
      <w:r>
        <w:tab/>
      </w:r>
      <w:r>
        <w:tab/>
      </w:r>
      <w:r>
        <w:tab/>
        <w:t>FEDERAL COMMUNICATIONS COMMISSION</w:t>
      </w:r>
    </w:p>
    <w:p w:rsidR="007562E7" w:rsidRDefault="007562E7" w:rsidP="007562E7"/>
    <w:p w:rsidR="007562E7" w:rsidRDefault="007562E7" w:rsidP="007562E7"/>
    <w:p w:rsidR="007562E7" w:rsidRDefault="007562E7" w:rsidP="007562E7"/>
    <w:p w:rsidR="007562E7" w:rsidRDefault="007562E7" w:rsidP="007562E7"/>
    <w:p w:rsidR="007562E7" w:rsidRDefault="007562E7" w:rsidP="007562E7">
      <w:r>
        <w:tab/>
      </w:r>
      <w:r>
        <w:tab/>
      </w:r>
      <w:r>
        <w:tab/>
      </w:r>
      <w:r>
        <w:tab/>
      </w:r>
      <w:r>
        <w:tab/>
      </w:r>
      <w:r>
        <w:tab/>
        <w:t>Marlene H. Dortch</w:t>
      </w:r>
    </w:p>
    <w:p w:rsidR="007562E7" w:rsidRPr="003F5FBD" w:rsidRDefault="007562E7" w:rsidP="007562E7">
      <w:r>
        <w:tab/>
      </w:r>
      <w:r>
        <w:tab/>
      </w:r>
      <w:r>
        <w:tab/>
      </w:r>
      <w:r>
        <w:tab/>
      </w:r>
      <w:r>
        <w:tab/>
      </w:r>
      <w:r>
        <w:tab/>
        <w:t>Secretary</w:t>
      </w:r>
    </w:p>
    <w:p w:rsidR="007562E7" w:rsidRPr="002C00E8" w:rsidRDefault="007562E7" w:rsidP="007562E7">
      <w:pPr>
        <w:pStyle w:val="ParaNum"/>
        <w:numPr>
          <w:ilvl w:val="0"/>
          <w:numId w:val="0"/>
        </w:numPr>
      </w:pPr>
    </w:p>
    <w:sectPr w:rsidR="007562E7"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02" w:rsidRDefault="00B71002">
      <w:pPr>
        <w:spacing w:line="20" w:lineRule="exact"/>
      </w:pPr>
    </w:p>
  </w:endnote>
  <w:endnote w:type="continuationSeparator" w:id="0">
    <w:p w:rsidR="00B71002" w:rsidRDefault="00B71002">
      <w:r>
        <w:t xml:space="preserve"> </w:t>
      </w:r>
    </w:p>
  </w:endnote>
  <w:endnote w:type="continuationNotice" w:id="1">
    <w:p w:rsidR="00B71002" w:rsidRDefault="00B710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35" w:rsidRDefault="00825735" w:rsidP="0055614C">
    <w:pPr>
      <w:pStyle w:val="Footer"/>
      <w:framePr w:wrap="around" w:vAnchor="text" w:hAnchor="margin" w:xAlign="center" w:y="1"/>
    </w:pPr>
    <w:r>
      <w:fldChar w:fldCharType="begin"/>
    </w:r>
    <w:r>
      <w:instrText xml:space="preserve">PAGE  </w:instrText>
    </w:r>
    <w:r>
      <w:fldChar w:fldCharType="end"/>
    </w:r>
  </w:p>
  <w:p w:rsidR="00825735" w:rsidRDefault="00825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35" w:rsidRDefault="00825735" w:rsidP="0055614C">
    <w:pPr>
      <w:pStyle w:val="Footer"/>
      <w:framePr w:wrap="around" w:vAnchor="text" w:hAnchor="margin" w:xAlign="center" w:y="1"/>
    </w:pPr>
    <w:r>
      <w:fldChar w:fldCharType="begin"/>
    </w:r>
    <w:r>
      <w:instrText xml:space="preserve">PAGE  </w:instrText>
    </w:r>
    <w:r>
      <w:fldChar w:fldCharType="separate"/>
    </w:r>
    <w:r w:rsidR="00EF20CB">
      <w:rPr>
        <w:noProof/>
      </w:rPr>
      <w:t>3</w:t>
    </w:r>
    <w:r>
      <w:fldChar w:fldCharType="end"/>
    </w:r>
  </w:p>
  <w:p w:rsidR="00825735" w:rsidRDefault="0082573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35" w:rsidRDefault="0082573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02" w:rsidRDefault="00B71002">
      <w:r>
        <w:separator/>
      </w:r>
    </w:p>
  </w:footnote>
  <w:footnote w:type="continuationSeparator" w:id="0">
    <w:p w:rsidR="00B71002" w:rsidRDefault="00B71002" w:rsidP="00C721AC">
      <w:pPr>
        <w:spacing w:before="120"/>
        <w:rPr>
          <w:sz w:val="20"/>
        </w:rPr>
      </w:pPr>
      <w:r>
        <w:rPr>
          <w:sz w:val="20"/>
        </w:rPr>
        <w:t xml:space="preserve">(Continued from previous page)  </w:t>
      </w:r>
      <w:r>
        <w:rPr>
          <w:sz w:val="20"/>
        </w:rPr>
        <w:separator/>
      </w:r>
    </w:p>
  </w:footnote>
  <w:footnote w:type="continuationNotice" w:id="1">
    <w:p w:rsidR="00B71002" w:rsidRDefault="00B71002" w:rsidP="00C721AC">
      <w:pPr>
        <w:jc w:val="right"/>
        <w:rPr>
          <w:sz w:val="20"/>
        </w:rPr>
      </w:pPr>
      <w:r>
        <w:rPr>
          <w:sz w:val="20"/>
        </w:rPr>
        <w:t>(continued….)</w:t>
      </w:r>
    </w:p>
  </w:footnote>
  <w:footnote w:id="2">
    <w:p w:rsidR="00825735" w:rsidRPr="00553362" w:rsidRDefault="00825735" w:rsidP="0063774A">
      <w:pPr>
        <w:pStyle w:val="FootnoteText"/>
      </w:pPr>
      <w:r>
        <w:rPr>
          <w:rStyle w:val="FootnoteReference"/>
        </w:rPr>
        <w:footnoteRef/>
      </w:r>
      <w:r>
        <w:t xml:space="preserve"> </w:t>
      </w:r>
      <w:r>
        <w:rPr>
          <w:i/>
        </w:rPr>
        <w:t>David D. Oxenford, Esq.</w:t>
      </w:r>
      <w:r>
        <w:t>, Letter, 28</w:t>
      </w:r>
      <w:r w:rsidRPr="00553362">
        <w:rPr>
          <w:iCs/>
        </w:rPr>
        <w:t xml:space="preserve"> FCC Rcd </w:t>
      </w:r>
      <w:r>
        <w:rPr>
          <w:iCs/>
        </w:rPr>
        <w:t>14913 (MB 2013) (“</w:t>
      </w:r>
      <w:r>
        <w:rPr>
          <w:i/>
          <w:iCs/>
        </w:rPr>
        <w:t>Reconsideration Decision</w:t>
      </w:r>
      <w:r>
        <w:rPr>
          <w:iCs/>
        </w:rPr>
        <w:t>”).</w:t>
      </w:r>
    </w:p>
  </w:footnote>
  <w:footnote w:id="3">
    <w:p w:rsidR="00825735" w:rsidRPr="00553362" w:rsidRDefault="00825735" w:rsidP="0063774A">
      <w:pPr>
        <w:pStyle w:val="FootnoteText"/>
      </w:pPr>
      <w:r>
        <w:rPr>
          <w:rStyle w:val="FootnoteReference"/>
        </w:rPr>
        <w:footnoteRef/>
      </w:r>
      <w:r>
        <w:t xml:space="preserve"> </w:t>
      </w:r>
      <w:r>
        <w:rPr>
          <w:i/>
        </w:rPr>
        <w:t>Educational Media Foundation</w:t>
      </w:r>
      <w:r>
        <w:t>, Letter,</w:t>
      </w:r>
      <w:r w:rsidRPr="00EE785C">
        <w:t xml:space="preserve"> </w:t>
      </w:r>
      <w:r>
        <w:t>Ref. No. 1800B3-RG</w:t>
      </w:r>
      <w:r>
        <w:rPr>
          <w:iCs/>
        </w:rPr>
        <w:t xml:space="preserve"> (MB 2013) (“</w:t>
      </w:r>
      <w:r>
        <w:rPr>
          <w:i/>
          <w:iCs/>
        </w:rPr>
        <w:t>Staff Decision</w:t>
      </w:r>
      <w:r>
        <w:rPr>
          <w:iCs/>
        </w:rPr>
        <w:t xml:space="preserve">”). </w:t>
      </w:r>
    </w:p>
  </w:footnote>
  <w:footnote w:id="4">
    <w:p w:rsidR="00825735" w:rsidRPr="00A06EF9" w:rsidRDefault="00825735">
      <w:pPr>
        <w:pStyle w:val="FootnoteText"/>
      </w:pPr>
      <w:r>
        <w:rPr>
          <w:rStyle w:val="FootnoteReference"/>
        </w:rPr>
        <w:footnoteRef/>
      </w:r>
      <w:r>
        <w:t xml:space="preserve"> 47 C.F.R. § 74.1233(a)(1). </w:t>
      </w:r>
      <w:r w:rsidR="00A06EF9">
        <w:t xml:space="preserve"> The purpose of the overlap requirement is “[t]o prevent . . . FM translator stations from abandoning their present service areas.”  </w:t>
      </w:r>
      <w:r w:rsidR="00A06EF9" w:rsidRPr="00A06EF9">
        <w:rPr>
          <w:i/>
          <w:iCs/>
        </w:rPr>
        <w:t>1998 Biennial Regulatory Review</w:t>
      </w:r>
      <w:r w:rsidR="00A06EF9" w:rsidRPr="00A06EF9">
        <w:rPr>
          <w:i/>
        </w:rPr>
        <w:t xml:space="preserve">, </w:t>
      </w:r>
      <w:r w:rsidR="00A06EF9" w:rsidRPr="00BB48C8">
        <w:t xml:space="preserve">Notice of Proposed Rulemaking, </w:t>
      </w:r>
      <w:hyperlink r:id="rId1" w:anchor="co_pp_sp_4493_14872" w:history="1">
        <w:r w:rsidR="00A06EF9" w:rsidRPr="00BB48C8">
          <w:t>13 FCC Rcd 14859, 14872 (1998)</w:t>
        </w:r>
      </w:hyperlink>
      <w:r w:rsidR="00A06EF9">
        <w:t>;</w:t>
      </w:r>
      <w:r w:rsidR="00A06EF9" w:rsidRPr="00BB48C8">
        <w:t xml:space="preserve"> </w:t>
      </w:r>
      <w:hyperlink r:id="rId2" w:anchor="co_pp_sp_4493_5277" w:history="1">
        <w:r w:rsidR="00A06EF9" w:rsidRPr="00BB48C8">
          <w:t>First Report and Order, 14 FCC Rcd 5272, 5277 (1999)</w:t>
        </w:r>
      </w:hyperlink>
      <w:r w:rsidR="00A06EF9" w:rsidRPr="004B5AF6">
        <w:t>.</w:t>
      </w:r>
    </w:p>
  </w:footnote>
  <w:footnote w:id="5">
    <w:p w:rsidR="00825735" w:rsidRDefault="00825735">
      <w:pPr>
        <w:pStyle w:val="FootnoteText"/>
      </w:pPr>
      <w:r>
        <w:rPr>
          <w:rStyle w:val="FootnoteReference"/>
        </w:rPr>
        <w:footnoteRef/>
      </w:r>
      <w:r>
        <w:t xml:space="preserve"> </w:t>
      </w:r>
      <w:r w:rsidRPr="00D55177">
        <w:rPr>
          <w:i/>
        </w:rPr>
        <w:t>See John F. Garziglia</w:t>
      </w:r>
      <w:r w:rsidRPr="00D55177">
        <w:t>, Letter, 26 FCC Rcd 12685 (MB 2011) (“</w:t>
      </w:r>
      <w:r w:rsidRPr="00D55177">
        <w:rPr>
          <w:i/>
        </w:rPr>
        <w:t>Mattoon</w:t>
      </w:r>
      <w:r w:rsidRPr="00D55177">
        <w:t>”).</w:t>
      </w:r>
    </w:p>
  </w:footnote>
  <w:footnote w:id="6">
    <w:p w:rsidR="00825735" w:rsidRPr="00D55177" w:rsidRDefault="00825735" w:rsidP="00670D64">
      <w:pPr>
        <w:pStyle w:val="FootnoteText"/>
      </w:pPr>
      <w:r w:rsidRPr="00D55177">
        <w:rPr>
          <w:rStyle w:val="FootnoteReference"/>
        </w:rPr>
        <w:footnoteRef/>
      </w:r>
      <w:r w:rsidRPr="00D55177">
        <w:t xml:space="preserve"> </w:t>
      </w:r>
      <w:r w:rsidRPr="00D55177">
        <w:rPr>
          <w:i/>
        </w:rPr>
        <w:t>Mattoon</w:t>
      </w:r>
      <w:r w:rsidRPr="00D55177">
        <w:t>, 26 FCC Rcd at 12686.</w:t>
      </w:r>
    </w:p>
  </w:footnote>
  <w:footnote w:id="7">
    <w:p w:rsidR="00825735" w:rsidRDefault="00825735">
      <w:pPr>
        <w:pStyle w:val="FootnoteText"/>
      </w:pPr>
      <w:r>
        <w:rPr>
          <w:rStyle w:val="FootnoteReference"/>
        </w:rPr>
        <w:footnoteRef/>
      </w:r>
      <w:r>
        <w:t xml:space="preserve"> Application for Review at 3.</w:t>
      </w:r>
    </w:p>
  </w:footnote>
  <w:footnote w:id="8">
    <w:p w:rsidR="00FF1B11" w:rsidRDefault="00FF1B11">
      <w:pPr>
        <w:pStyle w:val="FootnoteText"/>
      </w:pPr>
      <w:r>
        <w:rPr>
          <w:rStyle w:val="FootnoteReference"/>
        </w:rPr>
        <w:footnoteRef/>
      </w:r>
      <w:r>
        <w:t xml:space="preserve"> </w:t>
      </w:r>
      <w:r>
        <w:rPr>
          <w:i/>
        </w:rPr>
        <w:t xml:space="preserve">See </w:t>
      </w:r>
      <w:r w:rsidRPr="00F75979">
        <w:rPr>
          <w:rStyle w:val="emphi"/>
          <w:i/>
        </w:rPr>
        <w:t>Amendment of Service and Eligibility Rules for FM Broadcast Translator Stations</w:t>
      </w:r>
      <w:r>
        <w:rPr>
          <w:rStyle w:val="emphi"/>
        </w:rPr>
        <w:t>,</w:t>
      </w:r>
      <w:r>
        <w:t xml:space="preserve"> Report and Order, </w:t>
      </w:r>
      <w:r w:rsidRPr="008302A7">
        <w:rPr>
          <w:noProof/>
          <w:color w:val="0000FF"/>
        </w:rPr>
        <w:drawing>
          <wp:inline distT="0" distB="0" distL="0" distR="0" wp14:anchorId="35958BC3" wp14:editId="451F77AE">
            <wp:extent cx="6350" cy="6350"/>
            <wp:effectExtent l="0" t="0" r="0" b="0"/>
            <wp:docPr id="6" name="Picture 6" descr="previous hit">
              <a:hlinkClick xmlns:a="http://schemas.openxmlformats.org/drawingml/2006/main" r:id="rId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3" tgtFrame="&quot;_top&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302A7">
        <w:rPr>
          <w:rStyle w:val="displayhltextactive"/>
        </w:rPr>
        <w:t>24 FCC Rcd 9642</w:t>
      </w:r>
      <w:r>
        <w:t xml:space="preserve"> (2009)</w:t>
      </w:r>
      <w:r w:rsidR="0037721D">
        <w:t xml:space="preserve"> (“</w:t>
      </w:r>
      <w:r w:rsidR="0037721D">
        <w:rPr>
          <w:i/>
        </w:rPr>
        <w:t>AM/FM Translator R&amp;O</w:t>
      </w:r>
      <w:r w:rsidR="0037721D">
        <w:t>)”</w:t>
      </w:r>
      <w:r>
        <w:t xml:space="preserve">.  </w:t>
      </w:r>
    </w:p>
  </w:footnote>
  <w:footnote w:id="9">
    <w:p w:rsidR="00FF1B11" w:rsidRPr="00FF1B11" w:rsidRDefault="00FF1B11">
      <w:pPr>
        <w:pStyle w:val="FootnoteText"/>
      </w:pPr>
      <w:r>
        <w:rPr>
          <w:rStyle w:val="FootnoteReference"/>
        </w:rPr>
        <w:footnoteRef/>
      </w:r>
      <w:r>
        <w:t xml:space="preserve"> </w:t>
      </w:r>
      <w:r w:rsidRPr="00D55177">
        <w:rPr>
          <w:i/>
        </w:rPr>
        <w:t>See Revitalization of the AM Radio Service</w:t>
      </w:r>
      <w:r w:rsidRPr="00D55177">
        <w:t>, Notice of Proposed Rulemaking, 28 FCC Rcd 15221</w:t>
      </w:r>
      <w:r>
        <w:t>, 15229</w:t>
      </w:r>
      <w:r w:rsidRPr="00D55177">
        <w:t xml:space="preserve"> (2013)</w:t>
      </w:r>
      <w:r>
        <w:t xml:space="preserve"> (</w:t>
      </w:r>
      <w:r w:rsidR="00201CFD">
        <w:t>“</w:t>
      </w:r>
      <w:r>
        <w:rPr>
          <w:i/>
        </w:rPr>
        <w:t>AM Revitalization NPRM</w:t>
      </w:r>
      <w:r>
        <w:t>”).</w:t>
      </w:r>
    </w:p>
  </w:footnote>
  <w:footnote w:id="10">
    <w:p w:rsidR="00FF1B11" w:rsidRPr="00FF1B11" w:rsidRDefault="00FF1B11">
      <w:pPr>
        <w:pStyle w:val="FootnoteText"/>
      </w:pPr>
      <w:r>
        <w:rPr>
          <w:rStyle w:val="FootnoteReference"/>
        </w:rPr>
        <w:footnoteRef/>
      </w:r>
      <w:r>
        <w:t xml:space="preserve"> </w:t>
      </w:r>
      <w:r>
        <w:rPr>
          <w:i/>
        </w:rPr>
        <w:t xml:space="preserve">See id. </w:t>
      </w:r>
      <w:r>
        <w:t>at 15229.</w:t>
      </w:r>
    </w:p>
  </w:footnote>
  <w:footnote w:id="11">
    <w:p w:rsidR="00606513" w:rsidRDefault="00606513">
      <w:pPr>
        <w:pStyle w:val="FootnoteText"/>
      </w:pPr>
      <w:r>
        <w:rPr>
          <w:rStyle w:val="FootnoteReference"/>
        </w:rPr>
        <w:footnoteRef/>
      </w:r>
      <w:r>
        <w:t xml:space="preserve"> </w:t>
      </w:r>
      <w:r>
        <w:rPr>
          <w:i/>
        </w:rPr>
        <w:t xml:space="preserve">See </w:t>
      </w:r>
      <w:r w:rsidRPr="008D6ED1">
        <w:rPr>
          <w:i/>
        </w:rPr>
        <w:t>Creation of a Low Power Radio Service</w:t>
      </w:r>
      <w:r>
        <w:t>,</w:t>
      </w:r>
      <w:r>
        <w:rPr>
          <w:i/>
        </w:rPr>
        <w:t xml:space="preserve"> </w:t>
      </w:r>
      <w:r>
        <w:t>Fourth Report and Order and Third Order on Reconsideration, 27 FCC Rcd 3364, 3395 (2012).</w:t>
      </w:r>
    </w:p>
  </w:footnote>
  <w:footnote w:id="12">
    <w:p w:rsidR="00FF1B11" w:rsidRDefault="00FF1B11" w:rsidP="00FF1B11">
      <w:pPr>
        <w:pStyle w:val="FootnoteText"/>
      </w:pPr>
      <w:r>
        <w:rPr>
          <w:rStyle w:val="FootnoteReference"/>
        </w:rPr>
        <w:footnoteRef/>
      </w:r>
      <w:r>
        <w:t xml:space="preserve"> </w:t>
      </w:r>
      <w:r>
        <w:rPr>
          <w:i/>
        </w:rPr>
        <w:t xml:space="preserve">See </w:t>
      </w:r>
      <w:r w:rsidR="0037721D">
        <w:rPr>
          <w:i/>
        </w:rPr>
        <w:t>AM/FM Translator R&amp;O</w:t>
      </w:r>
      <w:r w:rsidR="0037721D">
        <w:t xml:space="preserve">, 24 FCC Rcd at </w:t>
      </w:r>
      <w:r w:rsidR="00606513">
        <w:t>9650.</w:t>
      </w:r>
    </w:p>
  </w:footnote>
  <w:footnote w:id="13">
    <w:p w:rsidR="00606513" w:rsidRDefault="00606513">
      <w:pPr>
        <w:pStyle w:val="FootnoteText"/>
      </w:pPr>
      <w:r>
        <w:rPr>
          <w:rStyle w:val="FootnoteReference"/>
        </w:rPr>
        <w:footnoteRef/>
      </w:r>
      <w:r>
        <w:t xml:space="preserve"> In this case, the Media Bureau has identified numerous FM translator authorizations which would not require waivers to rebroadcast the signal of WKVU(FM).  EMF does not discuss these rule-compliant alternatives.</w:t>
      </w:r>
    </w:p>
  </w:footnote>
  <w:footnote w:id="14">
    <w:p w:rsidR="009A76CE" w:rsidRPr="00D55177" w:rsidRDefault="009A76CE" w:rsidP="009A76CE">
      <w:pPr>
        <w:pStyle w:val="FootnoteText"/>
      </w:pPr>
      <w:r w:rsidRPr="00D55177">
        <w:rPr>
          <w:rStyle w:val="FootnoteReference"/>
        </w:rPr>
        <w:footnoteRef/>
      </w:r>
      <w:r w:rsidRPr="00D55177">
        <w:t xml:space="preserve">  </w:t>
      </w:r>
      <w:r>
        <w:rPr>
          <w:i/>
        </w:rPr>
        <w:t>Reconsideration Decision</w:t>
      </w:r>
      <w:r>
        <w:t xml:space="preserve">, 28 FCC Rcd at 14913, n.6; </w:t>
      </w:r>
      <w:r w:rsidR="00BC50CD">
        <w:rPr>
          <w:i/>
        </w:rPr>
        <w:t xml:space="preserve">see </w:t>
      </w:r>
      <w:r w:rsidRPr="00D55177">
        <w:rPr>
          <w:i/>
        </w:rPr>
        <w:t>NetworkIP, LLC v. FCC</w:t>
      </w:r>
      <w:r w:rsidRPr="00D55177">
        <w:t xml:space="preserve">, 548 F.3d 116, 125-128 (D.C. Cir. 2008); </w:t>
      </w:r>
      <w:r w:rsidRPr="00D55177">
        <w:rPr>
          <w:i/>
        </w:rPr>
        <w:t>Northeast Cellular</w:t>
      </w:r>
      <w:r w:rsidRPr="008302A7">
        <w:rPr>
          <w:i/>
          <w:noProof/>
        </w:rPr>
        <w:drawing>
          <wp:inline distT="0" distB="0" distL="0" distR="0" wp14:anchorId="3E329A14" wp14:editId="364DD05A">
            <wp:extent cx="6350" cy="6350"/>
            <wp:effectExtent l="0" t="0" r="0" b="0"/>
            <wp:docPr id="3" name="Picture 3" descr="next hit">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h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Start w:id="1" w:name="a0e3a6q7z1"/>
      <w:bookmarkEnd w:id="1"/>
      <w:r w:rsidRPr="00D55177">
        <w:rPr>
          <w:i/>
        </w:rPr>
        <w:t xml:space="preserve"> Telephone Co. v. FCC</w:t>
      </w:r>
      <w:r w:rsidRPr="00D55177">
        <w:t>,</w:t>
      </w:r>
      <w:r w:rsidRPr="00D55177">
        <w:rPr>
          <w:i/>
        </w:rPr>
        <w:t xml:space="preserve"> </w:t>
      </w:r>
      <w:r w:rsidRPr="00D55177">
        <w:t>897 F.2d 1164, 1166 (D.C. Cir. 199</w:t>
      </w:r>
      <w:r>
        <w:t>0).</w:t>
      </w:r>
    </w:p>
  </w:footnote>
  <w:footnote w:id="15">
    <w:p w:rsidR="009A76CE" w:rsidRDefault="009A76CE" w:rsidP="009A76CE">
      <w:pPr>
        <w:pStyle w:val="FootnoteText"/>
      </w:pPr>
      <w:r>
        <w:rPr>
          <w:rStyle w:val="FootnoteReference"/>
        </w:rPr>
        <w:footnoteRef/>
      </w:r>
      <w:r>
        <w:t xml:space="preserve"> Application for Review at 1.</w:t>
      </w:r>
    </w:p>
  </w:footnote>
  <w:footnote w:id="16">
    <w:p w:rsidR="009A76CE" w:rsidRPr="00201CFD" w:rsidRDefault="009A76CE" w:rsidP="009A76CE">
      <w:pPr>
        <w:pStyle w:val="FootnoteText"/>
      </w:pPr>
      <w:r>
        <w:rPr>
          <w:rStyle w:val="FootnoteReference"/>
        </w:rPr>
        <w:footnoteRef/>
      </w:r>
      <w:r>
        <w:t xml:space="preserve"> </w:t>
      </w:r>
      <w:r>
        <w:rPr>
          <w:i/>
        </w:rPr>
        <w:t xml:space="preserve">See </w:t>
      </w:r>
      <w:r>
        <w:rPr>
          <w:i/>
          <w:iCs/>
        </w:rPr>
        <w:t>Mattoon</w:t>
      </w:r>
      <w:r>
        <w:rPr>
          <w:iCs/>
        </w:rPr>
        <w:t>, 26 FCC Rcd</w:t>
      </w:r>
      <w:r>
        <w:rPr>
          <w:i/>
          <w:iCs/>
        </w:rPr>
        <w:t xml:space="preserve"> </w:t>
      </w:r>
      <w:r>
        <w:rPr>
          <w:iCs/>
        </w:rPr>
        <w:t>at 12687 (</w:t>
      </w:r>
      <w:r w:rsidRPr="008302A7">
        <w:rPr>
          <w:iCs/>
        </w:rPr>
        <w:t xml:space="preserve">citing </w:t>
      </w:r>
      <w:r w:rsidR="008302A7" w:rsidRPr="008302A7">
        <w:rPr>
          <w:i/>
          <w:iCs/>
        </w:rPr>
        <w:t>Amendment of Sections 1.420 and 73.3584 of the Commission's Rules Concerning Abuses of the Commission's Processes</w:t>
      </w:r>
      <w:r w:rsidR="008302A7" w:rsidRPr="008302A7">
        <w:t>, Notice of Proposed Rulemaking, 2 FCC Rcd 5563 ¶ 2 (1987)</w:t>
      </w:r>
      <w:r w:rsidRPr="008302A7">
        <w:t xml:space="preserve"> (“We believe that ‘abuse of process' may be characterized as any action designed or intended to manipulate or take </w:t>
      </w:r>
      <w:r w:rsidRPr="00E537DB">
        <w:t>improper advantage of a Commission process, procedure or rule in order to achieve a result which that process, procedure or rule was not designed or intended to achieve; or to subvert the underlying purpose of that process, procedure or rule.”).</w:t>
      </w:r>
      <w:r w:rsidR="00201CFD">
        <w:t xml:space="preserve">  </w:t>
      </w:r>
      <w:r w:rsidR="00201CFD">
        <w:rPr>
          <w:i/>
        </w:rPr>
        <w:t>See also AM Revitalization NPRM</w:t>
      </w:r>
      <w:r w:rsidR="00201CFD">
        <w:t>, 28 FCC Rcd at 15226.</w:t>
      </w:r>
    </w:p>
  </w:footnote>
  <w:footnote w:id="17">
    <w:p w:rsidR="00825735" w:rsidRPr="000C7ACC" w:rsidRDefault="00825735">
      <w:pPr>
        <w:pStyle w:val="FootnoteText"/>
      </w:pPr>
      <w:r>
        <w:rPr>
          <w:rStyle w:val="FootnoteReference"/>
        </w:rPr>
        <w:footnoteRef/>
      </w:r>
      <w:r>
        <w:t xml:space="preserve"> </w:t>
      </w:r>
      <w:r>
        <w:rPr>
          <w:i/>
        </w:rPr>
        <w:t>Reconsideration Decision</w:t>
      </w:r>
      <w:r>
        <w:t>, 28 FCC Rcd at 14914.</w:t>
      </w:r>
    </w:p>
  </w:footnote>
  <w:footnote w:id="18">
    <w:p w:rsidR="000B43C5" w:rsidRDefault="000B43C5">
      <w:pPr>
        <w:pStyle w:val="FootnoteText"/>
      </w:pPr>
      <w:r>
        <w:rPr>
          <w:rStyle w:val="FootnoteReference"/>
        </w:rPr>
        <w:footnoteRef/>
      </w:r>
      <w:r>
        <w:t xml:space="preserve"> </w:t>
      </w:r>
      <w:r w:rsidRPr="000B43C5">
        <w:rPr>
          <w:i/>
        </w:rPr>
        <w:t xml:space="preserve">See, e.g., </w:t>
      </w:r>
      <w:r w:rsidR="00493AC8">
        <w:rPr>
          <w:i/>
        </w:rPr>
        <w:t xml:space="preserve">Comcast Corp. v. FCC, </w:t>
      </w:r>
      <w:r w:rsidR="00493AC8">
        <w:t xml:space="preserve">526 F.3d 763 (D.C. Cir. 2008) (Commission is not bound by staff actions granting allegedly inconsistent waivers if Commission has not endorsed those actions); </w:t>
      </w:r>
      <w:r w:rsidR="004C1248">
        <w:rPr>
          <w:i/>
        </w:rPr>
        <w:t xml:space="preserve">65 Applications for Authority to Construct and Operate Multipoint Distribution Service Stations at Three Transmitter Sites, </w:t>
      </w:r>
      <w:r w:rsidR="004C1248">
        <w:t>Memorandum Opinion and Order on</w:t>
      </w:r>
      <w:r w:rsidR="00493AC8">
        <w:t xml:space="preserve"> Reconsideration, 10 FCC Rcd 11</w:t>
      </w:r>
      <w:r w:rsidR="004C1248">
        <w:t>162, 11175 (1995) (erroneous and unexplained staff actions are not precedent</w:t>
      </w:r>
      <w:r w:rsidR="00493AC8">
        <w:t xml:space="preserve"> that binds the Commission</w:t>
      </w:r>
      <w:r w:rsidR="004C1248">
        <w:t xml:space="preserve">); </w:t>
      </w:r>
      <w:r w:rsidR="004C1248">
        <w:rPr>
          <w:i/>
        </w:rPr>
        <w:t>Birach Broadcasting Corporation</w:t>
      </w:r>
      <w:r w:rsidR="004C1248">
        <w:t xml:space="preserve">, Letter, 24 FCC Rcd 8945, 8951 (MB 2009) (same); </w:t>
      </w:r>
      <w:r w:rsidRPr="000B43C5">
        <w:rPr>
          <w:i/>
        </w:rPr>
        <w:t>North Texas Media, Inc. v. FCC</w:t>
      </w:r>
      <w:r w:rsidRPr="000B43C5">
        <w:t>, 778 F.2d 28</w:t>
      </w:r>
      <w:r>
        <w:t>, 33 (D.C. Cir. 1985) (“The initial improvident grant of a waiver in this case, now described as an error, does not deprive the agency of authority to require future applicants to meet certain standards in order to obtain such a waiver”</w:t>
      </w:r>
      <w:r w:rsidRPr="000B43C5">
        <w:t>)</w:t>
      </w:r>
      <w:r w:rsidR="00973104">
        <w:t>.</w:t>
      </w:r>
    </w:p>
  </w:footnote>
  <w:footnote w:id="19">
    <w:p w:rsidR="00825735" w:rsidRPr="00320BF6" w:rsidRDefault="00825735" w:rsidP="007562E7">
      <w:pPr>
        <w:pStyle w:val="FootnoteText"/>
      </w:pPr>
      <w:r w:rsidRPr="00320BF6">
        <w:rPr>
          <w:rStyle w:val="FootnoteReference"/>
        </w:rPr>
        <w:footnoteRef/>
      </w:r>
      <w:r w:rsidRPr="00320BF6">
        <w:t xml:space="preserve"> 47 U.S.C. § 155(c)(5).</w:t>
      </w:r>
    </w:p>
  </w:footnote>
  <w:footnote w:id="20">
    <w:p w:rsidR="00825735" w:rsidRPr="00320BF6" w:rsidRDefault="00825735" w:rsidP="007562E7">
      <w:pPr>
        <w:pStyle w:val="FootnoteText"/>
      </w:pPr>
      <w:r w:rsidRPr="00320BF6">
        <w:rPr>
          <w:rStyle w:val="FootnoteReference"/>
        </w:rPr>
        <w:footnoteRef/>
      </w:r>
      <w:r w:rsidRPr="00320BF6">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85" w:rsidRDefault="00010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35" w:rsidRDefault="00825735" w:rsidP="00810B6F">
    <w:pPr>
      <w:pStyle w:val="Header"/>
      <w:rPr>
        <w:b w:val="0"/>
      </w:rPr>
    </w:pPr>
    <w:r>
      <w:tab/>
      <w:t>Federal Communications Commission</w:t>
    </w:r>
    <w:r>
      <w:tab/>
    </w:r>
    <w:r w:rsidR="001D6328">
      <w:t>FCC 14-193</w:t>
    </w:r>
  </w:p>
  <w:p w:rsidR="00825735" w:rsidRDefault="0082573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7014D3C" wp14:editId="17FCE32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25735" w:rsidRDefault="0082573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35" w:rsidRDefault="0082573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1D6328">
      <w:rPr>
        <w:spacing w:val="-2"/>
      </w:rPr>
      <w:t>FCC 14-193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4A"/>
    <w:rsid w:val="00001B1F"/>
    <w:rsid w:val="00007CCD"/>
    <w:rsid w:val="00010B85"/>
    <w:rsid w:val="00015641"/>
    <w:rsid w:val="00017059"/>
    <w:rsid w:val="00036039"/>
    <w:rsid w:val="00037F90"/>
    <w:rsid w:val="00060D66"/>
    <w:rsid w:val="00066234"/>
    <w:rsid w:val="0008612A"/>
    <w:rsid w:val="000875BF"/>
    <w:rsid w:val="00096D8C"/>
    <w:rsid w:val="000B43C5"/>
    <w:rsid w:val="000C0B65"/>
    <w:rsid w:val="000C7ACC"/>
    <w:rsid w:val="000E05FE"/>
    <w:rsid w:val="000E3D42"/>
    <w:rsid w:val="000E42BF"/>
    <w:rsid w:val="000E4E13"/>
    <w:rsid w:val="000F63DA"/>
    <w:rsid w:val="0010385D"/>
    <w:rsid w:val="00122BD5"/>
    <w:rsid w:val="0013086C"/>
    <w:rsid w:val="00133F79"/>
    <w:rsid w:val="001741C7"/>
    <w:rsid w:val="00194A66"/>
    <w:rsid w:val="001D6328"/>
    <w:rsid w:val="001D6BCF"/>
    <w:rsid w:val="001E01CA"/>
    <w:rsid w:val="00201CFD"/>
    <w:rsid w:val="00210E57"/>
    <w:rsid w:val="00226764"/>
    <w:rsid w:val="0023268C"/>
    <w:rsid w:val="00246B17"/>
    <w:rsid w:val="00275CF5"/>
    <w:rsid w:val="0028301F"/>
    <w:rsid w:val="00285017"/>
    <w:rsid w:val="002A2D2E"/>
    <w:rsid w:val="002C00E8"/>
    <w:rsid w:val="00343749"/>
    <w:rsid w:val="003557E9"/>
    <w:rsid w:val="003613CC"/>
    <w:rsid w:val="003660ED"/>
    <w:rsid w:val="0037721D"/>
    <w:rsid w:val="003B0550"/>
    <w:rsid w:val="003B694F"/>
    <w:rsid w:val="003D54DB"/>
    <w:rsid w:val="003F171C"/>
    <w:rsid w:val="00412FC5"/>
    <w:rsid w:val="00422276"/>
    <w:rsid w:val="00422847"/>
    <w:rsid w:val="004242F1"/>
    <w:rsid w:val="0044565C"/>
    <w:rsid w:val="00445A00"/>
    <w:rsid w:val="00451B0F"/>
    <w:rsid w:val="00493AC8"/>
    <w:rsid w:val="004A60D4"/>
    <w:rsid w:val="004B5AF6"/>
    <w:rsid w:val="004C1248"/>
    <w:rsid w:val="004C1E94"/>
    <w:rsid w:val="004C2EE3"/>
    <w:rsid w:val="004D13CC"/>
    <w:rsid w:val="004D35B6"/>
    <w:rsid w:val="004D4E38"/>
    <w:rsid w:val="004E4A22"/>
    <w:rsid w:val="004F0798"/>
    <w:rsid w:val="0050202A"/>
    <w:rsid w:val="00511968"/>
    <w:rsid w:val="0055614C"/>
    <w:rsid w:val="00557CF5"/>
    <w:rsid w:val="005910BA"/>
    <w:rsid w:val="005E14C2"/>
    <w:rsid w:val="00606513"/>
    <w:rsid w:val="006069FD"/>
    <w:rsid w:val="00607BA5"/>
    <w:rsid w:val="0061180A"/>
    <w:rsid w:val="00626EB6"/>
    <w:rsid w:val="00630BE2"/>
    <w:rsid w:val="00631006"/>
    <w:rsid w:val="00632A5C"/>
    <w:rsid w:val="0063774A"/>
    <w:rsid w:val="00655D03"/>
    <w:rsid w:val="00670D64"/>
    <w:rsid w:val="00680E65"/>
    <w:rsid w:val="00683388"/>
    <w:rsid w:val="00683F84"/>
    <w:rsid w:val="006A4E17"/>
    <w:rsid w:val="006A6A81"/>
    <w:rsid w:val="006B51D3"/>
    <w:rsid w:val="006F394D"/>
    <w:rsid w:val="006F58EB"/>
    <w:rsid w:val="006F7393"/>
    <w:rsid w:val="0070224F"/>
    <w:rsid w:val="007115F7"/>
    <w:rsid w:val="007239DB"/>
    <w:rsid w:val="00730269"/>
    <w:rsid w:val="007562E7"/>
    <w:rsid w:val="00785689"/>
    <w:rsid w:val="0079754B"/>
    <w:rsid w:val="007A1E6D"/>
    <w:rsid w:val="007A3964"/>
    <w:rsid w:val="007A533E"/>
    <w:rsid w:val="007B0EB2"/>
    <w:rsid w:val="007D135A"/>
    <w:rsid w:val="007E770E"/>
    <w:rsid w:val="00810B6F"/>
    <w:rsid w:val="0081232E"/>
    <w:rsid w:val="00822CE0"/>
    <w:rsid w:val="00825735"/>
    <w:rsid w:val="008302A7"/>
    <w:rsid w:val="00841AB1"/>
    <w:rsid w:val="008732C2"/>
    <w:rsid w:val="008C579A"/>
    <w:rsid w:val="008C68F1"/>
    <w:rsid w:val="008D6ED1"/>
    <w:rsid w:val="00906B67"/>
    <w:rsid w:val="00921803"/>
    <w:rsid w:val="00923FC5"/>
    <w:rsid w:val="00926503"/>
    <w:rsid w:val="009534A3"/>
    <w:rsid w:val="00967B60"/>
    <w:rsid w:val="009726D8"/>
    <w:rsid w:val="00973104"/>
    <w:rsid w:val="009A76CE"/>
    <w:rsid w:val="009D51EB"/>
    <w:rsid w:val="009D6C30"/>
    <w:rsid w:val="009F3507"/>
    <w:rsid w:val="009F76DB"/>
    <w:rsid w:val="00A009BC"/>
    <w:rsid w:val="00A035EF"/>
    <w:rsid w:val="00A06EF9"/>
    <w:rsid w:val="00A22302"/>
    <w:rsid w:val="00A32C3B"/>
    <w:rsid w:val="00A45F4F"/>
    <w:rsid w:val="00A5579B"/>
    <w:rsid w:val="00A600A9"/>
    <w:rsid w:val="00AA5514"/>
    <w:rsid w:val="00AA55B7"/>
    <w:rsid w:val="00AA5B9E"/>
    <w:rsid w:val="00AB2407"/>
    <w:rsid w:val="00AB53DF"/>
    <w:rsid w:val="00AF1E21"/>
    <w:rsid w:val="00B07E5C"/>
    <w:rsid w:val="00B11A48"/>
    <w:rsid w:val="00B311F3"/>
    <w:rsid w:val="00B40BAA"/>
    <w:rsid w:val="00B4733F"/>
    <w:rsid w:val="00B71002"/>
    <w:rsid w:val="00B811F7"/>
    <w:rsid w:val="00BA5DC6"/>
    <w:rsid w:val="00BA6196"/>
    <w:rsid w:val="00BB48C8"/>
    <w:rsid w:val="00BB586A"/>
    <w:rsid w:val="00BC1C25"/>
    <w:rsid w:val="00BC50CD"/>
    <w:rsid w:val="00BC6D8C"/>
    <w:rsid w:val="00BF7DA1"/>
    <w:rsid w:val="00C01E90"/>
    <w:rsid w:val="00C118B2"/>
    <w:rsid w:val="00C34006"/>
    <w:rsid w:val="00C426B1"/>
    <w:rsid w:val="00C626EB"/>
    <w:rsid w:val="00C66160"/>
    <w:rsid w:val="00C721AC"/>
    <w:rsid w:val="00C90D6A"/>
    <w:rsid w:val="00C95A46"/>
    <w:rsid w:val="00CA247E"/>
    <w:rsid w:val="00CC0866"/>
    <w:rsid w:val="00CC72B6"/>
    <w:rsid w:val="00CF1F81"/>
    <w:rsid w:val="00D0218D"/>
    <w:rsid w:val="00D07A35"/>
    <w:rsid w:val="00D2176E"/>
    <w:rsid w:val="00D25FB5"/>
    <w:rsid w:val="00D34285"/>
    <w:rsid w:val="00D44223"/>
    <w:rsid w:val="00DA2529"/>
    <w:rsid w:val="00DA5243"/>
    <w:rsid w:val="00DB130A"/>
    <w:rsid w:val="00DB2EBB"/>
    <w:rsid w:val="00DC10A1"/>
    <w:rsid w:val="00DC655F"/>
    <w:rsid w:val="00DD0B59"/>
    <w:rsid w:val="00DD2D9F"/>
    <w:rsid w:val="00DD7EBD"/>
    <w:rsid w:val="00DF62B6"/>
    <w:rsid w:val="00E040FC"/>
    <w:rsid w:val="00E07225"/>
    <w:rsid w:val="00E537DB"/>
    <w:rsid w:val="00E5409F"/>
    <w:rsid w:val="00ED6A9A"/>
    <w:rsid w:val="00EE6488"/>
    <w:rsid w:val="00EE79F3"/>
    <w:rsid w:val="00EF20CB"/>
    <w:rsid w:val="00F021FA"/>
    <w:rsid w:val="00F17591"/>
    <w:rsid w:val="00F32385"/>
    <w:rsid w:val="00F47F69"/>
    <w:rsid w:val="00F510F5"/>
    <w:rsid w:val="00F62E97"/>
    <w:rsid w:val="00F64209"/>
    <w:rsid w:val="00F8568D"/>
    <w:rsid w:val="00F92136"/>
    <w:rsid w:val="00F93BF5"/>
    <w:rsid w:val="00FA6AC3"/>
    <w:rsid w:val="00FB51B6"/>
    <w:rsid w:val="00FC183F"/>
    <w:rsid w:val="00FC5FA2"/>
    <w:rsid w:val="00FF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D9F"/>
    <w:pPr>
      <w:widowControl w:val="0"/>
    </w:pPr>
    <w:rPr>
      <w:snapToGrid w:val="0"/>
      <w:kern w:val="28"/>
      <w:sz w:val="22"/>
    </w:rPr>
  </w:style>
  <w:style w:type="paragraph" w:styleId="Heading1">
    <w:name w:val="heading 1"/>
    <w:basedOn w:val="Normal"/>
    <w:next w:val="ParaNum"/>
    <w:qFormat/>
    <w:rsid w:val="00DD2D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2D9F"/>
    <w:pPr>
      <w:keepNext/>
      <w:numPr>
        <w:ilvl w:val="1"/>
        <w:numId w:val="3"/>
      </w:numPr>
      <w:spacing w:after="120"/>
      <w:outlineLvl w:val="1"/>
    </w:pPr>
    <w:rPr>
      <w:b/>
    </w:rPr>
  </w:style>
  <w:style w:type="paragraph" w:styleId="Heading3">
    <w:name w:val="heading 3"/>
    <w:basedOn w:val="Normal"/>
    <w:next w:val="ParaNum"/>
    <w:qFormat/>
    <w:rsid w:val="00DD2D9F"/>
    <w:pPr>
      <w:keepNext/>
      <w:numPr>
        <w:ilvl w:val="2"/>
        <w:numId w:val="3"/>
      </w:numPr>
      <w:tabs>
        <w:tab w:val="left" w:pos="2160"/>
      </w:tabs>
      <w:spacing w:after="120"/>
      <w:outlineLvl w:val="2"/>
    </w:pPr>
    <w:rPr>
      <w:b/>
    </w:rPr>
  </w:style>
  <w:style w:type="paragraph" w:styleId="Heading4">
    <w:name w:val="heading 4"/>
    <w:basedOn w:val="Normal"/>
    <w:next w:val="ParaNum"/>
    <w:qFormat/>
    <w:rsid w:val="00DD2D9F"/>
    <w:pPr>
      <w:keepNext/>
      <w:numPr>
        <w:ilvl w:val="3"/>
        <w:numId w:val="3"/>
      </w:numPr>
      <w:tabs>
        <w:tab w:val="left" w:pos="2880"/>
      </w:tabs>
      <w:spacing w:after="120"/>
      <w:outlineLvl w:val="3"/>
    </w:pPr>
    <w:rPr>
      <w:b/>
    </w:rPr>
  </w:style>
  <w:style w:type="paragraph" w:styleId="Heading5">
    <w:name w:val="heading 5"/>
    <w:basedOn w:val="Normal"/>
    <w:next w:val="ParaNum"/>
    <w:qFormat/>
    <w:rsid w:val="00DD2D9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2D9F"/>
    <w:pPr>
      <w:numPr>
        <w:ilvl w:val="5"/>
        <w:numId w:val="3"/>
      </w:numPr>
      <w:tabs>
        <w:tab w:val="left" w:pos="4320"/>
      </w:tabs>
      <w:spacing w:after="120"/>
      <w:outlineLvl w:val="5"/>
    </w:pPr>
    <w:rPr>
      <w:b/>
    </w:rPr>
  </w:style>
  <w:style w:type="paragraph" w:styleId="Heading7">
    <w:name w:val="heading 7"/>
    <w:basedOn w:val="Normal"/>
    <w:next w:val="ParaNum"/>
    <w:qFormat/>
    <w:rsid w:val="00DD2D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2D9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2D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2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2D9F"/>
  </w:style>
  <w:style w:type="paragraph" w:customStyle="1" w:styleId="ParaNum">
    <w:name w:val="ParaNum"/>
    <w:basedOn w:val="Normal"/>
    <w:rsid w:val="00DD2D9F"/>
    <w:pPr>
      <w:numPr>
        <w:numId w:val="2"/>
      </w:numPr>
      <w:tabs>
        <w:tab w:val="clear" w:pos="1080"/>
        <w:tab w:val="num" w:pos="1440"/>
      </w:tabs>
      <w:spacing w:after="120"/>
    </w:pPr>
  </w:style>
  <w:style w:type="paragraph" w:styleId="EndnoteText">
    <w:name w:val="endnote text"/>
    <w:basedOn w:val="Normal"/>
    <w:semiHidden/>
    <w:rsid w:val="00DD2D9F"/>
    <w:rPr>
      <w:sz w:val="20"/>
    </w:rPr>
  </w:style>
  <w:style w:type="character" w:styleId="EndnoteReference">
    <w:name w:val="endnote reference"/>
    <w:semiHidden/>
    <w:rsid w:val="00DD2D9F"/>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DD2D9F"/>
    <w:pPr>
      <w:spacing w:after="120"/>
    </w:pPr>
  </w:style>
  <w:style w:type="character" w:styleId="FootnoteReference">
    <w:name w:val="footnote reference"/>
    <w:aliases w:val="Style 12,(NECG) Footnote Reference,Appel note de bas de p,Style 124,o,fr,Style 3,Style 13"/>
    <w:rsid w:val="00DD2D9F"/>
    <w:rPr>
      <w:rFonts w:ascii="Times New Roman" w:hAnsi="Times New Roman"/>
      <w:dstrike w:val="0"/>
      <w:color w:val="auto"/>
      <w:sz w:val="20"/>
      <w:vertAlign w:val="superscript"/>
    </w:rPr>
  </w:style>
  <w:style w:type="paragraph" w:styleId="TOC1">
    <w:name w:val="toc 1"/>
    <w:basedOn w:val="Normal"/>
    <w:next w:val="Normal"/>
    <w:semiHidden/>
    <w:rsid w:val="00DD2D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2D9F"/>
    <w:pPr>
      <w:tabs>
        <w:tab w:val="left" w:pos="720"/>
        <w:tab w:val="right" w:leader="dot" w:pos="9360"/>
      </w:tabs>
      <w:suppressAutoHyphens/>
      <w:ind w:left="720" w:right="720" w:hanging="360"/>
    </w:pPr>
    <w:rPr>
      <w:noProof/>
    </w:rPr>
  </w:style>
  <w:style w:type="paragraph" w:styleId="TOC3">
    <w:name w:val="toc 3"/>
    <w:basedOn w:val="Normal"/>
    <w:next w:val="Normal"/>
    <w:semiHidden/>
    <w:rsid w:val="00DD2D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2D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2D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2D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2D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2D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2D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2D9F"/>
    <w:pPr>
      <w:tabs>
        <w:tab w:val="right" w:pos="9360"/>
      </w:tabs>
      <w:suppressAutoHyphens/>
    </w:pPr>
  </w:style>
  <w:style w:type="character" w:customStyle="1" w:styleId="EquationCaption">
    <w:name w:val="_Equation Caption"/>
    <w:rsid w:val="00DD2D9F"/>
  </w:style>
  <w:style w:type="paragraph" w:styleId="Header">
    <w:name w:val="header"/>
    <w:basedOn w:val="Normal"/>
    <w:autoRedefine/>
    <w:rsid w:val="00DD2D9F"/>
    <w:pPr>
      <w:tabs>
        <w:tab w:val="center" w:pos="4680"/>
        <w:tab w:val="right" w:pos="9360"/>
      </w:tabs>
    </w:pPr>
    <w:rPr>
      <w:b/>
    </w:rPr>
  </w:style>
  <w:style w:type="paragraph" w:styleId="Footer">
    <w:name w:val="footer"/>
    <w:basedOn w:val="Normal"/>
    <w:rsid w:val="00DD2D9F"/>
    <w:pPr>
      <w:tabs>
        <w:tab w:val="center" w:pos="4320"/>
        <w:tab w:val="right" w:pos="8640"/>
      </w:tabs>
    </w:pPr>
  </w:style>
  <w:style w:type="character" w:styleId="PageNumber">
    <w:name w:val="page number"/>
    <w:basedOn w:val="DefaultParagraphFont"/>
    <w:rsid w:val="00DD2D9F"/>
  </w:style>
  <w:style w:type="paragraph" w:styleId="BlockText">
    <w:name w:val="Block Text"/>
    <w:basedOn w:val="Normal"/>
    <w:rsid w:val="00DD2D9F"/>
    <w:pPr>
      <w:spacing w:after="240"/>
      <w:ind w:left="1440" w:right="1440"/>
    </w:pPr>
  </w:style>
  <w:style w:type="paragraph" w:customStyle="1" w:styleId="Paratitle">
    <w:name w:val="Para title"/>
    <w:basedOn w:val="Normal"/>
    <w:rsid w:val="00DD2D9F"/>
    <w:pPr>
      <w:tabs>
        <w:tab w:val="center" w:pos="9270"/>
      </w:tabs>
      <w:spacing w:after="240"/>
    </w:pPr>
    <w:rPr>
      <w:spacing w:val="-2"/>
    </w:rPr>
  </w:style>
  <w:style w:type="paragraph" w:customStyle="1" w:styleId="Bullet">
    <w:name w:val="Bullet"/>
    <w:basedOn w:val="Normal"/>
    <w:rsid w:val="00DD2D9F"/>
    <w:pPr>
      <w:tabs>
        <w:tab w:val="left" w:pos="2160"/>
      </w:tabs>
      <w:spacing w:after="220"/>
      <w:ind w:left="2160" w:hanging="720"/>
    </w:pPr>
  </w:style>
  <w:style w:type="paragraph" w:customStyle="1" w:styleId="TableFormat">
    <w:name w:val="TableFormat"/>
    <w:basedOn w:val="Bullet"/>
    <w:rsid w:val="00DD2D9F"/>
    <w:pPr>
      <w:tabs>
        <w:tab w:val="clear" w:pos="2160"/>
        <w:tab w:val="left" w:pos="5040"/>
      </w:tabs>
      <w:ind w:left="5040" w:hanging="3600"/>
    </w:pPr>
  </w:style>
  <w:style w:type="paragraph" w:customStyle="1" w:styleId="TOCTitle">
    <w:name w:val="TOC Title"/>
    <w:basedOn w:val="Normal"/>
    <w:rsid w:val="00DD2D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2D9F"/>
    <w:pPr>
      <w:jc w:val="center"/>
    </w:pPr>
    <w:rPr>
      <w:rFonts w:ascii="Times New Roman Bold" w:hAnsi="Times New Roman Bold"/>
      <w:b/>
      <w:bCs/>
      <w:caps/>
      <w:szCs w:val="22"/>
    </w:rPr>
  </w:style>
  <w:style w:type="character" w:styleId="Hyperlink">
    <w:name w:val="Hyperlink"/>
    <w:rsid w:val="00DD2D9F"/>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63774A"/>
  </w:style>
  <w:style w:type="paragraph" w:styleId="BalloonText">
    <w:name w:val="Balloon Text"/>
    <w:basedOn w:val="Normal"/>
    <w:link w:val="BalloonTextChar"/>
    <w:rsid w:val="00967B60"/>
    <w:rPr>
      <w:rFonts w:ascii="Tahoma" w:hAnsi="Tahoma" w:cs="Tahoma"/>
      <w:sz w:val="16"/>
      <w:szCs w:val="16"/>
    </w:rPr>
  </w:style>
  <w:style w:type="character" w:customStyle="1" w:styleId="BalloonTextChar">
    <w:name w:val="Balloon Text Char"/>
    <w:basedOn w:val="DefaultParagraphFont"/>
    <w:link w:val="BalloonText"/>
    <w:rsid w:val="00967B60"/>
    <w:rPr>
      <w:rFonts w:ascii="Tahoma" w:hAnsi="Tahoma" w:cs="Tahoma"/>
      <w:snapToGrid w:val="0"/>
      <w:kern w:val="28"/>
      <w:sz w:val="16"/>
      <w:szCs w:val="16"/>
    </w:rPr>
  </w:style>
  <w:style w:type="character" w:customStyle="1" w:styleId="emphi">
    <w:name w:val="emphi"/>
    <w:basedOn w:val="DefaultParagraphFont"/>
    <w:rsid w:val="0008612A"/>
  </w:style>
  <w:style w:type="character" w:customStyle="1" w:styleId="displayhltextactive">
    <w:name w:val="display_hl_text_active"/>
    <w:basedOn w:val="DefaultParagraphFont"/>
    <w:rsid w:val="0008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D9F"/>
    <w:pPr>
      <w:widowControl w:val="0"/>
    </w:pPr>
    <w:rPr>
      <w:snapToGrid w:val="0"/>
      <w:kern w:val="28"/>
      <w:sz w:val="22"/>
    </w:rPr>
  </w:style>
  <w:style w:type="paragraph" w:styleId="Heading1">
    <w:name w:val="heading 1"/>
    <w:basedOn w:val="Normal"/>
    <w:next w:val="ParaNum"/>
    <w:qFormat/>
    <w:rsid w:val="00DD2D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2D9F"/>
    <w:pPr>
      <w:keepNext/>
      <w:numPr>
        <w:ilvl w:val="1"/>
        <w:numId w:val="3"/>
      </w:numPr>
      <w:spacing w:after="120"/>
      <w:outlineLvl w:val="1"/>
    </w:pPr>
    <w:rPr>
      <w:b/>
    </w:rPr>
  </w:style>
  <w:style w:type="paragraph" w:styleId="Heading3">
    <w:name w:val="heading 3"/>
    <w:basedOn w:val="Normal"/>
    <w:next w:val="ParaNum"/>
    <w:qFormat/>
    <w:rsid w:val="00DD2D9F"/>
    <w:pPr>
      <w:keepNext/>
      <w:numPr>
        <w:ilvl w:val="2"/>
        <w:numId w:val="3"/>
      </w:numPr>
      <w:tabs>
        <w:tab w:val="left" w:pos="2160"/>
      </w:tabs>
      <w:spacing w:after="120"/>
      <w:outlineLvl w:val="2"/>
    </w:pPr>
    <w:rPr>
      <w:b/>
    </w:rPr>
  </w:style>
  <w:style w:type="paragraph" w:styleId="Heading4">
    <w:name w:val="heading 4"/>
    <w:basedOn w:val="Normal"/>
    <w:next w:val="ParaNum"/>
    <w:qFormat/>
    <w:rsid w:val="00DD2D9F"/>
    <w:pPr>
      <w:keepNext/>
      <w:numPr>
        <w:ilvl w:val="3"/>
        <w:numId w:val="3"/>
      </w:numPr>
      <w:tabs>
        <w:tab w:val="left" w:pos="2880"/>
      </w:tabs>
      <w:spacing w:after="120"/>
      <w:outlineLvl w:val="3"/>
    </w:pPr>
    <w:rPr>
      <w:b/>
    </w:rPr>
  </w:style>
  <w:style w:type="paragraph" w:styleId="Heading5">
    <w:name w:val="heading 5"/>
    <w:basedOn w:val="Normal"/>
    <w:next w:val="ParaNum"/>
    <w:qFormat/>
    <w:rsid w:val="00DD2D9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2D9F"/>
    <w:pPr>
      <w:numPr>
        <w:ilvl w:val="5"/>
        <w:numId w:val="3"/>
      </w:numPr>
      <w:tabs>
        <w:tab w:val="left" w:pos="4320"/>
      </w:tabs>
      <w:spacing w:after="120"/>
      <w:outlineLvl w:val="5"/>
    </w:pPr>
    <w:rPr>
      <w:b/>
    </w:rPr>
  </w:style>
  <w:style w:type="paragraph" w:styleId="Heading7">
    <w:name w:val="heading 7"/>
    <w:basedOn w:val="Normal"/>
    <w:next w:val="ParaNum"/>
    <w:qFormat/>
    <w:rsid w:val="00DD2D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2D9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2D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2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2D9F"/>
  </w:style>
  <w:style w:type="paragraph" w:customStyle="1" w:styleId="ParaNum">
    <w:name w:val="ParaNum"/>
    <w:basedOn w:val="Normal"/>
    <w:rsid w:val="00DD2D9F"/>
    <w:pPr>
      <w:numPr>
        <w:numId w:val="2"/>
      </w:numPr>
      <w:tabs>
        <w:tab w:val="clear" w:pos="1080"/>
        <w:tab w:val="num" w:pos="1440"/>
      </w:tabs>
      <w:spacing w:after="120"/>
    </w:pPr>
  </w:style>
  <w:style w:type="paragraph" w:styleId="EndnoteText">
    <w:name w:val="endnote text"/>
    <w:basedOn w:val="Normal"/>
    <w:semiHidden/>
    <w:rsid w:val="00DD2D9F"/>
    <w:rPr>
      <w:sz w:val="20"/>
    </w:rPr>
  </w:style>
  <w:style w:type="character" w:styleId="EndnoteReference">
    <w:name w:val="endnote reference"/>
    <w:semiHidden/>
    <w:rsid w:val="00DD2D9F"/>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DD2D9F"/>
    <w:pPr>
      <w:spacing w:after="120"/>
    </w:pPr>
  </w:style>
  <w:style w:type="character" w:styleId="FootnoteReference">
    <w:name w:val="footnote reference"/>
    <w:aliases w:val="Style 12,(NECG) Footnote Reference,Appel note de bas de p,Style 124,o,fr,Style 3,Style 13"/>
    <w:rsid w:val="00DD2D9F"/>
    <w:rPr>
      <w:rFonts w:ascii="Times New Roman" w:hAnsi="Times New Roman"/>
      <w:dstrike w:val="0"/>
      <w:color w:val="auto"/>
      <w:sz w:val="20"/>
      <w:vertAlign w:val="superscript"/>
    </w:rPr>
  </w:style>
  <w:style w:type="paragraph" w:styleId="TOC1">
    <w:name w:val="toc 1"/>
    <w:basedOn w:val="Normal"/>
    <w:next w:val="Normal"/>
    <w:semiHidden/>
    <w:rsid w:val="00DD2D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2D9F"/>
    <w:pPr>
      <w:tabs>
        <w:tab w:val="left" w:pos="720"/>
        <w:tab w:val="right" w:leader="dot" w:pos="9360"/>
      </w:tabs>
      <w:suppressAutoHyphens/>
      <w:ind w:left="720" w:right="720" w:hanging="360"/>
    </w:pPr>
    <w:rPr>
      <w:noProof/>
    </w:rPr>
  </w:style>
  <w:style w:type="paragraph" w:styleId="TOC3">
    <w:name w:val="toc 3"/>
    <w:basedOn w:val="Normal"/>
    <w:next w:val="Normal"/>
    <w:semiHidden/>
    <w:rsid w:val="00DD2D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2D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2D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2D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2D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2D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2D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2D9F"/>
    <w:pPr>
      <w:tabs>
        <w:tab w:val="right" w:pos="9360"/>
      </w:tabs>
      <w:suppressAutoHyphens/>
    </w:pPr>
  </w:style>
  <w:style w:type="character" w:customStyle="1" w:styleId="EquationCaption">
    <w:name w:val="_Equation Caption"/>
    <w:rsid w:val="00DD2D9F"/>
  </w:style>
  <w:style w:type="paragraph" w:styleId="Header">
    <w:name w:val="header"/>
    <w:basedOn w:val="Normal"/>
    <w:autoRedefine/>
    <w:rsid w:val="00DD2D9F"/>
    <w:pPr>
      <w:tabs>
        <w:tab w:val="center" w:pos="4680"/>
        <w:tab w:val="right" w:pos="9360"/>
      </w:tabs>
    </w:pPr>
    <w:rPr>
      <w:b/>
    </w:rPr>
  </w:style>
  <w:style w:type="paragraph" w:styleId="Footer">
    <w:name w:val="footer"/>
    <w:basedOn w:val="Normal"/>
    <w:rsid w:val="00DD2D9F"/>
    <w:pPr>
      <w:tabs>
        <w:tab w:val="center" w:pos="4320"/>
        <w:tab w:val="right" w:pos="8640"/>
      </w:tabs>
    </w:pPr>
  </w:style>
  <w:style w:type="character" w:styleId="PageNumber">
    <w:name w:val="page number"/>
    <w:basedOn w:val="DefaultParagraphFont"/>
    <w:rsid w:val="00DD2D9F"/>
  </w:style>
  <w:style w:type="paragraph" w:styleId="BlockText">
    <w:name w:val="Block Text"/>
    <w:basedOn w:val="Normal"/>
    <w:rsid w:val="00DD2D9F"/>
    <w:pPr>
      <w:spacing w:after="240"/>
      <w:ind w:left="1440" w:right="1440"/>
    </w:pPr>
  </w:style>
  <w:style w:type="paragraph" w:customStyle="1" w:styleId="Paratitle">
    <w:name w:val="Para title"/>
    <w:basedOn w:val="Normal"/>
    <w:rsid w:val="00DD2D9F"/>
    <w:pPr>
      <w:tabs>
        <w:tab w:val="center" w:pos="9270"/>
      </w:tabs>
      <w:spacing w:after="240"/>
    </w:pPr>
    <w:rPr>
      <w:spacing w:val="-2"/>
    </w:rPr>
  </w:style>
  <w:style w:type="paragraph" w:customStyle="1" w:styleId="Bullet">
    <w:name w:val="Bullet"/>
    <w:basedOn w:val="Normal"/>
    <w:rsid w:val="00DD2D9F"/>
    <w:pPr>
      <w:tabs>
        <w:tab w:val="left" w:pos="2160"/>
      </w:tabs>
      <w:spacing w:after="220"/>
      <w:ind w:left="2160" w:hanging="720"/>
    </w:pPr>
  </w:style>
  <w:style w:type="paragraph" w:customStyle="1" w:styleId="TableFormat">
    <w:name w:val="TableFormat"/>
    <w:basedOn w:val="Bullet"/>
    <w:rsid w:val="00DD2D9F"/>
    <w:pPr>
      <w:tabs>
        <w:tab w:val="clear" w:pos="2160"/>
        <w:tab w:val="left" w:pos="5040"/>
      </w:tabs>
      <w:ind w:left="5040" w:hanging="3600"/>
    </w:pPr>
  </w:style>
  <w:style w:type="paragraph" w:customStyle="1" w:styleId="TOCTitle">
    <w:name w:val="TOC Title"/>
    <w:basedOn w:val="Normal"/>
    <w:rsid w:val="00DD2D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2D9F"/>
    <w:pPr>
      <w:jc w:val="center"/>
    </w:pPr>
    <w:rPr>
      <w:rFonts w:ascii="Times New Roman Bold" w:hAnsi="Times New Roman Bold"/>
      <w:b/>
      <w:bCs/>
      <w:caps/>
      <w:szCs w:val="22"/>
    </w:rPr>
  </w:style>
  <w:style w:type="character" w:styleId="Hyperlink">
    <w:name w:val="Hyperlink"/>
    <w:rsid w:val="00DD2D9F"/>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63774A"/>
  </w:style>
  <w:style w:type="paragraph" w:styleId="BalloonText">
    <w:name w:val="Balloon Text"/>
    <w:basedOn w:val="Normal"/>
    <w:link w:val="BalloonTextChar"/>
    <w:rsid w:val="00967B60"/>
    <w:rPr>
      <w:rFonts w:ascii="Tahoma" w:hAnsi="Tahoma" w:cs="Tahoma"/>
      <w:sz w:val="16"/>
      <w:szCs w:val="16"/>
    </w:rPr>
  </w:style>
  <w:style w:type="character" w:customStyle="1" w:styleId="BalloonTextChar">
    <w:name w:val="Balloon Text Char"/>
    <w:basedOn w:val="DefaultParagraphFont"/>
    <w:link w:val="BalloonText"/>
    <w:rsid w:val="00967B60"/>
    <w:rPr>
      <w:rFonts w:ascii="Tahoma" w:hAnsi="Tahoma" w:cs="Tahoma"/>
      <w:snapToGrid w:val="0"/>
      <w:kern w:val="28"/>
      <w:sz w:val="16"/>
      <w:szCs w:val="16"/>
    </w:rPr>
  </w:style>
  <w:style w:type="character" w:customStyle="1" w:styleId="emphi">
    <w:name w:val="emphi"/>
    <w:basedOn w:val="DefaultParagraphFont"/>
    <w:rsid w:val="0008612A"/>
  </w:style>
  <w:style w:type="character" w:customStyle="1" w:styleId="displayhltextactive">
    <w:name w:val="display_hl_text_active"/>
    <w:basedOn w:val="DefaultParagraphFont"/>
    <w:rsid w:val="0008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9991">
      <w:bodyDiv w:val="1"/>
      <w:marLeft w:val="0"/>
      <w:marRight w:val="0"/>
      <w:marTop w:val="0"/>
      <w:marBottom w:val="0"/>
      <w:divBdr>
        <w:top w:val="none" w:sz="0" w:space="0" w:color="auto"/>
        <w:left w:val="none" w:sz="0" w:space="0" w:color="auto"/>
        <w:bottom w:val="none" w:sz="0" w:space="0" w:color="auto"/>
        <w:right w:val="none" w:sz="0" w:space="0" w:color="auto"/>
      </w:divBdr>
      <w:divsChild>
        <w:div w:id="1787969334">
          <w:marLeft w:val="0"/>
          <w:marRight w:val="0"/>
          <w:marTop w:val="0"/>
          <w:marBottom w:val="0"/>
          <w:divBdr>
            <w:top w:val="none" w:sz="0" w:space="0" w:color="auto"/>
            <w:left w:val="none" w:sz="0" w:space="0" w:color="auto"/>
            <w:bottom w:val="none" w:sz="0" w:space="0" w:color="auto"/>
            <w:right w:val="none" w:sz="0" w:space="0" w:color="auto"/>
          </w:divBdr>
          <w:divsChild>
            <w:div w:id="1163857273">
              <w:marLeft w:val="0"/>
              <w:marRight w:val="0"/>
              <w:marTop w:val="0"/>
              <w:marBottom w:val="0"/>
              <w:divBdr>
                <w:top w:val="none" w:sz="0" w:space="0" w:color="auto"/>
                <w:left w:val="none" w:sz="0" w:space="0" w:color="auto"/>
                <w:bottom w:val="none" w:sz="0" w:space="0" w:color="auto"/>
                <w:right w:val="none" w:sz="0" w:space="0" w:color="auto"/>
              </w:divBdr>
              <w:divsChild>
                <w:div w:id="1563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2731">
      <w:bodyDiv w:val="1"/>
      <w:marLeft w:val="0"/>
      <w:marRight w:val="0"/>
      <w:marTop w:val="0"/>
      <w:marBottom w:val="0"/>
      <w:divBdr>
        <w:top w:val="none" w:sz="0" w:space="0" w:color="auto"/>
        <w:left w:val="none" w:sz="0" w:space="0" w:color="auto"/>
        <w:bottom w:val="none" w:sz="0" w:space="0" w:color="auto"/>
        <w:right w:val="none" w:sz="0" w:space="0" w:color="auto"/>
      </w:divBdr>
    </w:div>
    <w:div w:id="604726992">
      <w:bodyDiv w:val="1"/>
      <w:marLeft w:val="0"/>
      <w:marRight w:val="0"/>
      <w:marTop w:val="0"/>
      <w:marBottom w:val="0"/>
      <w:divBdr>
        <w:top w:val="none" w:sz="0" w:space="0" w:color="auto"/>
        <w:left w:val="none" w:sz="0" w:space="0" w:color="auto"/>
        <w:bottom w:val="none" w:sz="0" w:space="0" w:color="auto"/>
        <w:right w:val="none" w:sz="0" w:space="0" w:color="auto"/>
      </w:divBdr>
      <w:divsChild>
        <w:div w:id="1135177693">
          <w:marLeft w:val="0"/>
          <w:marRight w:val="0"/>
          <w:marTop w:val="0"/>
          <w:marBottom w:val="0"/>
          <w:divBdr>
            <w:top w:val="none" w:sz="0" w:space="0" w:color="auto"/>
            <w:left w:val="none" w:sz="0" w:space="0" w:color="auto"/>
            <w:bottom w:val="none" w:sz="0" w:space="0" w:color="auto"/>
            <w:right w:val="none" w:sz="0" w:space="0" w:color="auto"/>
          </w:divBdr>
          <w:divsChild>
            <w:div w:id="1463882922">
              <w:marLeft w:val="0"/>
              <w:marRight w:val="0"/>
              <w:marTop w:val="0"/>
              <w:marBottom w:val="0"/>
              <w:divBdr>
                <w:top w:val="none" w:sz="0" w:space="0" w:color="auto"/>
                <w:left w:val="none" w:sz="0" w:space="0" w:color="auto"/>
                <w:bottom w:val="none" w:sz="0" w:space="0" w:color="auto"/>
                <w:right w:val="none" w:sz="0" w:space="0" w:color="auto"/>
              </w:divBdr>
              <w:divsChild>
                <w:div w:id="634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7295">
      <w:bodyDiv w:val="1"/>
      <w:marLeft w:val="0"/>
      <w:marRight w:val="0"/>
      <w:marTop w:val="0"/>
      <w:marBottom w:val="0"/>
      <w:divBdr>
        <w:top w:val="none" w:sz="0" w:space="0" w:color="auto"/>
        <w:left w:val="none" w:sz="0" w:space="0" w:color="auto"/>
        <w:bottom w:val="none" w:sz="0" w:space="0" w:color="auto"/>
        <w:right w:val="none" w:sz="0" w:space="0" w:color="auto"/>
      </w:divBdr>
      <w:divsChild>
        <w:div w:id="611673254">
          <w:marLeft w:val="0"/>
          <w:marRight w:val="0"/>
          <w:marTop w:val="0"/>
          <w:marBottom w:val="0"/>
          <w:divBdr>
            <w:top w:val="none" w:sz="0" w:space="0" w:color="auto"/>
            <w:left w:val="none" w:sz="0" w:space="0" w:color="auto"/>
            <w:bottom w:val="none" w:sz="0" w:space="0" w:color="auto"/>
            <w:right w:val="none" w:sz="0" w:space="0" w:color="auto"/>
          </w:divBdr>
          <w:divsChild>
            <w:div w:id="1267228252">
              <w:marLeft w:val="0"/>
              <w:marRight w:val="0"/>
              <w:marTop w:val="0"/>
              <w:marBottom w:val="0"/>
              <w:divBdr>
                <w:top w:val="none" w:sz="0" w:space="0" w:color="auto"/>
                <w:left w:val="none" w:sz="0" w:space="0" w:color="auto"/>
                <w:bottom w:val="none" w:sz="0" w:space="0" w:color="auto"/>
                <w:right w:val="none" w:sz="0" w:space="0" w:color="auto"/>
              </w:divBdr>
              <w:divsChild>
                <w:div w:id="6474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9331">
      <w:bodyDiv w:val="1"/>
      <w:marLeft w:val="0"/>
      <w:marRight w:val="0"/>
      <w:marTop w:val="0"/>
      <w:marBottom w:val="0"/>
      <w:divBdr>
        <w:top w:val="none" w:sz="0" w:space="0" w:color="auto"/>
        <w:left w:val="none" w:sz="0" w:space="0" w:color="auto"/>
        <w:bottom w:val="none" w:sz="0" w:space="0" w:color="auto"/>
        <w:right w:val="none" w:sz="0" w:space="0" w:color="auto"/>
      </w:divBdr>
      <w:divsChild>
        <w:div w:id="377701908">
          <w:marLeft w:val="0"/>
          <w:marRight w:val="0"/>
          <w:marTop w:val="0"/>
          <w:marBottom w:val="0"/>
          <w:divBdr>
            <w:top w:val="none" w:sz="0" w:space="0" w:color="auto"/>
            <w:left w:val="none" w:sz="0" w:space="0" w:color="auto"/>
            <w:bottom w:val="none" w:sz="0" w:space="0" w:color="auto"/>
            <w:right w:val="none" w:sz="0" w:space="0" w:color="auto"/>
          </w:divBdr>
          <w:divsChild>
            <w:div w:id="259029321">
              <w:marLeft w:val="0"/>
              <w:marRight w:val="0"/>
              <w:marTop w:val="0"/>
              <w:marBottom w:val="0"/>
              <w:divBdr>
                <w:top w:val="none" w:sz="0" w:space="0" w:color="auto"/>
                <w:left w:val="none" w:sz="0" w:space="0" w:color="auto"/>
                <w:bottom w:val="none" w:sz="0" w:space="0" w:color="auto"/>
                <w:right w:val="none" w:sz="0" w:space="0" w:color="auto"/>
              </w:divBdr>
              <w:divsChild>
                <w:div w:id="21115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javascript:top.docjs.no_prev_doc_in_search_results()" TargetMode="External"/><Relationship Id="rId2" Type="http://schemas.openxmlformats.org/officeDocument/2006/relationships/hyperlink" Target="https://a.next.westlaw.com/Link/Document/FullText?findType=Y&amp;serNum=1999286155&amp;pubNum=0004493&amp;fi=co_pp_sp_4493_5277&amp;originationContext=document&amp;transitionType=DocumentItem&amp;contextData=%28sc.History*oc.UserEnteredCitation%29" TargetMode="External"/><Relationship Id="rId1" Type="http://schemas.openxmlformats.org/officeDocument/2006/relationships/hyperlink" Target="https://a.next.westlaw.com/Link/Document/FullText?findType=Y&amp;pubNum=4493&amp;cite=13FCCRCD14859&amp;fi=co_pp_sp_4493_14872&amp;originationContext=document&amp;transitionType=DocumentItem&amp;contextData=%28sc.History*oc.UserEnteredCitation%29" TargetMode="External"/><Relationship Id="rId6" Type="http://schemas.openxmlformats.org/officeDocument/2006/relationships/image" Target="media/image2.png"/><Relationship Id="rId5" Type="http://schemas.openxmlformats.org/officeDocument/2006/relationships/hyperlink" Target="javascript:top.docjs.next_hit(80)" TargetMode="External"/><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882</Words>
  <Characters>4870</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2014-09-16T17:47:00Z</cp:lastPrinted>
  <dcterms:created xsi:type="dcterms:W3CDTF">2014-12-10T20:45:00Z</dcterms:created>
  <dcterms:modified xsi:type="dcterms:W3CDTF">2014-12-10T20:45:00Z</dcterms:modified>
  <cp:category> </cp:category>
  <cp:contentStatus> </cp:contentStatus>
</cp:coreProperties>
</file>