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7DC" w:rsidRPr="00116AFB" w:rsidRDefault="009377DC" w:rsidP="009377DC">
      <w:pPr>
        <w:spacing w:after="0" w:line="240" w:lineRule="auto"/>
        <w:jc w:val="center"/>
        <w:rPr>
          <w:rFonts w:ascii="Times New Roman" w:eastAsia="Times New Roman" w:hAnsi="Times New Roman" w:cs="Times New Roman"/>
          <w:b/>
        </w:rPr>
      </w:pPr>
      <w:bookmarkStart w:id="0" w:name="_GoBack"/>
      <w:bookmarkEnd w:id="0"/>
      <w:r w:rsidRPr="00116AFB">
        <w:rPr>
          <w:rFonts w:ascii="Times New Roman" w:eastAsia="Times New Roman" w:hAnsi="Times New Roman" w:cs="Times New Roman"/>
          <w:b/>
        </w:rPr>
        <w:t>STATEMENT OF</w:t>
      </w:r>
    </w:p>
    <w:p w:rsidR="009377DC" w:rsidRPr="00116AFB" w:rsidRDefault="009377DC" w:rsidP="009377DC">
      <w:pPr>
        <w:spacing w:after="0" w:line="240" w:lineRule="auto"/>
        <w:jc w:val="center"/>
        <w:rPr>
          <w:rFonts w:ascii="Times New Roman" w:eastAsia="Times New Roman" w:hAnsi="Times New Roman" w:cs="Times New Roman"/>
          <w:b/>
        </w:rPr>
      </w:pPr>
      <w:r w:rsidRPr="00116AFB">
        <w:rPr>
          <w:rFonts w:ascii="Times New Roman" w:eastAsia="Times New Roman" w:hAnsi="Times New Roman" w:cs="Times New Roman"/>
          <w:b/>
        </w:rPr>
        <w:t>COMMISSIONER MIGNON L. CLYBURN</w:t>
      </w:r>
    </w:p>
    <w:p w:rsidR="009377DC" w:rsidRPr="00116AFB" w:rsidRDefault="009377DC" w:rsidP="009377DC">
      <w:pPr>
        <w:spacing w:after="0" w:line="240" w:lineRule="auto"/>
        <w:rPr>
          <w:rFonts w:ascii="Times New Roman" w:eastAsia="Times New Roman" w:hAnsi="Times New Roman" w:cs="Times New Roman"/>
        </w:rPr>
      </w:pPr>
    </w:p>
    <w:p w:rsidR="009377DC" w:rsidRPr="009D5B14" w:rsidRDefault="009377DC" w:rsidP="00D8144A">
      <w:pPr>
        <w:spacing w:after="0" w:line="240" w:lineRule="auto"/>
        <w:ind w:left="720" w:hanging="720"/>
        <w:rPr>
          <w:rFonts w:ascii="Times New Roman" w:eastAsia="Times New Roman" w:hAnsi="Times New Roman" w:cs="Times New Roman"/>
          <w:b/>
          <w:i/>
        </w:rPr>
      </w:pPr>
      <w:r w:rsidRPr="009D5B14">
        <w:rPr>
          <w:rFonts w:ascii="Times New Roman" w:eastAsia="Times New Roman" w:hAnsi="Times New Roman" w:cs="Times New Roman"/>
          <w:b/>
          <w:i/>
        </w:rPr>
        <w:t xml:space="preserve">Re: </w:t>
      </w:r>
      <w:r w:rsidRPr="009D5B14">
        <w:rPr>
          <w:rFonts w:ascii="Times New Roman" w:eastAsia="Times New Roman" w:hAnsi="Times New Roman" w:cs="Times New Roman"/>
          <w:b/>
          <w:i/>
        </w:rPr>
        <w:tab/>
      </w:r>
      <w:r w:rsidR="009132D6">
        <w:rPr>
          <w:rFonts w:ascii="Times New Roman" w:eastAsia="Times New Roman" w:hAnsi="Times New Roman" w:cs="Times New Roman"/>
          <w:b/>
          <w:i/>
        </w:rPr>
        <w:t xml:space="preserve">In the Matter of </w:t>
      </w:r>
      <w:r w:rsidR="00D8144A" w:rsidRPr="009D5B14">
        <w:rPr>
          <w:rFonts w:ascii="Times New Roman" w:eastAsia="Times New Roman" w:hAnsi="Times New Roman" w:cs="Times New Roman"/>
          <w:b/>
          <w:i/>
        </w:rPr>
        <w:t xml:space="preserve">Updating Part 1 Competitive Bidding Rules, </w:t>
      </w:r>
      <w:r w:rsidR="009132D6">
        <w:rPr>
          <w:rFonts w:ascii="Times New Roman" w:eastAsia="Times New Roman" w:hAnsi="Times New Roman" w:cs="Times New Roman"/>
          <w:b/>
          <w:i/>
        </w:rPr>
        <w:t>WT</w:t>
      </w:r>
      <w:r w:rsidR="00D8144A" w:rsidRPr="009D5B14">
        <w:rPr>
          <w:rFonts w:ascii="Times New Roman" w:eastAsia="Times New Roman" w:hAnsi="Times New Roman" w:cs="Times New Roman"/>
          <w:b/>
          <w:i/>
        </w:rPr>
        <w:t xml:space="preserve"> Docket No. 14-</w:t>
      </w:r>
      <w:r w:rsidR="009132D6">
        <w:rPr>
          <w:rFonts w:ascii="Times New Roman" w:eastAsia="Times New Roman" w:hAnsi="Times New Roman" w:cs="Times New Roman"/>
          <w:b/>
          <w:i/>
        </w:rPr>
        <w:t>170</w:t>
      </w:r>
      <w:r w:rsidR="00D8144A" w:rsidRPr="009D5B14">
        <w:rPr>
          <w:rFonts w:ascii="Times New Roman" w:eastAsia="Times New Roman" w:hAnsi="Times New Roman" w:cs="Times New Roman"/>
          <w:b/>
          <w:i/>
        </w:rPr>
        <w:t>; Expanding the Economic and Innovation Opportunities of Spectrum Through Incentive Auctions</w:t>
      </w:r>
      <w:r w:rsidR="007A3C55" w:rsidRPr="009D5B14">
        <w:rPr>
          <w:rFonts w:ascii="Times New Roman" w:eastAsia="Times New Roman" w:hAnsi="Times New Roman" w:cs="Times New Roman"/>
          <w:b/>
          <w:i/>
        </w:rPr>
        <w:t xml:space="preserve">, </w:t>
      </w:r>
      <w:r w:rsidR="00D8144A" w:rsidRPr="009D5B14">
        <w:rPr>
          <w:rFonts w:ascii="Times New Roman" w:eastAsia="Times New Roman" w:hAnsi="Times New Roman" w:cs="Times New Roman"/>
          <w:b/>
          <w:i/>
        </w:rPr>
        <w:t>GN Docket No. 12-268;</w:t>
      </w:r>
      <w:r w:rsidR="007A3C55" w:rsidRPr="009D5B14">
        <w:rPr>
          <w:rFonts w:ascii="Times New Roman" w:eastAsia="Times New Roman" w:hAnsi="Times New Roman" w:cs="Times New Roman"/>
          <w:b/>
          <w:i/>
        </w:rPr>
        <w:t xml:space="preserve"> </w:t>
      </w:r>
      <w:r w:rsidR="00D8144A" w:rsidRPr="009D5B14">
        <w:rPr>
          <w:rFonts w:ascii="Times New Roman" w:eastAsia="Times New Roman" w:hAnsi="Times New Roman" w:cs="Times New Roman"/>
          <w:b/>
          <w:i/>
        </w:rPr>
        <w:t>Petition of DIRECTV Group, Inc. and EchoStar LLC for Expedited Rulemaking to Amend Section 1.2105(a)(2)(xi) and 1.2106(a) of the Commission’s Rules and/or for Interim Conditional Waiver</w:t>
      </w:r>
      <w:r w:rsidR="009132D6">
        <w:rPr>
          <w:rFonts w:ascii="Times New Roman" w:eastAsia="Times New Roman" w:hAnsi="Times New Roman" w:cs="Times New Roman"/>
          <w:b/>
          <w:i/>
        </w:rPr>
        <w:t>,</w:t>
      </w:r>
      <w:r w:rsidR="00D8144A" w:rsidRPr="009D5B14">
        <w:rPr>
          <w:rFonts w:ascii="Times New Roman" w:eastAsia="Times New Roman" w:hAnsi="Times New Roman" w:cs="Times New Roman"/>
          <w:b/>
          <w:i/>
        </w:rPr>
        <w:t xml:space="preserve"> RM-11395; Implementation of the Commercial Spectrum Enhancement Act and Modernization of the Commission’s Competitive Bidding Rules and Procedures, WT Docket No. 05-211</w:t>
      </w:r>
    </w:p>
    <w:p w:rsidR="009377DC" w:rsidRDefault="009377DC" w:rsidP="009377DC">
      <w:pPr>
        <w:spacing w:after="0" w:line="240" w:lineRule="auto"/>
        <w:rPr>
          <w:rFonts w:ascii="Times New Roman" w:eastAsia="Times New Roman" w:hAnsi="Times New Roman" w:cs="Times New Roman"/>
        </w:rPr>
      </w:pPr>
      <w:r w:rsidRPr="00116AFB">
        <w:rPr>
          <w:rFonts w:ascii="Times New Roman" w:eastAsia="Times New Roman" w:hAnsi="Times New Roman" w:cs="Times New Roman"/>
        </w:rPr>
        <w:t xml:space="preserve"> </w:t>
      </w:r>
    </w:p>
    <w:p w:rsidR="008615B1" w:rsidRDefault="009D5B14" w:rsidP="009D5B14">
      <w:pPr>
        <w:spacing w:after="0" w:line="240" w:lineRule="auto"/>
        <w:rPr>
          <w:rFonts w:ascii="Times New Roman" w:hAnsi="Times New Roman" w:cs="Times New Roman"/>
        </w:rPr>
      </w:pPr>
      <w:r>
        <w:rPr>
          <w:rFonts w:ascii="Times New Roman" w:hAnsi="Times New Roman" w:cs="Times New Roman"/>
        </w:rPr>
        <w:t xml:space="preserve">     </w:t>
      </w:r>
      <w:r w:rsidR="00CC057D">
        <w:rPr>
          <w:rFonts w:ascii="Times New Roman" w:hAnsi="Times New Roman" w:cs="Times New Roman"/>
        </w:rPr>
        <w:t>Since 2010, I have been calling on the Commission to consider creative</w:t>
      </w:r>
      <w:r w:rsidR="00F767AE">
        <w:rPr>
          <w:rFonts w:ascii="Times New Roman" w:hAnsi="Times New Roman" w:cs="Times New Roman"/>
        </w:rPr>
        <w:t xml:space="preserve"> and legally sustainable</w:t>
      </w:r>
      <w:r w:rsidR="00CC057D">
        <w:rPr>
          <w:rFonts w:ascii="Times New Roman" w:hAnsi="Times New Roman" w:cs="Times New Roman"/>
        </w:rPr>
        <w:t xml:space="preserve"> approaches to promote greater participation by small businesses in the communications industry.</w:t>
      </w:r>
      <w:r w:rsidR="00CC057D">
        <w:rPr>
          <w:rStyle w:val="FootnoteReference"/>
          <w:rFonts w:ascii="Times New Roman" w:hAnsi="Times New Roman" w:cs="Times New Roman"/>
        </w:rPr>
        <w:footnoteReference w:id="2"/>
      </w:r>
      <w:r w:rsidR="00CC057D">
        <w:rPr>
          <w:rFonts w:ascii="Times New Roman" w:hAnsi="Times New Roman" w:cs="Times New Roman"/>
        </w:rPr>
        <w:t xml:space="preserve">  Therefore, I applaud </w:t>
      </w:r>
      <w:r w:rsidR="009A7B40" w:rsidRPr="009A7B40">
        <w:rPr>
          <w:rFonts w:ascii="Times New Roman" w:hAnsi="Times New Roman" w:cs="Times New Roman"/>
        </w:rPr>
        <w:t xml:space="preserve">Chairman Wheeler for </w:t>
      </w:r>
      <w:r w:rsidR="00812FC4" w:rsidRPr="009A7B40">
        <w:rPr>
          <w:rFonts w:ascii="Times New Roman" w:hAnsi="Times New Roman" w:cs="Times New Roman"/>
        </w:rPr>
        <w:t>p</w:t>
      </w:r>
      <w:r w:rsidR="00812FC4">
        <w:rPr>
          <w:rFonts w:ascii="Times New Roman" w:hAnsi="Times New Roman" w:cs="Times New Roman"/>
        </w:rPr>
        <w:t>utting forth</w:t>
      </w:r>
      <w:r w:rsidR="00812FC4" w:rsidRPr="009A7B40">
        <w:rPr>
          <w:rFonts w:ascii="Times New Roman" w:hAnsi="Times New Roman" w:cs="Times New Roman"/>
        </w:rPr>
        <w:t xml:space="preserve"> </w:t>
      </w:r>
      <w:r w:rsidR="009A7B40" w:rsidRPr="009A7B40">
        <w:rPr>
          <w:rFonts w:ascii="Times New Roman" w:hAnsi="Times New Roman" w:cs="Times New Roman"/>
        </w:rPr>
        <w:t>comprehensive reforms to the Commission’s competitive bidding rules that</w:t>
      </w:r>
      <w:r w:rsidR="00F767AE">
        <w:rPr>
          <w:rFonts w:ascii="Times New Roman" w:hAnsi="Times New Roman" w:cs="Times New Roman"/>
        </w:rPr>
        <w:t xml:space="preserve"> will</w:t>
      </w:r>
      <w:r w:rsidR="00F767AE" w:rsidRPr="009A7B40">
        <w:rPr>
          <w:rFonts w:ascii="Times New Roman" w:hAnsi="Times New Roman" w:cs="Times New Roman"/>
        </w:rPr>
        <w:t xml:space="preserve"> </w:t>
      </w:r>
      <w:r w:rsidR="009A7B40" w:rsidRPr="009A7B40">
        <w:rPr>
          <w:rFonts w:ascii="Times New Roman" w:hAnsi="Times New Roman" w:cs="Times New Roman"/>
        </w:rPr>
        <w:t xml:space="preserve">enable small businesses to compete more effectively in auctions and in the commercial wireless market.  These proposals address </w:t>
      </w:r>
      <w:r w:rsidR="00F767AE">
        <w:rPr>
          <w:rFonts w:ascii="Times New Roman" w:hAnsi="Times New Roman" w:cs="Times New Roman"/>
        </w:rPr>
        <w:t>important</w:t>
      </w:r>
      <w:r w:rsidR="00F767AE" w:rsidRPr="009A7B40">
        <w:rPr>
          <w:rFonts w:ascii="Times New Roman" w:hAnsi="Times New Roman" w:cs="Times New Roman"/>
        </w:rPr>
        <w:t xml:space="preserve"> </w:t>
      </w:r>
      <w:r w:rsidR="009A7B40" w:rsidRPr="009A7B40">
        <w:rPr>
          <w:rFonts w:ascii="Times New Roman" w:hAnsi="Times New Roman" w:cs="Times New Roman"/>
        </w:rPr>
        <w:t xml:space="preserve">developments in the wireless industry and are fully consistent with Congress’s directives that authorize the agency to conduct spectrum auctions.  It is </w:t>
      </w:r>
      <w:r w:rsidR="00F767AE">
        <w:rPr>
          <w:rFonts w:ascii="Times New Roman" w:hAnsi="Times New Roman" w:cs="Times New Roman"/>
        </w:rPr>
        <w:t>imperative</w:t>
      </w:r>
      <w:r w:rsidR="00F767AE" w:rsidRPr="009A7B40">
        <w:rPr>
          <w:rFonts w:ascii="Times New Roman" w:hAnsi="Times New Roman" w:cs="Times New Roman"/>
        </w:rPr>
        <w:t xml:space="preserve"> </w:t>
      </w:r>
      <w:r w:rsidR="009A7B40" w:rsidRPr="009A7B40">
        <w:rPr>
          <w:rFonts w:ascii="Times New Roman" w:hAnsi="Times New Roman" w:cs="Times New Roman"/>
        </w:rPr>
        <w:t>that we update our rules in advance of the voluntary broadcast TV incentive auction</w:t>
      </w:r>
      <w:r w:rsidR="00F767AE">
        <w:rPr>
          <w:rFonts w:ascii="Times New Roman" w:hAnsi="Times New Roman" w:cs="Times New Roman"/>
        </w:rPr>
        <w:t xml:space="preserve">, which </w:t>
      </w:r>
      <w:r w:rsidR="009A7B40" w:rsidRPr="009A7B40">
        <w:rPr>
          <w:rFonts w:ascii="Times New Roman" w:hAnsi="Times New Roman" w:cs="Times New Roman"/>
        </w:rPr>
        <w:t>will offer applicants a historic opportunity to acquire substantial amounts of valuable wireless spectrum below 1 GHz.  While I support all the proposals in this NPRM, I find t</w:t>
      </w:r>
      <w:r w:rsidR="00FD0523">
        <w:rPr>
          <w:rFonts w:ascii="Times New Roman" w:hAnsi="Times New Roman" w:cs="Times New Roman"/>
        </w:rPr>
        <w:t>hree</w:t>
      </w:r>
      <w:r w:rsidR="009A7B40" w:rsidRPr="009A7B40">
        <w:rPr>
          <w:rFonts w:ascii="Times New Roman" w:hAnsi="Times New Roman" w:cs="Times New Roman"/>
        </w:rPr>
        <w:t xml:space="preserve"> proposals particularly noteworthy: </w:t>
      </w:r>
      <w:r w:rsidR="003A3A1D">
        <w:rPr>
          <w:rFonts w:ascii="Times New Roman" w:hAnsi="Times New Roman" w:cs="Times New Roman"/>
        </w:rPr>
        <w:t xml:space="preserve"> </w:t>
      </w:r>
      <w:r w:rsidR="00F767AE">
        <w:rPr>
          <w:rFonts w:ascii="Times New Roman" w:hAnsi="Times New Roman" w:cs="Times New Roman"/>
        </w:rPr>
        <w:t xml:space="preserve">(1) </w:t>
      </w:r>
      <w:r w:rsidR="009A7B40" w:rsidRPr="009A7B40">
        <w:rPr>
          <w:rFonts w:ascii="Times New Roman" w:hAnsi="Times New Roman" w:cs="Times New Roman"/>
        </w:rPr>
        <w:t>the repeal of the AMR rule</w:t>
      </w:r>
      <w:r w:rsidR="00F767AE">
        <w:rPr>
          <w:rFonts w:ascii="Times New Roman" w:hAnsi="Times New Roman" w:cs="Times New Roman"/>
        </w:rPr>
        <w:t>;</w:t>
      </w:r>
      <w:r w:rsidR="009A7B40" w:rsidRPr="009A7B40">
        <w:rPr>
          <w:rFonts w:ascii="Times New Roman" w:hAnsi="Times New Roman" w:cs="Times New Roman"/>
        </w:rPr>
        <w:t xml:space="preserve"> </w:t>
      </w:r>
      <w:r w:rsidR="00F767AE">
        <w:rPr>
          <w:rFonts w:ascii="Times New Roman" w:hAnsi="Times New Roman" w:cs="Times New Roman"/>
        </w:rPr>
        <w:t xml:space="preserve">(2) </w:t>
      </w:r>
      <w:r w:rsidR="009A7B40" w:rsidRPr="009A7B40">
        <w:rPr>
          <w:rFonts w:ascii="Times New Roman" w:hAnsi="Times New Roman" w:cs="Times New Roman"/>
        </w:rPr>
        <w:t>bidding credits for winning bidders who plan to deploy networks to underserved areas</w:t>
      </w:r>
      <w:r w:rsidR="006A59FA">
        <w:rPr>
          <w:rFonts w:ascii="Times New Roman" w:hAnsi="Times New Roman" w:cs="Times New Roman"/>
        </w:rPr>
        <w:t>;</w:t>
      </w:r>
      <w:r w:rsidR="00FD0523">
        <w:rPr>
          <w:rFonts w:ascii="Times New Roman" w:hAnsi="Times New Roman" w:cs="Times New Roman"/>
        </w:rPr>
        <w:t xml:space="preserve"> and </w:t>
      </w:r>
      <w:r w:rsidR="00F767AE">
        <w:rPr>
          <w:rFonts w:ascii="Times New Roman" w:hAnsi="Times New Roman" w:cs="Times New Roman"/>
        </w:rPr>
        <w:t xml:space="preserve">(3) </w:t>
      </w:r>
      <w:r w:rsidR="00FD0523">
        <w:rPr>
          <w:rFonts w:ascii="Times New Roman" w:hAnsi="Times New Roman" w:cs="Times New Roman"/>
        </w:rPr>
        <w:t>changes to the former defaulter rule</w:t>
      </w:r>
      <w:r w:rsidR="009A7B40" w:rsidRPr="009A7B40">
        <w:rPr>
          <w:rFonts w:ascii="Times New Roman" w:hAnsi="Times New Roman" w:cs="Times New Roman"/>
        </w:rPr>
        <w:t>.</w:t>
      </w:r>
    </w:p>
    <w:p w:rsidR="005B5117" w:rsidRDefault="005B5117" w:rsidP="005B5117">
      <w:pPr>
        <w:spacing w:after="0" w:line="240" w:lineRule="auto"/>
        <w:rPr>
          <w:rFonts w:ascii="Times New Roman" w:hAnsi="Times New Roman" w:cs="Times New Roman"/>
        </w:rPr>
      </w:pPr>
    </w:p>
    <w:p w:rsidR="005B5117" w:rsidRPr="005B5117" w:rsidRDefault="00FF10A6" w:rsidP="005B5117">
      <w:pPr>
        <w:spacing w:after="0" w:line="240" w:lineRule="auto"/>
        <w:rPr>
          <w:rFonts w:ascii="Times New Roman" w:hAnsi="Times New Roman" w:cs="Times New Roman"/>
          <w:b/>
          <w:u w:val="single"/>
        </w:rPr>
      </w:pPr>
      <w:r>
        <w:rPr>
          <w:rFonts w:ascii="Times New Roman" w:hAnsi="Times New Roman" w:cs="Times New Roman"/>
          <w:b/>
          <w:u w:val="single"/>
        </w:rPr>
        <w:t>Congress’s Directive to Promote Small Business</w:t>
      </w:r>
      <w:r w:rsidR="00017AA7">
        <w:rPr>
          <w:rFonts w:ascii="Times New Roman" w:hAnsi="Times New Roman" w:cs="Times New Roman"/>
          <w:b/>
          <w:u w:val="single"/>
        </w:rPr>
        <w:t xml:space="preserve"> and Deter Unjust Enrichment</w:t>
      </w:r>
      <w:r>
        <w:rPr>
          <w:rFonts w:ascii="Times New Roman" w:hAnsi="Times New Roman" w:cs="Times New Roman"/>
          <w:b/>
          <w:u w:val="single"/>
        </w:rPr>
        <w:t xml:space="preserve"> </w:t>
      </w:r>
    </w:p>
    <w:p w:rsidR="005B5117" w:rsidRDefault="005B5117" w:rsidP="005B5117">
      <w:pPr>
        <w:spacing w:after="0" w:line="240" w:lineRule="auto"/>
        <w:rPr>
          <w:rFonts w:ascii="Times New Roman" w:hAnsi="Times New Roman" w:cs="Times New Roman"/>
        </w:rPr>
      </w:pPr>
    </w:p>
    <w:p w:rsidR="00B35B47" w:rsidRDefault="009D5B14" w:rsidP="009D5B14">
      <w:pPr>
        <w:spacing w:after="0" w:line="240" w:lineRule="auto"/>
        <w:rPr>
          <w:rFonts w:ascii="Times New Roman" w:hAnsi="Times New Roman" w:cs="Times New Roman"/>
        </w:rPr>
      </w:pPr>
      <w:r>
        <w:rPr>
          <w:rFonts w:ascii="Times New Roman" w:hAnsi="Times New Roman" w:cs="Times New Roman"/>
        </w:rPr>
        <w:t xml:space="preserve">     </w:t>
      </w:r>
      <w:r w:rsidR="00AE5E4A">
        <w:rPr>
          <w:rFonts w:ascii="Times New Roman" w:hAnsi="Times New Roman" w:cs="Times New Roman"/>
        </w:rPr>
        <w:t xml:space="preserve">In 1993, </w:t>
      </w:r>
      <w:r w:rsidR="008369BE">
        <w:rPr>
          <w:rFonts w:ascii="Times New Roman" w:hAnsi="Times New Roman" w:cs="Times New Roman"/>
        </w:rPr>
        <w:t xml:space="preserve">Congress </w:t>
      </w:r>
      <w:r w:rsidR="00654CC6" w:rsidRPr="00116AFB">
        <w:rPr>
          <w:rFonts w:ascii="Times New Roman" w:hAnsi="Times New Roman" w:cs="Times New Roman"/>
        </w:rPr>
        <w:t>authorized the Commission to conduct spectrum auctions</w:t>
      </w:r>
      <w:r w:rsidR="00AE5E4A">
        <w:rPr>
          <w:rFonts w:ascii="Times New Roman" w:hAnsi="Times New Roman" w:cs="Times New Roman"/>
        </w:rPr>
        <w:t xml:space="preserve"> by enacting Section 309(j) of the Communications Act</w:t>
      </w:r>
      <w:r w:rsidR="008369BE">
        <w:rPr>
          <w:rFonts w:ascii="Times New Roman" w:hAnsi="Times New Roman" w:cs="Times New Roman"/>
        </w:rPr>
        <w:t>.  It</w:t>
      </w:r>
      <w:r w:rsidR="00085912">
        <w:rPr>
          <w:rFonts w:ascii="Times New Roman" w:hAnsi="Times New Roman" w:cs="Times New Roman"/>
        </w:rPr>
        <w:t xml:space="preserve"> </w:t>
      </w:r>
      <w:r w:rsidR="00B35B47" w:rsidRPr="00116AFB">
        <w:rPr>
          <w:rFonts w:ascii="Times New Roman" w:hAnsi="Times New Roman" w:cs="Times New Roman"/>
        </w:rPr>
        <w:t xml:space="preserve">realized that small businesses faced significant barriers to entering the communications market </w:t>
      </w:r>
      <w:r w:rsidR="00812FC4">
        <w:rPr>
          <w:rFonts w:ascii="Times New Roman" w:hAnsi="Times New Roman" w:cs="Times New Roman"/>
        </w:rPr>
        <w:t>particularly when</w:t>
      </w:r>
      <w:r w:rsidR="00B35B47" w:rsidRPr="00116AFB">
        <w:rPr>
          <w:rFonts w:ascii="Times New Roman" w:hAnsi="Times New Roman" w:cs="Times New Roman"/>
        </w:rPr>
        <w:t xml:space="preserve"> </w:t>
      </w:r>
      <w:r w:rsidR="00812FC4" w:rsidRPr="00116AFB">
        <w:rPr>
          <w:rFonts w:ascii="Times New Roman" w:hAnsi="Times New Roman" w:cs="Times New Roman"/>
        </w:rPr>
        <w:t>compet</w:t>
      </w:r>
      <w:r w:rsidR="00812FC4">
        <w:rPr>
          <w:rFonts w:ascii="Times New Roman" w:hAnsi="Times New Roman" w:cs="Times New Roman"/>
        </w:rPr>
        <w:t>ing</w:t>
      </w:r>
      <w:r w:rsidR="00812FC4" w:rsidRPr="00116AFB">
        <w:rPr>
          <w:rFonts w:ascii="Times New Roman" w:hAnsi="Times New Roman" w:cs="Times New Roman"/>
        </w:rPr>
        <w:t xml:space="preserve"> </w:t>
      </w:r>
      <w:r w:rsidR="00B35B47" w:rsidRPr="00116AFB">
        <w:rPr>
          <w:rFonts w:ascii="Times New Roman" w:hAnsi="Times New Roman" w:cs="Times New Roman"/>
        </w:rPr>
        <w:t>against large, well-capitalized, and entrenched communications companies.  It was concerned that unless the Commission “is sensitive to the need to maintain opportunities for small businesses, competitive bidding could result in a significant increase in concentration in the telecommunications businesses.”</w:t>
      </w:r>
      <w:r w:rsidR="00D63EB4">
        <w:rPr>
          <w:rStyle w:val="FootnoteReference"/>
          <w:rFonts w:ascii="Times New Roman" w:hAnsi="Times New Roman" w:cs="Times New Roman"/>
        </w:rPr>
        <w:footnoteReference w:id="3"/>
      </w:r>
      <w:r w:rsidR="00B35B47" w:rsidRPr="00116AFB">
        <w:rPr>
          <w:rFonts w:ascii="Times New Roman" w:hAnsi="Times New Roman" w:cs="Times New Roman"/>
        </w:rPr>
        <w:t xml:space="preserve">  Therefore, </w:t>
      </w:r>
      <w:r w:rsidR="00AE5E4A">
        <w:rPr>
          <w:rFonts w:ascii="Times New Roman" w:hAnsi="Times New Roman" w:cs="Times New Roman"/>
        </w:rPr>
        <w:t>Section 309(j) directs the Commission</w:t>
      </w:r>
      <w:r w:rsidR="00B35B47" w:rsidRPr="00116AFB">
        <w:rPr>
          <w:rFonts w:ascii="Times New Roman" w:hAnsi="Times New Roman" w:cs="Times New Roman"/>
        </w:rPr>
        <w:t xml:space="preserve"> to adopt auction rules that would “promot[e] economic opportunity and competition and ensur[e] that new and innovative technologies are readily accessible to the American people by avoiding excessive concentration of licenses and by disseminating licenses among a wide variety of applicants, including small businesses.”</w:t>
      </w:r>
      <w:r w:rsidR="00D63EB4">
        <w:rPr>
          <w:rStyle w:val="FootnoteReference"/>
          <w:rFonts w:ascii="Times New Roman" w:hAnsi="Times New Roman" w:cs="Times New Roman"/>
        </w:rPr>
        <w:footnoteReference w:id="4"/>
      </w:r>
    </w:p>
    <w:p w:rsidR="00017AA7" w:rsidRDefault="00017AA7" w:rsidP="004D435D">
      <w:pPr>
        <w:spacing w:after="0" w:line="240" w:lineRule="auto"/>
        <w:ind w:firstLine="720"/>
        <w:rPr>
          <w:rFonts w:ascii="Times New Roman" w:hAnsi="Times New Roman" w:cs="Times New Roman"/>
        </w:rPr>
      </w:pPr>
    </w:p>
    <w:p w:rsidR="00017AA7" w:rsidRPr="00116AFB" w:rsidRDefault="009D5B14" w:rsidP="009D5B14">
      <w:pPr>
        <w:spacing w:after="0" w:line="240" w:lineRule="auto"/>
        <w:rPr>
          <w:rFonts w:ascii="Times New Roman" w:hAnsi="Times New Roman" w:cs="Times New Roman"/>
        </w:rPr>
      </w:pPr>
      <w:r>
        <w:rPr>
          <w:rFonts w:ascii="Times New Roman" w:hAnsi="Times New Roman" w:cs="Times New Roman"/>
        </w:rPr>
        <w:t xml:space="preserve">     </w:t>
      </w:r>
      <w:r w:rsidR="00017AA7" w:rsidRPr="00017AA7">
        <w:rPr>
          <w:rFonts w:ascii="Times New Roman" w:hAnsi="Times New Roman" w:cs="Times New Roman"/>
        </w:rPr>
        <w:t>In implementing its auction</w:t>
      </w:r>
      <w:r w:rsidR="001E65D0">
        <w:rPr>
          <w:rFonts w:ascii="Times New Roman" w:hAnsi="Times New Roman" w:cs="Times New Roman"/>
        </w:rPr>
        <w:t>s</w:t>
      </w:r>
      <w:r w:rsidR="00017AA7" w:rsidRPr="00017AA7">
        <w:rPr>
          <w:rFonts w:ascii="Times New Roman" w:hAnsi="Times New Roman" w:cs="Times New Roman"/>
        </w:rPr>
        <w:t xml:space="preserve"> authority, the Commission has tried to promote small business participation in the wireless industry primarily by awarding auction bidding credits through its </w:t>
      </w:r>
      <w:r w:rsidR="00CD4E0E">
        <w:rPr>
          <w:rFonts w:ascii="Times New Roman" w:hAnsi="Times New Roman" w:cs="Times New Roman"/>
        </w:rPr>
        <w:t>D</w:t>
      </w:r>
      <w:r w:rsidR="00CD4E0E" w:rsidRPr="00017AA7">
        <w:rPr>
          <w:rFonts w:ascii="Times New Roman" w:hAnsi="Times New Roman" w:cs="Times New Roman"/>
        </w:rPr>
        <w:t xml:space="preserve">esignated </w:t>
      </w:r>
      <w:r w:rsidR="00CD4E0E">
        <w:rPr>
          <w:rFonts w:ascii="Times New Roman" w:hAnsi="Times New Roman" w:cs="Times New Roman"/>
        </w:rPr>
        <w:t>E</w:t>
      </w:r>
      <w:r w:rsidR="00CD4E0E" w:rsidRPr="00017AA7">
        <w:rPr>
          <w:rFonts w:ascii="Times New Roman" w:hAnsi="Times New Roman" w:cs="Times New Roman"/>
        </w:rPr>
        <w:t xml:space="preserve">ntity </w:t>
      </w:r>
      <w:r w:rsidR="00017AA7" w:rsidRPr="00017AA7">
        <w:rPr>
          <w:rFonts w:ascii="Times New Roman" w:hAnsi="Times New Roman" w:cs="Times New Roman"/>
        </w:rPr>
        <w:t xml:space="preserve">(DE) program.  The challenge for the Commission has been to find the proper balance between allowing small businesses to acquire spectrum through DE credits, on the one hand, while preventing parties from circumventing the purpose of those rules and being unjustly enriched, on the other.  </w:t>
      </w:r>
    </w:p>
    <w:p w:rsidR="00FF10A6" w:rsidRDefault="00FF10A6" w:rsidP="00FF10A6">
      <w:pPr>
        <w:spacing w:after="0" w:line="240" w:lineRule="auto"/>
        <w:rPr>
          <w:rFonts w:ascii="Times New Roman" w:hAnsi="Times New Roman" w:cs="Times New Roman"/>
        </w:rPr>
      </w:pPr>
    </w:p>
    <w:p w:rsidR="00FF10A6" w:rsidRDefault="00017AA7" w:rsidP="00FF10A6">
      <w:pPr>
        <w:spacing w:after="0" w:line="240" w:lineRule="auto"/>
        <w:rPr>
          <w:rFonts w:ascii="Times New Roman" w:hAnsi="Times New Roman" w:cs="Times New Roman"/>
          <w:b/>
          <w:u w:val="single"/>
        </w:rPr>
      </w:pPr>
      <w:r>
        <w:rPr>
          <w:rFonts w:ascii="Times New Roman" w:hAnsi="Times New Roman" w:cs="Times New Roman"/>
          <w:b/>
          <w:u w:val="single"/>
        </w:rPr>
        <w:lastRenderedPageBreak/>
        <w:t xml:space="preserve">In 2004, </w:t>
      </w:r>
      <w:r w:rsidR="004D0C41">
        <w:rPr>
          <w:rFonts w:ascii="Times New Roman" w:hAnsi="Times New Roman" w:cs="Times New Roman"/>
          <w:b/>
          <w:u w:val="single"/>
        </w:rPr>
        <w:t>t</w:t>
      </w:r>
      <w:r>
        <w:rPr>
          <w:rFonts w:ascii="Times New Roman" w:hAnsi="Times New Roman" w:cs="Times New Roman"/>
          <w:b/>
          <w:u w:val="single"/>
        </w:rPr>
        <w:t xml:space="preserve">he Commission </w:t>
      </w:r>
      <w:r w:rsidR="004D0C41">
        <w:rPr>
          <w:rFonts w:ascii="Times New Roman" w:hAnsi="Times New Roman" w:cs="Times New Roman"/>
          <w:b/>
          <w:u w:val="single"/>
        </w:rPr>
        <w:t xml:space="preserve">Decides </w:t>
      </w:r>
      <w:r w:rsidR="00BF2631">
        <w:rPr>
          <w:rFonts w:ascii="Times New Roman" w:hAnsi="Times New Roman" w:cs="Times New Roman"/>
          <w:b/>
          <w:u w:val="single"/>
        </w:rPr>
        <w:t>DEs Must Use t</w:t>
      </w:r>
      <w:r w:rsidR="00382922">
        <w:rPr>
          <w:rFonts w:ascii="Times New Roman" w:hAnsi="Times New Roman" w:cs="Times New Roman"/>
          <w:b/>
          <w:u w:val="single"/>
        </w:rPr>
        <w:t>he Sp</w:t>
      </w:r>
      <w:r w:rsidR="00BF2631">
        <w:rPr>
          <w:rFonts w:ascii="Times New Roman" w:hAnsi="Times New Roman" w:cs="Times New Roman"/>
          <w:b/>
          <w:u w:val="single"/>
        </w:rPr>
        <w:t>ectrum t</w:t>
      </w:r>
      <w:r w:rsidR="004D0C41">
        <w:rPr>
          <w:rFonts w:ascii="Times New Roman" w:hAnsi="Times New Roman" w:cs="Times New Roman"/>
          <w:b/>
          <w:u w:val="single"/>
        </w:rPr>
        <w:t>hey Obtained w</w:t>
      </w:r>
      <w:r w:rsidR="00382922">
        <w:rPr>
          <w:rFonts w:ascii="Times New Roman" w:hAnsi="Times New Roman" w:cs="Times New Roman"/>
          <w:b/>
          <w:u w:val="single"/>
        </w:rPr>
        <w:t xml:space="preserve">ith Bidding Credits to Directly Provide </w:t>
      </w:r>
      <w:r>
        <w:rPr>
          <w:rFonts w:ascii="Times New Roman" w:hAnsi="Times New Roman" w:cs="Times New Roman"/>
          <w:b/>
          <w:u w:val="single"/>
        </w:rPr>
        <w:t xml:space="preserve">Facilities Based Service </w:t>
      </w:r>
    </w:p>
    <w:p w:rsidR="00017AA7" w:rsidRPr="00116AFB" w:rsidRDefault="00017AA7" w:rsidP="00FF10A6">
      <w:pPr>
        <w:spacing w:after="0" w:line="240" w:lineRule="auto"/>
        <w:rPr>
          <w:rFonts w:ascii="Times New Roman" w:hAnsi="Times New Roman" w:cs="Times New Roman"/>
        </w:rPr>
      </w:pPr>
    </w:p>
    <w:p w:rsidR="00997817" w:rsidRDefault="009D5B14" w:rsidP="009D5B14">
      <w:pPr>
        <w:spacing w:after="0" w:line="240" w:lineRule="auto"/>
        <w:rPr>
          <w:rFonts w:ascii="Times New Roman" w:hAnsi="Times New Roman" w:cs="Times New Roman"/>
        </w:rPr>
      </w:pPr>
      <w:r>
        <w:rPr>
          <w:rFonts w:ascii="Times New Roman" w:hAnsi="Times New Roman" w:cs="Times New Roman"/>
        </w:rPr>
        <w:t xml:space="preserve">     </w:t>
      </w:r>
      <w:r w:rsidR="00AE5E4A" w:rsidRPr="00AE5E4A">
        <w:rPr>
          <w:rFonts w:ascii="Times New Roman" w:hAnsi="Times New Roman" w:cs="Times New Roman"/>
        </w:rPr>
        <w:t>Between 2004 and 2006, the</w:t>
      </w:r>
      <w:r w:rsidR="008D49DD">
        <w:rPr>
          <w:rFonts w:ascii="Times New Roman" w:hAnsi="Times New Roman" w:cs="Times New Roman"/>
        </w:rPr>
        <w:t xml:space="preserve"> Commission made policy changes</w:t>
      </w:r>
      <w:r w:rsidR="00F767AE">
        <w:rPr>
          <w:rFonts w:ascii="Times New Roman" w:hAnsi="Times New Roman" w:cs="Times New Roman"/>
        </w:rPr>
        <w:t xml:space="preserve"> which</w:t>
      </w:r>
      <w:r w:rsidR="00F767AE" w:rsidRPr="00AE5E4A">
        <w:rPr>
          <w:rFonts w:ascii="Times New Roman" w:hAnsi="Times New Roman" w:cs="Times New Roman"/>
        </w:rPr>
        <w:t xml:space="preserve"> </w:t>
      </w:r>
      <w:r w:rsidR="00AE5E4A" w:rsidRPr="00AE5E4A">
        <w:rPr>
          <w:rFonts w:ascii="Times New Roman" w:hAnsi="Times New Roman" w:cs="Times New Roman"/>
        </w:rPr>
        <w:t>shifted that balance towards further preventing non</w:t>
      </w:r>
      <w:r w:rsidR="008D49DD">
        <w:rPr>
          <w:rFonts w:ascii="Times New Roman" w:hAnsi="Times New Roman" w:cs="Times New Roman"/>
        </w:rPr>
        <w:t>-</w:t>
      </w:r>
      <w:r w:rsidR="00AE5E4A" w:rsidRPr="00AE5E4A">
        <w:rPr>
          <w:rFonts w:ascii="Times New Roman" w:hAnsi="Times New Roman" w:cs="Times New Roman"/>
        </w:rPr>
        <w:t xml:space="preserve">DEs from improperly benefitting from spectrum won using small business credits.  </w:t>
      </w:r>
      <w:r w:rsidR="00B83EA0">
        <w:rPr>
          <w:rFonts w:ascii="Times New Roman" w:hAnsi="Times New Roman" w:cs="Times New Roman"/>
        </w:rPr>
        <w:t xml:space="preserve">In 2004, as part of its proceeding to promote </w:t>
      </w:r>
      <w:r w:rsidR="001D2BD4">
        <w:rPr>
          <w:rFonts w:ascii="Times New Roman" w:hAnsi="Times New Roman" w:cs="Times New Roman"/>
        </w:rPr>
        <w:t>efficient use of spectrum by removing barriers to s</w:t>
      </w:r>
      <w:r w:rsidR="00B83EA0">
        <w:rPr>
          <w:rFonts w:ascii="Times New Roman" w:hAnsi="Times New Roman" w:cs="Times New Roman"/>
        </w:rPr>
        <w:t xml:space="preserve">econdary </w:t>
      </w:r>
      <w:r w:rsidR="001D2BD4">
        <w:rPr>
          <w:rFonts w:ascii="Times New Roman" w:hAnsi="Times New Roman" w:cs="Times New Roman"/>
        </w:rPr>
        <w:t>m</w:t>
      </w:r>
      <w:r w:rsidR="00B83EA0">
        <w:rPr>
          <w:rFonts w:ascii="Times New Roman" w:hAnsi="Times New Roman" w:cs="Times New Roman"/>
        </w:rPr>
        <w:t>arket</w:t>
      </w:r>
      <w:r w:rsidR="001D2BD4">
        <w:rPr>
          <w:rFonts w:ascii="Times New Roman" w:hAnsi="Times New Roman" w:cs="Times New Roman"/>
        </w:rPr>
        <w:t xml:space="preserve"> transactions, </w:t>
      </w:r>
      <w:r w:rsidR="0012760C">
        <w:rPr>
          <w:rFonts w:ascii="Times New Roman" w:hAnsi="Times New Roman" w:cs="Times New Roman"/>
        </w:rPr>
        <w:t xml:space="preserve">the Commission </w:t>
      </w:r>
      <w:r w:rsidR="00085912">
        <w:rPr>
          <w:rFonts w:ascii="Times New Roman" w:hAnsi="Times New Roman" w:cs="Times New Roman"/>
        </w:rPr>
        <w:t xml:space="preserve">rejected </w:t>
      </w:r>
      <w:r w:rsidR="00D207DF">
        <w:rPr>
          <w:rFonts w:ascii="Times New Roman" w:hAnsi="Times New Roman" w:cs="Times New Roman"/>
        </w:rPr>
        <w:t xml:space="preserve">a </w:t>
      </w:r>
      <w:r w:rsidR="00085912">
        <w:rPr>
          <w:rFonts w:ascii="Times New Roman" w:hAnsi="Times New Roman" w:cs="Times New Roman"/>
        </w:rPr>
        <w:t xml:space="preserve">request that it </w:t>
      </w:r>
      <w:r w:rsidR="00085912" w:rsidRPr="00085912">
        <w:rPr>
          <w:rFonts w:ascii="Times New Roman" w:hAnsi="Times New Roman" w:cs="Times New Roman"/>
        </w:rPr>
        <w:t xml:space="preserve">allow </w:t>
      </w:r>
      <w:r w:rsidR="00085912">
        <w:rPr>
          <w:rFonts w:ascii="Times New Roman" w:hAnsi="Times New Roman" w:cs="Times New Roman"/>
        </w:rPr>
        <w:t xml:space="preserve">DE licensees </w:t>
      </w:r>
      <w:r w:rsidR="00085912" w:rsidRPr="00085912">
        <w:rPr>
          <w:rFonts w:ascii="Times New Roman" w:hAnsi="Times New Roman" w:cs="Times New Roman"/>
        </w:rPr>
        <w:t>to lease spectrum to any entity, without regard</w:t>
      </w:r>
      <w:r w:rsidR="00085912">
        <w:rPr>
          <w:rFonts w:ascii="Times New Roman" w:hAnsi="Times New Roman" w:cs="Times New Roman"/>
        </w:rPr>
        <w:t xml:space="preserve"> </w:t>
      </w:r>
      <w:r w:rsidR="00085912" w:rsidRPr="00085912">
        <w:rPr>
          <w:rFonts w:ascii="Times New Roman" w:hAnsi="Times New Roman" w:cs="Times New Roman"/>
        </w:rPr>
        <w:t>to how the spectrum le</w:t>
      </w:r>
      <w:r w:rsidR="00085912">
        <w:rPr>
          <w:rFonts w:ascii="Times New Roman" w:hAnsi="Times New Roman" w:cs="Times New Roman"/>
        </w:rPr>
        <w:t>ase might affect the licensees</w:t>
      </w:r>
      <w:r w:rsidR="00774D7C">
        <w:rPr>
          <w:rFonts w:ascii="Times New Roman" w:hAnsi="Times New Roman" w:cs="Times New Roman"/>
        </w:rPr>
        <w:t>’</w:t>
      </w:r>
      <w:r w:rsidR="00085912">
        <w:rPr>
          <w:rFonts w:ascii="Times New Roman" w:hAnsi="Times New Roman" w:cs="Times New Roman"/>
        </w:rPr>
        <w:t xml:space="preserve"> status as DEs.  The Commission </w:t>
      </w:r>
      <w:r w:rsidR="00516B96">
        <w:rPr>
          <w:rFonts w:ascii="Times New Roman" w:hAnsi="Times New Roman" w:cs="Times New Roman"/>
        </w:rPr>
        <w:t xml:space="preserve">believed </w:t>
      </w:r>
      <w:r w:rsidR="00711476">
        <w:rPr>
          <w:rFonts w:ascii="Times New Roman" w:hAnsi="Times New Roman" w:cs="Times New Roman"/>
        </w:rPr>
        <w:t>it was required to i</w:t>
      </w:r>
      <w:r w:rsidR="00774D7C">
        <w:rPr>
          <w:rFonts w:ascii="Times New Roman" w:hAnsi="Times New Roman" w:cs="Times New Roman"/>
        </w:rPr>
        <w:t xml:space="preserve">nterpret Section 309(j) of the Communications Act </w:t>
      </w:r>
      <w:r w:rsidR="00F63646">
        <w:rPr>
          <w:rFonts w:ascii="Times New Roman" w:hAnsi="Times New Roman" w:cs="Times New Roman"/>
        </w:rPr>
        <w:t xml:space="preserve">so </w:t>
      </w:r>
      <w:r w:rsidR="00774D7C">
        <w:rPr>
          <w:rFonts w:ascii="Times New Roman" w:hAnsi="Times New Roman" w:cs="Times New Roman"/>
        </w:rPr>
        <w:t xml:space="preserve">that licensees, which </w:t>
      </w:r>
      <w:r w:rsidR="00983790">
        <w:rPr>
          <w:rFonts w:ascii="Times New Roman" w:hAnsi="Times New Roman" w:cs="Times New Roman"/>
        </w:rPr>
        <w:t>acquire</w:t>
      </w:r>
      <w:r w:rsidR="00F63646">
        <w:rPr>
          <w:rFonts w:ascii="Times New Roman" w:hAnsi="Times New Roman" w:cs="Times New Roman"/>
        </w:rPr>
        <w:t>d</w:t>
      </w:r>
      <w:r w:rsidR="00983790">
        <w:rPr>
          <w:rFonts w:ascii="Times New Roman" w:hAnsi="Times New Roman" w:cs="Times New Roman"/>
        </w:rPr>
        <w:t xml:space="preserve"> spectrum at auction with small business credits, </w:t>
      </w:r>
      <w:r w:rsidR="00F63646">
        <w:rPr>
          <w:rFonts w:ascii="Times New Roman" w:hAnsi="Times New Roman" w:cs="Times New Roman"/>
        </w:rPr>
        <w:t>must</w:t>
      </w:r>
      <w:r w:rsidR="00774D7C">
        <w:rPr>
          <w:rFonts w:ascii="Times New Roman" w:hAnsi="Times New Roman" w:cs="Times New Roman"/>
        </w:rPr>
        <w:t xml:space="preserve"> </w:t>
      </w:r>
      <w:r w:rsidR="00516B96">
        <w:rPr>
          <w:rFonts w:ascii="Times New Roman" w:hAnsi="Times New Roman" w:cs="Times New Roman"/>
        </w:rPr>
        <w:t xml:space="preserve">use that spectrum to </w:t>
      </w:r>
      <w:r w:rsidR="007E7848">
        <w:rPr>
          <w:rFonts w:ascii="Times New Roman" w:hAnsi="Times New Roman" w:cs="Times New Roman"/>
        </w:rPr>
        <w:t xml:space="preserve">directly </w:t>
      </w:r>
      <w:r w:rsidR="00983790">
        <w:rPr>
          <w:rFonts w:ascii="Times New Roman" w:hAnsi="Times New Roman" w:cs="Times New Roman"/>
        </w:rPr>
        <w:t>pr</w:t>
      </w:r>
      <w:r w:rsidR="00085912">
        <w:rPr>
          <w:rFonts w:ascii="Times New Roman" w:hAnsi="Times New Roman" w:cs="Times New Roman"/>
        </w:rPr>
        <w:t>ovide facilities based services</w:t>
      </w:r>
      <w:r w:rsidR="00B24DC6">
        <w:rPr>
          <w:rFonts w:ascii="Times New Roman" w:hAnsi="Times New Roman" w:cs="Times New Roman"/>
        </w:rPr>
        <w:t xml:space="preserve"> to the public</w:t>
      </w:r>
      <w:r w:rsidR="00085912">
        <w:rPr>
          <w:rFonts w:ascii="Times New Roman" w:hAnsi="Times New Roman" w:cs="Times New Roman"/>
        </w:rPr>
        <w:t>.</w:t>
      </w:r>
      <w:r w:rsidR="00BF2631">
        <w:rPr>
          <w:rStyle w:val="FootnoteReference"/>
          <w:rFonts w:ascii="Times New Roman" w:hAnsi="Times New Roman" w:cs="Times New Roman"/>
        </w:rPr>
        <w:footnoteReference w:id="5"/>
      </w:r>
      <w:r w:rsidR="00085912">
        <w:rPr>
          <w:rFonts w:ascii="Times New Roman" w:hAnsi="Times New Roman" w:cs="Times New Roman"/>
        </w:rPr>
        <w:t xml:space="preserve"> </w:t>
      </w:r>
      <w:r w:rsidR="002A02D8">
        <w:rPr>
          <w:rFonts w:ascii="Times New Roman" w:hAnsi="Times New Roman" w:cs="Times New Roman"/>
        </w:rPr>
        <w:t xml:space="preserve"> </w:t>
      </w:r>
      <w:r w:rsidR="00085912">
        <w:rPr>
          <w:rFonts w:ascii="Times New Roman" w:hAnsi="Times New Roman" w:cs="Times New Roman"/>
        </w:rPr>
        <w:t>Th</w:t>
      </w:r>
      <w:r w:rsidR="00516B96">
        <w:rPr>
          <w:rFonts w:ascii="Times New Roman" w:hAnsi="Times New Roman" w:cs="Times New Roman"/>
        </w:rPr>
        <w:t>e</w:t>
      </w:r>
      <w:r w:rsidR="00997817" w:rsidRPr="00997817">
        <w:rPr>
          <w:rFonts w:ascii="Times New Roman" w:hAnsi="Times New Roman" w:cs="Times New Roman"/>
        </w:rPr>
        <w:t xml:space="preserve"> </w:t>
      </w:r>
      <w:r w:rsidR="00516B96">
        <w:rPr>
          <w:rFonts w:ascii="Times New Roman" w:hAnsi="Times New Roman" w:cs="Times New Roman"/>
        </w:rPr>
        <w:t xml:space="preserve">Commission </w:t>
      </w:r>
      <w:r w:rsidR="003261C2">
        <w:rPr>
          <w:rFonts w:ascii="Times New Roman" w:hAnsi="Times New Roman" w:cs="Times New Roman"/>
        </w:rPr>
        <w:t xml:space="preserve">based </w:t>
      </w:r>
      <w:r w:rsidR="00997817" w:rsidRPr="00997817">
        <w:rPr>
          <w:rFonts w:ascii="Times New Roman" w:hAnsi="Times New Roman" w:cs="Times New Roman"/>
        </w:rPr>
        <w:t xml:space="preserve">that interpretation on </w:t>
      </w:r>
      <w:r w:rsidR="00983790">
        <w:rPr>
          <w:rFonts w:ascii="Times New Roman" w:hAnsi="Times New Roman" w:cs="Times New Roman"/>
        </w:rPr>
        <w:t xml:space="preserve">the following </w:t>
      </w:r>
      <w:r w:rsidR="00997817" w:rsidRPr="00997817">
        <w:rPr>
          <w:rFonts w:ascii="Times New Roman" w:hAnsi="Times New Roman" w:cs="Times New Roman"/>
        </w:rPr>
        <w:t xml:space="preserve">two sentences in the House Report that accompanied draft amendments to the Communications Act.    </w:t>
      </w:r>
    </w:p>
    <w:p w:rsidR="00085912" w:rsidRPr="00997817" w:rsidRDefault="00085912" w:rsidP="00085912">
      <w:pPr>
        <w:spacing w:after="0" w:line="240" w:lineRule="auto"/>
        <w:ind w:firstLine="720"/>
        <w:rPr>
          <w:rFonts w:ascii="Times New Roman" w:hAnsi="Times New Roman" w:cs="Times New Roman"/>
        </w:rPr>
      </w:pPr>
    </w:p>
    <w:p w:rsidR="00997817" w:rsidRPr="00997817" w:rsidRDefault="00997817" w:rsidP="00997817">
      <w:pPr>
        <w:spacing w:after="0" w:line="240" w:lineRule="auto"/>
        <w:ind w:firstLine="720"/>
        <w:rPr>
          <w:rFonts w:ascii="Times New Roman" w:hAnsi="Times New Roman" w:cs="Times New Roman"/>
        </w:rPr>
      </w:pPr>
      <w:r w:rsidRPr="00997817">
        <w:rPr>
          <w:rFonts w:ascii="Times New Roman" w:hAnsi="Times New Roman" w:cs="Times New Roman"/>
        </w:rPr>
        <w:t xml:space="preserve">This paragraph expressly authorizes the Commission to impose or assess </w:t>
      </w:r>
    </w:p>
    <w:p w:rsidR="00997817" w:rsidRPr="00997817" w:rsidRDefault="00997817" w:rsidP="00997817">
      <w:pPr>
        <w:spacing w:after="0" w:line="240" w:lineRule="auto"/>
        <w:ind w:firstLine="720"/>
        <w:rPr>
          <w:rFonts w:ascii="Times New Roman" w:hAnsi="Times New Roman" w:cs="Times New Roman"/>
        </w:rPr>
      </w:pPr>
      <w:r w:rsidRPr="00997817">
        <w:rPr>
          <w:rFonts w:ascii="Times New Roman" w:hAnsi="Times New Roman" w:cs="Times New Roman"/>
        </w:rPr>
        <w:t xml:space="preserve">payments in order to prevent unjust enrichment resulting from trafficking </w:t>
      </w:r>
    </w:p>
    <w:p w:rsidR="00997817" w:rsidRPr="00997817" w:rsidRDefault="00997817" w:rsidP="00997817">
      <w:pPr>
        <w:spacing w:after="0" w:line="240" w:lineRule="auto"/>
        <w:ind w:firstLine="720"/>
        <w:rPr>
          <w:rFonts w:ascii="Times New Roman" w:hAnsi="Times New Roman" w:cs="Times New Roman"/>
        </w:rPr>
      </w:pPr>
      <w:r w:rsidRPr="00997817">
        <w:rPr>
          <w:rFonts w:ascii="Times New Roman" w:hAnsi="Times New Roman" w:cs="Times New Roman"/>
        </w:rPr>
        <w:t xml:space="preserve">in licenses.  The Committee anticipates that the Commission will use this </w:t>
      </w:r>
    </w:p>
    <w:p w:rsidR="00997817" w:rsidRPr="00997817" w:rsidRDefault="00997817" w:rsidP="00997817">
      <w:pPr>
        <w:spacing w:after="0" w:line="240" w:lineRule="auto"/>
        <w:ind w:firstLine="720"/>
        <w:rPr>
          <w:rFonts w:ascii="Times New Roman" w:hAnsi="Times New Roman" w:cs="Times New Roman"/>
        </w:rPr>
      </w:pPr>
      <w:r w:rsidRPr="00997817">
        <w:rPr>
          <w:rFonts w:ascii="Times New Roman" w:hAnsi="Times New Roman" w:cs="Times New Roman"/>
        </w:rPr>
        <w:t xml:space="preserve">authority to deter speculation and participation in the licensing process by </w:t>
      </w:r>
    </w:p>
    <w:p w:rsidR="00997817" w:rsidRPr="00997817" w:rsidRDefault="00997817" w:rsidP="00997817">
      <w:pPr>
        <w:spacing w:after="0" w:line="240" w:lineRule="auto"/>
        <w:ind w:firstLine="720"/>
        <w:rPr>
          <w:rFonts w:ascii="Times New Roman" w:hAnsi="Times New Roman" w:cs="Times New Roman"/>
        </w:rPr>
      </w:pPr>
      <w:r w:rsidRPr="00997817">
        <w:rPr>
          <w:rFonts w:ascii="Times New Roman" w:hAnsi="Times New Roman" w:cs="Times New Roman"/>
        </w:rPr>
        <w:t>those who have no intention of offering service to the public.</w:t>
      </w:r>
      <w:r w:rsidR="0040317F">
        <w:rPr>
          <w:rStyle w:val="FootnoteReference"/>
          <w:rFonts w:ascii="Times New Roman" w:hAnsi="Times New Roman" w:cs="Times New Roman"/>
        </w:rPr>
        <w:footnoteReference w:id="6"/>
      </w:r>
      <w:r w:rsidRPr="00997817">
        <w:rPr>
          <w:rFonts w:ascii="Times New Roman" w:hAnsi="Times New Roman" w:cs="Times New Roman"/>
        </w:rPr>
        <w:t xml:space="preserve"> </w:t>
      </w:r>
    </w:p>
    <w:p w:rsidR="0040317F" w:rsidRDefault="0040317F" w:rsidP="00997817">
      <w:pPr>
        <w:spacing w:after="0" w:line="240" w:lineRule="auto"/>
        <w:ind w:firstLine="720"/>
        <w:rPr>
          <w:rFonts w:ascii="Times New Roman" w:hAnsi="Times New Roman" w:cs="Times New Roman"/>
        </w:rPr>
      </w:pPr>
    </w:p>
    <w:p w:rsidR="00055F57" w:rsidRDefault="009D5B14" w:rsidP="009D5B14">
      <w:pPr>
        <w:spacing w:after="0" w:line="240" w:lineRule="auto"/>
        <w:rPr>
          <w:rFonts w:ascii="Times New Roman" w:hAnsi="Times New Roman" w:cs="Times New Roman"/>
        </w:rPr>
      </w:pPr>
      <w:r>
        <w:rPr>
          <w:rFonts w:ascii="Times New Roman" w:hAnsi="Times New Roman" w:cs="Times New Roman"/>
        </w:rPr>
        <w:t xml:space="preserve">     </w:t>
      </w:r>
      <w:r w:rsidR="008369BE">
        <w:rPr>
          <w:rFonts w:ascii="Times New Roman" w:hAnsi="Times New Roman" w:cs="Times New Roman"/>
        </w:rPr>
        <w:t xml:space="preserve">To </w:t>
      </w:r>
      <w:r w:rsidR="00055F57">
        <w:rPr>
          <w:rFonts w:ascii="Times New Roman" w:hAnsi="Times New Roman" w:cs="Times New Roman"/>
        </w:rPr>
        <w:t>determin</w:t>
      </w:r>
      <w:r w:rsidR="008369BE">
        <w:rPr>
          <w:rFonts w:ascii="Times New Roman" w:hAnsi="Times New Roman" w:cs="Times New Roman"/>
        </w:rPr>
        <w:t>e</w:t>
      </w:r>
      <w:r w:rsidR="00055F57">
        <w:rPr>
          <w:rFonts w:ascii="Times New Roman" w:hAnsi="Times New Roman" w:cs="Times New Roman"/>
        </w:rPr>
        <w:t xml:space="preserve"> “wh</w:t>
      </w:r>
      <w:r w:rsidR="00055F57" w:rsidRPr="00055F57">
        <w:rPr>
          <w:rFonts w:ascii="Times New Roman" w:hAnsi="Times New Roman" w:cs="Times New Roman"/>
        </w:rPr>
        <w:t>ether a spectrum lessee would, under a spectrum manager lease, become a controlling interest or affiliate of the licensee,</w:t>
      </w:r>
      <w:r w:rsidR="00055F57">
        <w:rPr>
          <w:rFonts w:ascii="Times New Roman" w:hAnsi="Times New Roman" w:cs="Times New Roman"/>
        </w:rPr>
        <w:t>”</w:t>
      </w:r>
      <w:r w:rsidR="00055F57" w:rsidRPr="00055F57">
        <w:rPr>
          <w:rFonts w:ascii="Times New Roman" w:hAnsi="Times New Roman" w:cs="Times New Roman"/>
        </w:rPr>
        <w:t xml:space="preserve"> t</w:t>
      </w:r>
      <w:r w:rsidR="00055F57">
        <w:rPr>
          <w:rFonts w:ascii="Times New Roman" w:hAnsi="Times New Roman" w:cs="Times New Roman"/>
        </w:rPr>
        <w:t xml:space="preserve">he </w:t>
      </w:r>
      <w:r w:rsidR="008369BE">
        <w:rPr>
          <w:rFonts w:ascii="Times New Roman" w:hAnsi="Times New Roman" w:cs="Times New Roman"/>
        </w:rPr>
        <w:t xml:space="preserve">2004 Order explained that the </w:t>
      </w:r>
      <w:r w:rsidR="00055F57">
        <w:rPr>
          <w:rFonts w:ascii="Times New Roman" w:hAnsi="Times New Roman" w:cs="Times New Roman"/>
        </w:rPr>
        <w:t>Commission would</w:t>
      </w:r>
      <w:r w:rsidR="00055F57" w:rsidRPr="00055F57">
        <w:t xml:space="preserve"> </w:t>
      </w:r>
      <w:r w:rsidR="00306369">
        <w:rPr>
          <w:rFonts w:ascii="Times New Roman" w:hAnsi="Times New Roman" w:cs="Times New Roman"/>
        </w:rPr>
        <w:t xml:space="preserve">conduct a case-by-case approach and </w:t>
      </w:r>
      <w:r w:rsidR="00055F57" w:rsidRPr="00055F57">
        <w:rPr>
          <w:rFonts w:ascii="Times New Roman" w:hAnsi="Times New Roman" w:cs="Times New Roman"/>
        </w:rPr>
        <w:t>“look to all of the relevant circumstances, including how large a portion of its total capacity to provide spectrum-based services would be leased, what involvement it would have with the spectrum lessee as a result of the spectrum lease, and what relationship the two parties have with one another apart from the lease.</w:t>
      </w:r>
      <w:r w:rsidR="00055F57">
        <w:rPr>
          <w:rFonts w:ascii="Times New Roman" w:hAnsi="Times New Roman" w:cs="Times New Roman"/>
        </w:rPr>
        <w:t>”</w:t>
      </w:r>
      <w:r w:rsidR="00244E6F">
        <w:rPr>
          <w:rStyle w:val="FootnoteReference"/>
          <w:rFonts w:ascii="Times New Roman" w:hAnsi="Times New Roman" w:cs="Times New Roman"/>
        </w:rPr>
        <w:footnoteReference w:id="7"/>
      </w:r>
    </w:p>
    <w:p w:rsidR="00FF10A6" w:rsidRDefault="00FF10A6" w:rsidP="00FF10A6">
      <w:pPr>
        <w:spacing w:after="0" w:line="240" w:lineRule="auto"/>
        <w:rPr>
          <w:rFonts w:ascii="Times New Roman" w:hAnsi="Times New Roman" w:cs="Times New Roman"/>
        </w:rPr>
      </w:pPr>
    </w:p>
    <w:p w:rsidR="00FF10A6" w:rsidRPr="00FF10A6" w:rsidRDefault="00FF10A6" w:rsidP="00FF10A6">
      <w:pPr>
        <w:spacing w:after="0" w:line="240" w:lineRule="auto"/>
        <w:rPr>
          <w:rFonts w:ascii="Times New Roman" w:hAnsi="Times New Roman" w:cs="Times New Roman"/>
          <w:b/>
          <w:u w:val="single"/>
        </w:rPr>
      </w:pPr>
      <w:r w:rsidRPr="00FF10A6">
        <w:rPr>
          <w:rFonts w:ascii="Times New Roman" w:hAnsi="Times New Roman" w:cs="Times New Roman"/>
          <w:b/>
          <w:u w:val="single"/>
        </w:rPr>
        <w:t>The Attributable Material Relationship (AMR) Rule</w:t>
      </w:r>
      <w:r w:rsidR="00017AA7">
        <w:rPr>
          <w:rFonts w:ascii="Times New Roman" w:hAnsi="Times New Roman" w:cs="Times New Roman"/>
          <w:b/>
          <w:u w:val="single"/>
        </w:rPr>
        <w:t xml:space="preserve"> Moves the Commission from Case</w:t>
      </w:r>
      <w:r w:rsidR="00382922">
        <w:rPr>
          <w:rFonts w:ascii="Times New Roman" w:hAnsi="Times New Roman" w:cs="Times New Roman"/>
          <w:b/>
          <w:u w:val="single"/>
        </w:rPr>
        <w:t>-</w:t>
      </w:r>
      <w:r w:rsidR="00017AA7">
        <w:rPr>
          <w:rFonts w:ascii="Times New Roman" w:hAnsi="Times New Roman" w:cs="Times New Roman"/>
          <w:b/>
          <w:u w:val="single"/>
        </w:rPr>
        <w:t>by</w:t>
      </w:r>
      <w:r w:rsidR="00382922">
        <w:rPr>
          <w:rFonts w:ascii="Times New Roman" w:hAnsi="Times New Roman" w:cs="Times New Roman"/>
          <w:b/>
          <w:u w:val="single"/>
        </w:rPr>
        <w:t>-</w:t>
      </w:r>
      <w:r w:rsidR="00017AA7">
        <w:rPr>
          <w:rFonts w:ascii="Times New Roman" w:hAnsi="Times New Roman" w:cs="Times New Roman"/>
          <w:b/>
          <w:u w:val="single"/>
        </w:rPr>
        <w:t>Case Review of Spectrum Leases to a Bright Line Test</w:t>
      </w:r>
      <w:r w:rsidRPr="00FF10A6">
        <w:rPr>
          <w:rFonts w:ascii="Times New Roman" w:hAnsi="Times New Roman" w:cs="Times New Roman"/>
          <w:b/>
          <w:u w:val="single"/>
        </w:rPr>
        <w:t xml:space="preserve"> </w:t>
      </w:r>
    </w:p>
    <w:p w:rsidR="00FF10A6" w:rsidRPr="00FF10A6" w:rsidRDefault="00FF10A6" w:rsidP="00FF10A6">
      <w:pPr>
        <w:spacing w:after="0" w:line="240" w:lineRule="auto"/>
        <w:rPr>
          <w:rFonts w:ascii="Times New Roman" w:hAnsi="Times New Roman" w:cs="Times New Roman"/>
          <w:b/>
          <w:u w:val="single"/>
        </w:rPr>
      </w:pPr>
    </w:p>
    <w:p w:rsidR="008369BE" w:rsidRDefault="009D5B14" w:rsidP="009D5B14">
      <w:pPr>
        <w:spacing w:after="0" w:line="240" w:lineRule="auto"/>
        <w:rPr>
          <w:rFonts w:ascii="Times New Roman" w:hAnsi="Times New Roman" w:cs="Times New Roman"/>
        </w:rPr>
      </w:pPr>
      <w:r>
        <w:rPr>
          <w:rFonts w:ascii="Times New Roman" w:hAnsi="Times New Roman" w:cs="Times New Roman"/>
        </w:rPr>
        <w:t xml:space="preserve">     </w:t>
      </w:r>
      <w:r w:rsidR="00306369">
        <w:rPr>
          <w:rFonts w:ascii="Times New Roman" w:hAnsi="Times New Roman" w:cs="Times New Roman"/>
        </w:rPr>
        <w:t>T</w:t>
      </w:r>
      <w:r w:rsidR="00997817" w:rsidRPr="00997817">
        <w:rPr>
          <w:rFonts w:ascii="Times New Roman" w:hAnsi="Times New Roman" w:cs="Times New Roman"/>
        </w:rPr>
        <w:t>he 2006 Designated Entities Order</w:t>
      </w:r>
      <w:r w:rsidR="00306369">
        <w:rPr>
          <w:rFonts w:ascii="Times New Roman" w:hAnsi="Times New Roman" w:cs="Times New Roman"/>
        </w:rPr>
        <w:t xml:space="preserve"> reaffirmed </w:t>
      </w:r>
      <w:r w:rsidR="00997817" w:rsidRPr="00997817">
        <w:rPr>
          <w:rFonts w:ascii="Times New Roman" w:hAnsi="Times New Roman" w:cs="Times New Roman"/>
        </w:rPr>
        <w:t xml:space="preserve">the </w:t>
      </w:r>
      <w:r w:rsidR="00035326">
        <w:rPr>
          <w:rFonts w:ascii="Times New Roman" w:hAnsi="Times New Roman" w:cs="Times New Roman"/>
        </w:rPr>
        <w:t xml:space="preserve">Commission’s </w:t>
      </w:r>
      <w:r w:rsidR="00306369">
        <w:rPr>
          <w:rFonts w:ascii="Times New Roman" w:hAnsi="Times New Roman" w:cs="Times New Roman"/>
        </w:rPr>
        <w:t>earlier i</w:t>
      </w:r>
      <w:r w:rsidR="00997817" w:rsidRPr="00997817">
        <w:rPr>
          <w:rFonts w:ascii="Times New Roman" w:hAnsi="Times New Roman" w:cs="Times New Roman"/>
        </w:rPr>
        <w:t xml:space="preserve">nterpretation </w:t>
      </w:r>
      <w:r w:rsidR="00244E6F">
        <w:rPr>
          <w:rFonts w:ascii="Times New Roman" w:hAnsi="Times New Roman" w:cs="Times New Roman"/>
        </w:rPr>
        <w:t xml:space="preserve">that </w:t>
      </w:r>
      <w:r w:rsidR="00306369">
        <w:rPr>
          <w:rFonts w:ascii="Times New Roman" w:hAnsi="Times New Roman" w:cs="Times New Roman"/>
        </w:rPr>
        <w:t>Congress intended the Commission to require small businesses</w:t>
      </w:r>
      <w:r w:rsidR="00306369" w:rsidRPr="00306369">
        <w:rPr>
          <w:rFonts w:ascii="Times New Roman" w:hAnsi="Times New Roman" w:cs="Times New Roman"/>
        </w:rPr>
        <w:t>, wh</w:t>
      </w:r>
      <w:r w:rsidR="00306369">
        <w:rPr>
          <w:rFonts w:ascii="Times New Roman" w:hAnsi="Times New Roman" w:cs="Times New Roman"/>
        </w:rPr>
        <w:t>o</w:t>
      </w:r>
      <w:r w:rsidR="00306369" w:rsidRPr="00306369">
        <w:rPr>
          <w:rFonts w:ascii="Times New Roman" w:hAnsi="Times New Roman" w:cs="Times New Roman"/>
        </w:rPr>
        <w:t xml:space="preserve"> acquire spectrum with small business credits, to use that spectrum to directly provide facilities based services.</w:t>
      </w:r>
      <w:r w:rsidR="00306369">
        <w:rPr>
          <w:rFonts w:ascii="Times New Roman" w:hAnsi="Times New Roman" w:cs="Times New Roman"/>
        </w:rPr>
        <w:t xml:space="preserve">  </w:t>
      </w:r>
      <w:r w:rsidR="00035326">
        <w:rPr>
          <w:rFonts w:ascii="Times New Roman" w:hAnsi="Times New Roman" w:cs="Times New Roman"/>
        </w:rPr>
        <w:t xml:space="preserve">But it went even further to prevent unjust enrichment.  It </w:t>
      </w:r>
      <w:r w:rsidR="003261C2">
        <w:rPr>
          <w:rFonts w:ascii="Times New Roman" w:hAnsi="Times New Roman" w:cs="Times New Roman"/>
        </w:rPr>
        <w:t xml:space="preserve">also </w:t>
      </w:r>
      <w:r w:rsidR="00170531">
        <w:rPr>
          <w:rFonts w:ascii="Times New Roman" w:hAnsi="Times New Roman" w:cs="Times New Roman"/>
        </w:rPr>
        <w:t>a</w:t>
      </w:r>
      <w:r w:rsidR="00D30769">
        <w:rPr>
          <w:rFonts w:ascii="Times New Roman" w:hAnsi="Times New Roman" w:cs="Times New Roman"/>
        </w:rPr>
        <w:t>dopted the Attributable Material Relationship (AMR) rule</w:t>
      </w:r>
      <w:r w:rsidR="003261C2">
        <w:rPr>
          <w:rFonts w:ascii="Times New Roman" w:hAnsi="Times New Roman" w:cs="Times New Roman"/>
        </w:rPr>
        <w:t xml:space="preserve"> that </w:t>
      </w:r>
      <w:r w:rsidR="003261C2" w:rsidRPr="003261C2">
        <w:rPr>
          <w:rFonts w:ascii="Times New Roman" w:hAnsi="Times New Roman" w:cs="Times New Roman"/>
        </w:rPr>
        <w:t xml:space="preserve">would require every small business to attribute the gross revenues of another entity if that small business planned to apply for DE benefits and entered into an arrangement with that entity to lease, wholesale, or resell more than 25 percent of the capacity of any one of its licenses to that entity.  </w:t>
      </w:r>
    </w:p>
    <w:p w:rsidR="008369BE" w:rsidRDefault="008369BE" w:rsidP="00F63646">
      <w:pPr>
        <w:spacing w:after="0" w:line="240" w:lineRule="auto"/>
        <w:ind w:firstLine="720"/>
        <w:rPr>
          <w:rFonts w:ascii="Times New Roman" w:hAnsi="Times New Roman" w:cs="Times New Roman"/>
        </w:rPr>
      </w:pPr>
    </w:p>
    <w:p w:rsidR="0040317F" w:rsidRDefault="009D5B14" w:rsidP="009D5B14">
      <w:pPr>
        <w:spacing w:after="0" w:line="240" w:lineRule="auto"/>
        <w:rPr>
          <w:rFonts w:ascii="Times New Roman" w:hAnsi="Times New Roman" w:cs="Times New Roman"/>
        </w:rPr>
      </w:pPr>
      <w:r>
        <w:rPr>
          <w:rFonts w:ascii="Times New Roman" w:hAnsi="Times New Roman" w:cs="Times New Roman"/>
        </w:rPr>
        <w:t xml:space="preserve">     </w:t>
      </w:r>
      <w:r w:rsidR="00170531">
        <w:rPr>
          <w:rFonts w:ascii="Times New Roman" w:hAnsi="Times New Roman" w:cs="Times New Roman"/>
        </w:rPr>
        <w:t xml:space="preserve">By </w:t>
      </w:r>
      <w:r w:rsidR="00070C27">
        <w:rPr>
          <w:rFonts w:ascii="Times New Roman" w:hAnsi="Times New Roman" w:cs="Times New Roman"/>
        </w:rPr>
        <w:t>adopting</w:t>
      </w:r>
      <w:r w:rsidR="00170531">
        <w:rPr>
          <w:rFonts w:ascii="Times New Roman" w:hAnsi="Times New Roman" w:cs="Times New Roman"/>
        </w:rPr>
        <w:t xml:space="preserve"> the AMR rule </w:t>
      </w:r>
      <w:r w:rsidR="0075217D">
        <w:rPr>
          <w:rFonts w:ascii="Times New Roman" w:hAnsi="Times New Roman" w:cs="Times New Roman"/>
        </w:rPr>
        <w:t>in 2006</w:t>
      </w:r>
      <w:r w:rsidR="00170531">
        <w:rPr>
          <w:rFonts w:ascii="Times New Roman" w:hAnsi="Times New Roman" w:cs="Times New Roman"/>
        </w:rPr>
        <w:t xml:space="preserve">, the Commission moved away from the case-by-case </w:t>
      </w:r>
      <w:r w:rsidR="00845A9D">
        <w:rPr>
          <w:rFonts w:ascii="Times New Roman" w:hAnsi="Times New Roman" w:cs="Times New Roman"/>
        </w:rPr>
        <w:t xml:space="preserve">examination </w:t>
      </w:r>
      <w:r w:rsidR="00170531">
        <w:rPr>
          <w:rFonts w:ascii="Times New Roman" w:hAnsi="Times New Roman" w:cs="Times New Roman"/>
        </w:rPr>
        <w:t>of the relationship</w:t>
      </w:r>
      <w:r w:rsidR="00931FAC">
        <w:rPr>
          <w:rFonts w:ascii="Times New Roman" w:hAnsi="Times New Roman" w:cs="Times New Roman"/>
        </w:rPr>
        <w:t>s</w:t>
      </w:r>
      <w:r w:rsidR="00170531">
        <w:rPr>
          <w:rFonts w:ascii="Times New Roman" w:hAnsi="Times New Roman" w:cs="Times New Roman"/>
        </w:rPr>
        <w:t xml:space="preserve"> between DE</w:t>
      </w:r>
      <w:r w:rsidR="00931FAC">
        <w:rPr>
          <w:rFonts w:ascii="Times New Roman" w:hAnsi="Times New Roman" w:cs="Times New Roman"/>
        </w:rPr>
        <w:t>s</w:t>
      </w:r>
      <w:r w:rsidR="00170531">
        <w:rPr>
          <w:rFonts w:ascii="Times New Roman" w:hAnsi="Times New Roman" w:cs="Times New Roman"/>
        </w:rPr>
        <w:t xml:space="preserve"> and lessee</w:t>
      </w:r>
      <w:r w:rsidR="00931FAC">
        <w:rPr>
          <w:rFonts w:ascii="Times New Roman" w:hAnsi="Times New Roman" w:cs="Times New Roman"/>
        </w:rPr>
        <w:t>s</w:t>
      </w:r>
      <w:r w:rsidR="00170531">
        <w:rPr>
          <w:rFonts w:ascii="Times New Roman" w:hAnsi="Times New Roman" w:cs="Times New Roman"/>
        </w:rPr>
        <w:t xml:space="preserve">, which it had </w:t>
      </w:r>
      <w:r w:rsidR="00EC2B12">
        <w:rPr>
          <w:rFonts w:ascii="Times New Roman" w:hAnsi="Times New Roman" w:cs="Times New Roman"/>
        </w:rPr>
        <w:t xml:space="preserve">reaffirmed in the </w:t>
      </w:r>
      <w:r w:rsidR="00170531">
        <w:rPr>
          <w:rFonts w:ascii="Times New Roman" w:hAnsi="Times New Roman" w:cs="Times New Roman"/>
        </w:rPr>
        <w:t>2004</w:t>
      </w:r>
      <w:r w:rsidR="00EC2B12">
        <w:rPr>
          <w:rFonts w:ascii="Times New Roman" w:hAnsi="Times New Roman" w:cs="Times New Roman"/>
        </w:rPr>
        <w:t xml:space="preserve"> Secondary Markets Order</w:t>
      </w:r>
      <w:r w:rsidR="00170531">
        <w:rPr>
          <w:rFonts w:ascii="Times New Roman" w:hAnsi="Times New Roman" w:cs="Times New Roman"/>
        </w:rPr>
        <w:t xml:space="preserve">, </w:t>
      </w:r>
      <w:r w:rsidR="00070C27">
        <w:rPr>
          <w:rFonts w:ascii="Times New Roman" w:hAnsi="Times New Roman" w:cs="Times New Roman"/>
        </w:rPr>
        <w:t xml:space="preserve">to a bright line rule that would require </w:t>
      </w:r>
      <w:r w:rsidR="00070C27" w:rsidRPr="00070C27">
        <w:rPr>
          <w:rFonts w:ascii="Times New Roman" w:hAnsi="Times New Roman" w:cs="Times New Roman"/>
        </w:rPr>
        <w:t>attribution</w:t>
      </w:r>
      <w:r w:rsidR="00842D0D">
        <w:rPr>
          <w:rFonts w:ascii="Times New Roman" w:hAnsi="Times New Roman" w:cs="Times New Roman"/>
        </w:rPr>
        <w:t>,</w:t>
      </w:r>
      <w:r w:rsidR="00070C27" w:rsidRPr="00070C27">
        <w:rPr>
          <w:rFonts w:ascii="Times New Roman" w:hAnsi="Times New Roman" w:cs="Times New Roman"/>
        </w:rPr>
        <w:t xml:space="preserve"> </w:t>
      </w:r>
      <w:r w:rsidR="00842D0D">
        <w:rPr>
          <w:rFonts w:ascii="Times New Roman" w:hAnsi="Times New Roman" w:cs="Times New Roman"/>
        </w:rPr>
        <w:t xml:space="preserve">under the terms of the AMR rule, </w:t>
      </w:r>
      <w:r w:rsidR="00070C27" w:rsidRPr="00070C27">
        <w:rPr>
          <w:rFonts w:ascii="Times New Roman" w:hAnsi="Times New Roman" w:cs="Times New Roman"/>
        </w:rPr>
        <w:t xml:space="preserve">without an inquiry into what influence the lessee entity might have on the small business.  </w:t>
      </w:r>
      <w:r w:rsidR="00B67FE7">
        <w:rPr>
          <w:rFonts w:ascii="Times New Roman" w:hAnsi="Times New Roman" w:cs="Times New Roman"/>
        </w:rPr>
        <w:t>The AMR rule would</w:t>
      </w:r>
      <w:r w:rsidR="00F26A02">
        <w:rPr>
          <w:rFonts w:ascii="Times New Roman" w:hAnsi="Times New Roman" w:cs="Times New Roman"/>
        </w:rPr>
        <w:t xml:space="preserve"> also require a DE to make this attribution even if the spectrum it leased was not acquired with DE bidding credits.  </w:t>
      </w:r>
      <w:r w:rsidR="008369BE">
        <w:rPr>
          <w:rFonts w:ascii="Times New Roman" w:hAnsi="Times New Roman" w:cs="Times New Roman"/>
        </w:rPr>
        <w:t>For example, t</w:t>
      </w:r>
      <w:r w:rsidR="00F26A02">
        <w:rPr>
          <w:rFonts w:ascii="Times New Roman" w:hAnsi="Times New Roman" w:cs="Times New Roman"/>
        </w:rPr>
        <w:t>he AMR Rule would</w:t>
      </w:r>
      <w:r w:rsidR="00B67FE7">
        <w:rPr>
          <w:rFonts w:ascii="Times New Roman" w:hAnsi="Times New Roman" w:cs="Times New Roman"/>
        </w:rPr>
        <w:t xml:space="preserve"> penalize a </w:t>
      </w:r>
      <w:r w:rsidR="00F63646" w:rsidRPr="00F63646">
        <w:rPr>
          <w:rFonts w:ascii="Times New Roman" w:hAnsi="Times New Roman" w:cs="Times New Roman"/>
        </w:rPr>
        <w:t>DE</w:t>
      </w:r>
      <w:r w:rsidR="00F63646">
        <w:rPr>
          <w:rFonts w:ascii="Times New Roman" w:hAnsi="Times New Roman" w:cs="Times New Roman"/>
        </w:rPr>
        <w:t xml:space="preserve"> </w:t>
      </w:r>
      <w:r w:rsidR="00B67FE7">
        <w:rPr>
          <w:rFonts w:ascii="Times New Roman" w:hAnsi="Times New Roman" w:cs="Times New Roman"/>
        </w:rPr>
        <w:t xml:space="preserve">for </w:t>
      </w:r>
      <w:r w:rsidR="00F63646" w:rsidRPr="00F63646">
        <w:rPr>
          <w:rFonts w:ascii="Times New Roman" w:hAnsi="Times New Roman" w:cs="Times New Roman"/>
        </w:rPr>
        <w:t>rais</w:t>
      </w:r>
      <w:r w:rsidR="00B67FE7">
        <w:rPr>
          <w:rFonts w:ascii="Times New Roman" w:hAnsi="Times New Roman" w:cs="Times New Roman"/>
        </w:rPr>
        <w:t>ing</w:t>
      </w:r>
      <w:r w:rsidR="00F63646" w:rsidRPr="00F63646">
        <w:rPr>
          <w:rFonts w:ascii="Times New Roman" w:hAnsi="Times New Roman" w:cs="Times New Roman"/>
        </w:rPr>
        <w:t xml:space="preserve"> funds for its own spectrum-based communications business by temporarily leasing</w:t>
      </w:r>
      <w:r w:rsidR="00B67FE7">
        <w:rPr>
          <w:rFonts w:ascii="Times New Roman" w:hAnsi="Times New Roman" w:cs="Times New Roman"/>
        </w:rPr>
        <w:t xml:space="preserve"> </w:t>
      </w:r>
      <w:r w:rsidR="00F63646" w:rsidRPr="00F63646">
        <w:rPr>
          <w:rFonts w:ascii="Times New Roman" w:hAnsi="Times New Roman" w:cs="Times New Roman"/>
        </w:rPr>
        <w:t xml:space="preserve">to another company </w:t>
      </w:r>
      <w:r w:rsidR="00B67FE7">
        <w:rPr>
          <w:rFonts w:ascii="Times New Roman" w:hAnsi="Times New Roman" w:cs="Times New Roman"/>
        </w:rPr>
        <w:t>more than 25 percent of any of its licenses even if those licenses were not acquired with DE bidding credits</w:t>
      </w:r>
      <w:r w:rsidR="00977DDE">
        <w:rPr>
          <w:rFonts w:ascii="Times New Roman" w:hAnsi="Times New Roman" w:cs="Times New Roman"/>
        </w:rPr>
        <w:t xml:space="preserve"> and the lessee had no influence over the DE</w:t>
      </w:r>
      <w:r w:rsidR="00B67FE7">
        <w:rPr>
          <w:rFonts w:ascii="Times New Roman" w:hAnsi="Times New Roman" w:cs="Times New Roman"/>
        </w:rPr>
        <w:t xml:space="preserve">. </w:t>
      </w:r>
    </w:p>
    <w:p w:rsidR="004E7715" w:rsidRDefault="004E7715" w:rsidP="004E7715">
      <w:pPr>
        <w:spacing w:after="0" w:line="240" w:lineRule="auto"/>
        <w:rPr>
          <w:rFonts w:ascii="Times New Roman" w:hAnsi="Times New Roman" w:cs="Times New Roman"/>
        </w:rPr>
      </w:pPr>
    </w:p>
    <w:p w:rsidR="004E7715" w:rsidRPr="004E7715" w:rsidRDefault="00382922" w:rsidP="004E7715">
      <w:pPr>
        <w:spacing w:after="0" w:line="240" w:lineRule="auto"/>
        <w:rPr>
          <w:rFonts w:ascii="Times New Roman" w:hAnsi="Times New Roman" w:cs="Times New Roman"/>
          <w:b/>
          <w:u w:val="single"/>
        </w:rPr>
      </w:pPr>
      <w:r>
        <w:rPr>
          <w:rFonts w:ascii="Times New Roman" w:hAnsi="Times New Roman" w:cs="Times New Roman"/>
          <w:b/>
          <w:u w:val="single"/>
        </w:rPr>
        <w:t>The 200</w:t>
      </w:r>
      <w:r w:rsidR="004D0C41">
        <w:rPr>
          <w:rFonts w:ascii="Times New Roman" w:hAnsi="Times New Roman" w:cs="Times New Roman"/>
          <w:b/>
          <w:u w:val="single"/>
        </w:rPr>
        <w:t>4 and 2006 Policies Were Based on a</w:t>
      </w:r>
      <w:r>
        <w:rPr>
          <w:rFonts w:ascii="Times New Roman" w:hAnsi="Times New Roman" w:cs="Times New Roman"/>
          <w:b/>
          <w:u w:val="single"/>
        </w:rPr>
        <w:t>n Unnecessarily Narrow Interpretation of Section 309(j)</w:t>
      </w:r>
      <w:r w:rsidR="004E7715">
        <w:rPr>
          <w:rFonts w:ascii="Times New Roman" w:hAnsi="Times New Roman" w:cs="Times New Roman"/>
          <w:b/>
          <w:u w:val="single"/>
        </w:rPr>
        <w:t xml:space="preserve"> </w:t>
      </w:r>
    </w:p>
    <w:p w:rsidR="004E7715" w:rsidRDefault="004E7715" w:rsidP="004E7715">
      <w:pPr>
        <w:spacing w:after="0" w:line="240" w:lineRule="auto"/>
        <w:rPr>
          <w:rFonts w:ascii="Times New Roman" w:hAnsi="Times New Roman" w:cs="Times New Roman"/>
        </w:rPr>
      </w:pPr>
    </w:p>
    <w:p w:rsidR="00382922" w:rsidRDefault="009D5B14" w:rsidP="009D5B14">
      <w:pPr>
        <w:spacing w:after="0" w:line="240" w:lineRule="auto"/>
        <w:rPr>
          <w:rFonts w:ascii="Times New Roman" w:hAnsi="Times New Roman" w:cs="Times New Roman"/>
        </w:rPr>
      </w:pPr>
      <w:r>
        <w:rPr>
          <w:rFonts w:ascii="Times New Roman" w:hAnsi="Times New Roman" w:cs="Times New Roman"/>
        </w:rPr>
        <w:t xml:space="preserve">     </w:t>
      </w:r>
      <w:r w:rsidR="00AE5E4A">
        <w:rPr>
          <w:rFonts w:ascii="Times New Roman" w:hAnsi="Times New Roman" w:cs="Times New Roman"/>
        </w:rPr>
        <w:t xml:space="preserve">The Supreme Court has made clear this Commission has the discretion to depart from an earlier policy choice when </w:t>
      </w:r>
      <w:r w:rsidR="00985396">
        <w:rPr>
          <w:rFonts w:ascii="Times New Roman" w:hAnsi="Times New Roman" w:cs="Times New Roman"/>
        </w:rPr>
        <w:t>“</w:t>
      </w:r>
      <w:r w:rsidR="00AE5E4A">
        <w:rPr>
          <w:rFonts w:ascii="Times New Roman" w:hAnsi="Times New Roman" w:cs="Times New Roman"/>
        </w:rPr>
        <w:t>there are sound reasons for the new policy.</w:t>
      </w:r>
      <w:r w:rsidR="00985396">
        <w:rPr>
          <w:rFonts w:ascii="Times New Roman" w:hAnsi="Times New Roman" w:cs="Times New Roman"/>
        </w:rPr>
        <w:t>”</w:t>
      </w:r>
      <w:r w:rsidR="00AE5E4A">
        <w:rPr>
          <w:rStyle w:val="FootnoteReference"/>
          <w:rFonts w:ascii="Times New Roman" w:hAnsi="Times New Roman" w:cs="Times New Roman"/>
        </w:rPr>
        <w:footnoteReference w:id="8"/>
      </w:r>
      <w:r w:rsidR="00AE5E4A">
        <w:rPr>
          <w:rFonts w:ascii="Times New Roman" w:hAnsi="Times New Roman" w:cs="Times New Roman"/>
        </w:rPr>
        <w:t xml:space="preserve">  </w:t>
      </w:r>
      <w:r w:rsidR="00842D0D">
        <w:rPr>
          <w:rFonts w:ascii="Times New Roman" w:hAnsi="Times New Roman" w:cs="Times New Roman"/>
        </w:rPr>
        <w:t>Today’s NPRM pro</w:t>
      </w:r>
      <w:r w:rsidR="00EF123E">
        <w:rPr>
          <w:rFonts w:ascii="Times New Roman" w:hAnsi="Times New Roman" w:cs="Times New Roman"/>
        </w:rPr>
        <w:t xml:space="preserve">vides several sound </w:t>
      </w:r>
      <w:r w:rsidR="0060438E">
        <w:rPr>
          <w:rFonts w:ascii="Times New Roman" w:hAnsi="Times New Roman" w:cs="Times New Roman"/>
        </w:rPr>
        <w:t>bases</w:t>
      </w:r>
      <w:r w:rsidR="00EF123E">
        <w:rPr>
          <w:rFonts w:ascii="Times New Roman" w:hAnsi="Times New Roman" w:cs="Times New Roman"/>
        </w:rPr>
        <w:t xml:space="preserve"> to reevaluat</w:t>
      </w:r>
      <w:r w:rsidR="00CB40E2">
        <w:rPr>
          <w:rFonts w:ascii="Times New Roman" w:hAnsi="Times New Roman" w:cs="Times New Roman"/>
        </w:rPr>
        <w:t>e</w:t>
      </w:r>
      <w:r w:rsidR="00AE5E4A">
        <w:rPr>
          <w:rFonts w:ascii="Times New Roman" w:hAnsi="Times New Roman" w:cs="Times New Roman"/>
        </w:rPr>
        <w:t xml:space="preserve"> </w:t>
      </w:r>
      <w:r w:rsidR="00977DDE">
        <w:rPr>
          <w:rFonts w:ascii="Times New Roman" w:hAnsi="Times New Roman" w:cs="Times New Roman"/>
        </w:rPr>
        <w:t>th</w:t>
      </w:r>
      <w:r w:rsidR="00AE5E4A">
        <w:rPr>
          <w:rFonts w:ascii="Times New Roman" w:hAnsi="Times New Roman" w:cs="Times New Roman"/>
        </w:rPr>
        <w:t xml:space="preserve">ose earlier DE </w:t>
      </w:r>
      <w:r w:rsidR="00B67FE7">
        <w:rPr>
          <w:rFonts w:ascii="Times New Roman" w:hAnsi="Times New Roman" w:cs="Times New Roman"/>
        </w:rPr>
        <w:t>policies</w:t>
      </w:r>
      <w:r w:rsidR="00842D0D">
        <w:rPr>
          <w:rFonts w:ascii="Times New Roman" w:hAnsi="Times New Roman" w:cs="Times New Roman"/>
        </w:rPr>
        <w:t xml:space="preserve">.  </w:t>
      </w:r>
      <w:r w:rsidR="00985396">
        <w:rPr>
          <w:rFonts w:ascii="Times New Roman" w:hAnsi="Times New Roman" w:cs="Times New Roman"/>
        </w:rPr>
        <w:t>As an initial matter, t</w:t>
      </w:r>
      <w:r w:rsidR="0060438E">
        <w:rPr>
          <w:rFonts w:ascii="Times New Roman" w:hAnsi="Times New Roman" w:cs="Times New Roman"/>
        </w:rPr>
        <w:t>here is no reason the Commission should believe it is bound by t</w:t>
      </w:r>
      <w:r w:rsidR="00AD79AD">
        <w:rPr>
          <w:rFonts w:ascii="Times New Roman" w:hAnsi="Times New Roman" w:cs="Times New Roman"/>
        </w:rPr>
        <w:t>h</w:t>
      </w:r>
      <w:r w:rsidR="005E5C04">
        <w:rPr>
          <w:rFonts w:ascii="Times New Roman" w:hAnsi="Times New Roman" w:cs="Times New Roman"/>
        </w:rPr>
        <w:t>e statutor</w:t>
      </w:r>
      <w:r w:rsidR="005E5C04" w:rsidRPr="00CB40E2">
        <w:rPr>
          <w:rFonts w:ascii="Times New Roman" w:hAnsi="Times New Roman" w:cs="Times New Roman"/>
          <w:b/>
        </w:rPr>
        <w:t>y</w:t>
      </w:r>
      <w:r w:rsidR="005E5C04">
        <w:rPr>
          <w:rFonts w:ascii="Times New Roman" w:hAnsi="Times New Roman" w:cs="Times New Roman"/>
        </w:rPr>
        <w:t xml:space="preserve"> interpretations reached in th</w:t>
      </w:r>
      <w:r w:rsidR="00F303CF">
        <w:rPr>
          <w:rFonts w:ascii="Times New Roman" w:hAnsi="Times New Roman" w:cs="Times New Roman"/>
        </w:rPr>
        <w:t>ose</w:t>
      </w:r>
      <w:r w:rsidR="00AD79AD">
        <w:rPr>
          <w:rFonts w:ascii="Times New Roman" w:hAnsi="Times New Roman" w:cs="Times New Roman"/>
        </w:rPr>
        <w:t xml:space="preserve"> 2004 and 2006 Orders</w:t>
      </w:r>
      <w:r w:rsidR="0060438E">
        <w:rPr>
          <w:rFonts w:ascii="Times New Roman" w:hAnsi="Times New Roman" w:cs="Times New Roman"/>
        </w:rPr>
        <w:t xml:space="preserve">.  </w:t>
      </w:r>
      <w:r w:rsidR="0060438E" w:rsidRPr="0060438E">
        <w:rPr>
          <w:rFonts w:ascii="Times New Roman" w:hAnsi="Times New Roman" w:cs="Times New Roman"/>
        </w:rPr>
        <w:t xml:space="preserve">The starting point of statutory interpretation is the </w:t>
      </w:r>
      <w:r w:rsidR="0060438E">
        <w:rPr>
          <w:rFonts w:ascii="Times New Roman" w:hAnsi="Times New Roman" w:cs="Times New Roman"/>
        </w:rPr>
        <w:t xml:space="preserve">language in </w:t>
      </w:r>
      <w:r w:rsidR="0060438E" w:rsidRPr="0060438E">
        <w:rPr>
          <w:rFonts w:ascii="Times New Roman" w:hAnsi="Times New Roman" w:cs="Times New Roman"/>
        </w:rPr>
        <w:t>the statute itself.</w:t>
      </w:r>
      <w:r w:rsidR="0060438E">
        <w:rPr>
          <w:rStyle w:val="FootnoteReference"/>
          <w:rFonts w:ascii="Times New Roman" w:hAnsi="Times New Roman" w:cs="Times New Roman"/>
        </w:rPr>
        <w:footnoteReference w:id="9"/>
      </w:r>
      <w:r w:rsidR="0060438E" w:rsidRPr="0060438E">
        <w:rPr>
          <w:rFonts w:ascii="Times New Roman" w:hAnsi="Times New Roman" w:cs="Times New Roman"/>
        </w:rPr>
        <w:t xml:space="preserve">   The term “facilities based service” does not appear anywhere in Section 309(j).  </w:t>
      </w:r>
      <w:r w:rsidR="0060438E">
        <w:rPr>
          <w:rFonts w:ascii="Times New Roman" w:hAnsi="Times New Roman" w:cs="Times New Roman"/>
        </w:rPr>
        <w:t xml:space="preserve">Nor is there any other </w:t>
      </w:r>
      <w:r w:rsidR="0060438E" w:rsidRPr="0060438E">
        <w:rPr>
          <w:rFonts w:ascii="Times New Roman" w:hAnsi="Times New Roman" w:cs="Times New Roman"/>
        </w:rPr>
        <w:t>language in Section 309(j) which</w:t>
      </w:r>
      <w:r w:rsidR="00985396">
        <w:rPr>
          <w:rFonts w:ascii="Times New Roman" w:hAnsi="Times New Roman" w:cs="Times New Roman"/>
        </w:rPr>
        <w:t xml:space="preserve"> would compel the Commission to decide </w:t>
      </w:r>
      <w:r w:rsidR="0060438E" w:rsidRPr="0060438E">
        <w:rPr>
          <w:rFonts w:ascii="Times New Roman" w:hAnsi="Times New Roman" w:cs="Times New Roman"/>
        </w:rPr>
        <w:t xml:space="preserve">that entities who acquire licenses with small business bidding credits must use that spectrum to directly provide facilities based service.  </w:t>
      </w:r>
    </w:p>
    <w:p w:rsidR="00382922" w:rsidRDefault="00382922" w:rsidP="00A379FB">
      <w:pPr>
        <w:spacing w:after="0" w:line="240" w:lineRule="auto"/>
        <w:ind w:firstLine="720"/>
        <w:rPr>
          <w:rFonts w:ascii="Times New Roman" w:hAnsi="Times New Roman" w:cs="Times New Roman"/>
        </w:rPr>
      </w:pPr>
    </w:p>
    <w:p w:rsidR="00382922" w:rsidRDefault="009D5B14" w:rsidP="009D5B14">
      <w:pPr>
        <w:spacing w:after="0" w:line="240" w:lineRule="auto"/>
        <w:rPr>
          <w:rFonts w:ascii="Times New Roman" w:hAnsi="Times New Roman" w:cs="Times New Roman"/>
        </w:rPr>
      </w:pPr>
      <w:r>
        <w:rPr>
          <w:rFonts w:ascii="Times New Roman" w:hAnsi="Times New Roman" w:cs="Times New Roman"/>
        </w:rPr>
        <w:t xml:space="preserve">     </w:t>
      </w:r>
      <w:r w:rsidR="00F63646">
        <w:rPr>
          <w:rFonts w:ascii="Times New Roman" w:hAnsi="Times New Roman" w:cs="Times New Roman"/>
        </w:rPr>
        <w:t xml:space="preserve">Although legislative history can be helpful, </w:t>
      </w:r>
      <w:r w:rsidR="00AD79AD">
        <w:rPr>
          <w:rFonts w:ascii="Times New Roman" w:hAnsi="Times New Roman" w:cs="Times New Roman"/>
        </w:rPr>
        <w:t xml:space="preserve">there </w:t>
      </w:r>
      <w:r w:rsidR="00F63646">
        <w:rPr>
          <w:rFonts w:ascii="Times New Roman" w:hAnsi="Times New Roman" w:cs="Times New Roman"/>
        </w:rPr>
        <w:t xml:space="preserve">is no </w:t>
      </w:r>
      <w:r w:rsidR="00AD79AD">
        <w:rPr>
          <w:rFonts w:ascii="Times New Roman" w:hAnsi="Times New Roman" w:cs="Times New Roman"/>
        </w:rPr>
        <w:t xml:space="preserve">specific </w:t>
      </w:r>
      <w:r w:rsidR="00997817" w:rsidRPr="00997817">
        <w:rPr>
          <w:rFonts w:ascii="Times New Roman" w:hAnsi="Times New Roman" w:cs="Times New Roman"/>
        </w:rPr>
        <w:t>language in those two sentences</w:t>
      </w:r>
      <w:r w:rsidR="00AD79AD">
        <w:rPr>
          <w:rFonts w:ascii="Times New Roman" w:hAnsi="Times New Roman" w:cs="Times New Roman"/>
        </w:rPr>
        <w:t xml:space="preserve"> from the</w:t>
      </w:r>
      <w:r w:rsidR="00CD4E0E">
        <w:rPr>
          <w:rFonts w:ascii="Times New Roman" w:hAnsi="Times New Roman" w:cs="Times New Roman"/>
        </w:rPr>
        <w:t xml:space="preserve"> </w:t>
      </w:r>
      <w:r w:rsidR="00AD79AD">
        <w:rPr>
          <w:rFonts w:ascii="Times New Roman" w:hAnsi="Times New Roman" w:cs="Times New Roman"/>
        </w:rPr>
        <w:t>1993 House Report</w:t>
      </w:r>
      <w:r w:rsidR="00997817" w:rsidRPr="00997817">
        <w:rPr>
          <w:rFonts w:ascii="Times New Roman" w:hAnsi="Times New Roman" w:cs="Times New Roman"/>
        </w:rPr>
        <w:t xml:space="preserve"> that require</w:t>
      </w:r>
      <w:r w:rsidR="00CB40E2">
        <w:rPr>
          <w:rFonts w:ascii="Times New Roman" w:hAnsi="Times New Roman" w:cs="Times New Roman"/>
        </w:rPr>
        <w:t>s</w:t>
      </w:r>
      <w:r w:rsidR="00997817" w:rsidRPr="00997817">
        <w:rPr>
          <w:rFonts w:ascii="Times New Roman" w:hAnsi="Times New Roman" w:cs="Times New Roman"/>
        </w:rPr>
        <w:t xml:space="preserve"> the phrase “offering service to the public” to be defined as “designated entities providing facilities based service.”  The </w:t>
      </w:r>
      <w:r w:rsidR="00F63646">
        <w:rPr>
          <w:rFonts w:ascii="Times New Roman" w:hAnsi="Times New Roman" w:cs="Times New Roman"/>
        </w:rPr>
        <w:t xml:space="preserve">plain meaning </w:t>
      </w:r>
      <w:r w:rsidR="00997817" w:rsidRPr="00997817">
        <w:rPr>
          <w:rFonts w:ascii="Times New Roman" w:hAnsi="Times New Roman" w:cs="Times New Roman"/>
        </w:rPr>
        <w:t xml:space="preserve">of those two sentences </w:t>
      </w:r>
      <w:r w:rsidR="00035326">
        <w:rPr>
          <w:rFonts w:ascii="Times New Roman" w:hAnsi="Times New Roman" w:cs="Times New Roman"/>
        </w:rPr>
        <w:t xml:space="preserve">in the House Report </w:t>
      </w:r>
      <w:r w:rsidR="00F63646">
        <w:rPr>
          <w:rFonts w:ascii="Times New Roman" w:hAnsi="Times New Roman" w:cs="Times New Roman"/>
        </w:rPr>
        <w:t>is</w:t>
      </w:r>
      <w:r w:rsidR="00997817" w:rsidRPr="00997817">
        <w:rPr>
          <w:rFonts w:ascii="Times New Roman" w:hAnsi="Times New Roman" w:cs="Times New Roman"/>
        </w:rPr>
        <w:t xml:space="preserve"> that any entity, which uses a small business bidding credit to acquire spectrum in an auction, should </w:t>
      </w:r>
      <w:r w:rsidR="00CB40E2">
        <w:rPr>
          <w:rFonts w:ascii="Times New Roman" w:hAnsi="Times New Roman" w:cs="Times New Roman"/>
        </w:rPr>
        <w:t xml:space="preserve">primarily </w:t>
      </w:r>
      <w:r w:rsidR="00997817" w:rsidRPr="00997817">
        <w:rPr>
          <w:rFonts w:ascii="Times New Roman" w:hAnsi="Times New Roman" w:cs="Times New Roman"/>
        </w:rPr>
        <w:t>intend that the spectrum be used to serve the public</w:t>
      </w:r>
      <w:r w:rsidR="00842D0D">
        <w:rPr>
          <w:rFonts w:ascii="Times New Roman" w:hAnsi="Times New Roman" w:cs="Times New Roman"/>
        </w:rPr>
        <w:t xml:space="preserve"> and not simply try to resell the spectrum to another entity for a profit</w:t>
      </w:r>
      <w:r w:rsidR="00997817" w:rsidRPr="00997817">
        <w:rPr>
          <w:rFonts w:ascii="Times New Roman" w:hAnsi="Times New Roman" w:cs="Times New Roman"/>
        </w:rPr>
        <w:t xml:space="preserve">.  </w:t>
      </w:r>
      <w:r w:rsidR="00842D0D">
        <w:rPr>
          <w:rFonts w:ascii="Times New Roman" w:hAnsi="Times New Roman" w:cs="Times New Roman"/>
        </w:rPr>
        <w:t xml:space="preserve">That is why the Commission defined trafficking as </w:t>
      </w:r>
      <w:r w:rsidR="00EF123E" w:rsidRPr="00EF123E">
        <w:rPr>
          <w:rFonts w:ascii="Times New Roman" w:hAnsi="Times New Roman" w:cs="Times New Roman"/>
        </w:rPr>
        <w:t>“obtaining or attempting to obtain an authorization for the principal purpose of speculation or profitable resale of the authorization rather than for the provision of telecommunication services to the public or for the licensee's own private use.”</w:t>
      </w:r>
      <w:r w:rsidR="00EF123E">
        <w:rPr>
          <w:rStyle w:val="FootnoteReference"/>
          <w:rFonts w:ascii="Times New Roman" w:hAnsi="Times New Roman" w:cs="Times New Roman"/>
        </w:rPr>
        <w:footnoteReference w:id="10"/>
      </w:r>
      <w:r w:rsidR="00EF123E">
        <w:rPr>
          <w:rFonts w:ascii="Times New Roman" w:hAnsi="Times New Roman" w:cs="Times New Roman"/>
        </w:rPr>
        <w:t xml:space="preserve">  </w:t>
      </w:r>
      <w:r w:rsidR="008369BE">
        <w:rPr>
          <w:rFonts w:ascii="Times New Roman" w:hAnsi="Times New Roman" w:cs="Times New Roman"/>
        </w:rPr>
        <w:t>Thus,</w:t>
      </w:r>
      <w:r w:rsidR="00997817" w:rsidRPr="00997817">
        <w:rPr>
          <w:rFonts w:ascii="Times New Roman" w:hAnsi="Times New Roman" w:cs="Times New Roman"/>
        </w:rPr>
        <w:t xml:space="preserve"> if a designated entity used bidding credits to acquire spectrum at an auction</w:t>
      </w:r>
      <w:r w:rsidR="00813F3B">
        <w:rPr>
          <w:rFonts w:ascii="Times New Roman" w:hAnsi="Times New Roman" w:cs="Times New Roman"/>
        </w:rPr>
        <w:t>,</w:t>
      </w:r>
      <w:r w:rsidR="00CB40E2">
        <w:rPr>
          <w:rFonts w:ascii="Times New Roman" w:hAnsi="Times New Roman" w:cs="Times New Roman"/>
        </w:rPr>
        <w:t xml:space="preserve"> with the intent of offering service to the public,</w:t>
      </w:r>
      <w:r w:rsidR="00F303CF">
        <w:rPr>
          <w:rFonts w:ascii="Times New Roman" w:hAnsi="Times New Roman" w:cs="Times New Roman"/>
        </w:rPr>
        <w:t xml:space="preserve"> </w:t>
      </w:r>
      <w:r w:rsidR="00997817" w:rsidRPr="00997817">
        <w:rPr>
          <w:rFonts w:ascii="Times New Roman" w:hAnsi="Times New Roman" w:cs="Times New Roman"/>
        </w:rPr>
        <w:t xml:space="preserve">and </w:t>
      </w:r>
      <w:r w:rsidR="005E5C04">
        <w:rPr>
          <w:rFonts w:ascii="Times New Roman" w:hAnsi="Times New Roman" w:cs="Times New Roman"/>
        </w:rPr>
        <w:t>then</w:t>
      </w:r>
      <w:r w:rsidR="00997817" w:rsidRPr="00997817">
        <w:rPr>
          <w:rFonts w:ascii="Times New Roman" w:hAnsi="Times New Roman" w:cs="Times New Roman"/>
        </w:rPr>
        <w:t xml:space="preserve"> leased the spectrum to another entity (DE or non-DE) and that lessee use</w:t>
      </w:r>
      <w:r w:rsidR="00CB40E2">
        <w:rPr>
          <w:rFonts w:ascii="Times New Roman" w:hAnsi="Times New Roman" w:cs="Times New Roman"/>
        </w:rPr>
        <w:t>d</w:t>
      </w:r>
      <w:r w:rsidR="00997817" w:rsidRPr="00997817">
        <w:rPr>
          <w:rFonts w:ascii="Times New Roman" w:hAnsi="Times New Roman" w:cs="Times New Roman"/>
        </w:rPr>
        <w:t xml:space="preserve"> the spectrum to provide facilities based services, then such an arrangement would not appear to violate the plain language of the anti-trafficking and unjust enrichment provisions of Section 309(j) or the legislative history of those provisions</w:t>
      </w:r>
      <w:r w:rsidR="00F303CF">
        <w:rPr>
          <w:rFonts w:ascii="Times New Roman" w:hAnsi="Times New Roman" w:cs="Times New Roman"/>
        </w:rPr>
        <w:t>.</w:t>
      </w:r>
      <w:r w:rsidR="00B83EA0">
        <w:rPr>
          <w:rFonts w:ascii="Times New Roman" w:hAnsi="Times New Roman" w:cs="Times New Roman"/>
        </w:rPr>
        <w:t xml:space="preserve">  </w:t>
      </w:r>
    </w:p>
    <w:p w:rsidR="00382922" w:rsidRDefault="00382922" w:rsidP="00A379FB">
      <w:pPr>
        <w:spacing w:after="0" w:line="240" w:lineRule="auto"/>
        <w:ind w:firstLine="720"/>
        <w:rPr>
          <w:rFonts w:ascii="Times New Roman" w:hAnsi="Times New Roman" w:cs="Times New Roman"/>
        </w:rPr>
      </w:pPr>
    </w:p>
    <w:p w:rsidR="00A379FB" w:rsidRDefault="009D5B14" w:rsidP="009D5B14">
      <w:pPr>
        <w:spacing w:after="0" w:line="240" w:lineRule="auto"/>
        <w:rPr>
          <w:rFonts w:ascii="Times New Roman" w:hAnsi="Times New Roman" w:cs="Times New Roman"/>
        </w:rPr>
      </w:pPr>
      <w:r>
        <w:rPr>
          <w:rFonts w:ascii="Times New Roman" w:hAnsi="Times New Roman" w:cs="Times New Roman"/>
        </w:rPr>
        <w:t xml:space="preserve">     </w:t>
      </w:r>
      <w:r w:rsidR="00CA1639">
        <w:rPr>
          <w:rFonts w:ascii="Times New Roman" w:hAnsi="Times New Roman" w:cs="Times New Roman"/>
        </w:rPr>
        <w:t xml:space="preserve">The better reading of </w:t>
      </w:r>
      <w:r w:rsidR="0060438E">
        <w:rPr>
          <w:rFonts w:ascii="Times New Roman" w:hAnsi="Times New Roman" w:cs="Times New Roman"/>
        </w:rPr>
        <w:t>this statute</w:t>
      </w:r>
      <w:r w:rsidR="00CA1639">
        <w:rPr>
          <w:rFonts w:ascii="Times New Roman" w:hAnsi="Times New Roman" w:cs="Times New Roman"/>
        </w:rPr>
        <w:t xml:space="preserve"> is that Congress gave the Commission wide discretion to adopt DE </w:t>
      </w:r>
      <w:r w:rsidR="00FC70EB">
        <w:rPr>
          <w:rFonts w:ascii="Times New Roman" w:hAnsi="Times New Roman" w:cs="Times New Roman"/>
        </w:rPr>
        <w:t xml:space="preserve">policies that </w:t>
      </w:r>
      <w:r w:rsidR="00CB40E2">
        <w:rPr>
          <w:rFonts w:ascii="Times New Roman" w:hAnsi="Times New Roman" w:cs="Times New Roman"/>
        </w:rPr>
        <w:t xml:space="preserve">strike an appropriate balance between </w:t>
      </w:r>
      <w:r w:rsidR="00B43F3E">
        <w:rPr>
          <w:rFonts w:ascii="Times New Roman" w:hAnsi="Times New Roman" w:cs="Times New Roman"/>
        </w:rPr>
        <w:t xml:space="preserve">(1) </w:t>
      </w:r>
      <w:r w:rsidR="00FC70EB">
        <w:rPr>
          <w:rFonts w:ascii="Times New Roman" w:hAnsi="Times New Roman" w:cs="Times New Roman"/>
        </w:rPr>
        <w:t>promoting small business participation in the wireless industry</w:t>
      </w:r>
      <w:r w:rsidR="008369BE">
        <w:rPr>
          <w:rFonts w:ascii="Times New Roman" w:hAnsi="Times New Roman" w:cs="Times New Roman"/>
        </w:rPr>
        <w:t>,</w:t>
      </w:r>
      <w:r w:rsidR="00FC70EB">
        <w:rPr>
          <w:rFonts w:ascii="Times New Roman" w:hAnsi="Times New Roman" w:cs="Times New Roman"/>
        </w:rPr>
        <w:t xml:space="preserve"> and</w:t>
      </w:r>
      <w:r w:rsidR="008369BE">
        <w:rPr>
          <w:rFonts w:ascii="Times New Roman" w:hAnsi="Times New Roman" w:cs="Times New Roman"/>
        </w:rPr>
        <w:t xml:space="preserve"> (2)</w:t>
      </w:r>
      <w:r w:rsidR="00FC70EB">
        <w:rPr>
          <w:rFonts w:ascii="Times New Roman" w:hAnsi="Times New Roman" w:cs="Times New Roman"/>
        </w:rPr>
        <w:t xml:space="preserve"> deterring unjust enrichment, and to amend those policies </w:t>
      </w:r>
      <w:r w:rsidR="00CA1639">
        <w:rPr>
          <w:rFonts w:ascii="Times New Roman" w:hAnsi="Times New Roman" w:cs="Times New Roman"/>
        </w:rPr>
        <w:t xml:space="preserve">when developments in the commercial wireless market warrant such changes.  </w:t>
      </w:r>
    </w:p>
    <w:p w:rsidR="004E7715" w:rsidRDefault="004E7715" w:rsidP="004E7715">
      <w:pPr>
        <w:spacing w:after="0" w:line="240" w:lineRule="auto"/>
        <w:rPr>
          <w:rFonts w:ascii="Times New Roman" w:hAnsi="Times New Roman" w:cs="Times New Roman"/>
        </w:rPr>
      </w:pPr>
    </w:p>
    <w:p w:rsidR="004E7715" w:rsidRPr="004E7715" w:rsidRDefault="00BF2631" w:rsidP="004E7715">
      <w:pPr>
        <w:spacing w:after="0" w:line="240" w:lineRule="auto"/>
        <w:rPr>
          <w:rFonts w:ascii="Times New Roman" w:hAnsi="Times New Roman" w:cs="Times New Roman"/>
          <w:b/>
          <w:u w:val="single"/>
        </w:rPr>
      </w:pPr>
      <w:r>
        <w:rPr>
          <w:rFonts w:ascii="Times New Roman" w:hAnsi="Times New Roman" w:cs="Times New Roman"/>
          <w:b/>
          <w:u w:val="single"/>
        </w:rPr>
        <w:t>Developments</w:t>
      </w:r>
      <w:r w:rsidR="004E7715" w:rsidRPr="004E7715">
        <w:rPr>
          <w:rFonts w:ascii="Times New Roman" w:hAnsi="Times New Roman" w:cs="Times New Roman"/>
          <w:b/>
          <w:u w:val="single"/>
        </w:rPr>
        <w:t xml:space="preserve"> in the </w:t>
      </w:r>
      <w:r w:rsidR="004D0C41">
        <w:rPr>
          <w:rFonts w:ascii="Times New Roman" w:hAnsi="Times New Roman" w:cs="Times New Roman"/>
          <w:b/>
          <w:u w:val="single"/>
        </w:rPr>
        <w:t xml:space="preserve">Commercial </w:t>
      </w:r>
      <w:r w:rsidR="004E7715" w:rsidRPr="004E7715">
        <w:rPr>
          <w:rFonts w:ascii="Times New Roman" w:hAnsi="Times New Roman" w:cs="Times New Roman"/>
          <w:b/>
          <w:u w:val="single"/>
        </w:rPr>
        <w:t xml:space="preserve">Wireless </w:t>
      </w:r>
      <w:r>
        <w:rPr>
          <w:rFonts w:ascii="Times New Roman" w:hAnsi="Times New Roman" w:cs="Times New Roman"/>
          <w:b/>
          <w:u w:val="single"/>
        </w:rPr>
        <w:t>Industry</w:t>
      </w:r>
      <w:r w:rsidR="004E7715" w:rsidRPr="004E7715">
        <w:rPr>
          <w:rFonts w:ascii="Times New Roman" w:hAnsi="Times New Roman" w:cs="Times New Roman"/>
          <w:b/>
          <w:u w:val="single"/>
        </w:rPr>
        <w:t xml:space="preserve"> Require Changes to the AMR Rule</w:t>
      </w:r>
    </w:p>
    <w:p w:rsidR="004E7715" w:rsidRDefault="004E7715" w:rsidP="004E7715">
      <w:pPr>
        <w:spacing w:after="0" w:line="240" w:lineRule="auto"/>
        <w:rPr>
          <w:rFonts w:ascii="Times New Roman" w:hAnsi="Times New Roman" w:cs="Times New Roman"/>
        </w:rPr>
      </w:pPr>
    </w:p>
    <w:p w:rsidR="00EF4B69" w:rsidRDefault="009D5B14" w:rsidP="009D5B14">
      <w:pPr>
        <w:spacing w:after="0" w:line="240" w:lineRule="auto"/>
        <w:rPr>
          <w:rFonts w:ascii="Times New Roman" w:hAnsi="Times New Roman" w:cs="Times New Roman"/>
        </w:rPr>
      </w:pPr>
      <w:r>
        <w:rPr>
          <w:rFonts w:ascii="Times New Roman" w:hAnsi="Times New Roman" w:cs="Times New Roman"/>
        </w:rPr>
        <w:t xml:space="preserve">     </w:t>
      </w:r>
      <w:r w:rsidR="00E023B6">
        <w:rPr>
          <w:rFonts w:ascii="Times New Roman" w:hAnsi="Times New Roman" w:cs="Times New Roman"/>
        </w:rPr>
        <w:t xml:space="preserve">Substantial changes in the structure of the commercial wireless market call for a change to the AMR rule.  </w:t>
      </w:r>
      <w:r w:rsidR="00151C10">
        <w:rPr>
          <w:rFonts w:ascii="Times New Roman" w:hAnsi="Times New Roman" w:cs="Times New Roman"/>
        </w:rPr>
        <w:t>W</w:t>
      </w:r>
      <w:r w:rsidR="00FC70EB" w:rsidRPr="00FC70EB">
        <w:rPr>
          <w:rFonts w:ascii="Times New Roman" w:hAnsi="Times New Roman" w:cs="Times New Roman"/>
        </w:rPr>
        <w:t>e have seen increased consolidation in the commercial wireless industry</w:t>
      </w:r>
      <w:r w:rsidR="00151C10">
        <w:t xml:space="preserve">.  </w:t>
      </w:r>
      <w:r w:rsidR="005F6FE5" w:rsidRPr="00116AFB">
        <w:rPr>
          <w:rFonts w:ascii="Times New Roman" w:hAnsi="Times New Roman" w:cs="Times New Roman"/>
        </w:rPr>
        <w:t>In 2003</w:t>
      </w:r>
      <w:r w:rsidR="00004EB2" w:rsidRPr="00116AFB">
        <w:rPr>
          <w:rFonts w:ascii="Times New Roman" w:hAnsi="Times New Roman" w:cs="Times New Roman"/>
        </w:rPr>
        <w:t>, six nationwide wireless carriers</w:t>
      </w:r>
      <w:r w:rsidR="005F6FE5" w:rsidRPr="00116AFB">
        <w:rPr>
          <w:rFonts w:ascii="Times New Roman" w:hAnsi="Times New Roman" w:cs="Times New Roman"/>
        </w:rPr>
        <w:t xml:space="preserve"> accounted for 79 percent of the mobile wireless subscribers.  In 2013, f</w:t>
      </w:r>
      <w:r w:rsidR="00004EB2" w:rsidRPr="00116AFB">
        <w:rPr>
          <w:rFonts w:ascii="Times New Roman" w:hAnsi="Times New Roman" w:cs="Times New Roman"/>
        </w:rPr>
        <w:t>our</w:t>
      </w:r>
      <w:r w:rsidR="005F6FE5" w:rsidRPr="00116AFB">
        <w:rPr>
          <w:rFonts w:ascii="Times New Roman" w:hAnsi="Times New Roman" w:cs="Times New Roman"/>
        </w:rPr>
        <w:t xml:space="preserve"> nationwide carriers had </w:t>
      </w:r>
      <w:r w:rsidR="008369BE">
        <w:rPr>
          <w:rFonts w:ascii="Times New Roman" w:hAnsi="Times New Roman" w:cs="Times New Roman"/>
        </w:rPr>
        <w:t xml:space="preserve">a </w:t>
      </w:r>
      <w:r w:rsidR="005F6FE5" w:rsidRPr="00116AFB">
        <w:rPr>
          <w:rFonts w:ascii="Times New Roman" w:hAnsi="Times New Roman" w:cs="Times New Roman"/>
        </w:rPr>
        <w:t>combined market share of approximately 97 percent of subscribers.</w:t>
      </w:r>
      <w:r w:rsidR="00004EB2" w:rsidRPr="00116AFB">
        <w:rPr>
          <w:rFonts w:ascii="Times New Roman" w:hAnsi="Times New Roman" w:cs="Times New Roman"/>
        </w:rPr>
        <w:t xml:space="preserve">  </w:t>
      </w:r>
      <w:r w:rsidR="00151C10">
        <w:rPr>
          <w:rFonts w:ascii="Times New Roman" w:hAnsi="Times New Roman" w:cs="Times New Roman"/>
        </w:rPr>
        <w:t>The Commission uses the widely accepted H</w:t>
      </w:r>
      <w:r w:rsidR="00151C10" w:rsidRPr="00151C10">
        <w:rPr>
          <w:rFonts w:ascii="Times New Roman" w:hAnsi="Times New Roman" w:cs="Times New Roman"/>
        </w:rPr>
        <w:t xml:space="preserve">erfindahl-Hirschman Index (HHI) </w:t>
      </w:r>
      <w:r w:rsidR="00151C10">
        <w:rPr>
          <w:rFonts w:ascii="Times New Roman" w:hAnsi="Times New Roman" w:cs="Times New Roman"/>
        </w:rPr>
        <w:t>to measure concentration in competition analysis.  A highly concentrated industry is one with an HHI over 2500.  In 2006, when the Commission adopted the AMR rule, the HHI for the wireless industry was 2674.  By 2013, it had increased to 2873.</w:t>
      </w:r>
      <w:r w:rsidR="00845A9D">
        <w:rPr>
          <w:rStyle w:val="FootnoteReference"/>
          <w:rFonts w:ascii="Times New Roman" w:hAnsi="Times New Roman" w:cs="Times New Roman"/>
        </w:rPr>
        <w:footnoteReference w:id="11"/>
      </w:r>
      <w:r w:rsidR="00151C10">
        <w:rPr>
          <w:rFonts w:ascii="Times New Roman" w:hAnsi="Times New Roman" w:cs="Times New Roman"/>
        </w:rPr>
        <w:t xml:space="preserve">  </w:t>
      </w:r>
      <w:r w:rsidR="00035326" w:rsidRPr="00035326">
        <w:rPr>
          <w:rFonts w:ascii="Times New Roman" w:hAnsi="Times New Roman" w:cs="Times New Roman"/>
        </w:rPr>
        <w:t>Voice and data roaming</w:t>
      </w:r>
      <w:r w:rsidR="00CB40E2">
        <w:rPr>
          <w:rFonts w:ascii="Times New Roman" w:hAnsi="Times New Roman" w:cs="Times New Roman"/>
        </w:rPr>
        <w:t xml:space="preserve"> </w:t>
      </w:r>
      <w:r w:rsidR="00035326" w:rsidRPr="00035326">
        <w:rPr>
          <w:rFonts w:ascii="Times New Roman" w:hAnsi="Times New Roman" w:cs="Times New Roman"/>
        </w:rPr>
        <w:t xml:space="preserve">and other network sharing agreements </w:t>
      </w:r>
      <w:r w:rsidR="009478AA">
        <w:rPr>
          <w:rFonts w:ascii="Times New Roman" w:hAnsi="Times New Roman" w:cs="Times New Roman"/>
        </w:rPr>
        <w:t>c</w:t>
      </w:r>
      <w:r w:rsidR="00035326" w:rsidRPr="00035326">
        <w:rPr>
          <w:rFonts w:ascii="Times New Roman" w:hAnsi="Times New Roman" w:cs="Times New Roman"/>
        </w:rPr>
        <w:t xml:space="preserve">ould stimulate the deployment of </w:t>
      </w:r>
      <w:r w:rsidR="009478AA">
        <w:rPr>
          <w:rFonts w:ascii="Times New Roman" w:hAnsi="Times New Roman" w:cs="Times New Roman"/>
        </w:rPr>
        <w:t xml:space="preserve">more </w:t>
      </w:r>
      <w:r w:rsidR="00035326" w:rsidRPr="00035326">
        <w:rPr>
          <w:rFonts w:ascii="Times New Roman" w:hAnsi="Times New Roman" w:cs="Times New Roman"/>
        </w:rPr>
        <w:t>networks</w:t>
      </w:r>
      <w:r w:rsidR="00151C10">
        <w:rPr>
          <w:rFonts w:ascii="Times New Roman" w:hAnsi="Times New Roman" w:cs="Times New Roman"/>
        </w:rPr>
        <w:t xml:space="preserve"> to offer competitive alternatives</w:t>
      </w:r>
      <w:r w:rsidR="009478AA">
        <w:rPr>
          <w:rFonts w:ascii="Times New Roman" w:hAnsi="Times New Roman" w:cs="Times New Roman"/>
        </w:rPr>
        <w:t xml:space="preserve">.  </w:t>
      </w:r>
      <w:r w:rsidR="008369BE">
        <w:rPr>
          <w:rFonts w:ascii="Times New Roman" w:hAnsi="Times New Roman" w:cs="Times New Roman"/>
        </w:rPr>
        <w:t>D</w:t>
      </w:r>
      <w:r w:rsidR="009478AA">
        <w:rPr>
          <w:rFonts w:ascii="Times New Roman" w:hAnsi="Times New Roman" w:cs="Times New Roman"/>
        </w:rPr>
        <w:t xml:space="preserve">espite the Commission’s 2010 adoption of the data roaming order, </w:t>
      </w:r>
      <w:r w:rsidR="00985396">
        <w:rPr>
          <w:rFonts w:ascii="Times New Roman" w:hAnsi="Times New Roman" w:cs="Times New Roman"/>
        </w:rPr>
        <w:t xml:space="preserve">it appears </w:t>
      </w:r>
      <w:r w:rsidR="009478AA">
        <w:rPr>
          <w:rFonts w:ascii="Times New Roman" w:hAnsi="Times New Roman" w:cs="Times New Roman"/>
        </w:rPr>
        <w:t xml:space="preserve">that continued resistance to entering into these </w:t>
      </w:r>
      <w:r w:rsidR="00035326" w:rsidRPr="00035326">
        <w:rPr>
          <w:rFonts w:ascii="Times New Roman" w:hAnsi="Times New Roman" w:cs="Times New Roman"/>
        </w:rPr>
        <w:t xml:space="preserve">agreements </w:t>
      </w:r>
      <w:r w:rsidR="009478AA">
        <w:rPr>
          <w:rFonts w:ascii="Times New Roman" w:hAnsi="Times New Roman" w:cs="Times New Roman"/>
        </w:rPr>
        <w:t xml:space="preserve">is </w:t>
      </w:r>
      <w:r w:rsidR="00EF4B69">
        <w:rPr>
          <w:rFonts w:ascii="Times New Roman" w:hAnsi="Times New Roman" w:cs="Times New Roman"/>
        </w:rPr>
        <w:t>p</w:t>
      </w:r>
      <w:r w:rsidR="00035326" w:rsidRPr="00035326">
        <w:rPr>
          <w:rFonts w:ascii="Times New Roman" w:hAnsi="Times New Roman" w:cs="Times New Roman"/>
        </w:rPr>
        <w:t>revent</w:t>
      </w:r>
      <w:r w:rsidR="009478AA">
        <w:rPr>
          <w:rFonts w:ascii="Times New Roman" w:hAnsi="Times New Roman" w:cs="Times New Roman"/>
        </w:rPr>
        <w:t>ing</w:t>
      </w:r>
      <w:r w:rsidR="00035326" w:rsidRPr="00035326">
        <w:rPr>
          <w:rFonts w:ascii="Times New Roman" w:hAnsi="Times New Roman" w:cs="Times New Roman"/>
        </w:rPr>
        <w:t xml:space="preserve"> smaller carriers from</w:t>
      </w:r>
      <w:r w:rsidR="00EF4B69">
        <w:rPr>
          <w:rFonts w:ascii="Times New Roman" w:hAnsi="Times New Roman" w:cs="Times New Roman"/>
        </w:rPr>
        <w:t xml:space="preserve"> </w:t>
      </w:r>
      <w:r w:rsidR="00035326" w:rsidRPr="00035326">
        <w:rPr>
          <w:rFonts w:ascii="Times New Roman" w:hAnsi="Times New Roman" w:cs="Times New Roman"/>
        </w:rPr>
        <w:t>providin</w:t>
      </w:r>
      <w:r w:rsidR="00B67FE7">
        <w:rPr>
          <w:rFonts w:ascii="Times New Roman" w:hAnsi="Times New Roman" w:cs="Times New Roman"/>
        </w:rPr>
        <w:t>g competitive service offerings.</w:t>
      </w:r>
    </w:p>
    <w:p w:rsidR="00CB40E2" w:rsidRDefault="00CB40E2" w:rsidP="00EF4B69">
      <w:pPr>
        <w:spacing w:after="0" w:line="240" w:lineRule="auto"/>
        <w:rPr>
          <w:rFonts w:ascii="Times New Roman" w:hAnsi="Times New Roman" w:cs="Times New Roman"/>
        </w:rPr>
      </w:pPr>
    </w:p>
    <w:p w:rsidR="00BF2631" w:rsidRDefault="009D5B14" w:rsidP="009D5B14">
      <w:pPr>
        <w:spacing w:after="0" w:line="240" w:lineRule="auto"/>
        <w:rPr>
          <w:rFonts w:ascii="Times New Roman" w:hAnsi="Times New Roman" w:cs="Times New Roman"/>
        </w:rPr>
      </w:pPr>
      <w:r>
        <w:rPr>
          <w:rFonts w:ascii="Times New Roman" w:hAnsi="Times New Roman" w:cs="Times New Roman"/>
        </w:rPr>
        <w:t xml:space="preserve">     </w:t>
      </w:r>
      <w:r w:rsidR="00CB40E2">
        <w:rPr>
          <w:rFonts w:ascii="Times New Roman" w:hAnsi="Times New Roman" w:cs="Times New Roman"/>
        </w:rPr>
        <w:t xml:space="preserve">In addition, </w:t>
      </w:r>
      <w:r w:rsidR="00996CCA" w:rsidRPr="00116AFB">
        <w:rPr>
          <w:rFonts w:ascii="Times New Roman" w:hAnsi="Times New Roman" w:cs="Times New Roman"/>
        </w:rPr>
        <w:t xml:space="preserve">with the introduction of more innovative smartphones and tablets </w:t>
      </w:r>
      <w:r w:rsidR="008369BE">
        <w:rPr>
          <w:rFonts w:ascii="Times New Roman" w:hAnsi="Times New Roman" w:cs="Times New Roman"/>
        </w:rPr>
        <w:t xml:space="preserve">since 2008, </w:t>
      </w:r>
      <w:r w:rsidR="00996CCA" w:rsidRPr="00116AFB">
        <w:rPr>
          <w:rFonts w:ascii="Times New Roman" w:hAnsi="Times New Roman" w:cs="Times New Roman"/>
        </w:rPr>
        <w:t>we have seen explosive consumer demand for mobile broadband services.</w:t>
      </w:r>
      <w:r w:rsidR="00EB1053" w:rsidRPr="00116AFB">
        <w:rPr>
          <w:rFonts w:ascii="Times New Roman" w:hAnsi="Times New Roman" w:cs="Times New Roman"/>
        </w:rPr>
        <w:t xml:space="preserve">  </w:t>
      </w:r>
      <w:r w:rsidR="005F6FE5" w:rsidRPr="00116AFB">
        <w:rPr>
          <w:rFonts w:ascii="Times New Roman" w:hAnsi="Times New Roman" w:cs="Times New Roman"/>
        </w:rPr>
        <w:t xml:space="preserve">This </w:t>
      </w:r>
      <w:r w:rsidR="00EF4B69">
        <w:rPr>
          <w:rFonts w:ascii="Times New Roman" w:hAnsi="Times New Roman" w:cs="Times New Roman"/>
        </w:rPr>
        <w:t xml:space="preserve">demand </w:t>
      </w:r>
      <w:r w:rsidR="005F6FE5" w:rsidRPr="00116AFB">
        <w:rPr>
          <w:rFonts w:ascii="Times New Roman" w:hAnsi="Times New Roman" w:cs="Times New Roman"/>
        </w:rPr>
        <w:t>is driving intens</w:t>
      </w:r>
      <w:r w:rsidR="00CB40E2">
        <w:rPr>
          <w:rFonts w:ascii="Times New Roman" w:hAnsi="Times New Roman" w:cs="Times New Roman"/>
        </w:rPr>
        <w:t>e</w:t>
      </w:r>
      <w:r w:rsidR="005F6FE5" w:rsidRPr="00116AFB">
        <w:rPr>
          <w:rFonts w:ascii="Times New Roman" w:hAnsi="Times New Roman" w:cs="Times New Roman"/>
        </w:rPr>
        <w:t xml:space="preserve"> use of mobile networks and </w:t>
      </w:r>
      <w:r w:rsidR="00CA1639">
        <w:rPr>
          <w:rFonts w:ascii="Times New Roman" w:hAnsi="Times New Roman" w:cs="Times New Roman"/>
        </w:rPr>
        <w:t xml:space="preserve">an </w:t>
      </w:r>
      <w:r w:rsidR="005F6FE5" w:rsidRPr="00116AFB">
        <w:rPr>
          <w:rFonts w:ascii="Times New Roman" w:hAnsi="Times New Roman" w:cs="Times New Roman"/>
        </w:rPr>
        <w:t xml:space="preserve">increasing need for </w:t>
      </w:r>
      <w:r w:rsidR="00CA1639">
        <w:rPr>
          <w:rFonts w:ascii="Times New Roman" w:hAnsi="Times New Roman" w:cs="Times New Roman"/>
        </w:rPr>
        <w:t xml:space="preserve">more </w:t>
      </w:r>
      <w:r w:rsidR="005F6FE5" w:rsidRPr="00116AFB">
        <w:rPr>
          <w:rFonts w:ascii="Times New Roman" w:hAnsi="Times New Roman" w:cs="Times New Roman"/>
        </w:rPr>
        <w:t>spectrum</w:t>
      </w:r>
      <w:r w:rsidR="00CB40E2">
        <w:rPr>
          <w:rFonts w:ascii="Times New Roman" w:hAnsi="Times New Roman" w:cs="Times New Roman"/>
        </w:rPr>
        <w:t xml:space="preserve">.  </w:t>
      </w:r>
      <w:r w:rsidR="00BB0AB9">
        <w:rPr>
          <w:rFonts w:ascii="Times New Roman" w:hAnsi="Times New Roman" w:cs="Times New Roman"/>
        </w:rPr>
        <w:t xml:space="preserve">At the same time, </w:t>
      </w:r>
      <w:r w:rsidR="00B35B47" w:rsidRPr="00116AFB">
        <w:rPr>
          <w:rFonts w:ascii="Times New Roman" w:hAnsi="Times New Roman" w:cs="Times New Roman"/>
        </w:rPr>
        <w:t>the costs of spectrum and network deployment</w:t>
      </w:r>
      <w:r w:rsidR="008369BE">
        <w:rPr>
          <w:rFonts w:ascii="Times New Roman" w:hAnsi="Times New Roman" w:cs="Times New Roman"/>
        </w:rPr>
        <w:t>,</w:t>
      </w:r>
      <w:r w:rsidR="00B35B47" w:rsidRPr="00116AFB">
        <w:rPr>
          <w:rFonts w:ascii="Times New Roman" w:hAnsi="Times New Roman" w:cs="Times New Roman"/>
        </w:rPr>
        <w:t xml:space="preserve"> especially </w:t>
      </w:r>
      <w:r w:rsidR="008369BE">
        <w:rPr>
          <w:rFonts w:ascii="Times New Roman" w:hAnsi="Times New Roman" w:cs="Times New Roman"/>
        </w:rPr>
        <w:t xml:space="preserve">for small and new entrants, </w:t>
      </w:r>
      <w:r w:rsidR="00B35B47" w:rsidRPr="00116AFB">
        <w:rPr>
          <w:rFonts w:ascii="Times New Roman" w:hAnsi="Times New Roman" w:cs="Times New Roman"/>
        </w:rPr>
        <w:t>have increased in the last 20 years.</w:t>
      </w:r>
      <w:r w:rsidR="00CA1639">
        <w:rPr>
          <w:rStyle w:val="FootnoteReference"/>
          <w:rFonts w:ascii="Times New Roman" w:hAnsi="Times New Roman" w:cs="Times New Roman"/>
        </w:rPr>
        <w:footnoteReference w:id="12"/>
      </w:r>
      <w:r w:rsidR="00116AFB" w:rsidRPr="00116AFB">
        <w:t xml:space="preserve"> </w:t>
      </w:r>
      <w:r w:rsidR="00116AFB">
        <w:t xml:space="preserve"> </w:t>
      </w:r>
      <w:r w:rsidR="00035326">
        <w:rPr>
          <w:rFonts w:ascii="Times New Roman" w:hAnsi="Times New Roman" w:cs="Times New Roman"/>
        </w:rPr>
        <w:t>Th</w:t>
      </w:r>
      <w:r w:rsidR="00EF4B69">
        <w:rPr>
          <w:rFonts w:ascii="Times New Roman" w:hAnsi="Times New Roman" w:cs="Times New Roman"/>
        </w:rPr>
        <w:t xml:space="preserve">ese developments </w:t>
      </w:r>
      <w:r w:rsidR="00CB40E2">
        <w:rPr>
          <w:rFonts w:ascii="Times New Roman" w:hAnsi="Times New Roman" w:cs="Times New Roman"/>
        </w:rPr>
        <w:t xml:space="preserve">in the commercial wireless market </w:t>
      </w:r>
      <w:r w:rsidR="00EF4B69">
        <w:rPr>
          <w:rFonts w:ascii="Times New Roman" w:hAnsi="Times New Roman" w:cs="Times New Roman"/>
        </w:rPr>
        <w:t>mean</w:t>
      </w:r>
      <w:r w:rsidR="00116AFB">
        <w:rPr>
          <w:rFonts w:ascii="Times New Roman" w:hAnsi="Times New Roman" w:cs="Times New Roman"/>
        </w:rPr>
        <w:t xml:space="preserve"> </w:t>
      </w:r>
      <w:r w:rsidR="00EF4B69">
        <w:rPr>
          <w:rFonts w:ascii="Times New Roman" w:hAnsi="Times New Roman" w:cs="Times New Roman"/>
        </w:rPr>
        <w:t>it is more important now</w:t>
      </w:r>
      <w:r w:rsidR="00813F3B">
        <w:rPr>
          <w:rFonts w:ascii="Times New Roman" w:hAnsi="Times New Roman" w:cs="Times New Roman"/>
        </w:rPr>
        <w:t>,</w:t>
      </w:r>
      <w:r w:rsidR="00EF4B69">
        <w:rPr>
          <w:rFonts w:ascii="Times New Roman" w:hAnsi="Times New Roman" w:cs="Times New Roman"/>
        </w:rPr>
        <w:t xml:space="preserve"> than it was </w:t>
      </w:r>
      <w:r w:rsidR="00CB40E2">
        <w:rPr>
          <w:rFonts w:ascii="Times New Roman" w:hAnsi="Times New Roman" w:cs="Times New Roman"/>
        </w:rPr>
        <w:t xml:space="preserve">in </w:t>
      </w:r>
      <w:r w:rsidR="00EF4B69">
        <w:rPr>
          <w:rFonts w:ascii="Times New Roman" w:hAnsi="Times New Roman" w:cs="Times New Roman"/>
        </w:rPr>
        <w:t xml:space="preserve">1993, for small businesses to develop business models that can attract </w:t>
      </w:r>
      <w:r w:rsidR="00116AFB" w:rsidRPr="00116AFB">
        <w:rPr>
          <w:rFonts w:ascii="Times New Roman" w:hAnsi="Times New Roman" w:cs="Times New Roman"/>
        </w:rPr>
        <w:t xml:space="preserve">capital for </w:t>
      </w:r>
      <w:r w:rsidR="00EF4B69">
        <w:rPr>
          <w:rFonts w:ascii="Times New Roman" w:hAnsi="Times New Roman" w:cs="Times New Roman"/>
        </w:rPr>
        <w:t xml:space="preserve">both </w:t>
      </w:r>
      <w:r w:rsidR="00116AFB" w:rsidRPr="00116AFB">
        <w:rPr>
          <w:rFonts w:ascii="Times New Roman" w:hAnsi="Times New Roman" w:cs="Times New Roman"/>
        </w:rPr>
        <w:t xml:space="preserve">acquiring </w:t>
      </w:r>
      <w:r w:rsidR="00EF4B69">
        <w:rPr>
          <w:rFonts w:ascii="Times New Roman" w:hAnsi="Times New Roman" w:cs="Times New Roman"/>
        </w:rPr>
        <w:t xml:space="preserve">communications </w:t>
      </w:r>
      <w:r w:rsidR="00116AFB" w:rsidRPr="00116AFB">
        <w:rPr>
          <w:rFonts w:ascii="Times New Roman" w:hAnsi="Times New Roman" w:cs="Times New Roman"/>
        </w:rPr>
        <w:t xml:space="preserve">licenses </w:t>
      </w:r>
      <w:r w:rsidR="00EF4B69">
        <w:rPr>
          <w:rFonts w:ascii="Times New Roman" w:hAnsi="Times New Roman" w:cs="Times New Roman"/>
        </w:rPr>
        <w:t>and for deploying networks that can provide service to the public.</w:t>
      </w:r>
    </w:p>
    <w:p w:rsidR="00BF2631" w:rsidRDefault="00BF2631" w:rsidP="00CB40E2">
      <w:pPr>
        <w:spacing w:after="0" w:line="240" w:lineRule="auto"/>
        <w:ind w:firstLine="720"/>
        <w:rPr>
          <w:rFonts w:ascii="Times New Roman" w:hAnsi="Times New Roman" w:cs="Times New Roman"/>
        </w:rPr>
      </w:pPr>
    </w:p>
    <w:p w:rsidR="00985396" w:rsidRDefault="009D5B14" w:rsidP="00FC70EB">
      <w:pPr>
        <w:spacing w:after="0" w:line="240" w:lineRule="auto"/>
        <w:rPr>
          <w:rFonts w:ascii="Times New Roman" w:hAnsi="Times New Roman" w:cs="Times New Roman"/>
        </w:rPr>
      </w:pPr>
      <w:r>
        <w:rPr>
          <w:rFonts w:ascii="Times New Roman" w:hAnsi="Times New Roman" w:cs="Times New Roman"/>
        </w:rPr>
        <w:t xml:space="preserve">     </w:t>
      </w:r>
      <w:r w:rsidR="00147FE9" w:rsidRPr="00147FE9">
        <w:rPr>
          <w:rFonts w:ascii="Times New Roman" w:hAnsi="Times New Roman" w:cs="Times New Roman"/>
        </w:rPr>
        <w:t>According to a number of commenters, th</w:t>
      </w:r>
      <w:r w:rsidR="00147FE9">
        <w:rPr>
          <w:rFonts w:ascii="Times New Roman" w:hAnsi="Times New Roman" w:cs="Times New Roman"/>
        </w:rPr>
        <w:t>e AMR rule i</w:t>
      </w:r>
      <w:r w:rsidR="00147FE9" w:rsidRPr="00147FE9">
        <w:rPr>
          <w:rFonts w:ascii="Times New Roman" w:hAnsi="Times New Roman" w:cs="Times New Roman"/>
        </w:rPr>
        <w:t xml:space="preserve">s having an adverse </w:t>
      </w:r>
      <w:r w:rsidR="00BF2631">
        <w:rPr>
          <w:rFonts w:ascii="Times New Roman" w:hAnsi="Times New Roman" w:cs="Times New Roman"/>
        </w:rPr>
        <w:t>effect</w:t>
      </w:r>
      <w:r w:rsidR="00147FE9" w:rsidRPr="00147FE9">
        <w:rPr>
          <w:rFonts w:ascii="Times New Roman" w:hAnsi="Times New Roman" w:cs="Times New Roman"/>
        </w:rPr>
        <w:t xml:space="preserve"> on small businesses </w:t>
      </w:r>
      <w:r w:rsidR="00A379FB">
        <w:rPr>
          <w:rFonts w:ascii="Times New Roman" w:hAnsi="Times New Roman" w:cs="Times New Roman"/>
        </w:rPr>
        <w:t xml:space="preserve">at a time when these entities are facing increasing challenges to </w:t>
      </w:r>
      <w:r w:rsidR="008369BE">
        <w:rPr>
          <w:rFonts w:ascii="Times New Roman" w:hAnsi="Times New Roman" w:cs="Times New Roman"/>
        </w:rPr>
        <w:t xml:space="preserve">compete </w:t>
      </w:r>
      <w:r w:rsidR="00147FE9" w:rsidRPr="00147FE9">
        <w:rPr>
          <w:rFonts w:ascii="Times New Roman" w:hAnsi="Times New Roman" w:cs="Times New Roman"/>
        </w:rPr>
        <w:t xml:space="preserve">effectively in the commercial wireless industry.  It appears to have prevented some small businesses, which previously qualified as DEs and had entered into spectrum leases before the rule was adopted, from participating as DEs in the auctions for valuable AWS-1 and 700 MHz spectrum.  </w:t>
      </w:r>
      <w:r w:rsidR="00BB0AB9">
        <w:rPr>
          <w:rFonts w:ascii="Times New Roman" w:hAnsi="Times New Roman" w:cs="Times New Roman"/>
        </w:rPr>
        <w:t>On</w:t>
      </w:r>
      <w:r w:rsidR="00985396">
        <w:rPr>
          <w:rFonts w:ascii="Times New Roman" w:hAnsi="Times New Roman" w:cs="Times New Roman"/>
        </w:rPr>
        <w:t>e</w:t>
      </w:r>
      <w:r w:rsidR="00BB0AB9">
        <w:rPr>
          <w:rFonts w:ascii="Times New Roman" w:hAnsi="Times New Roman" w:cs="Times New Roman"/>
        </w:rPr>
        <w:t xml:space="preserve"> party asserts there was “</w:t>
      </w:r>
      <w:r w:rsidR="00BB0AB9" w:rsidRPr="00BB0AB9">
        <w:rPr>
          <w:rFonts w:ascii="Times New Roman" w:hAnsi="Times New Roman" w:cs="Times New Roman"/>
        </w:rPr>
        <w:t>a precipitous drop in DE participation from 70% of winning bids to only 4.0 percent and 2.6 % respectively</w:t>
      </w:r>
      <w:r w:rsidR="00B43F3E">
        <w:rPr>
          <w:rFonts w:ascii="Times New Roman" w:hAnsi="Times New Roman" w:cs="Times New Roman"/>
        </w:rPr>
        <w:t xml:space="preserve"> in those auctions</w:t>
      </w:r>
      <w:r w:rsidR="00BB0AB9" w:rsidRPr="00BB0AB9">
        <w:rPr>
          <w:rFonts w:ascii="Times New Roman" w:hAnsi="Times New Roman" w:cs="Times New Roman"/>
        </w:rPr>
        <w:t>.</w:t>
      </w:r>
      <w:r w:rsidR="00BB0AB9">
        <w:rPr>
          <w:rFonts w:ascii="Times New Roman" w:hAnsi="Times New Roman" w:cs="Times New Roman"/>
        </w:rPr>
        <w:t>”</w:t>
      </w:r>
      <w:r w:rsidR="00985396">
        <w:rPr>
          <w:rStyle w:val="FootnoteReference"/>
          <w:rFonts w:ascii="Times New Roman" w:hAnsi="Times New Roman" w:cs="Times New Roman"/>
        </w:rPr>
        <w:footnoteReference w:id="13"/>
      </w:r>
      <w:r w:rsidR="00BB0AB9" w:rsidRPr="00BB0AB9">
        <w:rPr>
          <w:rFonts w:ascii="Times New Roman" w:hAnsi="Times New Roman" w:cs="Times New Roman"/>
        </w:rPr>
        <w:t xml:space="preserve"> </w:t>
      </w:r>
      <w:r w:rsidR="00985396">
        <w:rPr>
          <w:rFonts w:ascii="Times New Roman" w:hAnsi="Times New Roman" w:cs="Times New Roman"/>
        </w:rPr>
        <w:t xml:space="preserve"> </w:t>
      </w:r>
      <w:r w:rsidR="00CC32E2">
        <w:rPr>
          <w:rFonts w:ascii="Times New Roman" w:hAnsi="Times New Roman" w:cs="Times New Roman"/>
        </w:rPr>
        <w:t xml:space="preserve">That significant a drop in DE participation is not only alarming, it indicates the Commission is </w:t>
      </w:r>
      <w:r w:rsidR="00367892">
        <w:rPr>
          <w:rFonts w:ascii="Times New Roman" w:hAnsi="Times New Roman" w:cs="Times New Roman"/>
        </w:rPr>
        <w:t xml:space="preserve">not doing enough to </w:t>
      </w:r>
      <w:r w:rsidR="00CC32E2">
        <w:rPr>
          <w:rFonts w:ascii="Times New Roman" w:hAnsi="Times New Roman" w:cs="Times New Roman"/>
        </w:rPr>
        <w:t xml:space="preserve">meet </w:t>
      </w:r>
      <w:r w:rsidR="006E190E">
        <w:rPr>
          <w:rFonts w:ascii="Times New Roman" w:hAnsi="Times New Roman" w:cs="Times New Roman"/>
        </w:rPr>
        <w:t xml:space="preserve">the </w:t>
      </w:r>
      <w:r w:rsidR="00367892">
        <w:rPr>
          <w:rFonts w:ascii="Times New Roman" w:hAnsi="Times New Roman" w:cs="Times New Roman"/>
        </w:rPr>
        <w:t>c</w:t>
      </w:r>
      <w:r w:rsidR="008369BE">
        <w:rPr>
          <w:rFonts w:ascii="Times New Roman" w:hAnsi="Times New Roman" w:cs="Times New Roman"/>
        </w:rPr>
        <w:t>lear directive of</w:t>
      </w:r>
      <w:r w:rsidR="00CC32E2">
        <w:rPr>
          <w:rFonts w:ascii="Times New Roman" w:hAnsi="Times New Roman" w:cs="Times New Roman"/>
        </w:rPr>
        <w:t xml:space="preserve"> Section </w:t>
      </w:r>
      <w:r w:rsidR="00985396">
        <w:rPr>
          <w:rFonts w:ascii="Times New Roman" w:hAnsi="Times New Roman" w:cs="Times New Roman"/>
        </w:rPr>
        <w:t>309(j)</w:t>
      </w:r>
      <w:r w:rsidR="00CC32E2">
        <w:rPr>
          <w:rFonts w:ascii="Times New Roman" w:hAnsi="Times New Roman" w:cs="Times New Roman"/>
        </w:rPr>
        <w:t>,</w:t>
      </w:r>
      <w:r w:rsidR="00985396">
        <w:rPr>
          <w:rFonts w:ascii="Times New Roman" w:hAnsi="Times New Roman" w:cs="Times New Roman"/>
        </w:rPr>
        <w:t xml:space="preserve"> </w:t>
      </w:r>
      <w:r w:rsidR="00CC32E2">
        <w:rPr>
          <w:rFonts w:ascii="Times New Roman" w:hAnsi="Times New Roman" w:cs="Times New Roman"/>
        </w:rPr>
        <w:t xml:space="preserve">that </w:t>
      </w:r>
      <w:r w:rsidR="00985396">
        <w:rPr>
          <w:rFonts w:ascii="Times New Roman" w:hAnsi="Times New Roman" w:cs="Times New Roman"/>
        </w:rPr>
        <w:t xml:space="preserve">auctions </w:t>
      </w:r>
      <w:r w:rsidR="00367892">
        <w:rPr>
          <w:rFonts w:ascii="Times New Roman" w:hAnsi="Times New Roman" w:cs="Times New Roman"/>
        </w:rPr>
        <w:t>“</w:t>
      </w:r>
      <w:r w:rsidR="00CC32E2">
        <w:rPr>
          <w:rFonts w:ascii="Times New Roman" w:hAnsi="Times New Roman" w:cs="Times New Roman"/>
        </w:rPr>
        <w:t xml:space="preserve">promote </w:t>
      </w:r>
      <w:r w:rsidR="00367892">
        <w:rPr>
          <w:rFonts w:ascii="Times New Roman" w:hAnsi="Times New Roman" w:cs="Times New Roman"/>
        </w:rPr>
        <w:t>economic opportunity and competition…</w:t>
      </w:r>
      <w:r w:rsidR="00323BB5">
        <w:rPr>
          <w:rFonts w:ascii="Times New Roman" w:hAnsi="Times New Roman" w:cs="Times New Roman"/>
        </w:rPr>
        <w:t xml:space="preserve"> </w:t>
      </w:r>
      <w:r w:rsidR="00367892">
        <w:rPr>
          <w:rFonts w:ascii="Times New Roman" w:hAnsi="Times New Roman" w:cs="Times New Roman"/>
        </w:rPr>
        <w:t xml:space="preserve">by </w:t>
      </w:r>
      <w:r w:rsidR="00985396" w:rsidRPr="00985396">
        <w:rPr>
          <w:rFonts w:ascii="Times New Roman" w:hAnsi="Times New Roman" w:cs="Times New Roman"/>
        </w:rPr>
        <w:t>avoid</w:t>
      </w:r>
      <w:r w:rsidR="00CC32E2">
        <w:rPr>
          <w:rFonts w:ascii="Times New Roman" w:hAnsi="Times New Roman" w:cs="Times New Roman"/>
        </w:rPr>
        <w:t xml:space="preserve">ing </w:t>
      </w:r>
      <w:r w:rsidR="00985396" w:rsidRPr="00985396">
        <w:rPr>
          <w:rFonts w:ascii="Times New Roman" w:hAnsi="Times New Roman" w:cs="Times New Roman"/>
        </w:rPr>
        <w:t>excessive concentration of licenses and by disseminating licenses among a wide variety of applicants, including small businesses</w:t>
      </w:r>
      <w:r w:rsidR="00CC32E2">
        <w:rPr>
          <w:rFonts w:ascii="Times New Roman" w:hAnsi="Times New Roman" w:cs="Times New Roman"/>
        </w:rPr>
        <w:t>.”</w:t>
      </w:r>
      <w:r w:rsidR="00CC32E2">
        <w:rPr>
          <w:rStyle w:val="FootnoteReference"/>
          <w:rFonts w:ascii="Times New Roman" w:hAnsi="Times New Roman" w:cs="Times New Roman"/>
        </w:rPr>
        <w:footnoteReference w:id="14"/>
      </w:r>
      <w:r w:rsidR="00CC32E2">
        <w:rPr>
          <w:rFonts w:ascii="Times New Roman" w:hAnsi="Times New Roman" w:cs="Times New Roman"/>
        </w:rPr>
        <w:t xml:space="preserve">  </w:t>
      </w:r>
    </w:p>
    <w:p w:rsidR="00367892" w:rsidRDefault="00367892" w:rsidP="00FC70EB">
      <w:pPr>
        <w:spacing w:after="0" w:line="240" w:lineRule="auto"/>
        <w:rPr>
          <w:rFonts w:ascii="Times New Roman" w:hAnsi="Times New Roman" w:cs="Times New Roman"/>
        </w:rPr>
      </w:pPr>
    </w:p>
    <w:p w:rsidR="00147FE9" w:rsidRDefault="009D5B14" w:rsidP="009D5B14">
      <w:pPr>
        <w:spacing w:after="0" w:line="240" w:lineRule="auto"/>
        <w:rPr>
          <w:rFonts w:ascii="Times New Roman" w:hAnsi="Times New Roman" w:cs="Times New Roman"/>
        </w:rPr>
      </w:pPr>
      <w:r>
        <w:rPr>
          <w:rFonts w:ascii="Times New Roman" w:hAnsi="Times New Roman" w:cs="Times New Roman"/>
        </w:rPr>
        <w:t xml:space="preserve">     </w:t>
      </w:r>
      <w:r w:rsidR="00985396">
        <w:rPr>
          <w:rFonts w:ascii="Times New Roman" w:hAnsi="Times New Roman" w:cs="Times New Roman"/>
        </w:rPr>
        <w:t>The AMR rule i</w:t>
      </w:r>
      <w:r w:rsidR="00147FE9" w:rsidRPr="00147FE9">
        <w:rPr>
          <w:rFonts w:ascii="Times New Roman" w:hAnsi="Times New Roman" w:cs="Times New Roman"/>
        </w:rPr>
        <w:t xml:space="preserve">s also likely deterring current DEs from leasing spectrum they previously acquired at auction for fear they will </w:t>
      </w:r>
      <w:r w:rsidR="006E190E">
        <w:rPr>
          <w:rFonts w:ascii="Times New Roman" w:hAnsi="Times New Roman" w:cs="Times New Roman"/>
        </w:rPr>
        <w:t>lose</w:t>
      </w:r>
      <w:r w:rsidR="00147FE9" w:rsidRPr="00147FE9">
        <w:rPr>
          <w:rFonts w:ascii="Times New Roman" w:hAnsi="Times New Roman" w:cs="Times New Roman"/>
        </w:rPr>
        <w:t xml:space="preserve"> their DE status in upcoming auctions.  This type of reaction to our DE rules also improperly impedes our secondary market policies that are important to the dynamic and productive use of spectrum for commercial services.  </w:t>
      </w:r>
      <w:r w:rsidR="00BB0AB9" w:rsidRPr="00BB0AB9">
        <w:rPr>
          <w:rFonts w:ascii="Times New Roman" w:hAnsi="Times New Roman" w:cs="Times New Roman"/>
        </w:rPr>
        <w:t>DEs</w:t>
      </w:r>
      <w:r w:rsidR="00367892">
        <w:rPr>
          <w:rFonts w:ascii="Times New Roman" w:hAnsi="Times New Roman" w:cs="Times New Roman"/>
        </w:rPr>
        <w:t>,</w:t>
      </w:r>
      <w:r w:rsidR="00BB0AB9" w:rsidRPr="00BB0AB9">
        <w:rPr>
          <w:rFonts w:ascii="Times New Roman" w:hAnsi="Times New Roman" w:cs="Times New Roman"/>
        </w:rPr>
        <w:t xml:space="preserve"> and other small businesses who want to compete in the wireless market, need flexibility to take advantage of opportunities to participate in the provision of spectrum-based services, including through spectrum leasing, and mobile virtual network operator arrangements.</w:t>
      </w:r>
      <w:r w:rsidR="00367892">
        <w:rPr>
          <w:rFonts w:ascii="Times New Roman" w:hAnsi="Times New Roman" w:cs="Times New Roman"/>
        </w:rPr>
        <w:t xml:space="preserve">  </w:t>
      </w:r>
    </w:p>
    <w:p w:rsidR="00147FE9" w:rsidRDefault="00147FE9" w:rsidP="00FC70EB">
      <w:pPr>
        <w:spacing w:after="0" w:line="240" w:lineRule="auto"/>
        <w:rPr>
          <w:rFonts w:ascii="Times New Roman" w:hAnsi="Times New Roman" w:cs="Times New Roman"/>
        </w:rPr>
      </w:pPr>
    </w:p>
    <w:p w:rsidR="004E7715" w:rsidRDefault="004E7715" w:rsidP="00FC70EB">
      <w:pPr>
        <w:spacing w:after="0" w:line="240" w:lineRule="auto"/>
        <w:rPr>
          <w:rFonts w:ascii="Times New Roman" w:hAnsi="Times New Roman" w:cs="Times New Roman"/>
          <w:b/>
          <w:u w:val="single"/>
        </w:rPr>
      </w:pPr>
      <w:r w:rsidRPr="004E7715">
        <w:rPr>
          <w:rFonts w:ascii="Times New Roman" w:hAnsi="Times New Roman" w:cs="Times New Roman"/>
          <w:b/>
          <w:u w:val="single"/>
        </w:rPr>
        <w:t xml:space="preserve">These </w:t>
      </w:r>
      <w:r w:rsidR="004D0C41">
        <w:rPr>
          <w:rFonts w:ascii="Times New Roman" w:hAnsi="Times New Roman" w:cs="Times New Roman"/>
          <w:b/>
          <w:u w:val="single"/>
        </w:rPr>
        <w:t xml:space="preserve">Proposed </w:t>
      </w:r>
      <w:r w:rsidRPr="004E7715">
        <w:rPr>
          <w:rFonts w:ascii="Times New Roman" w:hAnsi="Times New Roman" w:cs="Times New Roman"/>
          <w:b/>
          <w:u w:val="single"/>
        </w:rPr>
        <w:t xml:space="preserve">Changes </w:t>
      </w:r>
      <w:r w:rsidR="004D0C41">
        <w:rPr>
          <w:rFonts w:ascii="Times New Roman" w:hAnsi="Times New Roman" w:cs="Times New Roman"/>
          <w:b/>
          <w:u w:val="single"/>
        </w:rPr>
        <w:t xml:space="preserve">to the DE Rule </w:t>
      </w:r>
      <w:r w:rsidRPr="004E7715">
        <w:rPr>
          <w:rFonts w:ascii="Times New Roman" w:hAnsi="Times New Roman" w:cs="Times New Roman"/>
          <w:b/>
          <w:u w:val="single"/>
        </w:rPr>
        <w:t>are Consistent with Congressional Intent</w:t>
      </w:r>
    </w:p>
    <w:p w:rsidR="004E7715" w:rsidRPr="004E7715" w:rsidRDefault="004E7715" w:rsidP="00FC70EB">
      <w:pPr>
        <w:spacing w:after="0" w:line="240" w:lineRule="auto"/>
        <w:rPr>
          <w:rFonts w:ascii="Times New Roman" w:hAnsi="Times New Roman" w:cs="Times New Roman"/>
          <w:b/>
          <w:u w:val="single"/>
        </w:rPr>
      </w:pPr>
    </w:p>
    <w:p w:rsidR="00BF2631" w:rsidRDefault="009D5B14" w:rsidP="009D5B14">
      <w:pPr>
        <w:spacing w:after="0" w:line="240" w:lineRule="auto"/>
        <w:rPr>
          <w:rFonts w:ascii="Times New Roman" w:hAnsi="Times New Roman" w:cs="Times New Roman"/>
        </w:rPr>
      </w:pPr>
      <w:r>
        <w:rPr>
          <w:rFonts w:ascii="Times New Roman" w:hAnsi="Times New Roman" w:cs="Times New Roman"/>
        </w:rPr>
        <w:t xml:space="preserve">     </w:t>
      </w:r>
      <w:r w:rsidR="00EF4B69" w:rsidRPr="00EF4B69">
        <w:rPr>
          <w:rFonts w:ascii="Times New Roman" w:hAnsi="Times New Roman" w:cs="Times New Roman"/>
        </w:rPr>
        <w:t>To be sure, I fully support rules and policies that properly enforce Congress’s intent that small businesses who acquire spectrum bidding credits are not unjust</w:t>
      </w:r>
      <w:r w:rsidR="008369BE">
        <w:rPr>
          <w:rFonts w:ascii="Times New Roman" w:hAnsi="Times New Roman" w:cs="Times New Roman"/>
        </w:rPr>
        <w:t>ly</w:t>
      </w:r>
      <w:r w:rsidR="00EF4B69" w:rsidRPr="00EF4B69">
        <w:rPr>
          <w:rFonts w:ascii="Times New Roman" w:hAnsi="Times New Roman" w:cs="Times New Roman"/>
        </w:rPr>
        <w:t xml:space="preserve"> enriched by simply reselling spectrum in the aftermarket.  But, we can do a better job </w:t>
      </w:r>
      <w:r w:rsidR="008369BE">
        <w:rPr>
          <w:rFonts w:ascii="Times New Roman" w:hAnsi="Times New Roman" w:cs="Times New Roman"/>
        </w:rPr>
        <w:t>in developing DE rules, which</w:t>
      </w:r>
      <w:r w:rsidR="00EF4B69" w:rsidRPr="00EF4B69">
        <w:rPr>
          <w:rFonts w:ascii="Times New Roman" w:hAnsi="Times New Roman" w:cs="Times New Roman"/>
        </w:rPr>
        <w:t xml:space="preserve"> promote that policy</w:t>
      </w:r>
      <w:r w:rsidR="008369BE">
        <w:rPr>
          <w:rFonts w:ascii="Times New Roman" w:hAnsi="Times New Roman" w:cs="Times New Roman"/>
        </w:rPr>
        <w:t>,</w:t>
      </w:r>
      <w:r w:rsidR="00EF4B69" w:rsidRPr="00EF4B69">
        <w:rPr>
          <w:rFonts w:ascii="Times New Roman" w:hAnsi="Times New Roman" w:cs="Times New Roman"/>
        </w:rPr>
        <w:t xml:space="preserve"> as well as giving small businesses the flexibility they need to enter into leases and other relationships that will help them secure financing and develop business models to effectively compete in an increasingly consolidated wireless market.  </w:t>
      </w:r>
      <w:r w:rsidR="008B0B92">
        <w:rPr>
          <w:rFonts w:ascii="Times New Roman" w:hAnsi="Times New Roman" w:cs="Times New Roman"/>
        </w:rPr>
        <w:t xml:space="preserve">By applying well established </w:t>
      </w:r>
      <w:r w:rsidR="008B0B92" w:rsidRPr="008B0B92">
        <w:rPr>
          <w:rFonts w:ascii="Times New Roman" w:hAnsi="Times New Roman" w:cs="Times New Roman"/>
        </w:rPr>
        <w:t xml:space="preserve">principles </w:t>
      </w:r>
      <w:r w:rsidR="00B43F3E">
        <w:rPr>
          <w:rFonts w:ascii="Times New Roman" w:hAnsi="Times New Roman" w:cs="Times New Roman"/>
        </w:rPr>
        <w:t xml:space="preserve">to </w:t>
      </w:r>
      <w:r w:rsidR="008B0B92">
        <w:rPr>
          <w:rFonts w:ascii="Times New Roman" w:hAnsi="Times New Roman" w:cs="Times New Roman"/>
        </w:rPr>
        <w:t>examin</w:t>
      </w:r>
      <w:r w:rsidR="00B43F3E">
        <w:rPr>
          <w:rFonts w:ascii="Times New Roman" w:hAnsi="Times New Roman" w:cs="Times New Roman"/>
        </w:rPr>
        <w:t>e</w:t>
      </w:r>
      <w:r w:rsidR="008B0B92">
        <w:rPr>
          <w:rFonts w:ascii="Times New Roman" w:hAnsi="Times New Roman" w:cs="Times New Roman"/>
        </w:rPr>
        <w:t xml:space="preserve"> </w:t>
      </w:r>
      <w:r w:rsidR="008B0B92" w:rsidRPr="008B0B92">
        <w:rPr>
          <w:rFonts w:ascii="Times New Roman" w:hAnsi="Times New Roman" w:cs="Times New Roman"/>
        </w:rPr>
        <w:t>control and affiliation</w:t>
      </w:r>
      <w:r w:rsidR="008B0B92">
        <w:rPr>
          <w:rFonts w:ascii="Times New Roman" w:hAnsi="Times New Roman" w:cs="Times New Roman"/>
        </w:rPr>
        <w:t xml:space="preserve"> of entities</w:t>
      </w:r>
      <w:r w:rsidR="008B0B92" w:rsidRPr="008B0B92">
        <w:rPr>
          <w:rFonts w:ascii="Times New Roman" w:hAnsi="Times New Roman" w:cs="Times New Roman"/>
        </w:rPr>
        <w:t xml:space="preserve">, </w:t>
      </w:r>
      <w:r w:rsidR="0023334E">
        <w:rPr>
          <w:rFonts w:ascii="Times New Roman" w:hAnsi="Times New Roman" w:cs="Times New Roman"/>
        </w:rPr>
        <w:t xml:space="preserve">and thoroughly reviewing leasing agreements, </w:t>
      </w:r>
      <w:r w:rsidR="008B0B92" w:rsidRPr="008B0B92">
        <w:rPr>
          <w:rFonts w:ascii="Times New Roman" w:hAnsi="Times New Roman" w:cs="Times New Roman"/>
        </w:rPr>
        <w:t xml:space="preserve">we </w:t>
      </w:r>
      <w:r w:rsidR="00172660">
        <w:rPr>
          <w:rFonts w:ascii="Times New Roman" w:hAnsi="Times New Roman" w:cs="Times New Roman"/>
        </w:rPr>
        <w:t xml:space="preserve">can </w:t>
      </w:r>
      <w:r w:rsidR="008B0B92" w:rsidRPr="008B0B92">
        <w:rPr>
          <w:rFonts w:ascii="Times New Roman" w:hAnsi="Times New Roman" w:cs="Times New Roman"/>
        </w:rPr>
        <w:t>safeguard small business benefits by attributing the revenues of any entity that has the ability to control, or potentially control, an applicant’s business venture</w:t>
      </w:r>
      <w:r w:rsidR="008B0B92" w:rsidRPr="00172660">
        <w:rPr>
          <w:rFonts w:ascii="Times New Roman" w:hAnsi="Times New Roman" w:cs="Times New Roman"/>
        </w:rPr>
        <w:t xml:space="preserve">.  </w:t>
      </w:r>
      <w:r w:rsidR="00172660" w:rsidRPr="00172660">
        <w:rPr>
          <w:rFonts w:ascii="Times New Roman" w:hAnsi="Times New Roman" w:cs="Times New Roman"/>
        </w:rPr>
        <w:t>In addition, b</w:t>
      </w:r>
      <w:r w:rsidR="008B0B92" w:rsidRPr="00172660">
        <w:rPr>
          <w:rFonts w:ascii="Times New Roman" w:hAnsi="Times New Roman" w:cs="Times New Roman"/>
        </w:rPr>
        <w:t>y</w:t>
      </w:r>
      <w:r w:rsidR="008B0B92">
        <w:t xml:space="preserve"> </w:t>
      </w:r>
      <w:r w:rsidR="008B0B92" w:rsidRPr="008B0B92">
        <w:rPr>
          <w:rFonts w:ascii="Times New Roman" w:hAnsi="Times New Roman" w:cs="Times New Roman"/>
        </w:rPr>
        <w:t>allow</w:t>
      </w:r>
      <w:r w:rsidR="008B0B92">
        <w:rPr>
          <w:rFonts w:ascii="Times New Roman" w:hAnsi="Times New Roman" w:cs="Times New Roman"/>
        </w:rPr>
        <w:t>ing</w:t>
      </w:r>
      <w:r w:rsidR="008B0B92" w:rsidRPr="008B0B92">
        <w:rPr>
          <w:rFonts w:ascii="Times New Roman" w:hAnsi="Times New Roman" w:cs="Times New Roman"/>
        </w:rPr>
        <w:t xml:space="preserve"> small businesses greater flexibility to engage in </w:t>
      </w:r>
      <w:r w:rsidR="008369BE">
        <w:rPr>
          <w:rFonts w:ascii="Times New Roman" w:hAnsi="Times New Roman" w:cs="Times New Roman"/>
        </w:rPr>
        <w:t xml:space="preserve">a </w:t>
      </w:r>
      <w:r w:rsidR="000B17CC">
        <w:rPr>
          <w:rFonts w:ascii="Times New Roman" w:hAnsi="Times New Roman" w:cs="Times New Roman"/>
        </w:rPr>
        <w:t xml:space="preserve">wider range of </w:t>
      </w:r>
      <w:r w:rsidR="008B0B92" w:rsidRPr="008B0B92">
        <w:rPr>
          <w:rFonts w:ascii="Times New Roman" w:hAnsi="Times New Roman" w:cs="Times New Roman"/>
        </w:rPr>
        <w:t xml:space="preserve">business </w:t>
      </w:r>
      <w:r w:rsidR="000B17CC">
        <w:rPr>
          <w:rFonts w:ascii="Times New Roman" w:hAnsi="Times New Roman" w:cs="Times New Roman"/>
        </w:rPr>
        <w:t>arrangements</w:t>
      </w:r>
      <w:r w:rsidR="008B0B92" w:rsidRPr="008B0B92">
        <w:rPr>
          <w:rFonts w:ascii="Times New Roman" w:hAnsi="Times New Roman" w:cs="Times New Roman"/>
        </w:rPr>
        <w:t xml:space="preserve">, </w:t>
      </w:r>
      <w:r w:rsidR="008B0B92">
        <w:rPr>
          <w:rFonts w:ascii="Times New Roman" w:hAnsi="Times New Roman" w:cs="Times New Roman"/>
        </w:rPr>
        <w:t xml:space="preserve">this should </w:t>
      </w:r>
      <w:r w:rsidR="008B0B92" w:rsidRPr="008B0B92">
        <w:rPr>
          <w:rFonts w:ascii="Times New Roman" w:hAnsi="Times New Roman" w:cs="Times New Roman"/>
        </w:rPr>
        <w:t>increase the potential sources of revenue for the small business</w:t>
      </w:r>
      <w:r w:rsidR="00172660">
        <w:rPr>
          <w:rFonts w:ascii="Times New Roman" w:hAnsi="Times New Roman" w:cs="Times New Roman"/>
        </w:rPr>
        <w:t>es</w:t>
      </w:r>
      <w:r w:rsidR="008B0B92" w:rsidRPr="008B0B92">
        <w:rPr>
          <w:rFonts w:ascii="Times New Roman" w:hAnsi="Times New Roman" w:cs="Times New Roman"/>
        </w:rPr>
        <w:t xml:space="preserve"> and decrease the likelihood </w:t>
      </w:r>
      <w:r w:rsidR="00172660">
        <w:rPr>
          <w:rFonts w:ascii="Times New Roman" w:hAnsi="Times New Roman" w:cs="Times New Roman"/>
        </w:rPr>
        <w:t>they</w:t>
      </w:r>
      <w:r w:rsidR="008B0B92" w:rsidRPr="008B0B92">
        <w:rPr>
          <w:rFonts w:ascii="Times New Roman" w:hAnsi="Times New Roman" w:cs="Times New Roman"/>
        </w:rPr>
        <w:t xml:space="preserve"> would be subject to undue influence by any particular user of a single license</w:t>
      </w:r>
      <w:r w:rsidR="008B0B92">
        <w:rPr>
          <w:rFonts w:ascii="Times New Roman" w:hAnsi="Times New Roman" w:cs="Times New Roman"/>
        </w:rPr>
        <w:t>.</w:t>
      </w:r>
      <w:r w:rsidR="00BF2631">
        <w:rPr>
          <w:rFonts w:ascii="Times New Roman" w:hAnsi="Times New Roman" w:cs="Times New Roman"/>
        </w:rPr>
        <w:t xml:space="preserve">  </w:t>
      </w:r>
    </w:p>
    <w:p w:rsidR="00CC057D" w:rsidRDefault="00CC057D" w:rsidP="00BF2631">
      <w:pPr>
        <w:spacing w:after="0" w:line="240" w:lineRule="auto"/>
        <w:rPr>
          <w:rFonts w:ascii="Times New Roman" w:hAnsi="Times New Roman" w:cs="Times New Roman"/>
          <w:b/>
          <w:u w:val="single"/>
        </w:rPr>
      </w:pPr>
    </w:p>
    <w:p w:rsidR="00382922" w:rsidRPr="00382922" w:rsidRDefault="00BF2631" w:rsidP="00BF2631">
      <w:pPr>
        <w:spacing w:after="0" w:line="240" w:lineRule="auto"/>
        <w:rPr>
          <w:rFonts w:ascii="Times New Roman" w:hAnsi="Times New Roman" w:cs="Times New Roman"/>
          <w:b/>
          <w:u w:val="single"/>
        </w:rPr>
      </w:pPr>
      <w:r w:rsidRPr="00BF2631">
        <w:rPr>
          <w:rFonts w:ascii="Times New Roman" w:hAnsi="Times New Roman" w:cs="Times New Roman"/>
          <w:b/>
          <w:u w:val="single"/>
        </w:rPr>
        <w:t>Th</w:t>
      </w:r>
      <w:r w:rsidR="00382922" w:rsidRPr="00BF2631">
        <w:rPr>
          <w:rFonts w:ascii="Times New Roman" w:hAnsi="Times New Roman" w:cs="Times New Roman"/>
          <w:b/>
          <w:u w:val="single"/>
        </w:rPr>
        <w:t>e</w:t>
      </w:r>
      <w:r w:rsidR="00382922" w:rsidRPr="00382922">
        <w:rPr>
          <w:rFonts w:ascii="Times New Roman" w:hAnsi="Times New Roman" w:cs="Times New Roman"/>
          <w:b/>
          <w:u w:val="single"/>
        </w:rPr>
        <w:t xml:space="preserve"> Commission Should Promote Deployment to Under Served Areas and Persistent Poverty Counties</w:t>
      </w:r>
    </w:p>
    <w:p w:rsidR="00382922" w:rsidRDefault="00382922" w:rsidP="00382922">
      <w:pPr>
        <w:spacing w:after="0" w:line="240" w:lineRule="auto"/>
        <w:rPr>
          <w:rFonts w:ascii="Times New Roman" w:hAnsi="Times New Roman" w:cs="Times New Roman"/>
        </w:rPr>
      </w:pPr>
    </w:p>
    <w:p w:rsidR="00271975" w:rsidRDefault="009D5B14" w:rsidP="009D5B14">
      <w:pPr>
        <w:spacing w:after="0" w:line="240" w:lineRule="auto"/>
        <w:rPr>
          <w:rFonts w:ascii="Times New Roman" w:hAnsi="Times New Roman" w:cs="Times New Roman"/>
        </w:rPr>
      </w:pPr>
      <w:r>
        <w:rPr>
          <w:rFonts w:ascii="Times New Roman" w:hAnsi="Times New Roman" w:cs="Times New Roman"/>
        </w:rPr>
        <w:t xml:space="preserve">     </w:t>
      </w:r>
      <w:r w:rsidR="008B0B92">
        <w:rPr>
          <w:rFonts w:ascii="Times New Roman" w:hAnsi="Times New Roman" w:cs="Times New Roman"/>
        </w:rPr>
        <w:t xml:space="preserve">I am also pleased this NPRM seeks comment on whether the Commission should </w:t>
      </w:r>
      <w:r w:rsidR="008B0B92" w:rsidRPr="008B0B92">
        <w:rPr>
          <w:rFonts w:ascii="Times New Roman" w:hAnsi="Times New Roman" w:cs="Times New Roman"/>
        </w:rPr>
        <w:t>extend bidding credits to winning bidders that deploy facilities and provide service to underserved areas</w:t>
      </w:r>
      <w:r w:rsidR="008B0B92">
        <w:rPr>
          <w:rFonts w:ascii="Times New Roman" w:hAnsi="Times New Roman" w:cs="Times New Roman"/>
        </w:rPr>
        <w:t xml:space="preserve">, </w:t>
      </w:r>
      <w:r w:rsidR="00815859">
        <w:rPr>
          <w:rFonts w:ascii="Times New Roman" w:hAnsi="Times New Roman" w:cs="Times New Roman"/>
        </w:rPr>
        <w:t>particularly those areas that would constitute</w:t>
      </w:r>
      <w:r w:rsidR="008B0B92">
        <w:rPr>
          <w:rFonts w:ascii="Times New Roman" w:hAnsi="Times New Roman" w:cs="Times New Roman"/>
        </w:rPr>
        <w:t xml:space="preserve"> </w:t>
      </w:r>
      <w:r w:rsidR="008B0B92" w:rsidRPr="008B0B92">
        <w:rPr>
          <w:rFonts w:ascii="Times New Roman" w:hAnsi="Times New Roman" w:cs="Times New Roman"/>
        </w:rPr>
        <w:t>persistent poverty counties.  As defined by the Department of Agriculture’s Economic Research Service (“ERS”), a county is persistently poor if 20 percent or more of its population was living in poverty over the last 30 years</w:t>
      </w:r>
      <w:r w:rsidR="008B0B92">
        <w:rPr>
          <w:rFonts w:ascii="Times New Roman" w:hAnsi="Times New Roman" w:cs="Times New Roman"/>
        </w:rPr>
        <w:t xml:space="preserve">.  </w:t>
      </w:r>
      <w:r w:rsidR="008B0B92" w:rsidRPr="008B0B92">
        <w:rPr>
          <w:rFonts w:ascii="Times New Roman" w:hAnsi="Times New Roman" w:cs="Times New Roman"/>
        </w:rPr>
        <w:t>According to the ERS, “there are currently 353 persistently poor counties in the United States (comprising 11.2 percent of all U.S. counties).”</w:t>
      </w:r>
      <w:r w:rsidR="000B17CC">
        <w:rPr>
          <w:rStyle w:val="FootnoteReference"/>
          <w:rFonts w:ascii="Times New Roman" w:hAnsi="Times New Roman" w:cs="Times New Roman"/>
        </w:rPr>
        <w:footnoteReference w:id="15"/>
      </w:r>
      <w:r w:rsidR="00815859" w:rsidRPr="00815859">
        <w:t xml:space="preserve"> </w:t>
      </w:r>
      <w:r w:rsidR="00815859">
        <w:rPr>
          <w:rFonts w:ascii="Times New Roman" w:hAnsi="Times New Roman" w:cs="Times New Roman"/>
        </w:rPr>
        <w:t xml:space="preserve"> Despite the fact that 98 percent of Americans have access to commercial mobile wireless networks, our last report on the mobile wireless market found that 7.7 million people </w:t>
      </w:r>
      <w:r w:rsidR="00815859" w:rsidRPr="00815859">
        <w:rPr>
          <w:rFonts w:ascii="Times New Roman" w:hAnsi="Times New Roman" w:cs="Times New Roman"/>
        </w:rPr>
        <w:t>liv</w:t>
      </w:r>
      <w:r w:rsidR="00815859">
        <w:rPr>
          <w:rFonts w:ascii="Times New Roman" w:hAnsi="Times New Roman" w:cs="Times New Roman"/>
        </w:rPr>
        <w:t>e</w:t>
      </w:r>
      <w:r w:rsidR="00815859" w:rsidRPr="00815859">
        <w:rPr>
          <w:rFonts w:ascii="Times New Roman" w:hAnsi="Times New Roman" w:cs="Times New Roman"/>
        </w:rPr>
        <w:t xml:space="preserve"> in rural areas </w:t>
      </w:r>
      <w:r w:rsidR="00815859">
        <w:rPr>
          <w:rFonts w:ascii="Times New Roman" w:hAnsi="Times New Roman" w:cs="Times New Roman"/>
        </w:rPr>
        <w:t xml:space="preserve">with </w:t>
      </w:r>
      <w:r w:rsidR="00815859" w:rsidRPr="00815859">
        <w:rPr>
          <w:rFonts w:ascii="Times New Roman" w:hAnsi="Times New Roman" w:cs="Times New Roman"/>
        </w:rPr>
        <w:t xml:space="preserve">two or fewer </w:t>
      </w:r>
      <w:r w:rsidR="00F26A02">
        <w:rPr>
          <w:rFonts w:ascii="Times New Roman" w:hAnsi="Times New Roman" w:cs="Times New Roman"/>
        </w:rPr>
        <w:t xml:space="preserve">service </w:t>
      </w:r>
      <w:r w:rsidR="00815859" w:rsidRPr="00815859">
        <w:rPr>
          <w:rFonts w:ascii="Times New Roman" w:hAnsi="Times New Roman" w:cs="Times New Roman"/>
        </w:rPr>
        <w:t>options</w:t>
      </w:r>
      <w:r w:rsidR="008369BE">
        <w:rPr>
          <w:rFonts w:ascii="Times New Roman" w:hAnsi="Times New Roman" w:cs="Times New Roman"/>
        </w:rPr>
        <w:t>,</w:t>
      </w:r>
      <w:r w:rsidR="00815859">
        <w:rPr>
          <w:rFonts w:ascii="Times New Roman" w:hAnsi="Times New Roman" w:cs="Times New Roman"/>
        </w:rPr>
        <w:t xml:space="preserve"> and there are still 4</w:t>
      </w:r>
      <w:r w:rsidR="00815859" w:rsidRPr="00815859">
        <w:rPr>
          <w:rFonts w:ascii="Times New Roman" w:hAnsi="Times New Roman" w:cs="Times New Roman"/>
        </w:rPr>
        <w:t xml:space="preserve">00,000 Americans </w:t>
      </w:r>
      <w:r w:rsidR="00F26A02">
        <w:rPr>
          <w:rFonts w:ascii="Times New Roman" w:hAnsi="Times New Roman" w:cs="Times New Roman"/>
        </w:rPr>
        <w:t xml:space="preserve">who </w:t>
      </w:r>
      <w:r w:rsidR="00815859" w:rsidRPr="00815859">
        <w:rPr>
          <w:rFonts w:ascii="Times New Roman" w:hAnsi="Times New Roman" w:cs="Times New Roman"/>
        </w:rPr>
        <w:t>lack access to any mobile service option</w:t>
      </w:r>
      <w:r w:rsidR="00C42AD0">
        <w:rPr>
          <w:rFonts w:ascii="Times New Roman" w:hAnsi="Times New Roman" w:cs="Times New Roman"/>
        </w:rPr>
        <w:t>.</w:t>
      </w:r>
      <w:r w:rsidR="00C42AD0">
        <w:rPr>
          <w:rStyle w:val="FootnoteReference"/>
          <w:rFonts w:ascii="Times New Roman" w:hAnsi="Times New Roman" w:cs="Times New Roman"/>
        </w:rPr>
        <w:footnoteReference w:id="16"/>
      </w:r>
      <w:r w:rsidR="00C42AD0">
        <w:rPr>
          <w:rFonts w:ascii="Times New Roman" w:hAnsi="Times New Roman" w:cs="Times New Roman"/>
        </w:rPr>
        <w:t xml:space="preserve">  </w:t>
      </w:r>
      <w:r w:rsidR="00815859" w:rsidRPr="00815859">
        <w:rPr>
          <w:rFonts w:ascii="Times New Roman" w:hAnsi="Times New Roman" w:cs="Times New Roman"/>
        </w:rPr>
        <w:t xml:space="preserve"> </w:t>
      </w:r>
      <w:r w:rsidR="00815859">
        <w:rPr>
          <w:rFonts w:ascii="Times New Roman" w:hAnsi="Times New Roman" w:cs="Times New Roman"/>
        </w:rPr>
        <w:t xml:space="preserve"> Deployment of new wireless networks can drive jobs and economic growth in communities</w:t>
      </w:r>
      <w:r w:rsidR="00C42AD0">
        <w:rPr>
          <w:rFonts w:ascii="Times New Roman" w:hAnsi="Times New Roman" w:cs="Times New Roman"/>
        </w:rPr>
        <w:t xml:space="preserve">.  </w:t>
      </w:r>
      <w:r w:rsidR="00815859">
        <w:rPr>
          <w:rFonts w:ascii="Times New Roman" w:hAnsi="Times New Roman" w:cs="Times New Roman"/>
        </w:rPr>
        <w:t xml:space="preserve">Given that the upcoming broadcast TV incentive auction holds such promise to </w:t>
      </w:r>
      <w:r w:rsidR="00C93A01">
        <w:rPr>
          <w:rFonts w:ascii="Times New Roman" w:hAnsi="Times New Roman" w:cs="Times New Roman"/>
        </w:rPr>
        <w:t xml:space="preserve">stimulating investment and innovation in mobile networks, </w:t>
      </w:r>
      <w:r w:rsidR="000B17CC">
        <w:rPr>
          <w:rFonts w:ascii="Times New Roman" w:hAnsi="Times New Roman" w:cs="Times New Roman"/>
        </w:rPr>
        <w:t>t</w:t>
      </w:r>
      <w:r w:rsidR="00C93A01">
        <w:rPr>
          <w:rFonts w:ascii="Times New Roman" w:hAnsi="Times New Roman" w:cs="Times New Roman"/>
        </w:rPr>
        <w:t xml:space="preserve">he Commission </w:t>
      </w:r>
      <w:r w:rsidR="000B17CC">
        <w:rPr>
          <w:rFonts w:ascii="Times New Roman" w:hAnsi="Times New Roman" w:cs="Times New Roman"/>
        </w:rPr>
        <w:t>should</w:t>
      </w:r>
      <w:r w:rsidR="00C93A01">
        <w:rPr>
          <w:rFonts w:ascii="Times New Roman" w:hAnsi="Times New Roman" w:cs="Times New Roman"/>
        </w:rPr>
        <w:t xml:space="preserve"> consider proposals </w:t>
      </w:r>
      <w:r w:rsidR="000B17CC">
        <w:rPr>
          <w:rFonts w:ascii="Times New Roman" w:hAnsi="Times New Roman" w:cs="Times New Roman"/>
        </w:rPr>
        <w:t>to</w:t>
      </w:r>
      <w:r w:rsidR="00C93A01">
        <w:rPr>
          <w:rFonts w:ascii="Times New Roman" w:hAnsi="Times New Roman" w:cs="Times New Roman"/>
        </w:rPr>
        <w:t xml:space="preserve"> promote investment in low income communities that do not have the same level of mobile service competition most areas of the Nation enjoy.</w:t>
      </w:r>
      <w:r w:rsidR="005F020D">
        <w:rPr>
          <w:rFonts w:ascii="Times New Roman" w:hAnsi="Times New Roman" w:cs="Times New Roman"/>
        </w:rPr>
        <w:t xml:space="preserve">  </w:t>
      </w:r>
      <w:r w:rsidR="00AC5A62">
        <w:rPr>
          <w:rFonts w:ascii="Times New Roman" w:hAnsi="Times New Roman" w:cs="Times New Roman"/>
        </w:rPr>
        <w:t>R</w:t>
      </w:r>
      <w:r w:rsidR="005F020D">
        <w:rPr>
          <w:rFonts w:ascii="Times New Roman" w:hAnsi="Times New Roman" w:cs="Times New Roman"/>
        </w:rPr>
        <w:t xml:space="preserve">evising our DE rules, </w:t>
      </w:r>
      <w:r w:rsidR="00AC5A62">
        <w:rPr>
          <w:rFonts w:ascii="Times New Roman" w:hAnsi="Times New Roman" w:cs="Times New Roman"/>
        </w:rPr>
        <w:t>auctioning smaller license blocks and geographic license areas, and mandating interoperability are all important</w:t>
      </w:r>
      <w:r w:rsidR="005F020D">
        <w:rPr>
          <w:rFonts w:ascii="Times New Roman" w:hAnsi="Times New Roman" w:cs="Times New Roman"/>
        </w:rPr>
        <w:t xml:space="preserve"> regulatory </w:t>
      </w:r>
      <w:r w:rsidR="00AC5A62">
        <w:rPr>
          <w:rFonts w:ascii="Times New Roman" w:hAnsi="Times New Roman" w:cs="Times New Roman"/>
        </w:rPr>
        <w:t xml:space="preserve">measures </w:t>
      </w:r>
      <w:r w:rsidR="005F020D">
        <w:rPr>
          <w:rFonts w:ascii="Times New Roman" w:hAnsi="Times New Roman" w:cs="Times New Roman"/>
        </w:rPr>
        <w:t xml:space="preserve">that can </w:t>
      </w:r>
      <w:r w:rsidR="007D45CA">
        <w:rPr>
          <w:rFonts w:ascii="Times New Roman" w:hAnsi="Times New Roman" w:cs="Times New Roman"/>
        </w:rPr>
        <w:t xml:space="preserve">lower barriers to entry and </w:t>
      </w:r>
      <w:r w:rsidR="005F020D">
        <w:rPr>
          <w:rFonts w:ascii="Times New Roman" w:hAnsi="Times New Roman" w:cs="Times New Roman"/>
        </w:rPr>
        <w:t>attract c</w:t>
      </w:r>
      <w:r w:rsidR="005F020D" w:rsidRPr="005F020D">
        <w:rPr>
          <w:rFonts w:ascii="Times New Roman" w:hAnsi="Times New Roman" w:cs="Times New Roman"/>
        </w:rPr>
        <w:t xml:space="preserve">arriers, who may have less capital than nationwide providers, yet possess a strong desire to </w:t>
      </w:r>
      <w:r w:rsidR="007D45CA">
        <w:rPr>
          <w:rFonts w:ascii="Times New Roman" w:hAnsi="Times New Roman" w:cs="Times New Roman"/>
        </w:rPr>
        <w:t>deploy networks to</w:t>
      </w:r>
      <w:r w:rsidR="00AC5A62">
        <w:rPr>
          <w:rFonts w:ascii="Times New Roman" w:hAnsi="Times New Roman" w:cs="Times New Roman"/>
        </w:rPr>
        <w:t xml:space="preserve"> </w:t>
      </w:r>
      <w:r w:rsidR="007D45CA">
        <w:rPr>
          <w:rFonts w:ascii="Times New Roman" w:hAnsi="Times New Roman" w:cs="Times New Roman"/>
        </w:rPr>
        <w:t>underserved</w:t>
      </w:r>
      <w:r w:rsidR="00AC5A62">
        <w:rPr>
          <w:rFonts w:ascii="Times New Roman" w:hAnsi="Times New Roman" w:cs="Times New Roman"/>
        </w:rPr>
        <w:t xml:space="preserve"> areas such a</w:t>
      </w:r>
      <w:r w:rsidR="005F020D">
        <w:rPr>
          <w:rFonts w:ascii="Times New Roman" w:hAnsi="Times New Roman" w:cs="Times New Roman"/>
        </w:rPr>
        <w:t>s persistent poverty counties.</w:t>
      </w:r>
      <w:r w:rsidR="005F020D" w:rsidRPr="005F020D">
        <w:rPr>
          <w:rFonts w:ascii="Times New Roman" w:hAnsi="Times New Roman" w:cs="Times New Roman"/>
        </w:rPr>
        <w:t xml:space="preserve">  </w:t>
      </w:r>
    </w:p>
    <w:p w:rsidR="00271975" w:rsidRDefault="00271975" w:rsidP="00271975">
      <w:pPr>
        <w:spacing w:after="0" w:line="240" w:lineRule="auto"/>
        <w:rPr>
          <w:rFonts w:ascii="Times New Roman" w:hAnsi="Times New Roman" w:cs="Times New Roman"/>
        </w:rPr>
      </w:pPr>
    </w:p>
    <w:p w:rsidR="008B0B92" w:rsidRPr="00271975" w:rsidRDefault="00271975" w:rsidP="00271975">
      <w:pPr>
        <w:spacing w:after="0" w:line="240" w:lineRule="auto"/>
        <w:rPr>
          <w:rFonts w:ascii="Times New Roman" w:hAnsi="Times New Roman" w:cs="Times New Roman"/>
          <w:b/>
          <w:u w:val="single"/>
        </w:rPr>
      </w:pPr>
      <w:r w:rsidRPr="00271975">
        <w:rPr>
          <w:rFonts w:ascii="Times New Roman" w:hAnsi="Times New Roman" w:cs="Times New Roman"/>
          <w:b/>
          <w:u w:val="single"/>
        </w:rPr>
        <w:t>The Commission Properly Adopted Limited Waivers of the AMR and Former Defaulter Rules</w:t>
      </w:r>
      <w:r w:rsidR="00815859" w:rsidRPr="00271975">
        <w:rPr>
          <w:rFonts w:ascii="Times New Roman" w:hAnsi="Times New Roman" w:cs="Times New Roman"/>
          <w:b/>
          <w:u w:val="single"/>
        </w:rPr>
        <w:t xml:space="preserve">  </w:t>
      </w:r>
    </w:p>
    <w:p w:rsidR="00271975" w:rsidRDefault="00271975" w:rsidP="00271975">
      <w:pPr>
        <w:spacing w:after="0" w:line="240" w:lineRule="auto"/>
        <w:rPr>
          <w:rFonts w:ascii="Times New Roman" w:hAnsi="Times New Roman" w:cs="Times New Roman"/>
        </w:rPr>
      </w:pPr>
    </w:p>
    <w:p w:rsidR="00271975" w:rsidRPr="00271975" w:rsidRDefault="009D5B14" w:rsidP="009D5B14">
      <w:pPr>
        <w:spacing w:after="0" w:line="240" w:lineRule="auto"/>
        <w:rPr>
          <w:rFonts w:ascii="Times New Roman" w:hAnsi="Times New Roman" w:cs="Times New Roman"/>
        </w:rPr>
      </w:pPr>
      <w:r>
        <w:rPr>
          <w:rFonts w:ascii="Times New Roman" w:hAnsi="Times New Roman" w:cs="Times New Roman"/>
        </w:rPr>
        <w:t xml:space="preserve">     </w:t>
      </w:r>
      <w:r w:rsidR="00271975">
        <w:rPr>
          <w:rFonts w:ascii="Times New Roman" w:hAnsi="Times New Roman" w:cs="Times New Roman"/>
        </w:rPr>
        <w:t xml:space="preserve">I also want to </w:t>
      </w:r>
      <w:r w:rsidR="006A51A0">
        <w:rPr>
          <w:rFonts w:ascii="Times New Roman" w:hAnsi="Times New Roman" w:cs="Times New Roman"/>
        </w:rPr>
        <w:t xml:space="preserve">take this opportunity to explain why it was appropriate for the Commission to </w:t>
      </w:r>
      <w:r w:rsidR="00271975">
        <w:rPr>
          <w:rFonts w:ascii="Times New Roman" w:hAnsi="Times New Roman" w:cs="Times New Roman"/>
        </w:rPr>
        <w:t>grant limited waivers of the AMR and the former defaulter rules</w:t>
      </w:r>
      <w:r w:rsidR="00E947A4">
        <w:rPr>
          <w:rFonts w:ascii="Times New Roman" w:hAnsi="Times New Roman" w:cs="Times New Roman"/>
        </w:rPr>
        <w:t xml:space="preserve"> before the adoption of this NPRM</w:t>
      </w:r>
      <w:r w:rsidR="00271975">
        <w:rPr>
          <w:rFonts w:ascii="Times New Roman" w:hAnsi="Times New Roman" w:cs="Times New Roman"/>
        </w:rPr>
        <w:t>.</w:t>
      </w:r>
      <w:r w:rsidR="00A92190">
        <w:rPr>
          <w:rStyle w:val="FootnoteReference"/>
          <w:rFonts w:ascii="Times New Roman" w:hAnsi="Times New Roman" w:cs="Times New Roman"/>
        </w:rPr>
        <w:footnoteReference w:id="17"/>
      </w:r>
      <w:r w:rsidR="00271975">
        <w:rPr>
          <w:rFonts w:ascii="Times New Roman" w:hAnsi="Times New Roman" w:cs="Times New Roman"/>
        </w:rPr>
        <w:t xml:space="preserve">  Those </w:t>
      </w:r>
      <w:r w:rsidR="005317E0">
        <w:rPr>
          <w:rFonts w:ascii="Times New Roman" w:hAnsi="Times New Roman" w:cs="Times New Roman"/>
        </w:rPr>
        <w:t>Orders</w:t>
      </w:r>
      <w:r w:rsidR="00271975">
        <w:rPr>
          <w:rFonts w:ascii="Times New Roman" w:hAnsi="Times New Roman" w:cs="Times New Roman"/>
        </w:rPr>
        <w:t xml:space="preserve"> </w:t>
      </w:r>
      <w:r w:rsidR="00CC057D">
        <w:rPr>
          <w:rFonts w:ascii="Times New Roman" w:hAnsi="Times New Roman" w:cs="Times New Roman"/>
        </w:rPr>
        <w:t>are</w:t>
      </w:r>
      <w:r w:rsidR="00271975">
        <w:rPr>
          <w:rFonts w:ascii="Times New Roman" w:hAnsi="Times New Roman" w:cs="Times New Roman"/>
        </w:rPr>
        <w:t xml:space="preserve"> im</w:t>
      </w:r>
      <w:r w:rsidR="00271975" w:rsidRPr="00271975">
        <w:rPr>
          <w:rFonts w:ascii="Times New Roman" w:hAnsi="Times New Roman" w:cs="Times New Roman"/>
        </w:rPr>
        <w:t xml:space="preserve">portant </w:t>
      </w:r>
      <w:r w:rsidR="00271975">
        <w:rPr>
          <w:rFonts w:ascii="Times New Roman" w:hAnsi="Times New Roman" w:cs="Times New Roman"/>
        </w:rPr>
        <w:t xml:space="preserve">to </w:t>
      </w:r>
      <w:r w:rsidR="005317E0">
        <w:rPr>
          <w:rFonts w:ascii="Times New Roman" w:hAnsi="Times New Roman" w:cs="Times New Roman"/>
        </w:rPr>
        <w:t>holding an A</w:t>
      </w:r>
      <w:r w:rsidR="00271975">
        <w:rPr>
          <w:rFonts w:ascii="Times New Roman" w:hAnsi="Times New Roman" w:cs="Times New Roman"/>
        </w:rPr>
        <w:t xml:space="preserve">WS-3 auction </w:t>
      </w:r>
      <w:r w:rsidR="005317E0">
        <w:rPr>
          <w:rFonts w:ascii="Times New Roman" w:hAnsi="Times New Roman" w:cs="Times New Roman"/>
        </w:rPr>
        <w:t xml:space="preserve">that better complies </w:t>
      </w:r>
      <w:r w:rsidR="00271975">
        <w:rPr>
          <w:rFonts w:ascii="Times New Roman" w:hAnsi="Times New Roman" w:cs="Times New Roman"/>
        </w:rPr>
        <w:t xml:space="preserve">with </w:t>
      </w:r>
      <w:r w:rsidR="006A51A0">
        <w:rPr>
          <w:rFonts w:ascii="Times New Roman" w:hAnsi="Times New Roman" w:cs="Times New Roman"/>
        </w:rPr>
        <w:t xml:space="preserve">the </w:t>
      </w:r>
      <w:r w:rsidR="00380F14">
        <w:rPr>
          <w:rFonts w:ascii="Times New Roman" w:hAnsi="Times New Roman" w:cs="Times New Roman"/>
        </w:rPr>
        <w:t xml:space="preserve">directives of the </w:t>
      </w:r>
      <w:r w:rsidR="006A51A0">
        <w:rPr>
          <w:rFonts w:ascii="Times New Roman" w:hAnsi="Times New Roman" w:cs="Times New Roman"/>
        </w:rPr>
        <w:t xml:space="preserve">Communications Act </w:t>
      </w:r>
      <w:r w:rsidR="00271975">
        <w:rPr>
          <w:rFonts w:ascii="Times New Roman" w:hAnsi="Times New Roman" w:cs="Times New Roman"/>
        </w:rPr>
        <w:t>to d</w:t>
      </w:r>
      <w:r w:rsidR="00271975" w:rsidRPr="00271975">
        <w:rPr>
          <w:rFonts w:ascii="Times New Roman" w:hAnsi="Times New Roman" w:cs="Times New Roman"/>
        </w:rPr>
        <w:t>esign auction</w:t>
      </w:r>
      <w:r w:rsidR="00271975">
        <w:rPr>
          <w:rFonts w:ascii="Times New Roman" w:hAnsi="Times New Roman" w:cs="Times New Roman"/>
        </w:rPr>
        <w:t>s</w:t>
      </w:r>
      <w:r w:rsidR="00271975" w:rsidRPr="00271975">
        <w:rPr>
          <w:rFonts w:ascii="Times New Roman" w:hAnsi="Times New Roman" w:cs="Times New Roman"/>
        </w:rPr>
        <w:t xml:space="preserve"> that </w:t>
      </w:r>
      <w:r w:rsidR="00271975">
        <w:rPr>
          <w:rFonts w:ascii="Times New Roman" w:hAnsi="Times New Roman" w:cs="Times New Roman"/>
        </w:rPr>
        <w:t>promote competition</w:t>
      </w:r>
      <w:r w:rsidR="006A51A0">
        <w:rPr>
          <w:rFonts w:ascii="Times New Roman" w:hAnsi="Times New Roman" w:cs="Times New Roman"/>
        </w:rPr>
        <w:t xml:space="preserve"> and “disseminat</w:t>
      </w:r>
      <w:r w:rsidR="00BE5BC7">
        <w:rPr>
          <w:rFonts w:ascii="Times New Roman" w:hAnsi="Times New Roman" w:cs="Times New Roman"/>
        </w:rPr>
        <w:t>[</w:t>
      </w:r>
      <w:r w:rsidR="006A51A0">
        <w:rPr>
          <w:rFonts w:ascii="Times New Roman" w:hAnsi="Times New Roman" w:cs="Times New Roman"/>
        </w:rPr>
        <w:t>e</w:t>
      </w:r>
      <w:r w:rsidR="00BE5BC7">
        <w:rPr>
          <w:rFonts w:ascii="Times New Roman" w:hAnsi="Times New Roman" w:cs="Times New Roman"/>
        </w:rPr>
        <w:t>]</w:t>
      </w:r>
      <w:r w:rsidR="006A51A0">
        <w:rPr>
          <w:rFonts w:ascii="Times New Roman" w:hAnsi="Times New Roman" w:cs="Times New Roman"/>
        </w:rPr>
        <w:t xml:space="preserve"> licenses among a wide variety of applicants including small businesses</w:t>
      </w:r>
      <w:r w:rsidR="00271975">
        <w:rPr>
          <w:rFonts w:ascii="Times New Roman" w:hAnsi="Times New Roman" w:cs="Times New Roman"/>
        </w:rPr>
        <w:t>.</w:t>
      </w:r>
      <w:r w:rsidR="006A51A0">
        <w:rPr>
          <w:rFonts w:ascii="Times New Roman" w:hAnsi="Times New Roman" w:cs="Times New Roman"/>
        </w:rPr>
        <w:t>”</w:t>
      </w:r>
      <w:r w:rsidR="00BE5BC7">
        <w:rPr>
          <w:rStyle w:val="FootnoteReference"/>
          <w:rFonts w:ascii="Times New Roman" w:hAnsi="Times New Roman" w:cs="Times New Roman"/>
        </w:rPr>
        <w:footnoteReference w:id="18"/>
      </w:r>
      <w:r w:rsidR="00271975">
        <w:rPr>
          <w:rFonts w:ascii="Times New Roman" w:hAnsi="Times New Roman" w:cs="Times New Roman"/>
        </w:rPr>
        <w:t xml:space="preserve">  Th</w:t>
      </w:r>
      <w:r w:rsidR="006A51A0">
        <w:rPr>
          <w:rFonts w:ascii="Times New Roman" w:hAnsi="Times New Roman" w:cs="Times New Roman"/>
        </w:rPr>
        <w:t>at</w:t>
      </w:r>
      <w:r w:rsidR="00271975" w:rsidRPr="00271975">
        <w:rPr>
          <w:rFonts w:ascii="Times New Roman" w:hAnsi="Times New Roman" w:cs="Times New Roman"/>
        </w:rPr>
        <w:t xml:space="preserve"> auction, which the Commission plans to hold this fall, will make 65 megahertz of spectrum available for flexible commercial wireless use.  It is the first </w:t>
      </w:r>
      <w:r w:rsidR="0000305D">
        <w:rPr>
          <w:rFonts w:ascii="Times New Roman" w:hAnsi="Times New Roman" w:cs="Times New Roman"/>
        </w:rPr>
        <w:t xml:space="preserve">auction </w:t>
      </w:r>
      <w:r w:rsidR="00271975" w:rsidRPr="00271975">
        <w:rPr>
          <w:rFonts w:ascii="Times New Roman" w:hAnsi="Times New Roman" w:cs="Times New Roman"/>
        </w:rPr>
        <w:t xml:space="preserve">to offer multiple blocks of paired spectrum licenses on a nationwide basis since the 700 MHz auction </w:t>
      </w:r>
      <w:r w:rsidR="0000305D">
        <w:rPr>
          <w:rFonts w:ascii="Times New Roman" w:hAnsi="Times New Roman" w:cs="Times New Roman"/>
        </w:rPr>
        <w:t xml:space="preserve">some </w:t>
      </w:r>
      <w:r w:rsidR="00271975" w:rsidRPr="00271975">
        <w:rPr>
          <w:rFonts w:ascii="Times New Roman" w:hAnsi="Times New Roman" w:cs="Times New Roman"/>
        </w:rPr>
        <w:t xml:space="preserve">eight years ago. </w:t>
      </w:r>
      <w:r w:rsidR="006A51A0">
        <w:rPr>
          <w:rFonts w:ascii="Times New Roman" w:hAnsi="Times New Roman" w:cs="Times New Roman"/>
        </w:rPr>
        <w:t xml:space="preserve"> </w:t>
      </w:r>
      <w:r w:rsidR="00271975" w:rsidRPr="00271975">
        <w:rPr>
          <w:rFonts w:ascii="Times New Roman" w:hAnsi="Times New Roman" w:cs="Times New Roman"/>
        </w:rPr>
        <w:t>The March 20</w:t>
      </w:r>
      <w:r w:rsidR="0000305D">
        <w:rPr>
          <w:rFonts w:ascii="Times New Roman" w:hAnsi="Times New Roman" w:cs="Times New Roman"/>
        </w:rPr>
        <w:t>14 AWS-3 Order helped to promote robust competitive bidding and opportunities for both small and larger carriers</w:t>
      </w:r>
      <w:r w:rsidR="00271975" w:rsidRPr="00271975">
        <w:rPr>
          <w:rFonts w:ascii="Times New Roman" w:hAnsi="Times New Roman" w:cs="Times New Roman"/>
        </w:rPr>
        <w:t xml:space="preserve"> by adopting a band plan with a mix of five and 10 megahertz license blocks and small and large geographic license areas (CMAs and EAs). </w:t>
      </w:r>
      <w:r w:rsidR="00271975">
        <w:rPr>
          <w:rFonts w:ascii="Times New Roman" w:hAnsi="Times New Roman" w:cs="Times New Roman"/>
        </w:rPr>
        <w:t xml:space="preserve"> </w:t>
      </w:r>
      <w:r w:rsidR="00271975" w:rsidRPr="00271975">
        <w:rPr>
          <w:rFonts w:ascii="Times New Roman" w:hAnsi="Times New Roman" w:cs="Times New Roman"/>
        </w:rPr>
        <w:t xml:space="preserve">Such a band plan promotes an efficient allocation of spectrum to its highest and best use because it offers interested parties diverse options, </w:t>
      </w:r>
      <w:r w:rsidR="00906E28" w:rsidRPr="00271975">
        <w:rPr>
          <w:rFonts w:ascii="Times New Roman" w:hAnsi="Times New Roman" w:cs="Times New Roman"/>
        </w:rPr>
        <w:t>thereby encouraging</w:t>
      </w:r>
      <w:r w:rsidR="00271975" w:rsidRPr="00271975">
        <w:rPr>
          <w:rFonts w:ascii="Times New Roman" w:hAnsi="Times New Roman" w:cs="Times New Roman"/>
        </w:rPr>
        <w:t xml:space="preserve"> participation by large and small carriers. </w:t>
      </w:r>
    </w:p>
    <w:p w:rsidR="00271975" w:rsidRDefault="00271975" w:rsidP="00271975">
      <w:pPr>
        <w:spacing w:after="0" w:line="240" w:lineRule="auto"/>
        <w:rPr>
          <w:rFonts w:ascii="Times New Roman" w:hAnsi="Times New Roman" w:cs="Times New Roman"/>
        </w:rPr>
      </w:pPr>
    </w:p>
    <w:p w:rsidR="00FD0523" w:rsidRDefault="009D5B14" w:rsidP="009D5B14">
      <w:pPr>
        <w:spacing w:after="0" w:line="240" w:lineRule="auto"/>
        <w:rPr>
          <w:rFonts w:ascii="Times New Roman" w:hAnsi="Times New Roman" w:cs="Times New Roman"/>
        </w:rPr>
      </w:pPr>
      <w:r>
        <w:rPr>
          <w:rFonts w:ascii="Times New Roman" w:hAnsi="Times New Roman" w:cs="Times New Roman"/>
        </w:rPr>
        <w:t xml:space="preserve">     </w:t>
      </w:r>
      <w:r w:rsidR="00271975" w:rsidRPr="00271975">
        <w:rPr>
          <w:rFonts w:ascii="Times New Roman" w:hAnsi="Times New Roman" w:cs="Times New Roman"/>
        </w:rPr>
        <w:t xml:space="preserve">But there was more the Commission could do to encourage participation in the AWS-3 auction, as a number of parties have shown through petitions for </w:t>
      </w:r>
      <w:r w:rsidR="0000305D">
        <w:rPr>
          <w:rFonts w:ascii="Times New Roman" w:hAnsi="Times New Roman" w:cs="Times New Roman"/>
        </w:rPr>
        <w:t>w</w:t>
      </w:r>
      <w:r w:rsidR="00271975" w:rsidRPr="00271975">
        <w:rPr>
          <w:rFonts w:ascii="Times New Roman" w:hAnsi="Times New Roman" w:cs="Times New Roman"/>
        </w:rPr>
        <w:t>aivers of parts of our Part 1 Competitive Bidding Rules.  Specifically, Grain Management, LLC. petitioned to waive the AMR</w:t>
      </w:r>
      <w:r w:rsidR="006A51A0">
        <w:rPr>
          <w:rFonts w:ascii="Times New Roman" w:hAnsi="Times New Roman" w:cs="Times New Roman"/>
        </w:rPr>
        <w:t xml:space="preserve"> rule</w:t>
      </w:r>
      <w:r w:rsidR="00271975" w:rsidRPr="00271975">
        <w:rPr>
          <w:rFonts w:ascii="Times New Roman" w:hAnsi="Times New Roman" w:cs="Times New Roman"/>
        </w:rPr>
        <w:t xml:space="preserve">. </w:t>
      </w:r>
      <w:r w:rsidR="006A51A0">
        <w:rPr>
          <w:rFonts w:ascii="Times New Roman" w:hAnsi="Times New Roman" w:cs="Times New Roman"/>
        </w:rPr>
        <w:t xml:space="preserve"> </w:t>
      </w:r>
      <w:r w:rsidR="005A21CE" w:rsidRPr="005A21CE">
        <w:rPr>
          <w:rFonts w:ascii="Times New Roman" w:hAnsi="Times New Roman" w:cs="Times New Roman"/>
        </w:rPr>
        <w:t xml:space="preserve">It contended that a bright line application of the AMR rule would require every small business to attribute the gross revenues of another entity if that small business planned to apply for </w:t>
      </w:r>
      <w:r w:rsidR="00DF29CF">
        <w:rPr>
          <w:rFonts w:ascii="Times New Roman" w:hAnsi="Times New Roman" w:cs="Times New Roman"/>
        </w:rPr>
        <w:t>DE</w:t>
      </w:r>
      <w:r w:rsidR="005A21CE" w:rsidRPr="005A21CE">
        <w:rPr>
          <w:rFonts w:ascii="Times New Roman" w:hAnsi="Times New Roman" w:cs="Times New Roman"/>
        </w:rPr>
        <w:t xml:space="preserve"> benefits and entered into an arrangement with that entity to lease more than 25 percent of the capacity of any one of its licenses to that entity.  This attribution would be required even if, as in the case of Grain, the small business acquired the spectrum license without using DE bidding credits.  The attribution would also be required without any inquiry into what influence the other entity might have on the small business. </w:t>
      </w:r>
      <w:r w:rsidR="00DF29CF">
        <w:rPr>
          <w:rFonts w:ascii="Times New Roman" w:hAnsi="Times New Roman" w:cs="Times New Roman"/>
        </w:rPr>
        <w:t xml:space="preserve"> </w:t>
      </w:r>
      <w:r w:rsidR="00271975" w:rsidRPr="00271975">
        <w:rPr>
          <w:rFonts w:ascii="Times New Roman" w:hAnsi="Times New Roman" w:cs="Times New Roman"/>
        </w:rPr>
        <w:t xml:space="preserve">Separately, CTIA, CCA, and NTCA filed a joint petition to waive the former defaulter rule for this auction.  Under that rule, an applicant is considered to be a former defaulter if the entity, including any of its affiliates, its controlling interests, or any of the affiliates of its controlling interests, has defaulted on any Commission license or has been delinquent on any non-tax debt owed to any Federal agency.  Former defaulters are eligible to bid in a Commission auction, provided they are otherwise qualified, but they must pay an upfront payment that is 50 percent more than the normal upfront payment amount.  </w:t>
      </w:r>
      <w:r w:rsidR="00271975">
        <w:rPr>
          <w:rFonts w:ascii="Times New Roman" w:hAnsi="Times New Roman" w:cs="Times New Roman"/>
        </w:rPr>
        <w:t xml:space="preserve"> </w:t>
      </w:r>
    </w:p>
    <w:p w:rsidR="00FD0523" w:rsidRDefault="00FD0523" w:rsidP="00FD0523">
      <w:pPr>
        <w:spacing w:after="0" w:line="240" w:lineRule="auto"/>
        <w:ind w:firstLine="720"/>
        <w:rPr>
          <w:rFonts w:ascii="Times New Roman" w:hAnsi="Times New Roman" w:cs="Times New Roman"/>
        </w:rPr>
      </w:pPr>
    </w:p>
    <w:p w:rsidR="00DC1785" w:rsidRDefault="009D5B14" w:rsidP="009D5B14">
      <w:pPr>
        <w:spacing w:after="0" w:line="240" w:lineRule="auto"/>
        <w:rPr>
          <w:rFonts w:ascii="Times New Roman" w:hAnsi="Times New Roman" w:cs="Times New Roman"/>
        </w:rPr>
      </w:pPr>
      <w:r>
        <w:rPr>
          <w:rFonts w:ascii="Times New Roman" w:hAnsi="Times New Roman" w:cs="Times New Roman"/>
        </w:rPr>
        <w:t xml:space="preserve">     </w:t>
      </w:r>
      <w:r w:rsidR="00FD0523" w:rsidRPr="00FD0523">
        <w:rPr>
          <w:rFonts w:ascii="Times New Roman" w:hAnsi="Times New Roman" w:cs="Times New Roman"/>
        </w:rPr>
        <w:t xml:space="preserve">Although two of my colleagues dissented from the granting of the Grain </w:t>
      </w:r>
      <w:r w:rsidR="000057F2">
        <w:rPr>
          <w:rFonts w:ascii="Times New Roman" w:hAnsi="Times New Roman" w:cs="Times New Roman"/>
        </w:rPr>
        <w:t xml:space="preserve">limited </w:t>
      </w:r>
      <w:r w:rsidR="00FD0523" w:rsidRPr="00FD0523">
        <w:rPr>
          <w:rFonts w:ascii="Times New Roman" w:hAnsi="Times New Roman" w:cs="Times New Roman"/>
        </w:rPr>
        <w:t xml:space="preserve">waiver in July, </w:t>
      </w:r>
      <w:r w:rsidR="00FD0523">
        <w:rPr>
          <w:rFonts w:ascii="Times New Roman" w:hAnsi="Times New Roman" w:cs="Times New Roman"/>
        </w:rPr>
        <w:t xml:space="preserve">I </w:t>
      </w:r>
      <w:r w:rsidR="000A32A5">
        <w:rPr>
          <w:rFonts w:ascii="Times New Roman" w:hAnsi="Times New Roman" w:cs="Times New Roman"/>
        </w:rPr>
        <w:t xml:space="preserve">continue to support </w:t>
      </w:r>
      <w:r w:rsidR="007656FE">
        <w:rPr>
          <w:rFonts w:ascii="Times New Roman" w:hAnsi="Times New Roman" w:cs="Times New Roman"/>
        </w:rPr>
        <w:t xml:space="preserve">both </w:t>
      </w:r>
      <w:r w:rsidR="00FD0523">
        <w:rPr>
          <w:rFonts w:ascii="Times New Roman" w:hAnsi="Times New Roman" w:cs="Times New Roman"/>
        </w:rPr>
        <w:t>waivers</w:t>
      </w:r>
      <w:r w:rsidR="00323BB5">
        <w:rPr>
          <w:rFonts w:ascii="Times New Roman" w:hAnsi="Times New Roman" w:cs="Times New Roman"/>
        </w:rPr>
        <w:t xml:space="preserve"> because the</w:t>
      </w:r>
      <w:r w:rsidR="007656FE">
        <w:rPr>
          <w:rFonts w:ascii="Times New Roman" w:hAnsi="Times New Roman" w:cs="Times New Roman"/>
        </w:rPr>
        <w:t xml:space="preserve"> </w:t>
      </w:r>
      <w:r w:rsidR="00244162">
        <w:rPr>
          <w:rFonts w:ascii="Times New Roman" w:hAnsi="Times New Roman" w:cs="Times New Roman"/>
        </w:rPr>
        <w:t xml:space="preserve">waiver petitions are procedurally similar </w:t>
      </w:r>
      <w:r w:rsidR="005A21CE">
        <w:rPr>
          <w:rFonts w:ascii="Times New Roman" w:hAnsi="Times New Roman" w:cs="Times New Roman"/>
        </w:rPr>
        <w:t>and advance the Communications Act’s goals of designing auctions that promote competition</w:t>
      </w:r>
      <w:r w:rsidR="00FD0523">
        <w:rPr>
          <w:rFonts w:ascii="Times New Roman" w:hAnsi="Times New Roman" w:cs="Times New Roman"/>
        </w:rPr>
        <w:t xml:space="preserve">.  </w:t>
      </w:r>
      <w:r w:rsidR="00244162">
        <w:rPr>
          <w:rFonts w:ascii="Times New Roman" w:hAnsi="Times New Roman" w:cs="Times New Roman"/>
        </w:rPr>
        <w:t xml:space="preserve">The </w:t>
      </w:r>
      <w:r w:rsidR="00FD0523">
        <w:rPr>
          <w:rFonts w:ascii="Times New Roman" w:hAnsi="Times New Roman" w:cs="Times New Roman"/>
        </w:rPr>
        <w:t xml:space="preserve">petitions </w:t>
      </w:r>
      <w:r w:rsidR="0051666A">
        <w:rPr>
          <w:rFonts w:ascii="Times New Roman" w:hAnsi="Times New Roman" w:cs="Times New Roman"/>
        </w:rPr>
        <w:t>were filed by entities who intend to participate in the AWS-3 auction</w:t>
      </w:r>
      <w:r w:rsidR="00FD0523">
        <w:rPr>
          <w:rFonts w:ascii="Times New Roman" w:hAnsi="Times New Roman" w:cs="Times New Roman"/>
        </w:rPr>
        <w:t>s</w:t>
      </w:r>
      <w:r w:rsidR="0051666A">
        <w:rPr>
          <w:rFonts w:ascii="Times New Roman" w:hAnsi="Times New Roman" w:cs="Times New Roman"/>
        </w:rPr>
        <w:t xml:space="preserve">.  </w:t>
      </w:r>
      <w:r w:rsidR="00244162">
        <w:rPr>
          <w:rFonts w:ascii="Times New Roman" w:hAnsi="Times New Roman" w:cs="Times New Roman"/>
        </w:rPr>
        <w:t xml:space="preserve">The Commission released Public Notices seeking comment on both waiver petitions.  No party filed oppositions to the petitions.  </w:t>
      </w:r>
      <w:r w:rsidR="0051666A">
        <w:rPr>
          <w:rFonts w:ascii="Times New Roman" w:hAnsi="Times New Roman" w:cs="Times New Roman"/>
        </w:rPr>
        <w:t xml:space="preserve">Both petitions sought waivers of </w:t>
      </w:r>
      <w:r w:rsidR="00FD0523">
        <w:rPr>
          <w:rFonts w:ascii="Times New Roman" w:hAnsi="Times New Roman" w:cs="Times New Roman"/>
        </w:rPr>
        <w:t xml:space="preserve">bright line rules that the Commission adopted years ago to strike a balance between competing </w:t>
      </w:r>
      <w:r w:rsidR="0051666A">
        <w:rPr>
          <w:rFonts w:ascii="Times New Roman" w:hAnsi="Times New Roman" w:cs="Times New Roman"/>
        </w:rPr>
        <w:t xml:space="preserve">policy </w:t>
      </w:r>
      <w:r w:rsidR="00FD0523">
        <w:rPr>
          <w:rFonts w:ascii="Times New Roman" w:hAnsi="Times New Roman" w:cs="Times New Roman"/>
        </w:rPr>
        <w:t xml:space="preserve">objectives.  In the case of the AMR rule, those objectives were promoting participation by smaller businesses in auctions </w:t>
      </w:r>
      <w:r w:rsidR="00BD3395">
        <w:rPr>
          <w:rFonts w:ascii="Times New Roman" w:hAnsi="Times New Roman" w:cs="Times New Roman"/>
        </w:rPr>
        <w:t xml:space="preserve">through DE credits, </w:t>
      </w:r>
      <w:r w:rsidR="00FD0523">
        <w:rPr>
          <w:rFonts w:ascii="Times New Roman" w:hAnsi="Times New Roman" w:cs="Times New Roman"/>
        </w:rPr>
        <w:t>while deterring unjust enrichment by those who</w:t>
      </w:r>
      <w:r w:rsidR="00BD3395">
        <w:rPr>
          <w:rFonts w:ascii="Times New Roman" w:hAnsi="Times New Roman" w:cs="Times New Roman"/>
        </w:rPr>
        <w:t xml:space="preserve"> acquired auction using those DE credits.  With regard to the former defaulter rule, the Commission was balancing the </w:t>
      </w:r>
      <w:r w:rsidR="00BD3395" w:rsidRPr="00BD3395">
        <w:rPr>
          <w:rFonts w:ascii="Times New Roman" w:hAnsi="Times New Roman" w:cs="Times New Roman"/>
        </w:rPr>
        <w:t>goal of encouraging bidders to submit serious</w:t>
      </w:r>
      <w:r w:rsidR="0051666A">
        <w:rPr>
          <w:rFonts w:ascii="Times New Roman" w:hAnsi="Times New Roman" w:cs="Times New Roman"/>
        </w:rPr>
        <w:t xml:space="preserve"> </w:t>
      </w:r>
      <w:r w:rsidR="00BD3395" w:rsidRPr="00BD3395">
        <w:rPr>
          <w:rFonts w:ascii="Times New Roman" w:hAnsi="Times New Roman" w:cs="Times New Roman"/>
        </w:rPr>
        <w:t xml:space="preserve">bids with the </w:t>
      </w:r>
      <w:r w:rsidR="0051666A">
        <w:rPr>
          <w:rFonts w:ascii="Times New Roman" w:hAnsi="Times New Roman" w:cs="Times New Roman"/>
        </w:rPr>
        <w:t xml:space="preserve">recognition that past business misfortunes do not necessarily </w:t>
      </w:r>
      <w:r w:rsidR="0051666A" w:rsidRPr="0051666A">
        <w:rPr>
          <w:rFonts w:ascii="Times New Roman" w:hAnsi="Times New Roman" w:cs="Times New Roman"/>
        </w:rPr>
        <w:t>preclude an entity from meet</w:t>
      </w:r>
      <w:r w:rsidR="00E947A4">
        <w:rPr>
          <w:rFonts w:ascii="Times New Roman" w:hAnsi="Times New Roman" w:cs="Times New Roman"/>
        </w:rPr>
        <w:t>ing</w:t>
      </w:r>
      <w:r w:rsidR="0051666A" w:rsidRPr="0051666A">
        <w:rPr>
          <w:rFonts w:ascii="Times New Roman" w:hAnsi="Times New Roman" w:cs="Times New Roman"/>
        </w:rPr>
        <w:t xml:space="preserve"> present and future responsibilities as a Commission licensee</w:t>
      </w:r>
      <w:r w:rsidR="0051666A">
        <w:rPr>
          <w:rFonts w:ascii="Times New Roman" w:hAnsi="Times New Roman" w:cs="Times New Roman"/>
        </w:rPr>
        <w:t xml:space="preserve">.  </w:t>
      </w:r>
      <w:r w:rsidR="00271975" w:rsidRPr="00271975">
        <w:rPr>
          <w:rFonts w:ascii="Times New Roman" w:hAnsi="Times New Roman" w:cs="Times New Roman"/>
        </w:rPr>
        <w:t>Both petition</w:t>
      </w:r>
      <w:r w:rsidR="00D85EE3">
        <w:rPr>
          <w:rFonts w:ascii="Times New Roman" w:hAnsi="Times New Roman" w:cs="Times New Roman"/>
        </w:rPr>
        <w:t>s persuasively argued that the Commission needed to reevaluate the balances it struck with those rules because, due to developments in the industry, those rules were now acting as unnecessary barriers to greater competition in auctions.  T</w:t>
      </w:r>
      <w:r w:rsidR="00D85EE3" w:rsidRPr="00D85EE3">
        <w:rPr>
          <w:rFonts w:ascii="Times New Roman" w:hAnsi="Times New Roman" w:cs="Times New Roman"/>
        </w:rPr>
        <w:t xml:space="preserve">he </w:t>
      </w:r>
      <w:r w:rsidR="00D85EE3">
        <w:rPr>
          <w:rFonts w:ascii="Times New Roman" w:hAnsi="Times New Roman" w:cs="Times New Roman"/>
        </w:rPr>
        <w:t xml:space="preserve">Grain </w:t>
      </w:r>
      <w:r w:rsidR="00D85EE3" w:rsidRPr="00D85EE3">
        <w:rPr>
          <w:rFonts w:ascii="Times New Roman" w:hAnsi="Times New Roman" w:cs="Times New Roman"/>
        </w:rPr>
        <w:t>petition and its supporters</w:t>
      </w:r>
      <w:r w:rsidR="00D85EE3">
        <w:rPr>
          <w:rFonts w:ascii="Times New Roman" w:hAnsi="Times New Roman" w:cs="Times New Roman"/>
        </w:rPr>
        <w:t xml:space="preserve"> demonstrated that t</w:t>
      </w:r>
      <w:r w:rsidR="00D85EE3" w:rsidRPr="00D85EE3">
        <w:rPr>
          <w:rFonts w:ascii="Times New Roman" w:hAnsi="Times New Roman" w:cs="Times New Roman"/>
        </w:rPr>
        <w:t xml:space="preserve">he AMR rule was having an </w:t>
      </w:r>
      <w:r w:rsidR="000057F2">
        <w:rPr>
          <w:rFonts w:ascii="Times New Roman" w:hAnsi="Times New Roman" w:cs="Times New Roman"/>
        </w:rPr>
        <w:t xml:space="preserve">undue </w:t>
      </w:r>
      <w:r w:rsidR="00D85EE3" w:rsidRPr="00D85EE3">
        <w:rPr>
          <w:rFonts w:ascii="Times New Roman" w:hAnsi="Times New Roman" w:cs="Times New Roman"/>
        </w:rPr>
        <w:t xml:space="preserve">adverse effect on the ability of small businesses to secure financing and </w:t>
      </w:r>
      <w:r w:rsidR="00D85EE3">
        <w:rPr>
          <w:rFonts w:ascii="Times New Roman" w:hAnsi="Times New Roman" w:cs="Times New Roman"/>
        </w:rPr>
        <w:t xml:space="preserve">compete.  The former defaulter rule petition showed that it has been </w:t>
      </w:r>
      <w:r w:rsidR="00D85EE3" w:rsidRPr="00D85EE3">
        <w:rPr>
          <w:rFonts w:ascii="Times New Roman" w:hAnsi="Times New Roman" w:cs="Times New Roman"/>
        </w:rPr>
        <w:t xml:space="preserve">14 years since the Commission </w:t>
      </w:r>
      <w:r w:rsidR="00D32B78">
        <w:rPr>
          <w:rFonts w:ascii="Times New Roman" w:hAnsi="Times New Roman" w:cs="Times New Roman"/>
        </w:rPr>
        <w:t xml:space="preserve">adopted the former defaulter rules and </w:t>
      </w:r>
      <w:r w:rsidR="00D32B78" w:rsidRPr="00D32B78">
        <w:rPr>
          <w:rFonts w:ascii="Times New Roman" w:hAnsi="Times New Roman" w:cs="Times New Roman"/>
        </w:rPr>
        <w:t>the application of th</w:t>
      </w:r>
      <w:r w:rsidR="00795255">
        <w:rPr>
          <w:rFonts w:ascii="Times New Roman" w:hAnsi="Times New Roman" w:cs="Times New Roman"/>
        </w:rPr>
        <w:t xml:space="preserve">ose </w:t>
      </w:r>
      <w:r w:rsidR="00D32B78" w:rsidRPr="00D32B78">
        <w:rPr>
          <w:rFonts w:ascii="Times New Roman" w:hAnsi="Times New Roman" w:cs="Times New Roman"/>
        </w:rPr>
        <w:t xml:space="preserve">rules </w:t>
      </w:r>
      <w:r w:rsidR="00795255">
        <w:rPr>
          <w:rFonts w:ascii="Times New Roman" w:hAnsi="Times New Roman" w:cs="Times New Roman"/>
        </w:rPr>
        <w:t>c</w:t>
      </w:r>
      <w:r w:rsidR="00D32B78" w:rsidRPr="00D32B78">
        <w:rPr>
          <w:rFonts w:ascii="Times New Roman" w:hAnsi="Times New Roman" w:cs="Times New Roman"/>
        </w:rPr>
        <w:t>ould require applicants that are now well-established in a mature industry to make larger upfront payments based on very old or relatively small defaults</w:t>
      </w:r>
      <w:r w:rsidR="00D32B78">
        <w:rPr>
          <w:rFonts w:ascii="Times New Roman" w:hAnsi="Times New Roman" w:cs="Times New Roman"/>
        </w:rPr>
        <w:t xml:space="preserve">.  </w:t>
      </w:r>
      <w:r w:rsidR="000057F2">
        <w:rPr>
          <w:rFonts w:ascii="Times New Roman" w:hAnsi="Times New Roman" w:cs="Times New Roman"/>
        </w:rPr>
        <w:t>T</w:t>
      </w:r>
      <w:r w:rsidR="00271975" w:rsidRPr="00271975">
        <w:rPr>
          <w:rFonts w:ascii="Times New Roman" w:hAnsi="Times New Roman" w:cs="Times New Roman"/>
        </w:rPr>
        <w:t>h</w:t>
      </w:r>
      <w:r w:rsidR="005317E0">
        <w:rPr>
          <w:rFonts w:ascii="Times New Roman" w:hAnsi="Times New Roman" w:cs="Times New Roman"/>
        </w:rPr>
        <w:t xml:space="preserve">is Competitive Bidding NPRM finds that the public interest would be served by </w:t>
      </w:r>
      <w:r w:rsidR="007656FE">
        <w:rPr>
          <w:rFonts w:ascii="Times New Roman" w:hAnsi="Times New Roman" w:cs="Times New Roman"/>
        </w:rPr>
        <w:t xml:space="preserve">initiating a proceeding to </w:t>
      </w:r>
      <w:r w:rsidR="005317E0">
        <w:rPr>
          <w:rFonts w:ascii="Times New Roman" w:hAnsi="Times New Roman" w:cs="Times New Roman"/>
        </w:rPr>
        <w:t>change</w:t>
      </w:r>
      <w:r w:rsidR="000057F2">
        <w:rPr>
          <w:rFonts w:ascii="Times New Roman" w:hAnsi="Times New Roman" w:cs="Times New Roman"/>
        </w:rPr>
        <w:t xml:space="preserve"> both </w:t>
      </w:r>
      <w:r w:rsidR="005317E0">
        <w:rPr>
          <w:rFonts w:ascii="Times New Roman" w:hAnsi="Times New Roman" w:cs="Times New Roman"/>
        </w:rPr>
        <w:t xml:space="preserve">of those </w:t>
      </w:r>
      <w:r w:rsidR="000057F2">
        <w:rPr>
          <w:rFonts w:ascii="Times New Roman" w:hAnsi="Times New Roman" w:cs="Times New Roman"/>
        </w:rPr>
        <w:t>rules</w:t>
      </w:r>
      <w:r w:rsidR="00795255">
        <w:rPr>
          <w:rFonts w:ascii="Times New Roman" w:hAnsi="Times New Roman" w:cs="Times New Roman"/>
        </w:rPr>
        <w:t xml:space="preserve">.  </w:t>
      </w:r>
    </w:p>
    <w:p w:rsidR="009132D6" w:rsidRDefault="009132D6" w:rsidP="009D5B14">
      <w:pPr>
        <w:spacing w:after="0" w:line="240" w:lineRule="auto"/>
        <w:rPr>
          <w:rFonts w:ascii="Times New Roman" w:hAnsi="Times New Roman" w:cs="Times New Roman"/>
        </w:rPr>
      </w:pPr>
    </w:p>
    <w:p w:rsidR="007656FE" w:rsidRPr="006A41F8" w:rsidRDefault="009D5B14" w:rsidP="009D5B14">
      <w:pPr>
        <w:spacing w:after="0" w:line="240" w:lineRule="auto"/>
        <w:rPr>
          <w:rFonts w:ascii="Times New Roman" w:hAnsi="Times New Roman" w:cs="Times New Roman"/>
        </w:rPr>
      </w:pPr>
      <w:r>
        <w:rPr>
          <w:rFonts w:ascii="Times New Roman" w:hAnsi="Times New Roman" w:cs="Times New Roman"/>
        </w:rPr>
        <w:t xml:space="preserve">     </w:t>
      </w:r>
      <w:r w:rsidR="00745239" w:rsidRPr="006A41F8">
        <w:rPr>
          <w:rFonts w:ascii="Times New Roman" w:hAnsi="Times New Roman" w:cs="Times New Roman"/>
        </w:rPr>
        <w:t xml:space="preserve">Contrary to what some have said, the waiver of the AMR Rule is consistent with the Commission’s policies with regard to Joint Sales Agreements (JSA).  </w:t>
      </w:r>
      <w:r w:rsidR="00EC1288" w:rsidRPr="006A41F8">
        <w:rPr>
          <w:rFonts w:ascii="Times New Roman" w:hAnsi="Times New Roman" w:cs="Times New Roman"/>
        </w:rPr>
        <w:t xml:space="preserve">In both contexts, the Commission’s public interest goals are the same because the Commission is looking to see whether a broadcast station or a DE has lost actual control of its operations.  </w:t>
      </w:r>
      <w:r w:rsidR="006A41F8" w:rsidRPr="006A41F8">
        <w:rPr>
          <w:rFonts w:ascii="Times New Roman" w:hAnsi="Times New Roman" w:cs="Times New Roman"/>
        </w:rPr>
        <w:t xml:space="preserve">But the broadcast media business is different from the commercial wireless industry and, </w:t>
      </w:r>
      <w:r w:rsidR="00E20456">
        <w:rPr>
          <w:rFonts w:ascii="Times New Roman" w:hAnsi="Times New Roman" w:cs="Times New Roman"/>
        </w:rPr>
        <w:t>with regard to our proposal to repeal the AMR rule</w:t>
      </w:r>
      <w:r w:rsidR="006A41F8" w:rsidRPr="006A41F8">
        <w:rPr>
          <w:rFonts w:ascii="Times New Roman" w:hAnsi="Times New Roman" w:cs="Times New Roman"/>
        </w:rPr>
        <w:t xml:space="preserve">, we simply recognize that spectrum leasing arrangements do not automatically result in a surrender of control over a small wireless carrier’s decision-making.  Moreover, </w:t>
      </w:r>
      <w:r w:rsidR="00EC1288" w:rsidRPr="006A41F8">
        <w:rPr>
          <w:rFonts w:ascii="Times New Roman" w:hAnsi="Times New Roman" w:cs="Times New Roman"/>
        </w:rPr>
        <w:t xml:space="preserve">we would keep the </w:t>
      </w:r>
      <w:r w:rsidR="006A41F8" w:rsidRPr="006A41F8">
        <w:rPr>
          <w:rFonts w:ascii="Times New Roman" w:hAnsi="Times New Roman" w:cs="Times New Roman"/>
        </w:rPr>
        <w:t xml:space="preserve">Commission’s other existing control rules, which include a thorough review of all pertinent spectrum leasing agreements.  </w:t>
      </w:r>
    </w:p>
    <w:p w:rsidR="007656FE" w:rsidRPr="006A41F8" w:rsidRDefault="007656FE" w:rsidP="00FD0523">
      <w:pPr>
        <w:spacing w:after="0" w:line="240" w:lineRule="auto"/>
        <w:ind w:firstLine="720"/>
        <w:rPr>
          <w:rFonts w:ascii="Times New Roman" w:hAnsi="Times New Roman" w:cs="Times New Roman"/>
        </w:rPr>
      </w:pPr>
    </w:p>
    <w:p w:rsidR="00271975" w:rsidRPr="00116AFB" w:rsidRDefault="009D5B14" w:rsidP="009D5B14">
      <w:pPr>
        <w:spacing w:after="0" w:line="240" w:lineRule="auto"/>
        <w:rPr>
          <w:rFonts w:ascii="Times New Roman" w:hAnsi="Times New Roman" w:cs="Times New Roman"/>
        </w:rPr>
      </w:pPr>
      <w:r>
        <w:rPr>
          <w:rFonts w:ascii="Times New Roman" w:hAnsi="Times New Roman" w:cs="Times New Roman"/>
        </w:rPr>
        <w:t xml:space="preserve">     </w:t>
      </w:r>
      <w:r w:rsidR="00697645">
        <w:rPr>
          <w:rFonts w:ascii="Times New Roman" w:hAnsi="Times New Roman" w:cs="Times New Roman"/>
        </w:rPr>
        <w:t xml:space="preserve">As I mentioned earlier in this statement, </w:t>
      </w:r>
      <w:r w:rsidR="007656FE">
        <w:rPr>
          <w:rFonts w:ascii="Times New Roman" w:hAnsi="Times New Roman" w:cs="Times New Roman"/>
        </w:rPr>
        <w:t xml:space="preserve">I have been asking the Commission for years to consider approaches to promote greater small business participation in auctions and the communications industry.  The </w:t>
      </w:r>
      <w:r w:rsidR="007656FE" w:rsidRPr="007656FE">
        <w:rPr>
          <w:rFonts w:ascii="Times New Roman" w:hAnsi="Times New Roman" w:cs="Times New Roman"/>
        </w:rPr>
        <w:t>parties filing these petitions needed the Commission to waive the application of those rules, before the September 12, 2014, deadline for filing short form applications for the AWS-3 auction.</w:t>
      </w:r>
      <w:r w:rsidR="007656FE">
        <w:rPr>
          <w:rFonts w:ascii="Times New Roman" w:hAnsi="Times New Roman" w:cs="Times New Roman"/>
        </w:rPr>
        <w:t xml:space="preserve">  Both waivers could give small businesses greater access to capital and enhance their ability to more effectively compete in the important AWS-3 auction. </w:t>
      </w:r>
      <w:r w:rsidR="00F767AE">
        <w:rPr>
          <w:rFonts w:ascii="Times New Roman" w:hAnsi="Times New Roman" w:cs="Times New Roman"/>
        </w:rPr>
        <w:t xml:space="preserve"> </w:t>
      </w:r>
      <w:r w:rsidR="00323BB5">
        <w:rPr>
          <w:rFonts w:ascii="Times New Roman" w:hAnsi="Times New Roman" w:cs="Times New Roman"/>
        </w:rPr>
        <w:t xml:space="preserve">Once again, I </w:t>
      </w:r>
      <w:r w:rsidR="00271975" w:rsidRPr="00271975">
        <w:rPr>
          <w:rFonts w:ascii="Times New Roman" w:hAnsi="Times New Roman" w:cs="Times New Roman"/>
        </w:rPr>
        <w:t>commend Chairman Wheeler for circulating orders granting both limited waivers so the entire industry has cl</w:t>
      </w:r>
      <w:r w:rsidR="008A6D40">
        <w:rPr>
          <w:rFonts w:ascii="Times New Roman" w:hAnsi="Times New Roman" w:cs="Times New Roman"/>
        </w:rPr>
        <w:t xml:space="preserve"> </w:t>
      </w:r>
      <w:r w:rsidR="00271975" w:rsidRPr="00271975">
        <w:rPr>
          <w:rFonts w:ascii="Times New Roman" w:hAnsi="Times New Roman" w:cs="Times New Roman"/>
        </w:rPr>
        <w:t>ear guidance in advance of the AWS-3 auction.</w:t>
      </w:r>
      <w:r w:rsidR="00271975">
        <w:rPr>
          <w:rFonts w:ascii="Times New Roman" w:hAnsi="Times New Roman" w:cs="Times New Roman"/>
        </w:rPr>
        <w:t xml:space="preserve"> </w:t>
      </w:r>
      <w:r w:rsidR="00697645">
        <w:rPr>
          <w:rFonts w:ascii="Times New Roman" w:hAnsi="Times New Roman" w:cs="Times New Roman"/>
        </w:rPr>
        <w:t xml:space="preserve">   </w:t>
      </w:r>
    </w:p>
    <w:sectPr w:rsidR="00271975" w:rsidRPr="00116AFB" w:rsidSect="009D5B1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00E" w:rsidRDefault="008D600E" w:rsidP="008511FE">
      <w:pPr>
        <w:spacing w:after="0" w:line="240" w:lineRule="auto"/>
      </w:pPr>
      <w:r>
        <w:separator/>
      </w:r>
    </w:p>
  </w:endnote>
  <w:endnote w:type="continuationSeparator" w:id="0">
    <w:p w:rsidR="008D600E" w:rsidRDefault="008D600E" w:rsidP="008511FE">
      <w:pPr>
        <w:spacing w:after="0" w:line="240" w:lineRule="auto"/>
      </w:pPr>
      <w:r>
        <w:continuationSeparator/>
      </w:r>
    </w:p>
  </w:endnote>
  <w:endnote w:type="continuationNotice" w:id="1">
    <w:p w:rsidR="008D600E" w:rsidRDefault="008D60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996" w:rsidRDefault="00DE39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154584"/>
      <w:docPartObj>
        <w:docPartGallery w:val="Page Numbers (Bottom of Page)"/>
        <w:docPartUnique/>
      </w:docPartObj>
    </w:sdtPr>
    <w:sdtEndPr>
      <w:rPr>
        <w:rFonts w:ascii="Times New Roman" w:hAnsi="Times New Roman" w:cs="Times New Roman"/>
        <w:noProof/>
      </w:rPr>
    </w:sdtEndPr>
    <w:sdtContent>
      <w:p w:rsidR="00382922" w:rsidRPr="009D5B14" w:rsidRDefault="00382922">
        <w:pPr>
          <w:pStyle w:val="Footer"/>
          <w:jc w:val="center"/>
          <w:rPr>
            <w:rFonts w:ascii="Times New Roman" w:hAnsi="Times New Roman" w:cs="Times New Roman"/>
          </w:rPr>
        </w:pPr>
        <w:r w:rsidRPr="009D5B14">
          <w:rPr>
            <w:rFonts w:ascii="Times New Roman" w:hAnsi="Times New Roman" w:cs="Times New Roman"/>
          </w:rPr>
          <w:fldChar w:fldCharType="begin"/>
        </w:r>
        <w:r w:rsidRPr="009D5B14">
          <w:rPr>
            <w:rFonts w:ascii="Times New Roman" w:hAnsi="Times New Roman" w:cs="Times New Roman"/>
          </w:rPr>
          <w:instrText xml:space="preserve"> PAGE   \* MERGEFORMAT </w:instrText>
        </w:r>
        <w:r w:rsidRPr="009D5B14">
          <w:rPr>
            <w:rFonts w:ascii="Times New Roman" w:hAnsi="Times New Roman" w:cs="Times New Roman"/>
          </w:rPr>
          <w:fldChar w:fldCharType="separate"/>
        </w:r>
        <w:r w:rsidR="009132D6">
          <w:rPr>
            <w:rFonts w:ascii="Times New Roman" w:hAnsi="Times New Roman" w:cs="Times New Roman"/>
            <w:noProof/>
          </w:rPr>
          <w:t>2</w:t>
        </w:r>
        <w:r w:rsidRPr="009D5B14">
          <w:rPr>
            <w:rFonts w:ascii="Times New Roman" w:hAnsi="Times New Roman" w:cs="Times New Roman"/>
            <w:noProof/>
          </w:rPr>
          <w:fldChar w:fldCharType="end"/>
        </w:r>
      </w:p>
    </w:sdtContent>
  </w:sdt>
  <w:p w:rsidR="00382922" w:rsidRDefault="003829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996" w:rsidRDefault="00DE39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00E" w:rsidRDefault="008D600E" w:rsidP="008511FE">
      <w:pPr>
        <w:spacing w:after="0" w:line="240" w:lineRule="auto"/>
      </w:pPr>
      <w:r>
        <w:separator/>
      </w:r>
    </w:p>
  </w:footnote>
  <w:footnote w:type="continuationSeparator" w:id="0">
    <w:p w:rsidR="008D600E" w:rsidRDefault="008D600E" w:rsidP="008511FE">
      <w:pPr>
        <w:spacing w:after="0" w:line="240" w:lineRule="auto"/>
      </w:pPr>
      <w:r>
        <w:continuationSeparator/>
      </w:r>
    </w:p>
  </w:footnote>
  <w:footnote w:type="continuationNotice" w:id="1">
    <w:p w:rsidR="008D600E" w:rsidRDefault="008D600E">
      <w:pPr>
        <w:spacing w:after="0" w:line="240" w:lineRule="auto"/>
      </w:pPr>
    </w:p>
  </w:footnote>
  <w:footnote w:id="2">
    <w:p w:rsidR="00CC057D" w:rsidRPr="009D5B14" w:rsidRDefault="00CC057D" w:rsidP="00697645">
      <w:pPr>
        <w:pStyle w:val="FootnoteText"/>
        <w:rPr>
          <w:rFonts w:ascii="Times New Roman" w:hAnsi="Times New Roman" w:cs="Times New Roman"/>
        </w:rPr>
      </w:pPr>
      <w:r w:rsidRPr="009D5B14">
        <w:rPr>
          <w:rStyle w:val="FootnoteReference"/>
          <w:rFonts w:ascii="Times New Roman" w:hAnsi="Times New Roman" w:cs="Times New Roman"/>
        </w:rPr>
        <w:footnoteRef/>
      </w:r>
      <w:r w:rsidRPr="009D5B14">
        <w:rPr>
          <w:rFonts w:ascii="Times New Roman" w:hAnsi="Times New Roman" w:cs="Times New Roman"/>
        </w:rPr>
        <w:t xml:space="preserve"> Statement of FCC Commissioner Mignon L.</w:t>
      </w:r>
      <w:r w:rsidR="00CD4E0E" w:rsidRPr="009D5B14">
        <w:rPr>
          <w:rFonts w:ascii="Times New Roman" w:hAnsi="Times New Roman" w:cs="Times New Roman"/>
        </w:rPr>
        <w:t xml:space="preserve"> Clyburn,</w:t>
      </w:r>
      <w:r w:rsidRPr="009D5B14">
        <w:rPr>
          <w:rFonts w:ascii="Times New Roman" w:hAnsi="Times New Roman" w:cs="Times New Roman"/>
        </w:rPr>
        <w:t xml:space="preserve"> Statement on Public Notice Seeking Comment on Proposal to create an “Overcoming Disadvantage” category for its current Designated Entity rules (December 3, 2010); Section 257 Triennial Report to Congress</w:t>
      </w:r>
      <w:r w:rsidR="00CF11C5" w:rsidRPr="009D5B14">
        <w:rPr>
          <w:rFonts w:ascii="Times New Roman" w:hAnsi="Times New Roman" w:cs="Times New Roman"/>
        </w:rPr>
        <w:t xml:space="preserve"> Identifying and Eliminating Market Entry Barriers for Entrepreneurs and other Small Businesses, </w:t>
      </w:r>
      <w:r w:rsidR="00CF11C5" w:rsidRPr="009D5B14">
        <w:rPr>
          <w:rFonts w:ascii="Times New Roman" w:hAnsi="Times New Roman" w:cs="Times New Roman"/>
          <w:i/>
        </w:rPr>
        <w:t>Report</w:t>
      </w:r>
      <w:r w:rsidR="00CF11C5" w:rsidRPr="009D5B14">
        <w:rPr>
          <w:rFonts w:ascii="Times New Roman" w:hAnsi="Times New Roman" w:cs="Times New Roman"/>
        </w:rPr>
        <w:t>, 26 FCC Rcd 2909, 2969-70 (2011) (Separate Statement of FCC Commissioner Mignon L.</w:t>
      </w:r>
      <w:r w:rsidR="00CD4E0E" w:rsidRPr="009D5B14">
        <w:rPr>
          <w:rFonts w:ascii="Times New Roman" w:hAnsi="Times New Roman" w:cs="Times New Roman"/>
        </w:rPr>
        <w:t xml:space="preserve"> Clyburn</w:t>
      </w:r>
      <w:r w:rsidR="00CF11C5" w:rsidRPr="009D5B14">
        <w:rPr>
          <w:rFonts w:ascii="Times New Roman" w:hAnsi="Times New Roman" w:cs="Times New Roman"/>
        </w:rPr>
        <w:t>)</w:t>
      </w:r>
      <w:r w:rsidRPr="009D5B14">
        <w:rPr>
          <w:rFonts w:ascii="Times New Roman" w:hAnsi="Times New Roman" w:cs="Times New Roman"/>
        </w:rPr>
        <w:t xml:space="preserve">; </w:t>
      </w:r>
      <w:r w:rsidR="00697645" w:rsidRPr="009D5B14">
        <w:rPr>
          <w:rFonts w:ascii="Times New Roman" w:hAnsi="Times New Roman" w:cs="Times New Roman"/>
        </w:rPr>
        <w:t xml:space="preserve">Expanding the Economic and Innovation Opportunities of Spectrum Through Incentive Auctions, GN Docket No. 12-268, </w:t>
      </w:r>
      <w:r w:rsidR="00697645" w:rsidRPr="009D5B14">
        <w:rPr>
          <w:rFonts w:ascii="Times New Roman" w:hAnsi="Times New Roman" w:cs="Times New Roman"/>
          <w:i/>
        </w:rPr>
        <w:t>Notice of Proposed Rulemaking</w:t>
      </w:r>
      <w:r w:rsidR="00697645" w:rsidRPr="009D5B14">
        <w:rPr>
          <w:rFonts w:ascii="Times New Roman" w:hAnsi="Times New Roman" w:cs="Times New Roman"/>
        </w:rPr>
        <w:t>, 27 FCC Rcd 12357, 12368 (2012) (Separate Statement of FCC Commissioner Mignon L. Clyburn)</w:t>
      </w:r>
      <w:r w:rsidRPr="009D5B14">
        <w:rPr>
          <w:rFonts w:ascii="Times New Roman" w:hAnsi="Times New Roman" w:cs="Times New Roman"/>
        </w:rPr>
        <w:t>.</w:t>
      </w:r>
    </w:p>
  </w:footnote>
  <w:footnote w:id="3">
    <w:p w:rsidR="00382922" w:rsidRPr="009D5B14" w:rsidRDefault="00382922">
      <w:pPr>
        <w:pStyle w:val="FootnoteText"/>
        <w:rPr>
          <w:rFonts w:ascii="Times New Roman" w:hAnsi="Times New Roman" w:cs="Times New Roman"/>
        </w:rPr>
      </w:pPr>
      <w:r w:rsidRPr="009D5B14">
        <w:rPr>
          <w:rStyle w:val="FootnoteReference"/>
          <w:rFonts w:ascii="Times New Roman" w:hAnsi="Times New Roman" w:cs="Times New Roman"/>
        </w:rPr>
        <w:footnoteRef/>
      </w:r>
      <w:r w:rsidRPr="009D5B14">
        <w:rPr>
          <w:rFonts w:ascii="Times New Roman" w:hAnsi="Times New Roman" w:cs="Times New Roman"/>
        </w:rPr>
        <w:t xml:space="preserve"> H.R. Rep. No. 103-111 at 254 (1993).      </w:t>
      </w:r>
    </w:p>
  </w:footnote>
  <w:footnote w:id="4">
    <w:p w:rsidR="00382922" w:rsidRPr="009D5B14" w:rsidRDefault="00382922">
      <w:pPr>
        <w:pStyle w:val="FootnoteText"/>
        <w:rPr>
          <w:rFonts w:ascii="Times New Roman" w:hAnsi="Times New Roman" w:cs="Times New Roman"/>
        </w:rPr>
      </w:pPr>
      <w:r w:rsidRPr="009D5B14">
        <w:rPr>
          <w:rStyle w:val="FootnoteReference"/>
          <w:rFonts w:ascii="Times New Roman" w:hAnsi="Times New Roman" w:cs="Times New Roman"/>
        </w:rPr>
        <w:footnoteRef/>
      </w:r>
      <w:r w:rsidRPr="009D5B14">
        <w:rPr>
          <w:rFonts w:ascii="Times New Roman" w:hAnsi="Times New Roman" w:cs="Times New Roman"/>
        </w:rPr>
        <w:t xml:space="preserve"> 47 U.S.C. § 309(j)(3)(B).</w:t>
      </w:r>
    </w:p>
  </w:footnote>
  <w:footnote w:id="5">
    <w:p w:rsidR="00BF2631" w:rsidRPr="009D5B14" w:rsidRDefault="00BF2631" w:rsidP="00BF2631">
      <w:pPr>
        <w:pStyle w:val="FootnoteText"/>
        <w:rPr>
          <w:rFonts w:ascii="Times New Roman" w:hAnsi="Times New Roman" w:cs="Times New Roman"/>
        </w:rPr>
      </w:pPr>
      <w:r w:rsidRPr="009D5B14">
        <w:rPr>
          <w:rStyle w:val="FootnoteReference"/>
          <w:rFonts w:ascii="Times New Roman" w:hAnsi="Times New Roman" w:cs="Times New Roman"/>
        </w:rPr>
        <w:footnoteRef/>
      </w:r>
      <w:r w:rsidRPr="009D5B14">
        <w:rPr>
          <w:rFonts w:ascii="Times New Roman" w:hAnsi="Times New Roman" w:cs="Times New Roman"/>
        </w:rPr>
        <w:t xml:space="preserve"> Promoting Efficient Use of Spectrum Through Elimination of Barriers to the Development of Secondary Markets, WT Docket No. 00-230,  </w:t>
      </w:r>
      <w:r w:rsidRPr="009D5B14">
        <w:rPr>
          <w:rFonts w:ascii="Times New Roman" w:hAnsi="Times New Roman" w:cs="Times New Roman"/>
          <w:i/>
        </w:rPr>
        <w:t>Second Report and Order, Order on Reconsideration</w:t>
      </w:r>
      <w:r w:rsidRPr="009D5B14">
        <w:rPr>
          <w:rFonts w:ascii="Times New Roman" w:hAnsi="Times New Roman" w:cs="Times New Roman"/>
        </w:rPr>
        <w:t xml:space="preserve">, </w:t>
      </w:r>
      <w:r w:rsidRPr="009D5B14">
        <w:rPr>
          <w:rFonts w:ascii="Times New Roman" w:hAnsi="Times New Roman" w:cs="Times New Roman"/>
          <w:i/>
        </w:rPr>
        <w:t>and Second Further Notice of Proposed Rulemaking</w:t>
      </w:r>
      <w:r w:rsidRPr="009D5B14">
        <w:rPr>
          <w:rFonts w:ascii="Times New Roman" w:hAnsi="Times New Roman" w:cs="Times New Roman"/>
        </w:rPr>
        <w:t>, 19 FCC Rcd 17503, 17541 ¶ 71 (2004) (</w:t>
      </w:r>
      <w:r w:rsidRPr="009D5B14">
        <w:rPr>
          <w:rFonts w:ascii="Times New Roman" w:hAnsi="Times New Roman" w:cs="Times New Roman"/>
          <w:i/>
        </w:rPr>
        <w:t>Secondary Markets Second Report and Order</w:t>
      </w:r>
      <w:r w:rsidRPr="009D5B14">
        <w:rPr>
          <w:rFonts w:ascii="Times New Roman" w:hAnsi="Times New Roman" w:cs="Times New Roman"/>
        </w:rPr>
        <w:t>) (“While we believe that spectrum leasing by small businesses serves many policy goals, we cannot disregard Congress’ stated intent that a licensee receiving designated entity or entrepreneur benefits be an entity that actually provides service under the license.”)</w:t>
      </w:r>
    </w:p>
  </w:footnote>
  <w:footnote w:id="6">
    <w:p w:rsidR="00382922" w:rsidRPr="009D5B14" w:rsidRDefault="00382922">
      <w:pPr>
        <w:pStyle w:val="FootnoteText"/>
        <w:rPr>
          <w:rFonts w:ascii="Times New Roman" w:hAnsi="Times New Roman" w:cs="Times New Roman"/>
        </w:rPr>
      </w:pPr>
      <w:r w:rsidRPr="009D5B14">
        <w:rPr>
          <w:rStyle w:val="FootnoteReference"/>
          <w:rFonts w:ascii="Times New Roman" w:hAnsi="Times New Roman" w:cs="Times New Roman"/>
        </w:rPr>
        <w:footnoteRef/>
      </w:r>
      <w:r w:rsidRPr="009D5B14">
        <w:rPr>
          <w:rFonts w:ascii="Times New Roman" w:hAnsi="Times New Roman" w:cs="Times New Roman"/>
        </w:rPr>
        <w:t xml:space="preserve"> H.R. Rep. No. 103-111, at 257-58 (1993).</w:t>
      </w:r>
    </w:p>
  </w:footnote>
  <w:footnote w:id="7">
    <w:p w:rsidR="00382922" w:rsidRPr="009D5B14" w:rsidRDefault="00382922">
      <w:pPr>
        <w:pStyle w:val="FootnoteText"/>
        <w:rPr>
          <w:rFonts w:ascii="Times New Roman" w:hAnsi="Times New Roman" w:cs="Times New Roman"/>
        </w:rPr>
      </w:pPr>
      <w:r w:rsidRPr="009D5B14">
        <w:rPr>
          <w:rStyle w:val="FootnoteReference"/>
          <w:rFonts w:ascii="Times New Roman" w:hAnsi="Times New Roman" w:cs="Times New Roman"/>
        </w:rPr>
        <w:footnoteRef/>
      </w:r>
      <w:r w:rsidRPr="009D5B14">
        <w:rPr>
          <w:rFonts w:ascii="Times New Roman" w:hAnsi="Times New Roman" w:cs="Times New Roman"/>
        </w:rPr>
        <w:t xml:space="preserve"> </w:t>
      </w:r>
      <w:r w:rsidR="00BF2631" w:rsidRPr="009D5B14">
        <w:rPr>
          <w:rFonts w:ascii="Times New Roman" w:hAnsi="Times New Roman" w:cs="Times New Roman"/>
          <w:i/>
        </w:rPr>
        <w:t>Secondary Markets Second Report and Order</w:t>
      </w:r>
      <w:r w:rsidRPr="009D5B14">
        <w:rPr>
          <w:rFonts w:ascii="Times New Roman" w:hAnsi="Times New Roman" w:cs="Times New Roman"/>
        </w:rPr>
        <w:t xml:space="preserve">, 19 FCC Rcd </w:t>
      </w:r>
      <w:r w:rsidR="00BF2631" w:rsidRPr="009D5B14">
        <w:rPr>
          <w:rFonts w:ascii="Times New Roman" w:hAnsi="Times New Roman" w:cs="Times New Roman"/>
        </w:rPr>
        <w:t>at</w:t>
      </w:r>
      <w:r w:rsidRPr="009D5B14">
        <w:rPr>
          <w:rFonts w:ascii="Times New Roman" w:hAnsi="Times New Roman" w:cs="Times New Roman"/>
        </w:rPr>
        <w:t xml:space="preserve"> 17542 </w:t>
      </w:r>
      <w:r w:rsidR="00BF2631" w:rsidRPr="009D5B14">
        <w:rPr>
          <w:rFonts w:ascii="Times New Roman" w:hAnsi="Times New Roman" w:cs="Times New Roman"/>
        </w:rPr>
        <w:t>¶ 77</w:t>
      </w:r>
      <w:r w:rsidRPr="009D5B14">
        <w:rPr>
          <w:rFonts w:ascii="Times New Roman" w:hAnsi="Times New Roman" w:cs="Times New Roman"/>
        </w:rPr>
        <w:t>.</w:t>
      </w:r>
    </w:p>
  </w:footnote>
  <w:footnote w:id="8">
    <w:p w:rsidR="00382922" w:rsidRPr="009D5B14" w:rsidRDefault="00382922">
      <w:pPr>
        <w:pStyle w:val="FootnoteText"/>
        <w:rPr>
          <w:rFonts w:ascii="Times New Roman" w:hAnsi="Times New Roman" w:cs="Times New Roman"/>
        </w:rPr>
      </w:pPr>
      <w:r w:rsidRPr="009D5B14">
        <w:rPr>
          <w:rStyle w:val="FootnoteReference"/>
          <w:rFonts w:ascii="Times New Roman" w:hAnsi="Times New Roman" w:cs="Times New Roman"/>
        </w:rPr>
        <w:footnoteRef/>
      </w:r>
      <w:r w:rsidRPr="009D5B14">
        <w:rPr>
          <w:rFonts w:ascii="Times New Roman" w:hAnsi="Times New Roman" w:cs="Times New Roman"/>
        </w:rPr>
        <w:t xml:space="preserve"> </w:t>
      </w:r>
      <w:r w:rsidRPr="009D5B14">
        <w:rPr>
          <w:rFonts w:ascii="Times New Roman" w:hAnsi="Times New Roman" w:cs="Times New Roman"/>
          <w:i/>
        </w:rPr>
        <w:t>F.C.C. v. Fox Television Stations</w:t>
      </w:r>
      <w:r w:rsidRPr="009D5B14">
        <w:rPr>
          <w:rFonts w:ascii="Times New Roman" w:hAnsi="Times New Roman" w:cs="Times New Roman"/>
        </w:rPr>
        <w:t>, 556 U.S. 502, 515 (2009).</w:t>
      </w:r>
    </w:p>
  </w:footnote>
  <w:footnote w:id="9">
    <w:p w:rsidR="00382922" w:rsidRPr="009D5B14" w:rsidRDefault="00382922">
      <w:pPr>
        <w:pStyle w:val="FootnoteText"/>
        <w:rPr>
          <w:rFonts w:ascii="Times New Roman" w:hAnsi="Times New Roman" w:cs="Times New Roman"/>
          <w:b/>
        </w:rPr>
      </w:pPr>
      <w:r w:rsidRPr="009D5B14">
        <w:rPr>
          <w:rStyle w:val="FootnoteReference"/>
          <w:rFonts w:ascii="Times New Roman" w:hAnsi="Times New Roman" w:cs="Times New Roman"/>
        </w:rPr>
        <w:footnoteRef/>
      </w:r>
      <w:r w:rsidRPr="009D5B14">
        <w:rPr>
          <w:rFonts w:ascii="Times New Roman" w:hAnsi="Times New Roman" w:cs="Times New Roman"/>
        </w:rPr>
        <w:t xml:space="preserve"> </w:t>
      </w:r>
      <w:r w:rsidRPr="009D5B14">
        <w:rPr>
          <w:rFonts w:ascii="Times New Roman" w:hAnsi="Times New Roman" w:cs="Times New Roman"/>
          <w:i/>
        </w:rPr>
        <w:t>Dean v. United States</w:t>
      </w:r>
      <w:r w:rsidRPr="009D5B14">
        <w:rPr>
          <w:rFonts w:ascii="Times New Roman" w:hAnsi="Times New Roman" w:cs="Times New Roman"/>
        </w:rPr>
        <w:t>, 556</w:t>
      </w:r>
      <w:r w:rsidR="00915FC0" w:rsidRPr="009D5B14">
        <w:rPr>
          <w:rFonts w:ascii="Times New Roman" w:hAnsi="Times New Roman" w:cs="Times New Roman"/>
        </w:rPr>
        <w:t xml:space="preserve"> </w:t>
      </w:r>
      <w:r w:rsidRPr="009D5B14">
        <w:rPr>
          <w:rFonts w:ascii="Times New Roman" w:hAnsi="Times New Roman" w:cs="Times New Roman"/>
        </w:rPr>
        <w:t>U.S. 568, 572 (2009</w:t>
      </w:r>
      <w:r w:rsidRPr="009D5B14">
        <w:rPr>
          <w:rFonts w:ascii="Times New Roman" w:hAnsi="Times New Roman" w:cs="Times New Roman"/>
          <w:b/>
        </w:rPr>
        <w:t xml:space="preserve">) </w:t>
      </w:r>
      <w:r w:rsidRPr="009D5B14">
        <w:rPr>
          <w:rFonts w:ascii="Times New Roman" w:hAnsi="Times New Roman" w:cs="Times New Roman"/>
        </w:rPr>
        <w:t>(“We start, as always, with the language of the statute.”)</w:t>
      </w:r>
    </w:p>
  </w:footnote>
  <w:footnote w:id="10">
    <w:p w:rsidR="00382922" w:rsidRPr="009D5B14" w:rsidRDefault="00382922" w:rsidP="00EF123E">
      <w:pPr>
        <w:pStyle w:val="FootnoteText"/>
        <w:rPr>
          <w:rFonts w:ascii="Times New Roman" w:hAnsi="Times New Roman" w:cs="Times New Roman"/>
        </w:rPr>
      </w:pPr>
      <w:r w:rsidRPr="009D5B14">
        <w:rPr>
          <w:rStyle w:val="FootnoteReference"/>
          <w:rFonts w:ascii="Times New Roman" w:hAnsi="Times New Roman" w:cs="Times New Roman"/>
        </w:rPr>
        <w:footnoteRef/>
      </w:r>
      <w:r w:rsidRPr="009D5B14">
        <w:rPr>
          <w:rFonts w:ascii="Times New Roman" w:hAnsi="Times New Roman" w:cs="Times New Roman"/>
        </w:rPr>
        <w:t xml:space="preserve"> 47 C.F.R. § 1.948(i)(1).</w:t>
      </w:r>
    </w:p>
  </w:footnote>
  <w:footnote w:id="11">
    <w:p w:rsidR="00382922" w:rsidRPr="009D5B14" w:rsidRDefault="00382922">
      <w:pPr>
        <w:pStyle w:val="FootnoteText"/>
        <w:rPr>
          <w:rFonts w:ascii="Times New Roman" w:hAnsi="Times New Roman" w:cs="Times New Roman"/>
        </w:rPr>
      </w:pPr>
      <w:r w:rsidRPr="009D5B14">
        <w:rPr>
          <w:rStyle w:val="FootnoteReference"/>
          <w:rFonts w:ascii="Times New Roman" w:hAnsi="Times New Roman" w:cs="Times New Roman"/>
        </w:rPr>
        <w:footnoteRef/>
      </w:r>
      <w:r w:rsidRPr="009D5B14">
        <w:rPr>
          <w:rFonts w:ascii="Times New Roman" w:hAnsi="Times New Roman" w:cs="Times New Roman"/>
        </w:rPr>
        <w:t xml:space="preserve"> Implementation of Section 6002(b) of the Omnibus Budget Reconciliation Act of 1993 Annual Report and Analysis of Competitive Market Conditions With Respect to Mobile Wireless, Including Commercial Mobile Services, WT Docket No. 11-186, Sixteenth Report, 28 FCC Rcd 3700, 3719 (2013) (</w:t>
      </w:r>
      <w:r w:rsidRPr="009D5B14">
        <w:rPr>
          <w:rFonts w:ascii="Times New Roman" w:hAnsi="Times New Roman" w:cs="Times New Roman"/>
          <w:i/>
        </w:rPr>
        <w:t>Sixteenth Mobile Services Report</w:t>
      </w:r>
      <w:r w:rsidRPr="009D5B14">
        <w:rPr>
          <w:rFonts w:ascii="Times New Roman" w:hAnsi="Times New Roman" w:cs="Times New Roman"/>
        </w:rPr>
        <w:t>).</w:t>
      </w:r>
    </w:p>
  </w:footnote>
  <w:footnote w:id="12">
    <w:p w:rsidR="00382922" w:rsidRPr="009D5B14" w:rsidRDefault="00382922">
      <w:pPr>
        <w:pStyle w:val="FootnoteText"/>
        <w:rPr>
          <w:rFonts w:ascii="Times New Roman" w:hAnsi="Times New Roman" w:cs="Times New Roman"/>
        </w:rPr>
      </w:pPr>
      <w:r w:rsidRPr="009D5B14">
        <w:rPr>
          <w:rStyle w:val="FootnoteReference"/>
          <w:rFonts w:ascii="Times New Roman" w:hAnsi="Times New Roman" w:cs="Times New Roman"/>
        </w:rPr>
        <w:footnoteRef/>
      </w:r>
      <w:r w:rsidRPr="009D5B14">
        <w:rPr>
          <w:rFonts w:ascii="Times New Roman" w:hAnsi="Times New Roman" w:cs="Times New Roman"/>
        </w:rPr>
        <w:t xml:space="preserve"> </w:t>
      </w:r>
      <w:r w:rsidRPr="009D5B14">
        <w:rPr>
          <w:rFonts w:ascii="Times New Roman" w:hAnsi="Times New Roman" w:cs="Times New Roman"/>
          <w:i/>
        </w:rPr>
        <w:t>Id</w:t>
      </w:r>
      <w:r w:rsidRPr="009D5B14">
        <w:rPr>
          <w:rFonts w:ascii="Times New Roman" w:hAnsi="Times New Roman" w:cs="Times New Roman"/>
        </w:rPr>
        <w:t>. at 3766–69 ¶¶ 79–84.</w:t>
      </w:r>
    </w:p>
  </w:footnote>
  <w:footnote w:id="13">
    <w:p w:rsidR="00382922" w:rsidRPr="009D5B14" w:rsidRDefault="00382922">
      <w:pPr>
        <w:pStyle w:val="FootnoteText"/>
        <w:rPr>
          <w:rFonts w:ascii="Times New Roman" w:hAnsi="Times New Roman" w:cs="Times New Roman"/>
        </w:rPr>
      </w:pPr>
      <w:r w:rsidRPr="009D5B14">
        <w:rPr>
          <w:rStyle w:val="FootnoteReference"/>
          <w:rFonts w:ascii="Times New Roman" w:hAnsi="Times New Roman" w:cs="Times New Roman"/>
        </w:rPr>
        <w:footnoteRef/>
      </w:r>
      <w:r w:rsidRPr="009D5B14">
        <w:rPr>
          <w:rFonts w:ascii="Times New Roman" w:hAnsi="Times New Roman" w:cs="Times New Roman"/>
        </w:rPr>
        <w:t xml:space="preserve"> S. Jenell Trigg &amp; Jeneba Jalloh Ghatt for MMTC, Digital Déjà Vu: A Road Map for Promoting Minority Ownership in the Wireless Industry, GN Docket No. 12-268, at 32 (filed Feb. 27, 2014) (Digital Déjà Vu).  </w:t>
      </w:r>
    </w:p>
  </w:footnote>
  <w:footnote w:id="14">
    <w:p w:rsidR="00382922" w:rsidRPr="009D5B14" w:rsidRDefault="00382922">
      <w:pPr>
        <w:pStyle w:val="FootnoteText"/>
        <w:rPr>
          <w:rFonts w:ascii="Times New Roman" w:hAnsi="Times New Roman" w:cs="Times New Roman"/>
        </w:rPr>
      </w:pPr>
      <w:r w:rsidRPr="009D5B14">
        <w:rPr>
          <w:rStyle w:val="FootnoteReference"/>
          <w:rFonts w:ascii="Times New Roman" w:hAnsi="Times New Roman" w:cs="Times New Roman"/>
        </w:rPr>
        <w:footnoteRef/>
      </w:r>
      <w:r w:rsidRPr="009D5B14">
        <w:rPr>
          <w:rFonts w:ascii="Times New Roman" w:hAnsi="Times New Roman" w:cs="Times New Roman"/>
        </w:rPr>
        <w:t xml:space="preserve"> 47 U.S.C. 309(j)(3)(B).</w:t>
      </w:r>
    </w:p>
  </w:footnote>
  <w:footnote w:id="15">
    <w:p w:rsidR="00382922" w:rsidRPr="009D5B14" w:rsidRDefault="00382922">
      <w:pPr>
        <w:pStyle w:val="FootnoteText"/>
        <w:rPr>
          <w:rFonts w:ascii="Times New Roman" w:hAnsi="Times New Roman" w:cs="Times New Roman"/>
        </w:rPr>
      </w:pPr>
      <w:r w:rsidRPr="009D5B14">
        <w:rPr>
          <w:rStyle w:val="FootnoteReference"/>
          <w:rFonts w:ascii="Times New Roman" w:hAnsi="Times New Roman" w:cs="Times New Roman"/>
        </w:rPr>
        <w:footnoteRef/>
      </w:r>
      <w:r w:rsidRPr="009D5B14">
        <w:rPr>
          <w:rFonts w:ascii="Times New Roman" w:hAnsi="Times New Roman" w:cs="Times New Roman"/>
        </w:rPr>
        <w:t xml:space="preserve"> </w:t>
      </w:r>
      <w:r w:rsidRPr="009D5B14">
        <w:rPr>
          <w:rFonts w:ascii="Times New Roman" w:hAnsi="Times New Roman" w:cs="Times New Roman"/>
          <w:i/>
        </w:rPr>
        <w:t>See</w:t>
      </w:r>
      <w:r w:rsidRPr="009D5B14">
        <w:rPr>
          <w:rFonts w:ascii="Times New Roman" w:hAnsi="Times New Roman" w:cs="Times New Roman"/>
        </w:rPr>
        <w:t xml:space="preserve"> ERS, Geography of Poverty, http://www.ers.usda.gov/topics/rural-economy-population/rural-poverty-well-being/geography-of-poverty.aspx (last visited July 18, 2014).</w:t>
      </w:r>
    </w:p>
  </w:footnote>
  <w:footnote w:id="16">
    <w:p w:rsidR="00C42AD0" w:rsidRPr="009D5B14" w:rsidRDefault="00C42AD0" w:rsidP="00C42AD0">
      <w:pPr>
        <w:pStyle w:val="FootnoteText"/>
        <w:rPr>
          <w:rFonts w:ascii="Times New Roman" w:hAnsi="Times New Roman" w:cs="Times New Roman"/>
        </w:rPr>
      </w:pPr>
      <w:r w:rsidRPr="009D5B14">
        <w:rPr>
          <w:rStyle w:val="FootnoteReference"/>
          <w:rFonts w:ascii="Times New Roman" w:hAnsi="Times New Roman" w:cs="Times New Roman"/>
        </w:rPr>
        <w:footnoteRef/>
      </w:r>
      <w:r w:rsidRPr="009D5B14">
        <w:rPr>
          <w:rFonts w:ascii="Times New Roman" w:hAnsi="Times New Roman" w:cs="Times New Roman"/>
        </w:rPr>
        <w:t xml:space="preserve"> </w:t>
      </w:r>
      <w:r w:rsidRPr="009D5B14">
        <w:rPr>
          <w:rFonts w:ascii="Times New Roman" w:hAnsi="Times New Roman" w:cs="Times New Roman"/>
          <w:i/>
        </w:rPr>
        <w:t>Sixteenth Mobile Services Report</w:t>
      </w:r>
      <w:r w:rsidRPr="009D5B14">
        <w:rPr>
          <w:rFonts w:ascii="Times New Roman" w:hAnsi="Times New Roman" w:cs="Times New Roman"/>
        </w:rPr>
        <w:t>, 28 FCC Rcd at 3725-27.</w:t>
      </w:r>
    </w:p>
  </w:footnote>
  <w:footnote w:id="17">
    <w:p w:rsidR="007D45CA" w:rsidRPr="009D5B14" w:rsidRDefault="00A92190" w:rsidP="007D45CA">
      <w:pPr>
        <w:pStyle w:val="FootnoteText"/>
        <w:rPr>
          <w:rFonts w:ascii="Times New Roman" w:hAnsi="Times New Roman" w:cs="Times New Roman"/>
        </w:rPr>
      </w:pPr>
      <w:r w:rsidRPr="009D5B14">
        <w:rPr>
          <w:rStyle w:val="FootnoteReference"/>
          <w:rFonts w:ascii="Times New Roman" w:hAnsi="Times New Roman" w:cs="Times New Roman"/>
        </w:rPr>
        <w:footnoteRef/>
      </w:r>
      <w:r w:rsidRPr="009D5B14">
        <w:rPr>
          <w:rFonts w:ascii="Times New Roman" w:hAnsi="Times New Roman" w:cs="Times New Roman"/>
        </w:rPr>
        <w:t xml:space="preserve"> The Commission has, on prior occasions, granted waivers pending the completion of rulemakings.  </w:t>
      </w:r>
      <w:r w:rsidRPr="009D5B14">
        <w:rPr>
          <w:rFonts w:ascii="Times New Roman" w:hAnsi="Times New Roman" w:cs="Times New Roman"/>
          <w:i/>
        </w:rPr>
        <w:t>See</w:t>
      </w:r>
      <w:r w:rsidRPr="009D5B14">
        <w:rPr>
          <w:rFonts w:ascii="Times New Roman" w:hAnsi="Times New Roman" w:cs="Times New Roman"/>
        </w:rPr>
        <w:t xml:space="preserve"> Amendment of Parts 1 and 17 of the Commission’s Rules Regarding Public Notice Procedures for Processing Antenna Structure Registration Applications for</w:t>
      </w:r>
      <w:r w:rsidR="00C42AD0" w:rsidRPr="009D5B14">
        <w:rPr>
          <w:rFonts w:ascii="Times New Roman" w:hAnsi="Times New Roman" w:cs="Times New Roman"/>
        </w:rPr>
        <w:t xml:space="preserve"> </w:t>
      </w:r>
      <w:r w:rsidRPr="009D5B14">
        <w:rPr>
          <w:rFonts w:ascii="Times New Roman" w:hAnsi="Times New Roman" w:cs="Times New Roman"/>
        </w:rPr>
        <w:t xml:space="preserve">Certain Temporary Towers; 2012 Biennial Review of Telecommunications Regulations, RM-11688, WT Docket No. 13-32, </w:t>
      </w:r>
      <w:r w:rsidRPr="009D5B14">
        <w:rPr>
          <w:rFonts w:ascii="Times New Roman" w:hAnsi="Times New Roman" w:cs="Times New Roman"/>
          <w:i/>
        </w:rPr>
        <w:t>Order</w:t>
      </w:r>
      <w:r w:rsidRPr="009D5B14">
        <w:rPr>
          <w:rFonts w:ascii="Times New Roman" w:hAnsi="Times New Roman" w:cs="Times New Roman"/>
        </w:rPr>
        <w:t>,</w:t>
      </w:r>
      <w:r w:rsidR="00C42AD0" w:rsidRPr="009D5B14">
        <w:rPr>
          <w:rFonts w:ascii="Times New Roman" w:hAnsi="Times New Roman" w:cs="Times New Roman"/>
        </w:rPr>
        <w:t xml:space="preserve"> </w:t>
      </w:r>
      <w:r w:rsidRPr="009D5B14">
        <w:rPr>
          <w:rFonts w:ascii="Times New Roman" w:hAnsi="Times New Roman" w:cs="Times New Roman"/>
        </w:rPr>
        <w:t>28 FCC Rcd 7758 (2013) (Granting waivers four months before the adoption of a Notice of Proposed Rulemaking to consider proposed changes to the rules involved in the waivers); Amendment of Part 101 of the Commission's Rules to Accommodate 30 MHz Channels in the 6525-6875 MHz Band, Amendment of Part 101 of the Commission's Rules to Accommodate 30 MHz Channels in the 6525-6875 MHz Band,</w:t>
      </w:r>
      <w:r w:rsidR="006A59FA" w:rsidRPr="009D5B14">
        <w:rPr>
          <w:rFonts w:ascii="Times New Roman" w:hAnsi="Times New Roman" w:cs="Times New Roman"/>
        </w:rPr>
        <w:t xml:space="preserve"> </w:t>
      </w:r>
      <w:r w:rsidRPr="009D5B14">
        <w:rPr>
          <w:rFonts w:ascii="Times New Roman" w:hAnsi="Times New Roman" w:cs="Times New Roman"/>
        </w:rPr>
        <w:t xml:space="preserve">WT Docket No. 09-114, </w:t>
      </w:r>
      <w:r w:rsidRPr="009D5B14">
        <w:rPr>
          <w:rFonts w:ascii="Times New Roman" w:hAnsi="Times New Roman" w:cs="Times New Roman"/>
          <w:i/>
        </w:rPr>
        <w:t>Notice of Proposed Rulemaking and Order</w:t>
      </w:r>
      <w:r w:rsidRPr="009D5B14">
        <w:rPr>
          <w:rFonts w:ascii="Times New Roman" w:hAnsi="Times New Roman" w:cs="Times New Roman"/>
        </w:rPr>
        <w:t>, 24 FCC Rcd 9620, 9630 ¶ 24 (2009) (granting waiver pending outcome of rulemaking when no party, who could be potentially harmed by the waiver order, opposed the grant of the waiver)</w:t>
      </w:r>
      <w:r w:rsidR="007D45CA" w:rsidRPr="009D5B14">
        <w:rPr>
          <w:rFonts w:ascii="Times New Roman" w:hAnsi="Times New Roman" w:cs="Times New Roman"/>
        </w:rPr>
        <w:t xml:space="preserve">; </w:t>
      </w:r>
      <w:r w:rsidR="00CE6673" w:rsidRPr="009D5B14">
        <w:rPr>
          <w:rFonts w:ascii="Times New Roman" w:hAnsi="Times New Roman" w:cs="Times New Roman"/>
        </w:rPr>
        <w:t xml:space="preserve">Waiver of Section 1.2110(b)(3)(iv)(A) of the Commission's Rules For the Upper 700 MHz Band D Block License, </w:t>
      </w:r>
      <w:r w:rsidR="00CE6673" w:rsidRPr="009D5B14">
        <w:rPr>
          <w:rFonts w:ascii="Times New Roman" w:hAnsi="Times New Roman" w:cs="Times New Roman"/>
          <w:i/>
        </w:rPr>
        <w:t>Order</w:t>
      </w:r>
      <w:r w:rsidR="00CE6673" w:rsidRPr="009D5B14">
        <w:rPr>
          <w:rFonts w:ascii="Times New Roman" w:hAnsi="Times New Roman" w:cs="Times New Roman"/>
        </w:rPr>
        <w:t xml:space="preserve">, 22 FCC Rcd 20354 (2007) (waiving </w:t>
      </w:r>
      <w:r w:rsidR="007D45CA" w:rsidRPr="009D5B14">
        <w:rPr>
          <w:rFonts w:ascii="Times New Roman" w:hAnsi="Times New Roman" w:cs="Times New Roman"/>
        </w:rPr>
        <w:t>the impermissible material relationship rule for purposes of determining DE eligibility solely with respect to</w:t>
      </w:r>
    </w:p>
    <w:p w:rsidR="00A92190" w:rsidRPr="009D5B14" w:rsidRDefault="007D45CA" w:rsidP="007D45CA">
      <w:pPr>
        <w:pStyle w:val="FootnoteText"/>
        <w:rPr>
          <w:rFonts w:ascii="Times New Roman" w:hAnsi="Times New Roman" w:cs="Times New Roman"/>
        </w:rPr>
      </w:pPr>
      <w:r w:rsidRPr="009D5B14">
        <w:rPr>
          <w:rFonts w:ascii="Times New Roman" w:hAnsi="Times New Roman" w:cs="Times New Roman"/>
        </w:rPr>
        <w:t>arrangements for lease or resale (including wholesale) of the Upper 700 MHz Band D Block license).</w:t>
      </w:r>
    </w:p>
  </w:footnote>
  <w:footnote w:id="18">
    <w:p w:rsidR="00BE5BC7" w:rsidRPr="009D5B14" w:rsidRDefault="00BE5BC7">
      <w:pPr>
        <w:pStyle w:val="FootnoteText"/>
        <w:rPr>
          <w:rFonts w:ascii="Times New Roman" w:hAnsi="Times New Roman" w:cs="Times New Roman"/>
        </w:rPr>
      </w:pPr>
      <w:r w:rsidRPr="009D5B14">
        <w:rPr>
          <w:rStyle w:val="FootnoteReference"/>
          <w:rFonts w:ascii="Times New Roman" w:hAnsi="Times New Roman" w:cs="Times New Roman"/>
        </w:rPr>
        <w:footnoteRef/>
      </w:r>
      <w:r w:rsidRPr="009D5B14">
        <w:rPr>
          <w:rFonts w:ascii="Times New Roman" w:hAnsi="Times New Roman" w:cs="Times New Roman"/>
        </w:rPr>
        <w:t xml:space="preserve"> 47 U.S.C. §309(j)(3)(B)</w:t>
      </w:r>
      <w:r w:rsidR="00DC1785" w:rsidRPr="009D5B14">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996" w:rsidRDefault="00DE39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996" w:rsidRDefault="00DE39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996" w:rsidRDefault="00DE39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DC"/>
    <w:rsid w:val="00000FB6"/>
    <w:rsid w:val="0000305D"/>
    <w:rsid w:val="00004EB2"/>
    <w:rsid w:val="000057F2"/>
    <w:rsid w:val="00017AA7"/>
    <w:rsid w:val="0002220C"/>
    <w:rsid w:val="0003417A"/>
    <w:rsid w:val="00035326"/>
    <w:rsid w:val="00036625"/>
    <w:rsid w:val="00055F57"/>
    <w:rsid w:val="00066D02"/>
    <w:rsid w:val="00070C27"/>
    <w:rsid w:val="00071349"/>
    <w:rsid w:val="000779D0"/>
    <w:rsid w:val="00081D93"/>
    <w:rsid w:val="00085912"/>
    <w:rsid w:val="00094F6E"/>
    <w:rsid w:val="000A32A5"/>
    <w:rsid w:val="000B17CC"/>
    <w:rsid w:val="000B2202"/>
    <w:rsid w:val="000C0F6D"/>
    <w:rsid w:val="000D32F4"/>
    <w:rsid w:val="000F29E7"/>
    <w:rsid w:val="000F4A38"/>
    <w:rsid w:val="000F5ED2"/>
    <w:rsid w:val="00100A25"/>
    <w:rsid w:val="001028DF"/>
    <w:rsid w:val="00103EE0"/>
    <w:rsid w:val="00106F92"/>
    <w:rsid w:val="0010775E"/>
    <w:rsid w:val="00111B33"/>
    <w:rsid w:val="00116AFB"/>
    <w:rsid w:val="0012760C"/>
    <w:rsid w:val="00130EC1"/>
    <w:rsid w:val="00131073"/>
    <w:rsid w:val="0014086A"/>
    <w:rsid w:val="00147FE9"/>
    <w:rsid w:val="00151C10"/>
    <w:rsid w:val="00152BAC"/>
    <w:rsid w:val="00170531"/>
    <w:rsid w:val="00172660"/>
    <w:rsid w:val="00173820"/>
    <w:rsid w:val="001761F3"/>
    <w:rsid w:val="00186520"/>
    <w:rsid w:val="00187531"/>
    <w:rsid w:val="00190098"/>
    <w:rsid w:val="001A0371"/>
    <w:rsid w:val="001A34D0"/>
    <w:rsid w:val="001C49CD"/>
    <w:rsid w:val="001D00D6"/>
    <w:rsid w:val="001D2BD4"/>
    <w:rsid w:val="001D5446"/>
    <w:rsid w:val="001E4E78"/>
    <w:rsid w:val="001E65D0"/>
    <w:rsid w:val="001F7731"/>
    <w:rsid w:val="00210097"/>
    <w:rsid w:val="00211AA6"/>
    <w:rsid w:val="00214915"/>
    <w:rsid w:val="00215BB8"/>
    <w:rsid w:val="00216E09"/>
    <w:rsid w:val="00222B51"/>
    <w:rsid w:val="00231D7A"/>
    <w:rsid w:val="0023334E"/>
    <w:rsid w:val="00233743"/>
    <w:rsid w:val="00235947"/>
    <w:rsid w:val="002434DD"/>
    <w:rsid w:val="00244162"/>
    <w:rsid w:val="00244E6F"/>
    <w:rsid w:val="0026202D"/>
    <w:rsid w:val="00271975"/>
    <w:rsid w:val="00292B93"/>
    <w:rsid w:val="002933A0"/>
    <w:rsid w:val="002A02D8"/>
    <w:rsid w:val="002C2929"/>
    <w:rsid w:val="002C4710"/>
    <w:rsid w:val="002C4F79"/>
    <w:rsid w:val="002C515C"/>
    <w:rsid w:val="002D05A9"/>
    <w:rsid w:val="002D76EE"/>
    <w:rsid w:val="002F5EC6"/>
    <w:rsid w:val="002F699B"/>
    <w:rsid w:val="00306369"/>
    <w:rsid w:val="003077AA"/>
    <w:rsid w:val="00311FFF"/>
    <w:rsid w:val="0032007C"/>
    <w:rsid w:val="00323BB5"/>
    <w:rsid w:val="00325E5D"/>
    <w:rsid w:val="003261C2"/>
    <w:rsid w:val="0033350F"/>
    <w:rsid w:val="00337941"/>
    <w:rsid w:val="00337ECC"/>
    <w:rsid w:val="0035177E"/>
    <w:rsid w:val="003551C7"/>
    <w:rsid w:val="00367892"/>
    <w:rsid w:val="00367B83"/>
    <w:rsid w:val="00367B9D"/>
    <w:rsid w:val="00367F0B"/>
    <w:rsid w:val="00373DA9"/>
    <w:rsid w:val="00380F14"/>
    <w:rsid w:val="00381907"/>
    <w:rsid w:val="00382922"/>
    <w:rsid w:val="00386E73"/>
    <w:rsid w:val="00397B7B"/>
    <w:rsid w:val="003A3A1D"/>
    <w:rsid w:val="003A6AA7"/>
    <w:rsid w:val="003B7A56"/>
    <w:rsid w:val="003C5E26"/>
    <w:rsid w:val="003E0C0F"/>
    <w:rsid w:val="003E6EBD"/>
    <w:rsid w:val="003F3904"/>
    <w:rsid w:val="0040317F"/>
    <w:rsid w:val="00407BCC"/>
    <w:rsid w:val="00410906"/>
    <w:rsid w:val="00410EB8"/>
    <w:rsid w:val="0041376C"/>
    <w:rsid w:val="00420CFC"/>
    <w:rsid w:val="0042261D"/>
    <w:rsid w:val="004236AD"/>
    <w:rsid w:val="00430F0B"/>
    <w:rsid w:val="004314CB"/>
    <w:rsid w:val="00431BAD"/>
    <w:rsid w:val="00453AEC"/>
    <w:rsid w:val="00453F75"/>
    <w:rsid w:val="00454511"/>
    <w:rsid w:val="00463588"/>
    <w:rsid w:val="00465786"/>
    <w:rsid w:val="004700F1"/>
    <w:rsid w:val="004711C3"/>
    <w:rsid w:val="00471455"/>
    <w:rsid w:val="004806A8"/>
    <w:rsid w:val="004854A5"/>
    <w:rsid w:val="0048716E"/>
    <w:rsid w:val="00494D90"/>
    <w:rsid w:val="004A7DF1"/>
    <w:rsid w:val="004C67E3"/>
    <w:rsid w:val="004D0C41"/>
    <w:rsid w:val="004D435D"/>
    <w:rsid w:val="004D5CF9"/>
    <w:rsid w:val="004E7715"/>
    <w:rsid w:val="004F0C8C"/>
    <w:rsid w:val="004F25B2"/>
    <w:rsid w:val="005072CA"/>
    <w:rsid w:val="00510B5F"/>
    <w:rsid w:val="0051383D"/>
    <w:rsid w:val="0051666A"/>
    <w:rsid w:val="00516B96"/>
    <w:rsid w:val="00525CFA"/>
    <w:rsid w:val="005272D3"/>
    <w:rsid w:val="005317E0"/>
    <w:rsid w:val="005342C9"/>
    <w:rsid w:val="00540A34"/>
    <w:rsid w:val="005521D5"/>
    <w:rsid w:val="00554771"/>
    <w:rsid w:val="005572DD"/>
    <w:rsid w:val="00593FBE"/>
    <w:rsid w:val="005A21CE"/>
    <w:rsid w:val="005A3AF1"/>
    <w:rsid w:val="005B0517"/>
    <w:rsid w:val="005B5117"/>
    <w:rsid w:val="005C16B2"/>
    <w:rsid w:val="005C2273"/>
    <w:rsid w:val="005D1708"/>
    <w:rsid w:val="005D6C0D"/>
    <w:rsid w:val="005D755F"/>
    <w:rsid w:val="005E3F24"/>
    <w:rsid w:val="005E5C04"/>
    <w:rsid w:val="005E6DF5"/>
    <w:rsid w:val="005F020D"/>
    <w:rsid w:val="005F1A52"/>
    <w:rsid w:val="005F3257"/>
    <w:rsid w:val="005F6FE5"/>
    <w:rsid w:val="0060438E"/>
    <w:rsid w:val="00623A26"/>
    <w:rsid w:val="00640C07"/>
    <w:rsid w:val="00646F14"/>
    <w:rsid w:val="00654CC6"/>
    <w:rsid w:val="00675255"/>
    <w:rsid w:val="006759F8"/>
    <w:rsid w:val="00697645"/>
    <w:rsid w:val="006A41F8"/>
    <w:rsid w:val="006A51A0"/>
    <w:rsid w:val="006A59FA"/>
    <w:rsid w:val="006A6B5B"/>
    <w:rsid w:val="006A7409"/>
    <w:rsid w:val="006B3D83"/>
    <w:rsid w:val="006C4F7B"/>
    <w:rsid w:val="006D304D"/>
    <w:rsid w:val="006D5728"/>
    <w:rsid w:val="006E190E"/>
    <w:rsid w:val="006F1A1B"/>
    <w:rsid w:val="006F27D5"/>
    <w:rsid w:val="00701334"/>
    <w:rsid w:val="0070466C"/>
    <w:rsid w:val="00707DA5"/>
    <w:rsid w:val="00711476"/>
    <w:rsid w:val="0072460A"/>
    <w:rsid w:val="0072597D"/>
    <w:rsid w:val="00732DDE"/>
    <w:rsid w:val="00733B84"/>
    <w:rsid w:val="00736D61"/>
    <w:rsid w:val="00741CAE"/>
    <w:rsid w:val="0074207B"/>
    <w:rsid w:val="00745239"/>
    <w:rsid w:val="0075217D"/>
    <w:rsid w:val="007562CE"/>
    <w:rsid w:val="007629AC"/>
    <w:rsid w:val="007656FE"/>
    <w:rsid w:val="007709EC"/>
    <w:rsid w:val="007711C5"/>
    <w:rsid w:val="00774D7C"/>
    <w:rsid w:val="00774F49"/>
    <w:rsid w:val="00776074"/>
    <w:rsid w:val="00780BFB"/>
    <w:rsid w:val="00795255"/>
    <w:rsid w:val="007A3C55"/>
    <w:rsid w:val="007D2826"/>
    <w:rsid w:val="007D45CA"/>
    <w:rsid w:val="007E7848"/>
    <w:rsid w:val="007F73AF"/>
    <w:rsid w:val="008007B0"/>
    <w:rsid w:val="00802103"/>
    <w:rsid w:val="00812FC4"/>
    <w:rsid w:val="00813F3B"/>
    <w:rsid w:val="00815859"/>
    <w:rsid w:val="008369BE"/>
    <w:rsid w:val="00842D0D"/>
    <w:rsid w:val="00842FDE"/>
    <w:rsid w:val="00845A9D"/>
    <w:rsid w:val="008511FE"/>
    <w:rsid w:val="008615B1"/>
    <w:rsid w:val="008732E9"/>
    <w:rsid w:val="00891DF7"/>
    <w:rsid w:val="00892E6B"/>
    <w:rsid w:val="00894DEC"/>
    <w:rsid w:val="008A22F2"/>
    <w:rsid w:val="008A3258"/>
    <w:rsid w:val="008A6D40"/>
    <w:rsid w:val="008A6DCA"/>
    <w:rsid w:val="008A7D4E"/>
    <w:rsid w:val="008B0B92"/>
    <w:rsid w:val="008C20F4"/>
    <w:rsid w:val="008C7D24"/>
    <w:rsid w:val="008D49DD"/>
    <w:rsid w:val="008D600E"/>
    <w:rsid w:val="008E34E6"/>
    <w:rsid w:val="008E43E6"/>
    <w:rsid w:val="008E56DD"/>
    <w:rsid w:val="008F0303"/>
    <w:rsid w:val="008F10EC"/>
    <w:rsid w:val="008F5C1E"/>
    <w:rsid w:val="009039F9"/>
    <w:rsid w:val="00906E28"/>
    <w:rsid w:val="009132D6"/>
    <w:rsid w:val="00915FC0"/>
    <w:rsid w:val="00923237"/>
    <w:rsid w:val="009247A4"/>
    <w:rsid w:val="00931FAC"/>
    <w:rsid w:val="009377DC"/>
    <w:rsid w:val="00940108"/>
    <w:rsid w:val="009468E2"/>
    <w:rsid w:val="009478AA"/>
    <w:rsid w:val="009650BC"/>
    <w:rsid w:val="00974888"/>
    <w:rsid w:val="00977DDE"/>
    <w:rsid w:val="00983790"/>
    <w:rsid w:val="00985396"/>
    <w:rsid w:val="009934C3"/>
    <w:rsid w:val="00996CCA"/>
    <w:rsid w:val="00997626"/>
    <w:rsid w:val="00997817"/>
    <w:rsid w:val="009A7B40"/>
    <w:rsid w:val="009B62F4"/>
    <w:rsid w:val="009D4203"/>
    <w:rsid w:val="009D5B14"/>
    <w:rsid w:val="009E1544"/>
    <w:rsid w:val="009E77FA"/>
    <w:rsid w:val="00A10A99"/>
    <w:rsid w:val="00A1152A"/>
    <w:rsid w:val="00A3240C"/>
    <w:rsid w:val="00A379FB"/>
    <w:rsid w:val="00A4400C"/>
    <w:rsid w:val="00A45BB6"/>
    <w:rsid w:val="00A5383F"/>
    <w:rsid w:val="00A60C0C"/>
    <w:rsid w:val="00A6722F"/>
    <w:rsid w:val="00A71D40"/>
    <w:rsid w:val="00A73B4D"/>
    <w:rsid w:val="00A8251B"/>
    <w:rsid w:val="00A8396B"/>
    <w:rsid w:val="00A92190"/>
    <w:rsid w:val="00A972E9"/>
    <w:rsid w:val="00AA1CFE"/>
    <w:rsid w:val="00AA287E"/>
    <w:rsid w:val="00AB2DBF"/>
    <w:rsid w:val="00AB5F18"/>
    <w:rsid w:val="00AB742F"/>
    <w:rsid w:val="00AC2B03"/>
    <w:rsid w:val="00AC54C5"/>
    <w:rsid w:val="00AC5A62"/>
    <w:rsid w:val="00AD616C"/>
    <w:rsid w:val="00AD79AD"/>
    <w:rsid w:val="00AD7ADD"/>
    <w:rsid w:val="00AE5E4A"/>
    <w:rsid w:val="00B029F5"/>
    <w:rsid w:val="00B05A84"/>
    <w:rsid w:val="00B126C7"/>
    <w:rsid w:val="00B12B04"/>
    <w:rsid w:val="00B16579"/>
    <w:rsid w:val="00B20A30"/>
    <w:rsid w:val="00B24DC6"/>
    <w:rsid w:val="00B35B47"/>
    <w:rsid w:val="00B43F3E"/>
    <w:rsid w:val="00B47EE0"/>
    <w:rsid w:val="00B67FE7"/>
    <w:rsid w:val="00B83EA0"/>
    <w:rsid w:val="00B96913"/>
    <w:rsid w:val="00B96EE6"/>
    <w:rsid w:val="00BA28B5"/>
    <w:rsid w:val="00BA3124"/>
    <w:rsid w:val="00BA6A55"/>
    <w:rsid w:val="00BB0AB9"/>
    <w:rsid w:val="00BB589A"/>
    <w:rsid w:val="00BB7F88"/>
    <w:rsid w:val="00BC0772"/>
    <w:rsid w:val="00BD0CE5"/>
    <w:rsid w:val="00BD258F"/>
    <w:rsid w:val="00BD3395"/>
    <w:rsid w:val="00BD4C95"/>
    <w:rsid w:val="00BD67AC"/>
    <w:rsid w:val="00BE5BC7"/>
    <w:rsid w:val="00BF2631"/>
    <w:rsid w:val="00BF4458"/>
    <w:rsid w:val="00BF4B69"/>
    <w:rsid w:val="00C01DD5"/>
    <w:rsid w:val="00C021B8"/>
    <w:rsid w:val="00C02FA9"/>
    <w:rsid w:val="00C11D88"/>
    <w:rsid w:val="00C14396"/>
    <w:rsid w:val="00C143D8"/>
    <w:rsid w:val="00C16F67"/>
    <w:rsid w:val="00C4219C"/>
    <w:rsid w:val="00C42AD0"/>
    <w:rsid w:val="00C45878"/>
    <w:rsid w:val="00C4729C"/>
    <w:rsid w:val="00C5298A"/>
    <w:rsid w:val="00C63417"/>
    <w:rsid w:val="00C66CE4"/>
    <w:rsid w:val="00C82032"/>
    <w:rsid w:val="00C8513F"/>
    <w:rsid w:val="00C904BB"/>
    <w:rsid w:val="00C92C3A"/>
    <w:rsid w:val="00C93A01"/>
    <w:rsid w:val="00C96C96"/>
    <w:rsid w:val="00CA1639"/>
    <w:rsid w:val="00CB40E2"/>
    <w:rsid w:val="00CB59D8"/>
    <w:rsid w:val="00CC057D"/>
    <w:rsid w:val="00CC32E2"/>
    <w:rsid w:val="00CC686D"/>
    <w:rsid w:val="00CD4E0E"/>
    <w:rsid w:val="00CD6331"/>
    <w:rsid w:val="00CE0F16"/>
    <w:rsid w:val="00CE6673"/>
    <w:rsid w:val="00CF11C5"/>
    <w:rsid w:val="00CF1EEA"/>
    <w:rsid w:val="00CF2C05"/>
    <w:rsid w:val="00CF4FAE"/>
    <w:rsid w:val="00CF5375"/>
    <w:rsid w:val="00CF73FF"/>
    <w:rsid w:val="00CF7FEC"/>
    <w:rsid w:val="00D015D5"/>
    <w:rsid w:val="00D02EF3"/>
    <w:rsid w:val="00D078D7"/>
    <w:rsid w:val="00D207DF"/>
    <w:rsid w:val="00D30769"/>
    <w:rsid w:val="00D32B78"/>
    <w:rsid w:val="00D32D19"/>
    <w:rsid w:val="00D3353D"/>
    <w:rsid w:val="00D33860"/>
    <w:rsid w:val="00D37624"/>
    <w:rsid w:val="00D41B9E"/>
    <w:rsid w:val="00D61188"/>
    <w:rsid w:val="00D61F71"/>
    <w:rsid w:val="00D62A70"/>
    <w:rsid w:val="00D62AC4"/>
    <w:rsid w:val="00D63EB4"/>
    <w:rsid w:val="00D65437"/>
    <w:rsid w:val="00D66AEE"/>
    <w:rsid w:val="00D8144A"/>
    <w:rsid w:val="00D85EE3"/>
    <w:rsid w:val="00D87D16"/>
    <w:rsid w:val="00D93C92"/>
    <w:rsid w:val="00DA1114"/>
    <w:rsid w:val="00DA144D"/>
    <w:rsid w:val="00DB6294"/>
    <w:rsid w:val="00DC1785"/>
    <w:rsid w:val="00DC1C7C"/>
    <w:rsid w:val="00DD4B7B"/>
    <w:rsid w:val="00DE073B"/>
    <w:rsid w:val="00DE3996"/>
    <w:rsid w:val="00DF1050"/>
    <w:rsid w:val="00DF29CF"/>
    <w:rsid w:val="00E023B6"/>
    <w:rsid w:val="00E065DC"/>
    <w:rsid w:val="00E10796"/>
    <w:rsid w:val="00E13E3A"/>
    <w:rsid w:val="00E159C8"/>
    <w:rsid w:val="00E15F37"/>
    <w:rsid w:val="00E20456"/>
    <w:rsid w:val="00E21313"/>
    <w:rsid w:val="00E224BA"/>
    <w:rsid w:val="00E27C3B"/>
    <w:rsid w:val="00E35512"/>
    <w:rsid w:val="00E362C8"/>
    <w:rsid w:val="00E43383"/>
    <w:rsid w:val="00E4501C"/>
    <w:rsid w:val="00E54641"/>
    <w:rsid w:val="00E57020"/>
    <w:rsid w:val="00E62C13"/>
    <w:rsid w:val="00E63774"/>
    <w:rsid w:val="00E717C9"/>
    <w:rsid w:val="00E80C19"/>
    <w:rsid w:val="00E83561"/>
    <w:rsid w:val="00E84B3A"/>
    <w:rsid w:val="00E85886"/>
    <w:rsid w:val="00E947A4"/>
    <w:rsid w:val="00E9762F"/>
    <w:rsid w:val="00EA0FD4"/>
    <w:rsid w:val="00EA14BD"/>
    <w:rsid w:val="00EA206F"/>
    <w:rsid w:val="00EA2E5F"/>
    <w:rsid w:val="00EA4019"/>
    <w:rsid w:val="00EA4F69"/>
    <w:rsid w:val="00EB1053"/>
    <w:rsid w:val="00EC1288"/>
    <w:rsid w:val="00EC2B12"/>
    <w:rsid w:val="00EC55C4"/>
    <w:rsid w:val="00ED533D"/>
    <w:rsid w:val="00EE045F"/>
    <w:rsid w:val="00EE1169"/>
    <w:rsid w:val="00EF0E74"/>
    <w:rsid w:val="00EF123E"/>
    <w:rsid w:val="00EF4B69"/>
    <w:rsid w:val="00F004F0"/>
    <w:rsid w:val="00F00E55"/>
    <w:rsid w:val="00F24948"/>
    <w:rsid w:val="00F26A02"/>
    <w:rsid w:val="00F303CF"/>
    <w:rsid w:val="00F3676D"/>
    <w:rsid w:val="00F53798"/>
    <w:rsid w:val="00F63646"/>
    <w:rsid w:val="00F64655"/>
    <w:rsid w:val="00F73A08"/>
    <w:rsid w:val="00F767AE"/>
    <w:rsid w:val="00F81793"/>
    <w:rsid w:val="00FA28A5"/>
    <w:rsid w:val="00FA3E7A"/>
    <w:rsid w:val="00FB0D78"/>
    <w:rsid w:val="00FB2792"/>
    <w:rsid w:val="00FC70EB"/>
    <w:rsid w:val="00FD0523"/>
    <w:rsid w:val="00FD1A17"/>
    <w:rsid w:val="00FD5149"/>
    <w:rsid w:val="00FE7B16"/>
    <w:rsid w:val="00FF10A6"/>
    <w:rsid w:val="00FF4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1FE"/>
  </w:style>
  <w:style w:type="paragraph" w:styleId="Footer">
    <w:name w:val="footer"/>
    <w:basedOn w:val="Normal"/>
    <w:link w:val="FooterChar"/>
    <w:uiPriority w:val="99"/>
    <w:unhideWhenUsed/>
    <w:rsid w:val="00851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1FE"/>
  </w:style>
  <w:style w:type="paragraph" w:styleId="BalloonText">
    <w:name w:val="Balloon Text"/>
    <w:basedOn w:val="Normal"/>
    <w:link w:val="BalloonTextChar"/>
    <w:uiPriority w:val="99"/>
    <w:semiHidden/>
    <w:unhideWhenUsed/>
    <w:rsid w:val="001C4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9CD"/>
    <w:rPr>
      <w:rFonts w:ascii="Tahoma" w:hAnsi="Tahoma" w:cs="Tahoma"/>
      <w:sz w:val="16"/>
      <w:szCs w:val="16"/>
    </w:rPr>
  </w:style>
  <w:style w:type="paragraph" w:styleId="EndnoteText">
    <w:name w:val="endnote text"/>
    <w:basedOn w:val="Normal"/>
    <w:link w:val="EndnoteTextChar"/>
    <w:uiPriority w:val="99"/>
    <w:semiHidden/>
    <w:unhideWhenUsed/>
    <w:rsid w:val="005572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72DD"/>
    <w:rPr>
      <w:sz w:val="20"/>
      <w:szCs w:val="20"/>
    </w:rPr>
  </w:style>
  <w:style w:type="character" w:styleId="EndnoteReference">
    <w:name w:val="endnote reference"/>
    <w:basedOn w:val="DefaultParagraphFont"/>
    <w:uiPriority w:val="99"/>
    <w:semiHidden/>
    <w:unhideWhenUsed/>
    <w:rsid w:val="005572DD"/>
    <w:rPr>
      <w:vertAlign w:val="superscript"/>
    </w:rPr>
  </w:style>
  <w:style w:type="paragraph" w:styleId="FootnoteText">
    <w:name w:val="footnote text"/>
    <w:basedOn w:val="Normal"/>
    <w:link w:val="FootnoteTextChar"/>
    <w:uiPriority w:val="99"/>
    <w:semiHidden/>
    <w:unhideWhenUsed/>
    <w:rsid w:val="00EE11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169"/>
    <w:rPr>
      <w:sz w:val="20"/>
      <w:szCs w:val="20"/>
    </w:rPr>
  </w:style>
  <w:style w:type="character" w:styleId="FootnoteReference">
    <w:name w:val="footnote reference"/>
    <w:basedOn w:val="DefaultParagraphFont"/>
    <w:uiPriority w:val="99"/>
    <w:semiHidden/>
    <w:unhideWhenUsed/>
    <w:rsid w:val="00EE1169"/>
    <w:rPr>
      <w:vertAlign w:val="superscript"/>
    </w:rPr>
  </w:style>
  <w:style w:type="character" w:styleId="CommentReference">
    <w:name w:val="annotation reference"/>
    <w:basedOn w:val="DefaultParagraphFont"/>
    <w:uiPriority w:val="99"/>
    <w:semiHidden/>
    <w:unhideWhenUsed/>
    <w:rsid w:val="00B20A30"/>
    <w:rPr>
      <w:sz w:val="16"/>
      <w:szCs w:val="16"/>
    </w:rPr>
  </w:style>
  <w:style w:type="paragraph" w:styleId="CommentText">
    <w:name w:val="annotation text"/>
    <w:basedOn w:val="Normal"/>
    <w:link w:val="CommentTextChar"/>
    <w:uiPriority w:val="99"/>
    <w:semiHidden/>
    <w:unhideWhenUsed/>
    <w:rsid w:val="00B20A30"/>
    <w:pPr>
      <w:spacing w:line="240" w:lineRule="auto"/>
    </w:pPr>
    <w:rPr>
      <w:sz w:val="20"/>
      <w:szCs w:val="20"/>
    </w:rPr>
  </w:style>
  <w:style w:type="character" w:customStyle="1" w:styleId="CommentTextChar">
    <w:name w:val="Comment Text Char"/>
    <w:basedOn w:val="DefaultParagraphFont"/>
    <w:link w:val="CommentText"/>
    <w:uiPriority w:val="99"/>
    <w:semiHidden/>
    <w:rsid w:val="00B20A30"/>
    <w:rPr>
      <w:sz w:val="20"/>
      <w:szCs w:val="20"/>
    </w:rPr>
  </w:style>
  <w:style w:type="paragraph" w:styleId="CommentSubject">
    <w:name w:val="annotation subject"/>
    <w:basedOn w:val="CommentText"/>
    <w:next w:val="CommentText"/>
    <w:link w:val="CommentSubjectChar"/>
    <w:uiPriority w:val="99"/>
    <w:semiHidden/>
    <w:unhideWhenUsed/>
    <w:rsid w:val="00B20A30"/>
    <w:rPr>
      <w:b/>
      <w:bCs/>
    </w:rPr>
  </w:style>
  <w:style w:type="character" w:customStyle="1" w:styleId="CommentSubjectChar">
    <w:name w:val="Comment Subject Char"/>
    <w:basedOn w:val="CommentTextChar"/>
    <w:link w:val="CommentSubject"/>
    <w:uiPriority w:val="99"/>
    <w:semiHidden/>
    <w:rsid w:val="00B20A30"/>
    <w:rPr>
      <w:b/>
      <w:bCs/>
      <w:sz w:val="20"/>
      <w:szCs w:val="20"/>
    </w:rPr>
  </w:style>
  <w:style w:type="paragraph" w:styleId="Revision">
    <w:name w:val="Revision"/>
    <w:hidden/>
    <w:uiPriority w:val="99"/>
    <w:semiHidden/>
    <w:rsid w:val="00915FC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1FE"/>
  </w:style>
  <w:style w:type="paragraph" w:styleId="Footer">
    <w:name w:val="footer"/>
    <w:basedOn w:val="Normal"/>
    <w:link w:val="FooterChar"/>
    <w:uiPriority w:val="99"/>
    <w:unhideWhenUsed/>
    <w:rsid w:val="00851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1FE"/>
  </w:style>
  <w:style w:type="paragraph" w:styleId="BalloonText">
    <w:name w:val="Balloon Text"/>
    <w:basedOn w:val="Normal"/>
    <w:link w:val="BalloonTextChar"/>
    <w:uiPriority w:val="99"/>
    <w:semiHidden/>
    <w:unhideWhenUsed/>
    <w:rsid w:val="001C4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9CD"/>
    <w:rPr>
      <w:rFonts w:ascii="Tahoma" w:hAnsi="Tahoma" w:cs="Tahoma"/>
      <w:sz w:val="16"/>
      <w:szCs w:val="16"/>
    </w:rPr>
  </w:style>
  <w:style w:type="paragraph" w:styleId="EndnoteText">
    <w:name w:val="endnote text"/>
    <w:basedOn w:val="Normal"/>
    <w:link w:val="EndnoteTextChar"/>
    <w:uiPriority w:val="99"/>
    <w:semiHidden/>
    <w:unhideWhenUsed/>
    <w:rsid w:val="005572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72DD"/>
    <w:rPr>
      <w:sz w:val="20"/>
      <w:szCs w:val="20"/>
    </w:rPr>
  </w:style>
  <w:style w:type="character" w:styleId="EndnoteReference">
    <w:name w:val="endnote reference"/>
    <w:basedOn w:val="DefaultParagraphFont"/>
    <w:uiPriority w:val="99"/>
    <w:semiHidden/>
    <w:unhideWhenUsed/>
    <w:rsid w:val="005572DD"/>
    <w:rPr>
      <w:vertAlign w:val="superscript"/>
    </w:rPr>
  </w:style>
  <w:style w:type="paragraph" w:styleId="FootnoteText">
    <w:name w:val="footnote text"/>
    <w:basedOn w:val="Normal"/>
    <w:link w:val="FootnoteTextChar"/>
    <w:uiPriority w:val="99"/>
    <w:semiHidden/>
    <w:unhideWhenUsed/>
    <w:rsid w:val="00EE11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169"/>
    <w:rPr>
      <w:sz w:val="20"/>
      <w:szCs w:val="20"/>
    </w:rPr>
  </w:style>
  <w:style w:type="character" w:styleId="FootnoteReference">
    <w:name w:val="footnote reference"/>
    <w:basedOn w:val="DefaultParagraphFont"/>
    <w:uiPriority w:val="99"/>
    <w:semiHidden/>
    <w:unhideWhenUsed/>
    <w:rsid w:val="00EE1169"/>
    <w:rPr>
      <w:vertAlign w:val="superscript"/>
    </w:rPr>
  </w:style>
  <w:style w:type="character" w:styleId="CommentReference">
    <w:name w:val="annotation reference"/>
    <w:basedOn w:val="DefaultParagraphFont"/>
    <w:uiPriority w:val="99"/>
    <w:semiHidden/>
    <w:unhideWhenUsed/>
    <w:rsid w:val="00B20A30"/>
    <w:rPr>
      <w:sz w:val="16"/>
      <w:szCs w:val="16"/>
    </w:rPr>
  </w:style>
  <w:style w:type="paragraph" w:styleId="CommentText">
    <w:name w:val="annotation text"/>
    <w:basedOn w:val="Normal"/>
    <w:link w:val="CommentTextChar"/>
    <w:uiPriority w:val="99"/>
    <w:semiHidden/>
    <w:unhideWhenUsed/>
    <w:rsid w:val="00B20A30"/>
    <w:pPr>
      <w:spacing w:line="240" w:lineRule="auto"/>
    </w:pPr>
    <w:rPr>
      <w:sz w:val="20"/>
      <w:szCs w:val="20"/>
    </w:rPr>
  </w:style>
  <w:style w:type="character" w:customStyle="1" w:styleId="CommentTextChar">
    <w:name w:val="Comment Text Char"/>
    <w:basedOn w:val="DefaultParagraphFont"/>
    <w:link w:val="CommentText"/>
    <w:uiPriority w:val="99"/>
    <w:semiHidden/>
    <w:rsid w:val="00B20A30"/>
    <w:rPr>
      <w:sz w:val="20"/>
      <w:szCs w:val="20"/>
    </w:rPr>
  </w:style>
  <w:style w:type="paragraph" w:styleId="CommentSubject">
    <w:name w:val="annotation subject"/>
    <w:basedOn w:val="CommentText"/>
    <w:next w:val="CommentText"/>
    <w:link w:val="CommentSubjectChar"/>
    <w:uiPriority w:val="99"/>
    <w:semiHidden/>
    <w:unhideWhenUsed/>
    <w:rsid w:val="00B20A30"/>
    <w:rPr>
      <w:b/>
      <w:bCs/>
    </w:rPr>
  </w:style>
  <w:style w:type="character" w:customStyle="1" w:styleId="CommentSubjectChar">
    <w:name w:val="Comment Subject Char"/>
    <w:basedOn w:val="CommentTextChar"/>
    <w:link w:val="CommentSubject"/>
    <w:uiPriority w:val="99"/>
    <w:semiHidden/>
    <w:rsid w:val="00B20A30"/>
    <w:rPr>
      <w:b/>
      <w:bCs/>
      <w:sz w:val="20"/>
      <w:szCs w:val="20"/>
    </w:rPr>
  </w:style>
  <w:style w:type="paragraph" w:styleId="Revision">
    <w:name w:val="Revision"/>
    <w:hidden/>
    <w:uiPriority w:val="99"/>
    <w:semiHidden/>
    <w:rsid w:val="00915F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3411</Words>
  <Characters>18781</Characters>
  <Application>Microsoft Office Word</Application>
  <DocSecurity>0</DocSecurity>
  <Lines>266</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22390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2014-10-08T21:18:00Z</cp:lastPrinted>
  <dcterms:created xsi:type="dcterms:W3CDTF">2014-10-10T16:00:00Z</dcterms:created>
  <dcterms:modified xsi:type="dcterms:W3CDTF">2014-10-10T16:00:00Z</dcterms:modified>
  <cp:category> </cp:category>
  <cp:contentStatus> </cp:contentStatus>
</cp:coreProperties>
</file>