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381" w:rsidRDefault="003D0D83" w:rsidP="008F0774">
      <w:pPr>
        <w:spacing w:after="240"/>
        <w:jc w:val="center"/>
      </w:pPr>
      <w:bookmarkStart w:id="0" w:name="_GoBack"/>
      <w:bookmarkEnd w:id="0"/>
      <w:r>
        <w:rPr>
          <w:b/>
        </w:rPr>
        <w:t xml:space="preserve">CONCURRING </w:t>
      </w:r>
      <w:r w:rsidR="008F0774">
        <w:rPr>
          <w:b/>
        </w:rPr>
        <w:t>STATEMENT OF</w:t>
      </w:r>
      <w:r w:rsidR="008F0774">
        <w:rPr>
          <w:b/>
        </w:rPr>
        <w:br/>
        <w:t>COMMISSIONER AJIT PAI</w:t>
      </w:r>
    </w:p>
    <w:p w:rsidR="008F0774" w:rsidRPr="008F0774" w:rsidRDefault="005638DE" w:rsidP="008F0774">
      <w:pPr>
        <w:spacing w:after="240"/>
        <w:ind w:left="720" w:hanging="720"/>
      </w:pPr>
      <w:r>
        <w:t>R</w:t>
      </w:r>
      <w:r w:rsidR="008F0774">
        <w:t>e:</w:t>
      </w:r>
      <w:r w:rsidR="008F0774">
        <w:tab/>
      </w:r>
      <w:r w:rsidR="008F0774">
        <w:rPr>
          <w:i/>
        </w:rPr>
        <w:t>Application for Review of a Decision of the Wireline Competition Bureau by Henrico School District, Richmond, Virginia</w:t>
      </w:r>
      <w:r w:rsidR="008F0774">
        <w:t>, File No. SLD-607894</w:t>
      </w:r>
      <w:r w:rsidR="004E1F6A">
        <w:t>,</w:t>
      </w:r>
      <w:r w:rsidR="008F0774">
        <w:t xml:space="preserve"> </w:t>
      </w:r>
      <w:r w:rsidR="008F0774">
        <w:rPr>
          <w:i/>
        </w:rPr>
        <w:t>Schools and Libraries Universal Service Support Mechanism</w:t>
      </w:r>
      <w:r w:rsidR="008F0774">
        <w:t>, CC Docket No. 02-6.</w:t>
      </w:r>
    </w:p>
    <w:p w:rsidR="006E0C72" w:rsidRDefault="00CE011F" w:rsidP="008F0774">
      <w:pPr>
        <w:ind w:firstLine="720"/>
      </w:pPr>
      <w:r>
        <w:t>I agree with my colleagues that</w:t>
      </w:r>
      <w:r w:rsidR="006E0C72">
        <w:t xml:space="preserve"> </w:t>
      </w:r>
      <w:r>
        <w:t>Henrico</w:t>
      </w:r>
      <w:r w:rsidR="006E0C72">
        <w:t xml:space="preserve"> School District</w:t>
      </w:r>
      <w:r>
        <w:t xml:space="preserve">’s application for review must be denied because </w:t>
      </w:r>
      <w:r w:rsidR="006E0C72">
        <w:t>Henrico</w:t>
      </w:r>
      <w:r>
        <w:t xml:space="preserve"> </w:t>
      </w:r>
      <w:r w:rsidR="00C9128A">
        <w:t>did not treat price as the primary factor when evaluating bids from four vendors for high-speed Internet access</w:t>
      </w:r>
      <w:r w:rsidR="00AE4ACA">
        <w:t>.  S</w:t>
      </w:r>
      <w:r w:rsidR="00C9128A">
        <w:t xml:space="preserve">pecifically, Henrico gave </w:t>
      </w:r>
      <w:r w:rsidR="002B402E">
        <w:t>two</w:t>
      </w:r>
      <w:r w:rsidR="00C9128A">
        <w:t xml:space="preserve"> factor</w:t>
      </w:r>
      <w:r w:rsidR="002B402E">
        <w:t>s</w:t>
      </w:r>
      <w:r w:rsidR="00C9128A">
        <w:t xml:space="preserve"> </w:t>
      </w:r>
      <w:r w:rsidR="005638DE">
        <w:t>(</w:t>
      </w:r>
      <w:r w:rsidR="00D6480A">
        <w:t>“functional requirements” and “implementation services”</w:t>
      </w:r>
      <w:r w:rsidR="005638DE">
        <w:t>) greater</w:t>
      </w:r>
      <w:r w:rsidR="00C9128A">
        <w:t xml:space="preserve"> weight (25 percent</w:t>
      </w:r>
      <w:r w:rsidR="005638DE">
        <w:t xml:space="preserve"> each</w:t>
      </w:r>
      <w:r w:rsidR="00C9128A">
        <w:t xml:space="preserve">) than </w:t>
      </w:r>
      <w:r w:rsidR="005638DE">
        <w:t xml:space="preserve">it gave to </w:t>
      </w:r>
      <w:r w:rsidR="00C9128A">
        <w:t>“price” (20 percent) when evaluating bids.</w:t>
      </w:r>
      <w:r w:rsidR="002B402E">
        <w:t xml:space="preserve">  </w:t>
      </w:r>
      <w:r w:rsidR="00C9128A">
        <w:t xml:space="preserve">I write separately to explain why the E-Rate program’s increasingly byzantine rules and precedents </w:t>
      </w:r>
      <w:r w:rsidR="008A0AE3">
        <w:t>primarily</w:t>
      </w:r>
      <w:r w:rsidR="006E0C72">
        <w:t xml:space="preserve"> serve </w:t>
      </w:r>
      <w:r w:rsidR="00AE4ACA">
        <w:t xml:space="preserve">the interests of </w:t>
      </w:r>
      <w:r w:rsidR="006E0C72">
        <w:t xml:space="preserve">E-Rate consultants and those that can afford to hire them rather than the small, poor, </w:t>
      </w:r>
      <w:r w:rsidR="00AE4ACA">
        <w:t xml:space="preserve">and/or </w:t>
      </w:r>
      <w:r w:rsidR="006E0C72">
        <w:t>rural schools and libraries that need E-Rate funding most.</w:t>
      </w:r>
    </w:p>
    <w:p w:rsidR="00FC79AC" w:rsidRDefault="00C9128A" w:rsidP="006E0C72">
      <w:pPr>
        <w:ind w:firstLine="720"/>
      </w:pPr>
      <w:r>
        <w:t>T</w:t>
      </w:r>
      <w:r w:rsidR="006E0C72">
        <w:t xml:space="preserve">he </w:t>
      </w:r>
      <w:r w:rsidR="00CE011F">
        <w:t>price-is-the-primary-factor rule</w:t>
      </w:r>
      <w:r w:rsidR="006F7A04">
        <w:t xml:space="preserve"> </w:t>
      </w:r>
      <w:r w:rsidR="00641305">
        <w:t>is case in point</w:t>
      </w:r>
      <w:r w:rsidR="006F7A04">
        <w:t>.</w:t>
      </w:r>
      <w:r w:rsidR="008A0AE3">
        <w:rPr>
          <w:rStyle w:val="FootnoteReference"/>
        </w:rPr>
        <w:footnoteReference w:id="1"/>
      </w:r>
      <w:r w:rsidR="006F7A04">
        <w:t xml:space="preserve">  Although </w:t>
      </w:r>
      <w:r w:rsidR="00AE4ACA">
        <w:t xml:space="preserve">the Commission hoped it would </w:t>
      </w:r>
      <w:r w:rsidR="006F7A04">
        <w:t>ensur</w:t>
      </w:r>
      <w:r w:rsidR="00AE4ACA">
        <w:t>e</w:t>
      </w:r>
      <w:r w:rsidR="006F7A04">
        <w:t xml:space="preserve"> that applicants choose the “most cost-effective supplier of access,”</w:t>
      </w:r>
      <w:r w:rsidR="006F7A04">
        <w:rPr>
          <w:rStyle w:val="FootnoteReference"/>
        </w:rPr>
        <w:footnoteReference w:id="2"/>
      </w:r>
      <w:r w:rsidR="006F7A04">
        <w:t xml:space="preserve"> </w:t>
      </w:r>
      <w:r w:rsidR="00AE4ACA">
        <w:t xml:space="preserve">in practice the rule does </w:t>
      </w:r>
      <w:r w:rsidR="006F7A04">
        <w:t xml:space="preserve">nothing of the sort.  </w:t>
      </w:r>
      <w:r w:rsidR="00641305">
        <w:t>T</w:t>
      </w:r>
      <w:r w:rsidR="006F7A04">
        <w:t xml:space="preserve">he </w:t>
      </w:r>
      <w:r w:rsidR="00583732">
        <w:t>rule does not require applicants to select the lowest-priced offerings that meet their needs.</w:t>
      </w:r>
      <w:r w:rsidR="00583732">
        <w:rPr>
          <w:rStyle w:val="FootnoteReference"/>
        </w:rPr>
        <w:footnoteReference w:id="3"/>
      </w:r>
      <w:r w:rsidR="006F7A04">
        <w:t xml:space="preserve">  </w:t>
      </w:r>
      <w:r w:rsidR="00583732">
        <w:t xml:space="preserve">Nor does it, as one might expect, </w:t>
      </w:r>
      <w:r w:rsidR="00AE4ACA">
        <w:t xml:space="preserve">demand </w:t>
      </w:r>
      <w:r w:rsidR="00583732">
        <w:t xml:space="preserve">that price be the majority factor </w:t>
      </w:r>
      <w:r w:rsidR="00824662">
        <w:t>(</w:t>
      </w:r>
      <w:r w:rsidR="00824662" w:rsidRPr="00D6480A">
        <w:rPr>
          <w:i/>
        </w:rPr>
        <w:t>i.e.</w:t>
      </w:r>
      <w:r w:rsidR="00824662">
        <w:t xml:space="preserve">, weighted at 51 percent) </w:t>
      </w:r>
      <w:r w:rsidR="00583732">
        <w:t xml:space="preserve">or even a major factor in selecting a bid.  Instead, </w:t>
      </w:r>
      <w:r w:rsidR="006F7A04">
        <w:t>all the</w:t>
      </w:r>
      <w:r w:rsidR="00583732">
        <w:t xml:space="preserve"> rule requires </w:t>
      </w:r>
      <w:r w:rsidR="006F7A04">
        <w:t xml:space="preserve">is </w:t>
      </w:r>
      <w:r w:rsidR="00583732">
        <w:t xml:space="preserve">that applicants </w:t>
      </w:r>
      <w:r w:rsidR="006F7A04">
        <w:t>give “price . . . more weight than any other single factor</w:t>
      </w:r>
      <w:r w:rsidR="00583732">
        <w:t>.”</w:t>
      </w:r>
      <w:r w:rsidR="00583732">
        <w:rPr>
          <w:rStyle w:val="FootnoteReference"/>
        </w:rPr>
        <w:footnoteReference w:id="4"/>
      </w:r>
      <w:r w:rsidR="002C7724">
        <w:t xml:space="preserve">  </w:t>
      </w:r>
      <w:r w:rsidR="008A0AE3">
        <w:t xml:space="preserve">So if an applicant considers ten factors, price could be </w:t>
      </w:r>
      <w:r w:rsidR="00F97B57">
        <w:t>weighted</w:t>
      </w:r>
      <w:r w:rsidR="008A0AE3">
        <w:t xml:space="preserve"> as little as 11 percent</w:t>
      </w:r>
      <w:r w:rsidR="00FC79AC">
        <w:t>.</w:t>
      </w:r>
      <w:r w:rsidR="008A0AE3">
        <w:rPr>
          <w:rStyle w:val="FootnoteReference"/>
        </w:rPr>
        <w:footnoteReference w:id="5"/>
      </w:r>
    </w:p>
    <w:p w:rsidR="00583732" w:rsidRDefault="00FC79AC" w:rsidP="00E323D6">
      <w:pPr>
        <w:ind w:firstLine="720"/>
      </w:pPr>
      <w:r>
        <w:t>As a result, the price-is-the-primary-factor rule is nothing more than a paperwork exercise</w:t>
      </w:r>
      <w:r w:rsidR="003013C3">
        <w:t>; it elevates form over substance</w:t>
      </w:r>
      <w:r>
        <w:t xml:space="preserve">.  </w:t>
      </w:r>
      <w:r w:rsidR="003013C3">
        <w:t>In Henrico’s case, the evaluation matrix</w:t>
      </w:r>
      <w:r>
        <w:t xml:space="preserve"> </w:t>
      </w:r>
      <w:r w:rsidR="003013C3">
        <w:t xml:space="preserve">mistakenly gave two factors </w:t>
      </w:r>
      <w:r w:rsidR="005638DE">
        <w:t xml:space="preserve">greater </w:t>
      </w:r>
      <w:r w:rsidR="003013C3">
        <w:t>weight than price.  But each of these factors themselves contained multiple subfactors according to the bidding sheet,</w:t>
      </w:r>
      <w:r w:rsidR="003013C3">
        <w:rPr>
          <w:rStyle w:val="FootnoteReference"/>
        </w:rPr>
        <w:footnoteReference w:id="6"/>
      </w:r>
      <w:r w:rsidR="003013C3">
        <w:t xml:space="preserve"> and so, had Henrico </w:t>
      </w:r>
      <w:r w:rsidR="00D6480A">
        <w:t xml:space="preserve">been savvy enough to </w:t>
      </w:r>
      <w:r w:rsidR="005638DE">
        <w:t>game the system</w:t>
      </w:r>
      <w:r w:rsidR="003013C3">
        <w:t>, it could have used effectively the same bidding matrix had it just subdivided these two factors into their constituent parts.</w:t>
      </w:r>
      <w:r w:rsidR="00E323D6">
        <w:t xml:space="preserve">  Failing to do so technically violated the price-is-the-primary-factor rule, but it did not change</w:t>
      </w:r>
      <w:r w:rsidR="003013C3">
        <w:t xml:space="preserve"> the </w:t>
      </w:r>
      <w:r w:rsidR="002B402E">
        <w:t>evaluation process</w:t>
      </w:r>
      <w:r w:rsidR="003013C3">
        <w:t xml:space="preserve"> one w</w:t>
      </w:r>
      <w:r w:rsidR="00AE4ACA">
        <w:t>h</w:t>
      </w:r>
      <w:r w:rsidR="003013C3">
        <w:t>it.</w:t>
      </w:r>
    </w:p>
    <w:p w:rsidR="002B402E" w:rsidRDefault="00F97B57" w:rsidP="006E0C72">
      <w:pPr>
        <w:ind w:firstLine="720"/>
      </w:pPr>
      <w:r>
        <w:t>T</w:t>
      </w:r>
      <w:r w:rsidR="000573F4">
        <w:t>he</w:t>
      </w:r>
      <w:r w:rsidR="002B402E">
        <w:t xml:space="preserve"> penalty for</w:t>
      </w:r>
      <w:r w:rsidR="00E323D6">
        <w:t xml:space="preserve"> such paperwork mistakes </w:t>
      </w:r>
      <w:r w:rsidR="002B402E">
        <w:t>is</w:t>
      </w:r>
      <w:r w:rsidR="00E323D6">
        <w:t xml:space="preserve"> harsh</w:t>
      </w:r>
      <w:r>
        <w:t xml:space="preserve">. </w:t>
      </w:r>
      <w:r w:rsidR="00B51426">
        <w:t xml:space="preserve"> </w:t>
      </w:r>
      <w:r>
        <w:t>H</w:t>
      </w:r>
      <w:r w:rsidR="002B402E">
        <w:t>ere, Henrico forfeited $118,210.36 in E-Rate funding</w:t>
      </w:r>
      <w:r w:rsidR="00B51426">
        <w:t xml:space="preserve"> even though the savings to E-Rate had Henrico chosen a lower-priced bid would have been only $41,664</w:t>
      </w:r>
      <w:r w:rsidR="002B402E">
        <w:t>.</w:t>
      </w:r>
      <w:r w:rsidR="00B51426">
        <w:rPr>
          <w:rStyle w:val="FootnoteReference"/>
        </w:rPr>
        <w:footnoteReference w:id="7"/>
      </w:r>
      <w:r w:rsidR="00B51426">
        <w:t xml:space="preserve">  And that </w:t>
      </w:r>
      <w:r>
        <w:t>almost-</w:t>
      </w:r>
      <w:r w:rsidR="00B51426">
        <w:t xml:space="preserve">treble </w:t>
      </w:r>
      <w:r w:rsidR="002B402E">
        <w:t>penalty comes in a case where treating price as the primary factor would have made no difference—</w:t>
      </w:r>
      <w:r w:rsidR="000573F4">
        <w:t>had price been the primary factor</w:t>
      </w:r>
      <w:r w:rsidR="002B402E">
        <w:t xml:space="preserve"> (</w:t>
      </w:r>
      <w:r w:rsidR="000573F4">
        <w:t>decreasing the weights of</w:t>
      </w:r>
      <w:r w:rsidR="002B402E">
        <w:t xml:space="preserve"> all other factors proportionat</w:t>
      </w:r>
      <w:r w:rsidR="000573F4">
        <w:t>ely), Henrico would have selected the same vendor that it did.</w:t>
      </w:r>
    </w:p>
    <w:p w:rsidR="00641305" w:rsidRDefault="00641305" w:rsidP="006E0C72">
      <w:pPr>
        <w:ind w:firstLine="720"/>
      </w:pPr>
      <w:r>
        <w:lastRenderedPageBreak/>
        <w:t>I admire Henrico’s tenacity in slogging through the six-year administrative process to get to this point.  But nothing in E-Rate’s rules</w:t>
      </w:r>
      <w:r w:rsidR="00AE4ACA">
        <w:t>, either</w:t>
      </w:r>
      <w:r>
        <w:t xml:space="preserve"> as</w:t>
      </w:r>
      <w:r w:rsidR="003D0D83">
        <w:t xml:space="preserve"> they were written back in 2008</w:t>
      </w:r>
      <w:r w:rsidR="00AE4ACA">
        <w:t xml:space="preserve"> or as they stand now,</w:t>
      </w:r>
      <w:r w:rsidR="003D0D83">
        <w:t xml:space="preserve"> can save Henrico’s funding request from this largely capricious result.  </w:t>
      </w:r>
      <w:r w:rsidR="00BA433F">
        <w:t>Indeed, we had an opportunity to fix this very problem this summer, but the Commission decided to take a pass on real reform.</w:t>
      </w:r>
      <w:r w:rsidR="00BA433F">
        <w:rPr>
          <w:rStyle w:val="FootnoteReference"/>
        </w:rPr>
        <w:footnoteReference w:id="8"/>
      </w:r>
      <w:r w:rsidR="00BA433F">
        <w:t xml:space="preserve">  </w:t>
      </w:r>
      <w:r w:rsidR="003D0D83">
        <w:t>I can only hope that the Commission will at some point recognize that specialized federal procurement rules—like the price-is-the-primary-factor rule—only hurt the students and library patrons that E-Rate is meant to serve.</w:t>
      </w:r>
    </w:p>
    <w:sectPr w:rsidR="00641305" w:rsidSect="004E1F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6E8" w:rsidRDefault="001666E8" w:rsidP="00CE011F">
      <w:pPr>
        <w:spacing w:after="0"/>
      </w:pPr>
      <w:r>
        <w:separator/>
      </w:r>
    </w:p>
  </w:endnote>
  <w:endnote w:type="continuationSeparator" w:id="0">
    <w:p w:rsidR="001666E8" w:rsidRDefault="001666E8" w:rsidP="00CE01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6C0" w:rsidRDefault="002856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405554"/>
      <w:docPartObj>
        <w:docPartGallery w:val="Page Numbers (Bottom of Page)"/>
        <w:docPartUnique/>
      </w:docPartObj>
    </w:sdtPr>
    <w:sdtEndPr>
      <w:rPr>
        <w:noProof/>
      </w:rPr>
    </w:sdtEndPr>
    <w:sdtContent>
      <w:p w:rsidR="004E1F6A" w:rsidRDefault="004E1F6A">
        <w:pPr>
          <w:pStyle w:val="Footer"/>
          <w:jc w:val="center"/>
        </w:pPr>
        <w:r>
          <w:fldChar w:fldCharType="begin"/>
        </w:r>
        <w:r>
          <w:instrText xml:space="preserve"> PAGE   \* MERGEFORMAT </w:instrText>
        </w:r>
        <w:r>
          <w:fldChar w:fldCharType="separate"/>
        </w:r>
        <w:r w:rsidR="00804638">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6C0" w:rsidRDefault="002856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6E8" w:rsidRDefault="001666E8" w:rsidP="00CE011F">
      <w:pPr>
        <w:spacing w:after="0"/>
      </w:pPr>
      <w:r>
        <w:separator/>
      </w:r>
    </w:p>
  </w:footnote>
  <w:footnote w:type="continuationSeparator" w:id="0">
    <w:p w:rsidR="001666E8" w:rsidRDefault="001666E8" w:rsidP="00CE011F">
      <w:pPr>
        <w:spacing w:after="0"/>
      </w:pPr>
      <w:r>
        <w:continuationSeparator/>
      </w:r>
    </w:p>
  </w:footnote>
  <w:footnote w:id="1">
    <w:p w:rsidR="008A0AE3" w:rsidRDefault="008A0AE3" w:rsidP="008A0AE3">
      <w:pPr>
        <w:pStyle w:val="FootnoteText"/>
      </w:pPr>
      <w:r>
        <w:rPr>
          <w:rStyle w:val="FootnoteReference"/>
        </w:rPr>
        <w:footnoteRef/>
      </w:r>
      <w:r>
        <w:t xml:space="preserve"> </w:t>
      </w:r>
      <w:r w:rsidRPr="0017593F">
        <w:rPr>
          <w:i/>
          <w:color w:val="000000"/>
        </w:rPr>
        <w:t>See</w:t>
      </w:r>
      <w:r w:rsidRPr="00641305">
        <w:rPr>
          <w:color w:val="000000"/>
        </w:rPr>
        <w:t xml:space="preserve"> </w:t>
      </w:r>
      <w:r w:rsidRPr="0017593F">
        <w:rPr>
          <w:iCs/>
        </w:rPr>
        <w:t>47 C.F.R. §§ 54.504, 54.511 (2008); 47 C.F.R. §§ 54.503, 54.511 (2011)</w:t>
      </w:r>
      <w:r>
        <w:rPr>
          <w:iCs/>
        </w:rPr>
        <w:t xml:space="preserve">; 47 C.F.R. </w:t>
      </w:r>
      <w:r w:rsidRPr="0017593F">
        <w:rPr>
          <w:iCs/>
        </w:rPr>
        <w:t>§§</w:t>
      </w:r>
      <w:r w:rsidRPr="00762082">
        <w:rPr>
          <w:iCs/>
        </w:rPr>
        <w:t xml:space="preserve"> 54.503(c)(2)(ii)(B), 54.511(a)</w:t>
      </w:r>
      <w:r>
        <w:rPr>
          <w:iCs/>
        </w:rPr>
        <w:t xml:space="preserve"> (2014).</w:t>
      </w:r>
    </w:p>
  </w:footnote>
  <w:footnote w:id="2">
    <w:p w:rsidR="006F7A04" w:rsidRDefault="006F7A04" w:rsidP="006F7A04">
      <w:pPr>
        <w:pStyle w:val="FootnoteText"/>
      </w:pPr>
      <w:r>
        <w:rPr>
          <w:rStyle w:val="FootnoteReference"/>
        </w:rPr>
        <w:footnoteRef/>
      </w:r>
      <w:r>
        <w:t xml:space="preserve"> </w:t>
      </w:r>
      <w:r>
        <w:rPr>
          <w:i/>
          <w:iCs/>
        </w:rPr>
        <w:t>Federal-State Joint Board on Universal Service</w:t>
      </w:r>
      <w:r>
        <w:t>,</w:t>
      </w:r>
      <w:r w:rsidRPr="006F7A04">
        <w:rPr>
          <w:iCs/>
        </w:rPr>
        <w:t xml:space="preserve"> </w:t>
      </w:r>
      <w:r>
        <w:t>CC Docket No. 96-45, Report and Order, 12 FCC Rcd 8776, 9029, para. 481 (1997) (subsequent history omitted).</w:t>
      </w:r>
    </w:p>
  </w:footnote>
  <w:footnote w:id="3">
    <w:p w:rsidR="00583732" w:rsidRPr="00583732" w:rsidRDefault="00583732" w:rsidP="006F7A04">
      <w:pPr>
        <w:pStyle w:val="FootnoteText"/>
        <w:rPr>
          <w:i/>
        </w:rPr>
      </w:pPr>
      <w:r>
        <w:rPr>
          <w:rStyle w:val="FootnoteReference"/>
        </w:rPr>
        <w:footnoteRef/>
      </w:r>
      <w:r>
        <w:t xml:space="preserve"> </w:t>
      </w:r>
      <w:r w:rsidR="006F7A04">
        <w:rPr>
          <w:i/>
        </w:rPr>
        <w:t>Id.</w:t>
      </w:r>
    </w:p>
  </w:footnote>
  <w:footnote w:id="4">
    <w:p w:rsidR="00583732" w:rsidRPr="00583732" w:rsidRDefault="00583732" w:rsidP="006F7A04">
      <w:pPr>
        <w:pStyle w:val="FootnoteText"/>
      </w:pPr>
      <w:r>
        <w:rPr>
          <w:rStyle w:val="FootnoteReference"/>
        </w:rPr>
        <w:footnoteRef/>
      </w:r>
      <w:r>
        <w:t xml:space="preserve"> </w:t>
      </w:r>
      <w:r w:rsidR="006F7A04" w:rsidRPr="006F7A04">
        <w:rPr>
          <w:i/>
        </w:rPr>
        <w:t>Request for Review of the Decision of the Universal Service Administrator by Ysleta Independent School District et al</w:t>
      </w:r>
      <w:r w:rsidR="006F7A04">
        <w:rPr>
          <w:i/>
        </w:rPr>
        <w:t>.</w:t>
      </w:r>
      <w:r w:rsidR="006F7A04" w:rsidRPr="006F7A04">
        <w:rPr>
          <w:i/>
        </w:rPr>
        <w:t>; Schools and Libraries Universal Service Support Mechanism</w:t>
      </w:r>
      <w:r w:rsidR="006F7A04" w:rsidRPr="006F7A04">
        <w:t>, CC Docket Nos. 96-45, 97-21, Order, 18 FCC Rcd 26407, 26429, para. 50 (2003)</w:t>
      </w:r>
      <w:r w:rsidR="006F7A04">
        <w:t>.</w:t>
      </w:r>
    </w:p>
  </w:footnote>
  <w:footnote w:id="5">
    <w:p w:rsidR="008A0AE3" w:rsidRPr="008A0AE3" w:rsidRDefault="008A0AE3">
      <w:pPr>
        <w:pStyle w:val="FootnoteText"/>
      </w:pPr>
      <w:r>
        <w:rPr>
          <w:rStyle w:val="FootnoteReference"/>
        </w:rPr>
        <w:footnoteRef/>
      </w:r>
      <w:r>
        <w:t xml:space="preserve"> </w:t>
      </w:r>
      <w:r>
        <w:rPr>
          <w:i/>
        </w:rPr>
        <w:t>Id.</w:t>
      </w:r>
      <w:r>
        <w:t xml:space="preserve"> at 26429, n.138</w:t>
      </w:r>
      <w:r w:rsidR="00FC79AC">
        <w:t xml:space="preserve"> (noting that other factors would have to have weights of 10 or less)</w:t>
      </w:r>
      <w:r>
        <w:t>.</w:t>
      </w:r>
    </w:p>
  </w:footnote>
  <w:footnote w:id="6">
    <w:p w:rsidR="003013C3" w:rsidRDefault="003013C3">
      <w:pPr>
        <w:pStyle w:val="FootnoteText"/>
      </w:pPr>
      <w:r>
        <w:rPr>
          <w:rStyle w:val="FootnoteReference"/>
        </w:rPr>
        <w:footnoteRef/>
      </w:r>
      <w:r>
        <w:t xml:space="preserve"> </w:t>
      </w:r>
      <w:r w:rsidRPr="003013C3">
        <w:rPr>
          <w:i/>
        </w:rPr>
        <w:t>See</w:t>
      </w:r>
      <w:r>
        <w:t xml:space="preserve"> Henrico Request for Review, CC Docket No. 02-6, Ex. B (Mar. 12, 2009).  The “functional requirements</w:t>
      </w:r>
      <w:r w:rsidR="00D6480A">
        <w:t>”</w:t>
      </w:r>
      <w:r>
        <w:t xml:space="preserve"> factor incorporated three separate subfactors: “extent to which the proposal meets the RFP’s functional requirements,” “compliance with the RFP’s technical requirements,” and “extent of modifications required to meet requirements.”  The “implementation services” factor incorporated five separate subfactors.</w:t>
      </w:r>
    </w:p>
  </w:footnote>
  <w:footnote w:id="7">
    <w:p w:rsidR="00B51426" w:rsidRPr="00B51426" w:rsidRDefault="00B51426">
      <w:pPr>
        <w:pStyle w:val="FootnoteText"/>
      </w:pPr>
      <w:r>
        <w:rPr>
          <w:rStyle w:val="FootnoteReference"/>
        </w:rPr>
        <w:footnoteRef/>
      </w:r>
      <w:r>
        <w:t xml:space="preserve"> Had Henrico chosen the second-best bid (from TelCove), its eligible E-Rate expenses would have been $12,267 per month, resulting in E-Rate funding of $76,546.08 for the year.</w:t>
      </w:r>
      <w:r w:rsidR="00F97B57" w:rsidRPr="00F97B57">
        <w:t xml:space="preserve"> </w:t>
      </w:r>
      <w:r w:rsidR="00F97B57">
        <w:t xml:space="preserve"> </w:t>
      </w:r>
      <w:r w:rsidR="00F97B57">
        <w:rPr>
          <w:i/>
        </w:rPr>
        <w:t>See</w:t>
      </w:r>
      <w:r w:rsidR="00F97B57">
        <w:t xml:space="preserve"> </w:t>
      </w:r>
      <w:r w:rsidR="00F97B57">
        <w:rPr>
          <w:i/>
        </w:rPr>
        <w:t>Order</w:t>
      </w:r>
      <w:r w:rsidR="00F97B57">
        <w:t xml:space="preserve"> at note 39.</w:t>
      </w:r>
    </w:p>
  </w:footnote>
  <w:footnote w:id="8">
    <w:p w:rsidR="00BA433F" w:rsidRPr="00BA433F" w:rsidRDefault="00BA433F">
      <w:pPr>
        <w:pStyle w:val="FootnoteText"/>
      </w:pPr>
      <w:r>
        <w:rPr>
          <w:rStyle w:val="FootnoteReference"/>
        </w:rPr>
        <w:footnoteRef/>
      </w:r>
      <w:r>
        <w:t xml:space="preserve"> </w:t>
      </w:r>
      <w:r>
        <w:rPr>
          <w:i/>
        </w:rPr>
        <w:t>Modernizing the E-Rate Program for Schools and Libraries</w:t>
      </w:r>
      <w:r>
        <w:t>, WC Docket No. 13-184, Report and Order and Further Notice of Proposed Rulemaking, FCC 14-99, at 170–71 (rel. July 23, 2014) (Dissenting Statement of Commissioner Ajit Pai) (</w:t>
      </w:r>
      <w:r w:rsidR="003B7BCD">
        <w:t>noting the “myriad . . . ‘rules’ [including the price-is-the-primary-factor rule] that have crept into E-Rate’s specialized procurement process” and the resulting hardship for schools and libraries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6C0" w:rsidRDefault="002856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6C0" w:rsidRDefault="002856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6C0" w:rsidRDefault="002856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573F4"/>
    <w:rsid w:val="000F49BB"/>
    <w:rsid w:val="00114592"/>
    <w:rsid w:val="00154B0C"/>
    <w:rsid w:val="001666E8"/>
    <w:rsid w:val="00234381"/>
    <w:rsid w:val="002856C0"/>
    <w:rsid w:val="002B402E"/>
    <w:rsid w:val="002C7724"/>
    <w:rsid w:val="003013C3"/>
    <w:rsid w:val="00385D14"/>
    <w:rsid w:val="003B7BCD"/>
    <w:rsid w:val="003D0D83"/>
    <w:rsid w:val="004D3ADA"/>
    <w:rsid w:val="004E1F6A"/>
    <w:rsid w:val="005638DE"/>
    <w:rsid w:val="00583732"/>
    <w:rsid w:val="00641305"/>
    <w:rsid w:val="0065500C"/>
    <w:rsid w:val="006E0C72"/>
    <w:rsid w:val="006F76FC"/>
    <w:rsid w:val="006F7A04"/>
    <w:rsid w:val="00762082"/>
    <w:rsid w:val="00804638"/>
    <w:rsid w:val="00824662"/>
    <w:rsid w:val="00855A8C"/>
    <w:rsid w:val="008A0AE3"/>
    <w:rsid w:val="008B108B"/>
    <w:rsid w:val="008D7E9F"/>
    <w:rsid w:val="008F0774"/>
    <w:rsid w:val="009C1966"/>
    <w:rsid w:val="00AC1DAA"/>
    <w:rsid w:val="00AE4ACA"/>
    <w:rsid w:val="00B51426"/>
    <w:rsid w:val="00BA433F"/>
    <w:rsid w:val="00C36A1A"/>
    <w:rsid w:val="00C9128A"/>
    <w:rsid w:val="00CD3572"/>
    <w:rsid w:val="00CE011F"/>
    <w:rsid w:val="00D6480A"/>
    <w:rsid w:val="00DE2D6D"/>
    <w:rsid w:val="00E323D6"/>
    <w:rsid w:val="00F26F9F"/>
    <w:rsid w:val="00F97B57"/>
    <w:rsid w:val="00FC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C3"/>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13C3"/>
    <w:rPr>
      <w:sz w:val="20"/>
      <w:szCs w:val="20"/>
    </w:rPr>
  </w:style>
  <w:style w:type="character" w:customStyle="1" w:styleId="FootnoteTextChar">
    <w:name w:val="Footnote Text Char"/>
    <w:basedOn w:val="DefaultParagraphFont"/>
    <w:link w:val="FootnoteText"/>
    <w:uiPriority w:val="99"/>
    <w:semiHidden/>
    <w:rsid w:val="003013C3"/>
    <w:rPr>
      <w:rFonts w:ascii="Times New Roman" w:hAnsi="Times New Roman"/>
      <w:sz w:val="20"/>
      <w:szCs w:val="20"/>
    </w:rPr>
  </w:style>
  <w:style w:type="character" w:styleId="FootnoteReference">
    <w:name w:val="footnote reference"/>
    <w:basedOn w:val="DefaultParagraphFont"/>
    <w:uiPriority w:val="99"/>
    <w:semiHidden/>
    <w:unhideWhenUsed/>
    <w:rsid w:val="00CE011F"/>
    <w:rPr>
      <w:vertAlign w:val="superscript"/>
    </w:rPr>
  </w:style>
  <w:style w:type="character" w:styleId="CommentReference">
    <w:name w:val="annotation reference"/>
    <w:basedOn w:val="DefaultParagraphFont"/>
    <w:uiPriority w:val="99"/>
    <w:semiHidden/>
    <w:unhideWhenUsed/>
    <w:rsid w:val="00AE4ACA"/>
    <w:rPr>
      <w:sz w:val="16"/>
      <w:szCs w:val="16"/>
    </w:rPr>
  </w:style>
  <w:style w:type="paragraph" w:styleId="CommentText">
    <w:name w:val="annotation text"/>
    <w:basedOn w:val="Normal"/>
    <w:link w:val="CommentTextChar"/>
    <w:uiPriority w:val="99"/>
    <w:semiHidden/>
    <w:unhideWhenUsed/>
    <w:rsid w:val="00AE4ACA"/>
    <w:rPr>
      <w:sz w:val="20"/>
      <w:szCs w:val="20"/>
    </w:rPr>
  </w:style>
  <w:style w:type="character" w:customStyle="1" w:styleId="CommentTextChar">
    <w:name w:val="Comment Text Char"/>
    <w:basedOn w:val="DefaultParagraphFont"/>
    <w:link w:val="CommentText"/>
    <w:uiPriority w:val="99"/>
    <w:semiHidden/>
    <w:rsid w:val="00AE4AC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E4ACA"/>
    <w:rPr>
      <w:b/>
      <w:bCs/>
    </w:rPr>
  </w:style>
  <w:style w:type="character" w:customStyle="1" w:styleId="CommentSubjectChar">
    <w:name w:val="Comment Subject Char"/>
    <w:basedOn w:val="CommentTextChar"/>
    <w:link w:val="CommentSubject"/>
    <w:uiPriority w:val="99"/>
    <w:semiHidden/>
    <w:rsid w:val="00AE4ACA"/>
    <w:rPr>
      <w:rFonts w:ascii="Times New Roman" w:hAnsi="Times New Roman"/>
      <w:b/>
      <w:bCs/>
      <w:sz w:val="20"/>
      <w:szCs w:val="20"/>
    </w:rPr>
  </w:style>
  <w:style w:type="paragraph" w:styleId="BalloonText">
    <w:name w:val="Balloon Text"/>
    <w:basedOn w:val="Normal"/>
    <w:link w:val="BalloonTextChar"/>
    <w:uiPriority w:val="99"/>
    <w:semiHidden/>
    <w:unhideWhenUsed/>
    <w:rsid w:val="00AE4A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ACA"/>
    <w:rPr>
      <w:rFonts w:ascii="Tahoma" w:hAnsi="Tahoma" w:cs="Tahoma"/>
      <w:sz w:val="16"/>
      <w:szCs w:val="16"/>
    </w:rPr>
  </w:style>
  <w:style w:type="paragraph" w:styleId="Header">
    <w:name w:val="header"/>
    <w:basedOn w:val="Normal"/>
    <w:link w:val="HeaderChar"/>
    <w:uiPriority w:val="99"/>
    <w:unhideWhenUsed/>
    <w:rsid w:val="004E1F6A"/>
    <w:pPr>
      <w:tabs>
        <w:tab w:val="center" w:pos="4680"/>
        <w:tab w:val="right" w:pos="9360"/>
      </w:tabs>
      <w:spacing w:after="0"/>
    </w:pPr>
  </w:style>
  <w:style w:type="character" w:customStyle="1" w:styleId="HeaderChar">
    <w:name w:val="Header Char"/>
    <w:basedOn w:val="DefaultParagraphFont"/>
    <w:link w:val="Header"/>
    <w:uiPriority w:val="99"/>
    <w:rsid w:val="004E1F6A"/>
    <w:rPr>
      <w:rFonts w:ascii="Times New Roman" w:hAnsi="Times New Roman"/>
    </w:rPr>
  </w:style>
  <w:style w:type="paragraph" w:styleId="Footer">
    <w:name w:val="footer"/>
    <w:basedOn w:val="Normal"/>
    <w:link w:val="FooterChar"/>
    <w:uiPriority w:val="99"/>
    <w:unhideWhenUsed/>
    <w:rsid w:val="004E1F6A"/>
    <w:pPr>
      <w:tabs>
        <w:tab w:val="center" w:pos="4680"/>
        <w:tab w:val="right" w:pos="9360"/>
      </w:tabs>
      <w:spacing w:after="0"/>
    </w:pPr>
  </w:style>
  <w:style w:type="character" w:customStyle="1" w:styleId="FooterChar">
    <w:name w:val="Footer Char"/>
    <w:basedOn w:val="DefaultParagraphFont"/>
    <w:link w:val="Footer"/>
    <w:uiPriority w:val="99"/>
    <w:rsid w:val="004E1F6A"/>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C3"/>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13C3"/>
    <w:rPr>
      <w:sz w:val="20"/>
      <w:szCs w:val="20"/>
    </w:rPr>
  </w:style>
  <w:style w:type="character" w:customStyle="1" w:styleId="FootnoteTextChar">
    <w:name w:val="Footnote Text Char"/>
    <w:basedOn w:val="DefaultParagraphFont"/>
    <w:link w:val="FootnoteText"/>
    <w:uiPriority w:val="99"/>
    <w:semiHidden/>
    <w:rsid w:val="003013C3"/>
    <w:rPr>
      <w:rFonts w:ascii="Times New Roman" w:hAnsi="Times New Roman"/>
      <w:sz w:val="20"/>
      <w:szCs w:val="20"/>
    </w:rPr>
  </w:style>
  <w:style w:type="character" w:styleId="FootnoteReference">
    <w:name w:val="footnote reference"/>
    <w:basedOn w:val="DefaultParagraphFont"/>
    <w:uiPriority w:val="99"/>
    <w:semiHidden/>
    <w:unhideWhenUsed/>
    <w:rsid w:val="00CE011F"/>
    <w:rPr>
      <w:vertAlign w:val="superscript"/>
    </w:rPr>
  </w:style>
  <w:style w:type="character" w:styleId="CommentReference">
    <w:name w:val="annotation reference"/>
    <w:basedOn w:val="DefaultParagraphFont"/>
    <w:uiPriority w:val="99"/>
    <w:semiHidden/>
    <w:unhideWhenUsed/>
    <w:rsid w:val="00AE4ACA"/>
    <w:rPr>
      <w:sz w:val="16"/>
      <w:szCs w:val="16"/>
    </w:rPr>
  </w:style>
  <w:style w:type="paragraph" w:styleId="CommentText">
    <w:name w:val="annotation text"/>
    <w:basedOn w:val="Normal"/>
    <w:link w:val="CommentTextChar"/>
    <w:uiPriority w:val="99"/>
    <w:semiHidden/>
    <w:unhideWhenUsed/>
    <w:rsid w:val="00AE4ACA"/>
    <w:rPr>
      <w:sz w:val="20"/>
      <w:szCs w:val="20"/>
    </w:rPr>
  </w:style>
  <w:style w:type="character" w:customStyle="1" w:styleId="CommentTextChar">
    <w:name w:val="Comment Text Char"/>
    <w:basedOn w:val="DefaultParagraphFont"/>
    <w:link w:val="CommentText"/>
    <w:uiPriority w:val="99"/>
    <w:semiHidden/>
    <w:rsid w:val="00AE4AC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E4ACA"/>
    <w:rPr>
      <w:b/>
      <w:bCs/>
    </w:rPr>
  </w:style>
  <w:style w:type="character" w:customStyle="1" w:styleId="CommentSubjectChar">
    <w:name w:val="Comment Subject Char"/>
    <w:basedOn w:val="CommentTextChar"/>
    <w:link w:val="CommentSubject"/>
    <w:uiPriority w:val="99"/>
    <w:semiHidden/>
    <w:rsid w:val="00AE4ACA"/>
    <w:rPr>
      <w:rFonts w:ascii="Times New Roman" w:hAnsi="Times New Roman"/>
      <w:b/>
      <w:bCs/>
      <w:sz w:val="20"/>
      <w:szCs w:val="20"/>
    </w:rPr>
  </w:style>
  <w:style w:type="paragraph" w:styleId="BalloonText">
    <w:name w:val="Balloon Text"/>
    <w:basedOn w:val="Normal"/>
    <w:link w:val="BalloonTextChar"/>
    <w:uiPriority w:val="99"/>
    <w:semiHidden/>
    <w:unhideWhenUsed/>
    <w:rsid w:val="00AE4A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ACA"/>
    <w:rPr>
      <w:rFonts w:ascii="Tahoma" w:hAnsi="Tahoma" w:cs="Tahoma"/>
      <w:sz w:val="16"/>
      <w:szCs w:val="16"/>
    </w:rPr>
  </w:style>
  <w:style w:type="paragraph" w:styleId="Header">
    <w:name w:val="header"/>
    <w:basedOn w:val="Normal"/>
    <w:link w:val="HeaderChar"/>
    <w:uiPriority w:val="99"/>
    <w:unhideWhenUsed/>
    <w:rsid w:val="004E1F6A"/>
    <w:pPr>
      <w:tabs>
        <w:tab w:val="center" w:pos="4680"/>
        <w:tab w:val="right" w:pos="9360"/>
      </w:tabs>
      <w:spacing w:after="0"/>
    </w:pPr>
  </w:style>
  <w:style w:type="character" w:customStyle="1" w:styleId="HeaderChar">
    <w:name w:val="Header Char"/>
    <w:basedOn w:val="DefaultParagraphFont"/>
    <w:link w:val="Header"/>
    <w:uiPriority w:val="99"/>
    <w:rsid w:val="004E1F6A"/>
    <w:rPr>
      <w:rFonts w:ascii="Times New Roman" w:hAnsi="Times New Roman"/>
    </w:rPr>
  </w:style>
  <w:style w:type="paragraph" w:styleId="Footer">
    <w:name w:val="footer"/>
    <w:basedOn w:val="Normal"/>
    <w:link w:val="FooterChar"/>
    <w:uiPriority w:val="99"/>
    <w:unhideWhenUsed/>
    <w:rsid w:val="004E1F6A"/>
    <w:pPr>
      <w:tabs>
        <w:tab w:val="center" w:pos="4680"/>
        <w:tab w:val="right" w:pos="9360"/>
      </w:tabs>
      <w:spacing w:after="0"/>
    </w:pPr>
  </w:style>
  <w:style w:type="character" w:customStyle="1" w:styleId="FooterChar">
    <w:name w:val="Footer Char"/>
    <w:basedOn w:val="DefaultParagraphFont"/>
    <w:link w:val="Footer"/>
    <w:uiPriority w:val="99"/>
    <w:rsid w:val="004E1F6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2858</Characters>
  <Application>Microsoft Office Word</Application>
  <DocSecurity>0</DocSecurity>
  <Lines>38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2014-09-04T15:07:00Z</dcterms:created>
  <dcterms:modified xsi:type="dcterms:W3CDTF">2014-09-04T15:07:00Z</dcterms:modified>
  <cp:category> </cp:category>
  <cp:contentStatus> </cp:contentStatus>
</cp:coreProperties>
</file>