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79" w:rsidRPr="00F84ED0" w:rsidRDefault="008D4979" w:rsidP="008D4979">
      <w:pPr>
        <w:contextualSpacing/>
        <w:jc w:val="center"/>
        <w:rPr>
          <w:b/>
        </w:rPr>
      </w:pPr>
      <w:bookmarkStart w:id="0" w:name="_GoBack"/>
      <w:bookmarkEnd w:id="0"/>
      <w:r w:rsidRPr="00F84ED0">
        <w:rPr>
          <w:b/>
        </w:rPr>
        <w:t>Before the</w:t>
      </w:r>
    </w:p>
    <w:p w:rsidR="008D4979" w:rsidRPr="00F84ED0" w:rsidRDefault="008D4979" w:rsidP="008D4979">
      <w:pPr>
        <w:pStyle w:val="StyleBoldCentered"/>
        <w:contextualSpacing/>
        <w:rPr>
          <w:rFonts w:ascii="Times New Roman" w:hAnsi="Times New Roman"/>
        </w:rPr>
      </w:pPr>
      <w:r w:rsidRPr="00F84ED0">
        <w:rPr>
          <w:rFonts w:ascii="Times New Roman" w:hAnsi="Times New Roman"/>
        </w:rPr>
        <w:t>F</w:t>
      </w:r>
      <w:r w:rsidRPr="00F84ED0">
        <w:rPr>
          <w:rFonts w:ascii="Times New Roman" w:hAnsi="Times New Roman"/>
          <w:caps w:val="0"/>
        </w:rPr>
        <w:t>ederal Communications Commission</w:t>
      </w:r>
    </w:p>
    <w:p w:rsidR="008D4979" w:rsidRPr="00F84ED0" w:rsidRDefault="008D4979" w:rsidP="008D4979">
      <w:pPr>
        <w:pStyle w:val="StyleBoldCentered"/>
        <w:contextualSpacing/>
        <w:rPr>
          <w:rFonts w:ascii="Times New Roman" w:hAnsi="Times New Roman"/>
        </w:rPr>
      </w:pPr>
      <w:r w:rsidRPr="00F84ED0">
        <w:rPr>
          <w:rFonts w:ascii="Times New Roman" w:hAnsi="Times New Roman"/>
          <w:caps w:val="0"/>
        </w:rPr>
        <w:t>Washington, D.C. 20554</w:t>
      </w:r>
    </w:p>
    <w:p w:rsidR="008D4979" w:rsidRPr="00F84ED0" w:rsidRDefault="008D4979" w:rsidP="008D4979">
      <w:pPr>
        <w:contextualSpacing/>
      </w:pPr>
    </w:p>
    <w:tbl>
      <w:tblPr>
        <w:tblW w:w="0" w:type="auto"/>
        <w:tblLayout w:type="fixed"/>
        <w:tblLook w:val="0000" w:firstRow="0" w:lastRow="0" w:firstColumn="0" w:lastColumn="0" w:noHBand="0" w:noVBand="0"/>
      </w:tblPr>
      <w:tblGrid>
        <w:gridCol w:w="4698"/>
        <w:gridCol w:w="630"/>
        <w:gridCol w:w="4248"/>
      </w:tblGrid>
      <w:tr w:rsidR="008D4979" w:rsidRPr="00F84ED0">
        <w:tc>
          <w:tcPr>
            <w:tcW w:w="4698" w:type="dxa"/>
          </w:tcPr>
          <w:p w:rsidR="008D4979" w:rsidRPr="00F84ED0" w:rsidRDefault="008D4979" w:rsidP="008D4979">
            <w:pPr>
              <w:tabs>
                <w:tab w:val="center" w:pos="4680"/>
              </w:tabs>
              <w:suppressAutoHyphens/>
              <w:contextualSpacing/>
              <w:rPr>
                <w:spacing w:val="-2"/>
              </w:rPr>
            </w:pPr>
            <w:r w:rsidRPr="00F84ED0">
              <w:rPr>
                <w:spacing w:val="-2"/>
              </w:rPr>
              <w:t>In the Matter of</w:t>
            </w:r>
          </w:p>
          <w:p w:rsidR="008D4979" w:rsidRPr="00F84ED0" w:rsidRDefault="008D4979" w:rsidP="008D4979">
            <w:pPr>
              <w:tabs>
                <w:tab w:val="center" w:pos="4680"/>
              </w:tabs>
              <w:suppressAutoHyphens/>
              <w:contextualSpacing/>
              <w:rPr>
                <w:spacing w:val="-2"/>
              </w:rPr>
            </w:pPr>
          </w:p>
          <w:p w:rsidR="008D4979" w:rsidRPr="00F84ED0" w:rsidRDefault="008D4979" w:rsidP="008D4979">
            <w:pPr>
              <w:tabs>
                <w:tab w:val="center" w:pos="4680"/>
              </w:tabs>
              <w:suppressAutoHyphens/>
              <w:contextualSpacing/>
              <w:rPr>
                <w:spacing w:val="-2"/>
              </w:rPr>
            </w:pPr>
            <w:r w:rsidRPr="00F84ED0">
              <w:rPr>
                <w:spacing w:val="-2"/>
              </w:rPr>
              <w:t>Connect America Fund</w:t>
            </w:r>
          </w:p>
          <w:p w:rsidR="008D4979" w:rsidRPr="00F84ED0" w:rsidRDefault="008D4979" w:rsidP="008D4979">
            <w:pPr>
              <w:tabs>
                <w:tab w:val="center" w:pos="4680"/>
              </w:tabs>
              <w:suppressAutoHyphens/>
              <w:contextualSpacing/>
              <w:rPr>
                <w:spacing w:val="-2"/>
              </w:rPr>
            </w:pPr>
          </w:p>
          <w:p w:rsidR="008D4979" w:rsidRPr="00F84ED0" w:rsidRDefault="008D4979" w:rsidP="008D4979">
            <w:pPr>
              <w:tabs>
                <w:tab w:val="center" w:pos="4680"/>
              </w:tabs>
              <w:suppressAutoHyphens/>
              <w:contextualSpacing/>
              <w:rPr>
                <w:spacing w:val="-2"/>
              </w:rPr>
            </w:pPr>
            <w:r w:rsidRPr="00F84ED0">
              <w:rPr>
                <w:spacing w:val="-2"/>
              </w:rPr>
              <w:t>Developing a Unified Intercarrier Compensation Regime</w:t>
            </w:r>
          </w:p>
          <w:p w:rsidR="008D4979" w:rsidRPr="00F84ED0" w:rsidRDefault="008D4979" w:rsidP="008D4979">
            <w:pPr>
              <w:tabs>
                <w:tab w:val="center" w:pos="4680"/>
              </w:tabs>
              <w:suppressAutoHyphens/>
              <w:contextualSpacing/>
              <w:rPr>
                <w:spacing w:val="-2"/>
              </w:rPr>
            </w:pPr>
          </w:p>
          <w:p w:rsidR="008D4979" w:rsidRPr="00F84ED0" w:rsidRDefault="008D4979" w:rsidP="008D4979">
            <w:pPr>
              <w:tabs>
                <w:tab w:val="center" w:pos="4680"/>
              </w:tabs>
              <w:suppressAutoHyphens/>
              <w:contextualSpacing/>
              <w:rPr>
                <w:spacing w:val="-2"/>
              </w:rPr>
            </w:pPr>
            <w:r w:rsidRPr="00F84ED0">
              <w:rPr>
                <w:spacing w:val="-2"/>
              </w:rPr>
              <w:t>Petitions for Waiver of Section 51.917(b)(7) of the Commission’s Rules</w:t>
            </w:r>
          </w:p>
        </w:tc>
        <w:tc>
          <w:tcPr>
            <w:tcW w:w="630" w:type="dxa"/>
          </w:tcPr>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b/>
                <w:spacing w:val="-2"/>
              </w:rPr>
            </w:pPr>
            <w:r w:rsidRPr="00F84ED0">
              <w:rPr>
                <w:b/>
                <w:spacing w:val="-2"/>
              </w:rPr>
              <w:t>)</w:t>
            </w:r>
          </w:p>
          <w:p w:rsidR="008D4979" w:rsidRPr="00F84ED0" w:rsidRDefault="008D4979" w:rsidP="008D4979">
            <w:pPr>
              <w:tabs>
                <w:tab w:val="center" w:pos="4680"/>
              </w:tabs>
              <w:suppressAutoHyphens/>
              <w:contextualSpacing/>
              <w:rPr>
                <w:spacing w:val="-2"/>
              </w:rPr>
            </w:pPr>
            <w:r w:rsidRPr="00F84ED0">
              <w:rPr>
                <w:b/>
                <w:spacing w:val="-2"/>
              </w:rPr>
              <w:t>)</w:t>
            </w:r>
          </w:p>
        </w:tc>
        <w:tc>
          <w:tcPr>
            <w:tcW w:w="4248" w:type="dxa"/>
          </w:tcPr>
          <w:p w:rsidR="008D4979" w:rsidRPr="00F84ED0" w:rsidRDefault="008D4979" w:rsidP="008D4979">
            <w:pPr>
              <w:tabs>
                <w:tab w:val="center" w:pos="4680"/>
              </w:tabs>
              <w:suppressAutoHyphens/>
              <w:contextualSpacing/>
              <w:rPr>
                <w:spacing w:val="-2"/>
              </w:rPr>
            </w:pPr>
          </w:p>
          <w:p w:rsidR="008D4979" w:rsidRPr="00F84ED0" w:rsidRDefault="008D4979" w:rsidP="008D4979">
            <w:pPr>
              <w:pStyle w:val="TOAHeading"/>
              <w:tabs>
                <w:tab w:val="clear" w:pos="9360"/>
                <w:tab w:val="center" w:pos="4680"/>
              </w:tabs>
              <w:contextualSpacing/>
              <w:rPr>
                <w:spacing w:val="-2"/>
              </w:rPr>
            </w:pPr>
          </w:p>
          <w:p w:rsidR="008D4979" w:rsidRPr="00F84ED0" w:rsidRDefault="008D4979" w:rsidP="008D4979">
            <w:pPr>
              <w:tabs>
                <w:tab w:val="center" w:pos="4680"/>
              </w:tabs>
              <w:suppressAutoHyphens/>
              <w:contextualSpacing/>
              <w:rPr>
                <w:spacing w:val="-2"/>
              </w:rPr>
            </w:pPr>
            <w:r w:rsidRPr="00F84ED0">
              <w:rPr>
                <w:spacing w:val="-2"/>
              </w:rPr>
              <w:t>WC Docket No. 10-90</w:t>
            </w:r>
          </w:p>
          <w:p w:rsidR="008D4979" w:rsidRPr="00F84ED0" w:rsidRDefault="008D4979" w:rsidP="008D4979">
            <w:pPr>
              <w:tabs>
                <w:tab w:val="center" w:pos="4680"/>
              </w:tabs>
              <w:suppressAutoHyphens/>
              <w:contextualSpacing/>
              <w:rPr>
                <w:spacing w:val="-2"/>
              </w:rPr>
            </w:pPr>
          </w:p>
          <w:p w:rsidR="008D4979" w:rsidRPr="00F84ED0" w:rsidRDefault="008D4979" w:rsidP="008D4979">
            <w:pPr>
              <w:tabs>
                <w:tab w:val="center" w:pos="4680"/>
              </w:tabs>
              <w:suppressAutoHyphens/>
              <w:contextualSpacing/>
              <w:rPr>
                <w:spacing w:val="-2"/>
              </w:rPr>
            </w:pPr>
            <w:r w:rsidRPr="00F84ED0">
              <w:rPr>
                <w:spacing w:val="-2"/>
              </w:rPr>
              <w:t>CC Docket No. 01-92</w:t>
            </w:r>
          </w:p>
        </w:tc>
      </w:tr>
    </w:tbl>
    <w:p w:rsidR="008D4979" w:rsidRDefault="008D4979" w:rsidP="008D4979">
      <w:pPr>
        <w:contextualSpacing/>
      </w:pPr>
    </w:p>
    <w:p w:rsidR="008156F7" w:rsidRPr="00F84ED0" w:rsidRDefault="008156F7" w:rsidP="008D4979">
      <w:pPr>
        <w:contextualSpacing/>
      </w:pPr>
    </w:p>
    <w:p w:rsidR="008D4979" w:rsidRPr="00F84ED0" w:rsidRDefault="008D4979" w:rsidP="008D4979">
      <w:pPr>
        <w:pStyle w:val="StyleBoldCentered"/>
        <w:contextualSpacing/>
        <w:rPr>
          <w:rFonts w:ascii="Times New Roman" w:hAnsi="Times New Roman"/>
        </w:rPr>
      </w:pPr>
      <w:r w:rsidRPr="00F84ED0">
        <w:rPr>
          <w:rFonts w:ascii="Times New Roman" w:hAnsi="Times New Roman"/>
        </w:rPr>
        <w:t>Order</w:t>
      </w:r>
    </w:p>
    <w:p w:rsidR="008D4979" w:rsidRPr="00F84ED0" w:rsidRDefault="008D4979" w:rsidP="008D4979">
      <w:pPr>
        <w:tabs>
          <w:tab w:val="left" w:pos="-720"/>
        </w:tabs>
        <w:suppressAutoHyphens/>
        <w:contextualSpacing/>
        <w:rPr>
          <w:spacing w:val="-2"/>
        </w:rPr>
      </w:pPr>
    </w:p>
    <w:p w:rsidR="008D4979" w:rsidRPr="00F84ED0" w:rsidRDefault="008D4979" w:rsidP="008D4979">
      <w:pPr>
        <w:tabs>
          <w:tab w:val="left" w:pos="720"/>
          <w:tab w:val="right" w:pos="9360"/>
        </w:tabs>
        <w:suppressAutoHyphens/>
        <w:contextualSpacing/>
        <w:rPr>
          <w:spacing w:val="-2"/>
        </w:rPr>
      </w:pPr>
      <w:r w:rsidRPr="00F84ED0">
        <w:rPr>
          <w:b/>
          <w:spacing w:val="-2"/>
        </w:rPr>
        <w:t xml:space="preserve">Adopted:  </w:t>
      </w:r>
      <w:r w:rsidR="0076640D">
        <w:rPr>
          <w:b/>
          <w:spacing w:val="-2"/>
        </w:rPr>
        <w:t>August 7</w:t>
      </w:r>
      <w:r w:rsidRPr="00F84ED0">
        <w:rPr>
          <w:b/>
          <w:spacing w:val="-2"/>
        </w:rPr>
        <w:t>, 2014</w:t>
      </w:r>
      <w:r w:rsidRPr="00F84ED0">
        <w:rPr>
          <w:b/>
          <w:spacing w:val="-2"/>
        </w:rPr>
        <w:tab/>
        <w:t xml:space="preserve">Released:  </w:t>
      </w:r>
      <w:r w:rsidR="0022391C">
        <w:rPr>
          <w:b/>
          <w:spacing w:val="-2"/>
        </w:rPr>
        <w:t>August 7</w:t>
      </w:r>
      <w:r w:rsidRPr="00F84ED0">
        <w:rPr>
          <w:b/>
          <w:spacing w:val="-2"/>
        </w:rPr>
        <w:t>, 2014</w:t>
      </w:r>
    </w:p>
    <w:p w:rsidR="008D4979" w:rsidRPr="00F84ED0" w:rsidRDefault="008D4979" w:rsidP="008D4979">
      <w:pPr>
        <w:contextualSpacing/>
      </w:pPr>
    </w:p>
    <w:p w:rsidR="008D4979" w:rsidRPr="00F84ED0" w:rsidRDefault="008D4979" w:rsidP="008D4979">
      <w:pPr>
        <w:contextualSpacing/>
      </w:pPr>
      <w:r w:rsidRPr="00F84ED0">
        <w:t>By the Commission</w:t>
      </w:r>
      <w:r w:rsidR="00755D2E">
        <w:t>:</w:t>
      </w:r>
      <w:r w:rsidR="00670607">
        <w:t xml:space="preserve">  Commissioners Clyburn and O’Rielly issuing a </w:t>
      </w:r>
      <w:r w:rsidR="00D75697">
        <w:t>joint</w:t>
      </w:r>
      <w:r w:rsidR="00670607">
        <w:t xml:space="preserve"> statement.</w:t>
      </w:r>
    </w:p>
    <w:p w:rsidR="008D4979" w:rsidRPr="00F84ED0" w:rsidRDefault="008D4979" w:rsidP="008D4979">
      <w:pPr>
        <w:contextualSpacing/>
      </w:pPr>
    </w:p>
    <w:p w:rsidR="008D4979" w:rsidRPr="00093019" w:rsidRDefault="008D4979" w:rsidP="00093019">
      <w:pPr>
        <w:pStyle w:val="Heading1"/>
      </w:pPr>
      <w:r w:rsidRPr="00093019">
        <w:t>Introduction</w:t>
      </w:r>
    </w:p>
    <w:p w:rsidR="00142312" w:rsidRDefault="00760343" w:rsidP="008C5CF1">
      <w:pPr>
        <w:pStyle w:val="ParaNum"/>
      </w:pPr>
      <w:r w:rsidRPr="00F84ED0">
        <w:t xml:space="preserve">In the </w:t>
      </w:r>
      <w:r w:rsidRPr="00F84ED0">
        <w:rPr>
          <w:i/>
        </w:rPr>
        <w:t>Transformation Order</w:t>
      </w:r>
      <w:r w:rsidRPr="00F84ED0">
        <w:t>, the Commission comprehensively reformed the</w:t>
      </w:r>
      <w:r w:rsidR="006F6283">
        <w:t xml:space="preserve"> intercarrier compensation</w:t>
      </w:r>
      <w:r w:rsidRPr="00F84ED0">
        <w:t xml:space="preserve"> </w:t>
      </w:r>
      <w:r w:rsidR="006F6283">
        <w:t>(</w:t>
      </w:r>
      <w:r w:rsidRPr="00F84ED0">
        <w:t>ICC</w:t>
      </w:r>
      <w:r w:rsidR="006F6283">
        <w:t>)</w:t>
      </w:r>
      <w:r w:rsidRPr="00F84ED0">
        <w:t xml:space="preserve"> system</w:t>
      </w:r>
      <w:r w:rsidR="00B90348" w:rsidRPr="00B90348">
        <w:t xml:space="preserve"> </w:t>
      </w:r>
      <w:r w:rsidR="00B90348">
        <w:t xml:space="preserve">to provide more predictability to regulated carriers than existed under the </w:t>
      </w:r>
      <w:r w:rsidR="00B90348" w:rsidRPr="00DD6027">
        <w:rPr>
          <w:i/>
        </w:rPr>
        <w:t>status quo</w:t>
      </w:r>
      <w:r w:rsidRPr="00F84ED0">
        <w:t>.</w:t>
      </w:r>
      <w:r w:rsidRPr="00F84ED0">
        <w:rPr>
          <w:rStyle w:val="FootnoteReference"/>
        </w:rPr>
        <w:footnoteReference w:id="2"/>
      </w:r>
      <w:r w:rsidRPr="00F84ED0">
        <w:t xml:space="preserve">  In particular, the Commission adopted bill-and-keep as the default methodology for all ICC charges</w:t>
      </w:r>
      <w:r>
        <w:t>,</w:t>
      </w:r>
      <w:r w:rsidRPr="00F84ED0">
        <w:t xml:space="preserve"> and </w:t>
      </w:r>
      <w:r>
        <w:t>established</w:t>
      </w:r>
      <w:r w:rsidRPr="00F84ED0">
        <w:t xml:space="preserve"> a trans</w:t>
      </w:r>
      <w:r w:rsidR="00EB7F48">
        <w:t xml:space="preserve">ition path to move ICC charges to such </w:t>
      </w:r>
      <w:r w:rsidR="001E19B0">
        <w:t xml:space="preserve">a </w:t>
      </w:r>
      <w:r w:rsidR="00EB7F48">
        <w:t>methodology</w:t>
      </w:r>
      <w:r w:rsidRPr="00F84ED0">
        <w:t>.</w:t>
      </w:r>
      <w:r w:rsidRPr="00F84ED0">
        <w:rPr>
          <w:rStyle w:val="FootnoteReference"/>
        </w:rPr>
        <w:footnoteReference w:id="3"/>
      </w:r>
      <w:r w:rsidRPr="00F84ED0">
        <w:t xml:space="preserve">  The Commission also adopted a</w:t>
      </w:r>
      <w:r>
        <w:t xml:space="preserve"> </w:t>
      </w:r>
      <w:r w:rsidRPr="00F84ED0">
        <w:t xml:space="preserve">recovery mechanism to partially mitigate revenue reductions that </w:t>
      </w:r>
      <w:r w:rsidR="005A3CA8">
        <w:t xml:space="preserve">incumbent </w:t>
      </w:r>
      <w:r w:rsidRPr="00F84ED0">
        <w:t>local exchange carriers (LECs) would experience as a result of these ICC reform measures.</w:t>
      </w:r>
      <w:r w:rsidRPr="00F84ED0">
        <w:rPr>
          <w:rStyle w:val="FootnoteReference"/>
        </w:rPr>
        <w:footnoteReference w:id="4"/>
      </w:r>
      <w:r>
        <w:t xml:space="preserve">  </w:t>
      </w:r>
      <w:r w:rsidR="00783A62">
        <w:t>At the same time, the Commission recogn</w:t>
      </w:r>
      <w:r w:rsidR="008C3167">
        <w:t>ized the need</w:t>
      </w:r>
      <w:r w:rsidR="00083946">
        <w:t xml:space="preserve"> to</w:t>
      </w:r>
      <w:r w:rsidR="008C3167">
        <w:t xml:space="preserve"> limit the burdens</w:t>
      </w:r>
      <w:r>
        <w:t xml:space="preserve"> such recovery</w:t>
      </w:r>
      <w:r w:rsidR="008C3167">
        <w:t xml:space="preserve"> might impose on end-user customers and universal service contributors.</w:t>
      </w:r>
      <w:r>
        <w:rPr>
          <w:rStyle w:val="FootnoteReference"/>
        </w:rPr>
        <w:footnoteReference w:id="5"/>
      </w:r>
      <w:r w:rsidR="008C3167">
        <w:t xml:space="preserve"> </w:t>
      </w:r>
      <w:r>
        <w:t xml:space="preserve"> </w:t>
      </w:r>
      <w:r w:rsidR="008C3167">
        <w:t>Accordingly, the Commission designed the recovery mechanism and associated rules to recognize carrier</w:t>
      </w:r>
      <w:r>
        <w:t xml:space="preserve"> reliance on </w:t>
      </w:r>
      <w:r w:rsidR="001E19B0">
        <w:t>ICC</w:t>
      </w:r>
      <w:r>
        <w:t xml:space="preserve"> revenues</w:t>
      </w:r>
      <w:r w:rsidR="00083946">
        <w:t>,</w:t>
      </w:r>
      <w:r>
        <w:t xml:space="preserve"> but limit recovery in a reasonable manner consistent with the Commission’s goals.</w:t>
      </w:r>
    </w:p>
    <w:p w:rsidR="00111583" w:rsidRPr="00F84ED0" w:rsidRDefault="00760343" w:rsidP="00093019">
      <w:pPr>
        <w:pStyle w:val="ParaNum"/>
        <w:widowControl/>
      </w:pPr>
      <w:r w:rsidRPr="00F84ED0">
        <w:t xml:space="preserve">In this Order, we grant in </w:t>
      </w:r>
      <w:r w:rsidR="00EB7F48">
        <w:t>part, subject to identified</w:t>
      </w:r>
      <w:r w:rsidRPr="00F84ED0">
        <w:t xml:space="preserve"> conditions, two petitions seeking waiver of certain </w:t>
      </w:r>
      <w:r>
        <w:t xml:space="preserve">recovery </w:t>
      </w:r>
      <w:r w:rsidR="009C7240">
        <w:t xml:space="preserve">rules.  </w:t>
      </w:r>
      <w:r w:rsidR="00FD2731">
        <w:t>T</w:t>
      </w:r>
      <w:r w:rsidR="005C17C9">
        <w:t>hese waivers would allow</w:t>
      </w:r>
      <w:r w:rsidR="00FD2731">
        <w:t xml:space="preserve"> the requesting carriers</w:t>
      </w:r>
      <w:r w:rsidR="005C17C9">
        <w:t xml:space="preserve"> </w:t>
      </w:r>
      <w:r w:rsidR="008D4979" w:rsidRPr="00F84ED0">
        <w:t>to</w:t>
      </w:r>
      <w:r w:rsidR="009C7240">
        <w:t xml:space="preserve"> include</w:t>
      </w:r>
      <w:r w:rsidR="00083946">
        <w:t xml:space="preserve"> in their recovery calculations</w:t>
      </w:r>
      <w:r w:rsidR="009C7240">
        <w:t xml:space="preserve"> </w:t>
      </w:r>
      <w:r w:rsidR="00B90348">
        <w:t>funds</w:t>
      </w:r>
      <w:r w:rsidR="00EB7F48">
        <w:t xml:space="preserve"> they were unable to collect from a carrier customer due to </w:t>
      </w:r>
      <w:r w:rsidR="00FD2731">
        <w:t>an access avoidance scheme</w:t>
      </w:r>
      <w:r w:rsidR="009C7240">
        <w:t xml:space="preserve"> </w:t>
      </w:r>
      <w:r w:rsidR="00FD2731">
        <w:t>and subsequent bankruptcy.</w:t>
      </w:r>
      <w:r w:rsidR="00FD2731" w:rsidRPr="00FD2731">
        <w:t xml:space="preserve"> </w:t>
      </w:r>
      <w:r w:rsidR="00FD2731">
        <w:t xml:space="preserve"> We believe that incumbent LECs, upon a showing of good cause, should be p</w:t>
      </w:r>
      <w:r w:rsidR="0046176A">
        <w:t>ermitted to include in their recovery</w:t>
      </w:r>
      <w:r w:rsidR="00FD2731">
        <w:t xml:space="preserve"> calculations revenues associated with traffic eligible for compensation that was terminated during FY 2011</w:t>
      </w:r>
      <w:r w:rsidR="00421516">
        <w:rPr>
          <w:rStyle w:val="FootnoteReference"/>
        </w:rPr>
        <w:footnoteReference w:id="6"/>
      </w:r>
      <w:r w:rsidR="00FD2731">
        <w:t xml:space="preserve"> </w:t>
      </w:r>
      <w:r w:rsidR="00FD2731" w:rsidRPr="00D81091">
        <w:t>and that otherwise meets the criteria spelled out in our revenue recovery rules</w:t>
      </w:r>
      <w:r w:rsidR="00FD2731">
        <w:t>.  Incl</w:t>
      </w:r>
      <w:r w:rsidR="00DD6027">
        <w:t>uding such revenue conforms to</w:t>
      </w:r>
      <w:r w:rsidR="00FD2731">
        <w:t xml:space="preserve"> the policies underlying the recovery mechanism,</w:t>
      </w:r>
      <w:r w:rsidR="00FD2731" w:rsidDel="00737DE0">
        <w:t xml:space="preserve"> </w:t>
      </w:r>
      <w:r w:rsidR="00FD2731">
        <w:t>and excluding them would undermine those policies.</w:t>
      </w:r>
      <w:bookmarkStart w:id="1" w:name="OLE_LINK1"/>
      <w:bookmarkStart w:id="2" w:name="OLE_LINK2"/>
    </w:p>
    <w:bookmarkEnd w:id="1"/>
    <w:bookmarkEnd w:id="2"/>
    <w:p w:rsidR="00616C81" w:rsidRDefault="008D4979" w:rsidP="00DD6027">
      <w:pPr>
        <w:pStyle w:val="ParaNum"/>
      </w:pPr>
      <w:r w:rsidRPr="00F84ED0">
        <w:lastRenderedPageBreak/>
        <w:t xml:space="preserve">As explained in more detail below, </w:t>
      </w:r>
      <w:r w:rsidR="00421516">
        <w:t xml:space="preserve">the petitions </w:t>
      </w:r>
      <w:r w:rsidRPr="00F84ED0">
        <w:t xml:space="preserve">seek waiver of certain rules implementing the recovery mechanism </w:t>
      </w:r>
      <w:r w:rsidR="005C17C9">
        <w:t>so that the</w:t>
      </w:r>
      <w:r w:rsidR="00DD6027">
        <w:t xml:space="preserve"> requesting </w:t>
      </w:r>
      <w:r w:rsidR="00421516">
        <w:t>incumbent LECs</w:t>
      </w:r>
      <w:r w:rsidR="005C17C9">
        <w:t xml:space="preserve"> would be able to</w:t>
      </w:r>
      <w:r w:rsidRPr="00F84ED0">
        <w:t xml:space="preserve"> include additional revenue in their ICC </w:t>
      </w:r>
      <w:r w:rsidR="00FD2731" w:rsidRPr="00F84ED0">
        <w:t>Base Period Revenue (BPR</w:t>
      </w:r>
      <w:r w:rsidR="00D5723C">
        <w:t>, or baseline</w:t>
      </w:r>
      <w:r w:rsidR="00FD2731" w:rsidRPr="00F84ED0">
        <w:t>)</w:t>
      </w:r>
      <w:r w:rsidR="00FD2731">
        <w:t xml:space="preserve"> amounts</w:t>
      </w:r>
      <w:r w:rsidR="00FD2731" w:rsidRPr="00F84ED0">
        <w:t>.</w:t>
      </w:r>
      <w:r w:rsidR="00FD2731" w:rsidRPr="00F84ED0">
        <w:rPr>
          <w:rStyle w:val="FootnoteReference"/>
        </w:rPr>
        <w:footnoteReference w:id="7"/>
      </w:r>
      <w:r w:rsidR="00FD2731" w:rsidRPr="00FD2731">
        <w:t xml:space="preserve"> </w:t>
      </w:r>
      <w:r w:rsidR="00DD6027">
        <w:t xml:space="preserve"> </w:t>
      </w:r>
      <w:r w:rsidR="00FD2731" w:rsidRPr="00F84ED0">
        <w:t>One petition was filed by TDS Telecommunications Corp. (TDS Telecom)</w:t>
      </w:r>
      <w:r w:rsidR="00FD2731">
        <w:t>,</w:t>
      </w:r>
      <w:r w:rsidR="00FD2731" w:rsidRPr="00F84ED0">
        <w:t xml:space="preserve"> seeking to add $560,402 to its BPR</w:t>
      </w:r>
      <w:r w:rsidR="00FD2731">
        <w:t xml:space="preserve"> calculations</w:t>
      </w:r>
      <w:r w:rsidR="00FD2731" w:rsidRPr="00F84ED0">
        <w:t>.</w:t>
      </w:r>
      <w:r w:rsidR="00FD2731" w:rsidRPr="00F84ED0">
        <w:rPr>
          <w:rStyle w:val="FootnoteReference"/>
          <w:sz w:val="22"/>
        </w:rPr>
        <w:t xml:space="preserve"> </w:t>
      </w:r>
      <w:r w:rsidR="00FD2731" w:rsidRPr="00F84ED0">
        <w:rPr>
          <w:rStyle w:val="FootnoteReference"/>
          <w:sz w:val="22"/>
        </w:rPr>
        <w:footnoteReference w:id="8"/>
      </w:r>
      <w:r w:rsidRPr="00F84ED0">
        <w:t xml:space="preserve">  Specifically, </w:t>
      </w:r>
      <w:r w:rsidR="00D81091">
        <w:t>TDS Telecom</w:t>
      </w:r>
      <w:r w:rsidRPr="00F84ED0">
        <w:t xml:space="preserve"> request</w:t>
      </w:r>
      <w:r w:rsidR="00D81091">
        <w:t>s</w:t>
      </w:r>
      <w:r w:rsidRPr="00F84ED0">
        <w:t xml:space="preserve"> </w:t>
      </w:r>
      <w:r>
        <w:t xml:space="preserve">a </w:t>
      </w:r>
      <w:r w:rsidRPr="00F84ED0">
        <w:t xml:space="preserve">waiver that would permit </w:t>
      </w:r>
      <w:r w:rsidR="00D81091">
        <w:t xml:space="preserve">it </w:t>
      </w:r>
      <w:r w:rsidRPr="00F84ED0">
        <w:t xml:space="preserve">“to include within </w:t>
      </w:r>
      <w:r w:rsidR="00083946">
        <w:t>[its</w:t>
      </w:r>
      <w:r w:rsidR="005C17C9">
        <w:t>]</w:t>
      </w:r>
      <w:r w:rsidRPr="00F84ED0">
        <w:t xml:space="preserve"> Base Period Revenues unpaid amounts billed to Halo Wireless, Inc. (Halo), for intrastate usage during Fiscal Year 2011.”</w:t>
      </w:r>
      <w:r w:rsidRPr="00F84ED0">
        <w:rPr>
          <w:rStyle w:val="FootnoteReference"/>
          <w:sz w:val="22"/>
        </w:rPr>
        <w:footnoteReference w:id="9"/>
      </w:r>
      <w:r w:rsidRPr="00F84ED0">
        <w:t xml:space="preserve">  </w:t>
      </w:r>
      <w:r w:rsidR="00FD2731" w:rsidRPr="00F84ED0">
        <w:t xml:space="preserve">The other petition was filed jointly by Cimarron Telephone Company, L.L.C., Cross Telephone Company, L.L.C., and The Pottawatomie Telephone Co., L.L.C. (Cimarron </w:t>
      </w:r>
      <w:r w:rsidR="00FD2731" w:rsidRPr="00067498">
        <w:t>et al.</w:t>
      </w:r>
      <w:r w:rsidR="00FD2731" w:rsidRPr="00F84ED0">
        <w:t>) (collectively</w:t>
      </w:r>
      <w:r w:rsidR="00FD2731">
        <w:t xml:space="preserve"> with TDS Telecom, the</w:t>
      </w:r>
      <w:r w:rsidR="00FD2731" w:rsidRPr="00F84ED0">
        <w:t xml:space="preserve"> Petitioners)</w:t>
      </w:r>
      <w:r w:rsidR="00B90348">
        <w:t>,</w:t>
      </w:r>
      <w:r w:rsidR="00FD2731" w:rsidRPr="00F84ED0">
        <w:t xml:space="preserve"> seeking to add</w:t>
      </w:r>
      <w:r w:rsidR="00EB7F48">
        <w:t xml:space="preserve"> a total of </w:t>
      </w:r>
      <w:r w:rsidR="00FD2731" w:rsidRPr="00F84ED0">
        <w:t>$245,987 to their BPR calculations.</w:t>
      </w:r>
      <w:r w:rsidR="00FD2731" w:rsidRPr="00F84ED0">
        <w:rPr>
          <w:rStyle w:val="FootnoteReference"/>
          <w:sz w:val="22"/>
        </w:rPr>
        <w:footnoteReference w:id="10"/>
      </w:r>
      <w:r w:rsidR="00FD2731">
        <w:t xml:space="preserve">  </w:t>
      </w:r>
      <w:r w:rsidRPr="00F84ED0">
        <w:t>Petitioners claim that they were unable to include revenues from intrastate access charges billed to Halo for service provided during FY 2011 because Halo initial</w:t>
      </w:r>
      <w:r w:rsidR="00DD6027">
        <w:t>ly</w:t>
      </w:r>
      <w:r w:rsidR="00D81091">
        <w:t xml:space="preserve"> and wrongly</w:t>
      </w:r>
      <w:r w:rsidR="005C17C9">
        <w:t xml:space="preserve"> </w:t>
      </w:r>
      <w:r w:rsidRPr="00F84ED0">
        <w:t>refus</w:t>
      </w:r>
      <w:r w:rsidR="005C17C9">
        <w:t>ed</w:t>
      </w:r>
      <w:r w:rsidRPr="00F84ED0">
        <w:t xml:space="preserve"> to pay</w:t>
      </w:r>
      <w:r w:rsidR="005C17C9">
        <w:t xml:space="preserve"> for the </w:t>
      </w:r>
      <w:r w:rsidR="003F0851">
        <w:t xml:space="preserve">access </w:t>
      </w:r>
      <w:r w:rsidR="005C17C9">
        <w:t>services provided</w:t>
      </w:r>
      <w:r w:rsidRPr="00F84ED0">
        <w:t xml:space="preserve">, and </w:t>
      </w:r>
      <w:r w:rsidR="005C17C9">
        <w:t>Halo’s</w:t>
      </w:r>
      <w:r w:rsidR="00E85EA1">
        <w:t xml:space="preserve"> </w:t>
      </w:r>
      <w:r w:rsidRPr="00F84ED0">
        <w:t xml:space="preserve">subsequent bankruptcy </w:t>
      </w:r>
      <w:r w:rsidR="005C17C9">
        <w:t>likely</w:t>
      </w:r>
      <w:r w:rsidR="00E85EA1">
        <w:t xml:space="preserve"> </w:t>
      </w:r>
      <w:r w:rsidRPr="00F84ED0">
        <w:t xml:space="preserve">will preclude </w:t>
      </w:r>
      <w:r w:rsidR="005C17C9">
        <w:t>Petitioners</w:t>
      </w:r>
      <w:r w:rsidRPr="00F84ED0">
        <w:t xml:space="preserve"> from ever receiving payment </w:t>
      </w:r>
      <w:r w:rsidR="00EB7F48">
        <w:t>for such</w:t>
      </w:r>
      <w:r w:rsidR="003F0851">
        <w:t xml:space="preserve"> </w:t>
      </w:r>
      <w:r w:rsidR="00EB7F48">
        <w:t>services</w:t>
      </w:r>
      <w:r w:rsidRPr="00F84ED0">
        <w:t>.</w:t>
      </w:r>
      <w:r w:rsidRPr="00F84ED0">
        <w:rPr>
          <w:rStyle w:val="FootnoteReference"/>
        </w:rPr>
        <w:footnoteReference w:id="11"/>
      </w:r>
    </w:p>
    <w:p w:rsidR="008D4979" w:rsidRPr="00F84ED0" w:rsidRDefault="00616C81" w:rsidP="008D4979">
      <w:pPr>
        <w:pStyle w:val="ParaNum"/>
      </w:pPr>
      <w:r>
        <w:t>F</w:t>
      </w:r>
      <w:r w:rsidR="008D4979">
        <w:t xml:space="preserve">or </w:t>
      </w:r>
      <w:r>
        <w:t xml:space="preserve">the </w:t>
      </w:r>
      <w:r w:rsidR="008D4979">
        <w:t>reasons discussed below, we believe that Petitioners have demonstrated good cause for waiver to allow them to add to their BPR</w:t>
      </w:r>
      <w:r w:rsidR="00D933E3">
        <w:t>s</w:t>
      </w:r>
      <w:r w:rsidR="008D4979">
        <w:t xml:space="preserve"> amounts reflecting intrastate access service provided to Halo during FY 2011, and billed to, but not collected from</w:t>
      </w:r>
      <w:r w:rsidR="00D933E3">
        <w:t>,</w:t>
      </w:r>
      <w:r w:rsidR="008D4979">
        <w:t xml:space="preserve"> Halo.  </w:t>
      </w:r>
      <w:r w:rsidR="00777F4E">
        <w:t>Absent such waiver</w:t>
      </w:r>
      <w:r w:rsidR="00E37AD8">
        <w:t>s</w:t>
      </w:r>
      <w:r w:rsidR="00777F4E">
        <w:t>, t</w:t>
      </w:r>
      <w:r w:rsidR="008D4979" w:rsidRPr="00F84ED0">
        <w:t xml:space="preserve">he unique combination of Halo’s alleged “re-origination” of </w:t>
      </w:r>
      <w:r w:rsidR="008D4979">
        <w:t>i</w:t>
      </w:r>
      <w:r w:rsidR="008D4979" w:rsidRPr="00F84ED0">
        <w:t>ntrastate access traffic as CMRS-originated traffic, Halo’s refusal to pay access charges for that traffic</w:t>
      </w:r>
      <w:r w:rsidR="00357A3B">
        <w:t>,</w:t>
      </w:r>
      <w:r w:rsidR="008D4979" w:rsidRPr="00F84ED0">
        <w:t xml:space="preserve"> and </w:t>
      </w:r>
      <w:r w:rsidR="00E37AD8">
        <w:t xml:space="preserve">Halo’s </w:t>
      </w:r>
      <w:r w:rsidR="008D4979" w:rsidRPr="00F84ED0">
        <w:t xml:space="preserve">subsequent bankruptcy and corporate liquidation </w:t>
      </w:r>
      <w:r w:rsidR="008D4979">
        <w:t xml:space="preserve">would </w:t>
      </w:r>
      <w:r w:rsidR="008D4979" w:rsidRPr="00F84ED0">
        <w:t>result in significant reductions to Petitioners’ ICC recovery mechanism revenues.</w:t>
      </w:r>
      <w:r w:rsidR="008D4979">
        <w:rPr>
          <w:rStyle w:val="FootnoteReference"/>
        </w:rPr>
        <w:footnoteReference w:id="12"/>
      </w:r>
      <w:r w:rsidR="008D4979" w:rsidRPr="00F84ED0">
        <w:t xml:space="preserve">  Further, as described below, this impact</w:t>
      </w:r>
      <w:r w:rsidR="00C93DAF">
        <w:t xml:space="preserve"> on recovery amounts</w:t>
      </w:r>
      <w:r w:rsidR="008D4979" w:rsidRPr="00F84ED0">
        <w:t xml:space="preserve"> </w:t>
      </w:r>
      <w:r w:rsidR="003A7A2A">
        <w:t xml:space="preserve">would </w:t>
      </w:r>
      <w:r w:rsidR="00C93DAF">
        <w:t>continue</w:t>
      </w:r>
      <w:r w:rsidR="008D4979">
        <w:t xml:space="preserve"> </w:t>
      </w:r>
      <w:r w:rsidR="008D4979" w:rsidRPr="00F84ED0">
        <w:t>far into the future</w:t>
      </w:r>
      <w:r>
        <w:t xml:space="preserve">, such that Petitioners </w:t>
      </w:r>
      <w:r w:rsidR="00C4795A">
        <w:t>would suffer ongoing</w:t>
      </w:r>
      <w:r>
        <w:t xml:space="preserve"> harm because of Halo’s behavior</w:t>
      </w:r>
      <w:r w:rsidR="00E37AD8">
        <w:t>,</w:t>
      </w:r>
      <w:r>
        <w:t xml:space="preserve"> without some form of Commission action</w:t>
      </w:r>
      <w:r w:rsidR="008D4979" w:rsidRPr="00F84ED0">
        <w:t>.</w:t>
      </w:r>
      <w:r w:rsidR="008D4979">
        <w:rPr>
          <w:rStyle w:val="FootnoteReference"/>
        </w:rPr>
        <w:footnoteReference w:id="13"/>
      </w:r>
    </w:p>
    <w:p w:rsidR="008D4979" w:rsidRPr="00F84ED0" w:rsidRDefault="00A67652" w:rsidP="008D4979">
      <w:pPr>
        <w:pStyle w:val="ParaNum"/>
      </w:pPr>
      <w:bookmarkStart w:id="3" w:name="_Ref380743293"/>
      <w:r w:rsidRPr="005C4206">
        <w:t xml:space="preserve">We grant Petitioners’ waiver requests subject to the following conditions.  </w:t>
      </w:r>
      <w:r>
        <w:t>P</w:t>
      </w:r>
      <w:r w:rsidRPr="005C4206">
        <w:t xml:space="preserve">rior to implementation of the relief granted in this Order, each </w:t>
      </w:r>
      <w:r w:rsidR="00117723">
        <w:t>p</w:t>
      </w:r>
      <w:r w:rsidR="00117723" w:rsidRPr="005C4206">
        <w:t xml:space="preserve">etitioner </w:t>
      </w:r>
      <w:r w:rsidRPr="005C4206">
        <w:t xml:space="preserve">must certify </w:t>
      </w:r>
      <w:r>
        <w:t>that</w:t>
      </w:r>
      <w:r w:rsidRPr="005C4206">
        <w:t xml:space="preserve">: (1) it terminated </w:t>
      </w:r>
      <w:r>
        <w:t xml:space="preserve">all </w:t>
      </w:r>
      <w:r w:rsidRPr="005C4206">
        <w:t xml:space="preserve">intrastate access traffic sent to </w:t>
      </w:r>
      <w:r w:rsidR="00117723">
        <w:t>it</w:t>
      </w:r>
      <w:r w:rsidR="00117723" w:rsidRPr="005C4206">
        <w:t xml:space="preserve"> </w:t>
      </w:r>
      <w:r w:rsidRPr="005C4206">
        <w:t>by Halo during FY 2011</w:t>
      </w:r>
      <w:r w:rsidR="00117723">
        <w:t xml:space="preserve"> that </w:t>
      </w:r>
      <w:r w:rsidR="00D47EE9">
        <w:t>it seeks to add to its BPR calculations</w:t>
      </w:r>
      <w:r w:rsidRPr="005C4206">
        <w:t xml:space="preserve">; (2) it billed Halo intrastate access charges for such traffic during FY 2011; (3) </w:t>
      </w:r>
      <w:r w:rsidR="00CD4250">
        <w:t xml:space="preserve">a court or regulatory agency </w:t>
      </w:r>
      <w:r w:rsidR="00D75291">
        <w:t xml:space="preserve">of competent jurisdiction </w:t>
      </w:r>
      <w:r w:rsidR="00CD4250">
        <w:t xml:space="preserve">has made a finding of liability regarding the compensation for such traffic; (4) </w:t>
      </w:r>
      <w:r w:rsidRPr="005C4206">
        <w:t>it filed a timely claim in the Halo bankruptcy case requesting compensation for such traffic</w:t>
      </w:r>
      <w:r>
        <w:t>; and (</w:t>
      </w:r>
      <w:r w:rsidR="00CD4250">
        <w:t>5</w:t>
      </w:r>
      <w:r>
        <w:t xml:space="preserve">) it did not </w:t>
      </w:r>
      <w:r w:rsidRPr="005C4206">
        <w:t>includ</w:t>
      </w:r>
      <w:r>
        <w:t xml:space="preserve">e </w:t>
      </w:r>
      <w:r w:rsidRPr="005C4206">
        <w:t xml:space="preserve">in </w:t>
      </w:r>
      <w:r>
        <w:t>its</w:t>
      </w:r>
      <w:r w:rsidRPr="005C4206">
        <w:t xml:space="preserve"> BPR </w:t>
      </w:r>
      <w:r>
        <w:t xml:space="preserve">adjustment amounts </w:t>
      </w:r>
      <w:r w:rsidRPr="005C4206">
        <w:t xml:space="preserve">any interest, late payment fees, collection fees, or attorney fees.  </w:t>
      </w:r>
      <w:r>
        <w:t>In addition</w:t>
      </w:r>
      <w:r w:rsidRPr="005C4206">
        <w:t>, any BPR adjustment for a study area resulting from this Order shall not exceed the intrastate access portion of a Petitioner’s bankruptcy claim for that study area.</w:t>
      </w:r>
      <w:r w:rsidRPr="005C4206">
        <w:rPr>
          <w:rStyle w:val="FootnoteReference"/>
        </w:rPr>
        <w:footnoteReference w:id="14"/>
      </w:r>
      <w:r w:rsidRPr="005C4206">
        <w:t xml:space="preserve">  We emphasize that Petitioners do not seek, and we do not provide, any monetary relief directly related to billing disputes between Petitioners and Halo.</w:t>
      </w:r>
      <w:r w:rsidRPr="005C4206">
        <w:rPr>
          <w:rStyle w:val="FootnoteReference"/>
        </w:rPr>
        <w:footnoteReference w:id="15"/>
      </w:r>
      <w:bookmarkEnd w:id="3"/>
    </w:p>
    <w:p w:rsidR="008D4979" w:rsidRPr="00067498" w:rsidRDefault="008D4979" w:rsidP="00067498">
      <w:pPr>
        <w:pStyle w:val="Heading1"/>
      </w:pPr>
      <w:r w:rsidRPr="00067498">
        <w:t>BACKGROUND</w:t>
      </w:r>
    </w:p>
    <w:p w:rsidR="008D4979" w:rsidRPr="00F84ED0" w:rsidRDefault="008D4979" w:rsidP="008D4979">
      <w:pPr>
        <w:pStyle w:val="Heading2"/>
        <w:contextualSpacing/>
      </w:pPr>
      <w:r w:rsidRPr="00F84ED0">
        <w:t xml:space="preserve">ICC Reform Measures Adopted in the </w:t>
      </w:r>
      <w:r w:rsidRPr="00E5791A">
        <w:rPr>
          <w:i/>
        </w:rPr>
        <w:t>Transformation Order</w:t>
      </w:r>
    </w:p>
    <w:p w:rsidR="008D4979" w:rsidRPr="00F84ED0" w:rsidRDefault="008D4979" w:rsidP="00B50177">
      <w:pPr>
        <w:pStyle w:val="ParaNum"/>
        <w:widowControl/>
      </w:pPr>
      <w:r w:rsidRPr="00F84ED0">
        <w:t xml:space="preserve">In the </w:t>
      </w:r>
      <w:r w:rsidRPr="00C73F31">
        <w:rPr>
          <w:i/>
        </w:rPr>
        <w:t>Transformation</w:t>
      </w:r>
      <w:r w:rsidRPr="00F84ED0">
        <w:rPr>
          <w:i/>
        </w:rPr>
        <w:t xml:space="preserve"> Order</w:t>
      </w:r>
      <w:r w:rsidRPr="00F84ED0">
        <w:t>, the Commission adopted comprehensive ICC reform measures.</w:t>
      </w:r>
      <w:r w:rsidRPr="00F84ED0">
        <w:rPr>
          <w:rStyle w:val="FootnoteReference"/>
          <w:sz w:val="22"/>
        </w:rPr>
        <w:footnoteReference w:id="16"/>
      </w:r>
      <w:r w:rsidRPr="00F84ED0">
        <w:t xml:space="preserve">  These reforms included a transition to reduce certain ICC rates on an annual basis and a recovery mechanism designed to partially offset revenues reduced as a result of th</w:t>
      </w:r>
      <w:r>
        <w:t>e</w:t>
      </w:r>
      <w:r w:rsidRPr="00F84ED0">
        <w:t xml:space="preserve"> rate transition.</w:t>
      </w:r>
      <w:r w:rsidRPr="00F84ED0">
        <w:rPr>
          <w:rStyle w:val="FootnoteReference"/>
          <w:sz w:val="22"/>
        </w:rPr>
        <w:footnoteReference w:id="17"/>
      </w:r>
      <w:r w:rsidR="003F0851">
        <w:t xml:space="preserve">  </w:t>
      </w:r>
      <w:r w:rsidRPr="00F84ED0">
        <w:t>For rate-of-return LECs, the recovery mechanism begins with calculation of BPR</w:t>
      </w:r>
      <w:r w:rsidR="00350958">
        <w:t xml:space="preserve">.  </w:t>
      </w:r>
      <w:r w:rsidRPr="00F84ED0">
        <w:t>BPR is the sum of certain ICC intrastate switched access revenues</w:t>
      </w:r>
      <w:r>
        <w:t xml:space="preserve"> and</w:t>
      </w:r>
      <w:r w:rsidRPr="00F84ED0">
        <w:t xml:space="preserve"> net reciprocal compensation revenues </w:t>
      </w:r>
      <w:r w:rsidR="00AC2FED" w:rsidRPr="00F84ED0">
        <w:t>received by March 31, 2012</w:t>
      </w:r>
      <w:r w:rsidR="00D81091">
        <w:t>,</w:t>
      </w:r>
      <w:r w:rsidR="00AC2FED">
        <w:t xml:space="preserve"> </w:t>
      </w:r>
      <w:r w:rsidRPr="00F84ED0">
        <w:t>for services provided during FY 2011, and the projected revenue requirement for interstate switched access services provided during the 2011-2012 tariff period.</w:t>
      </w:r>
      <w:r w:rsidRPr="00F84ED0">
        <w:rPr>
          <w:rStyle w:val="FootnoteReference"/>
          <w:sz w:val="22"/>
        </w:rPr>
        <w:footnoteReference w:id="18"/>
      </w:r>
      <w:r w:rsidR="00AC2FED">
        <w:t xml:space="preserve">  </w:t>
      </w:r>
      <w:r w:rsidRPr="00F84ED0">
        <w:t xml:space="preserve">BPR is </w:t>
      </w:r>
      <w:r w:rsidR="00AC2FED">
        <w:t xml:space="preserve">then </w:t>
      </w:r>
      <w:r w:rsidRPr="00F84ED0">
        <w:t>reduced by 5% initially and by an additional 5% in each year of the transition.</w:t>
      </w:r>
      <w:r w:rsidR="00AC2FED">
        <w:rPr>
          <w:rStyle w:val="FootnoteReference"/>
        </w:rPr>
        <w:footnoteReference w:id="19"/>
      </w:r>
      <w:r w:rsidR="00AC2FED">
        <w:t xml:space="preserve">  </w:t>
      </w:r>
      <w:r w:rsidRPr="00F84ED0">
        <w:t>The amount a rate-of-return LEC is entitled to recover in each year of the transition is equal to the adjusted BPR for the year in question less, for each relevant year of the ICC transition</w:t>
      </w:r>
      <w:r w:rsidR="0041162A">
        <w:t>, the sum of</w:t>
      </w:r>
      <w:r w:rsidR="00775494">
        <w:t>:</w:t>
      </w:r>
      <w:r w:rsidRPr="00F84ED0">
        <w:t xml:space="preserve"> (1) projected intrastate switched access revenue; (2) projected interstate switched access revenue; and (3) projected net reciprocal compensation revenue.</w:t>
      </w:r>
      <w:r w:rsidRPr="00F84ED0">
        <w:rPr>
          <w:rStyle w:val="FootnoteReference"/>
          <w:sz w:val="22"/>
        </w:rPr>
        <w:footnoteReference w:id="20"/>
      </w:r>
      <w:r w:rsidR="00666806">
        <w:t xml:space="preserve">  This amount, known as Eligible Recovery, is recoverable through </w:t>
      </w:r>
      <w:r w:rsidR="00666806" w:rsidRPr="004D6552">
        <w:t xml:space="preserve">a newly instituted Access Recovery Charge (ARC) assessed on end-users, and, to the extent not recoverable through ARCs, through Connect America Fund ICC </w:t>
      </w:r>
      <w:r w:rsidR="00666806">
        <w:t xml:space="preserve">support </w:t>
      </w:r>
      <w:r w:rsidR="00666806" w:rsidRPr="004D6552">
        <w:t xml:space="preserve">(CAF </w:t>
      </w:r>
      <w:r w:rsidR="00284B2C">
        <w:t xml:space="preserve">ICC </w:t>
      </w:r>
      <w:r w:rsidR="00666806" w:rsidRPr="004D6552">
        <w:t>support</w:t>
      </w:r>
      <w:r w:rsidR="00666806">
        <w:t>).</w:t>
      </w:r>
      <w:r w:rsidR="00666806">
        <w:rPr>
          <w:rStyle w:val="FootnoteReference"/>
        </w:rPr>
        <w:footnoteReference w:id="21"/>
      </w:r>
      <w:r w:rsidR="00A408C0">
        <w:t xml:space="preserve">  Providers receiving CAF ICC support have to comply with certain broadband obligations, which differ if the carrier is a rate</w:t>
      </w:r>
      <w:r w:rsidR="002A7643">
        <w:t>-</w:t>
      </w:r>
      <w:r w:rsidR="00A408C0">
        <w:t>of</w:t>
      </w:r>
      <w:r w:rsidR="002A7643">
        <w:t>-</w:t>
      </w:r>
      <w:r w:rsidR="00A408C0">
        <w:t>return carrier or price cap carrier.</w:t>
      </w:r>
      <w:r w:rsidR="00EA3CA7">
        <w:rPr>
          <w:rStyle w:val="FootnoteReference"/>
        </w:rPr>
        <w:footnoteReference w:id="22"/>
      </w:r>
    </w:p>
    <w:p w:rsidR="008D4979" w:rsidRPr="00F84ED0" w:rsidRDefault="008D4979" w:rsidP="00B50177">
      <w:pPr>
        <w:pStyle w:val="ParaNum"/>
        <w:keepNext/>
        <w:widowControl/>
      </w:pPr>
      <w:r>
        <w:t>A</w:t>
      </w:r>
      <w:r w:rsidRPr="00F84ED0">
        <w:t xml:space="preserve"> rate-of-return LEC’s BPR is calculated only one time, but is used during each step of </w:t>
      </w:r>
      <w:r w:rsidR="0041162A">
        <w:t>the</w:t>
      </w:r>
      <w:r w:rsidR="0041162A" w:rsidRPr="00F84ED0">
        <w:t xml:space="preserve"> </w:t>
      </w:r>
      <w:r w:rsidRPr="00F84ED0">
        <w:t>ICC recovery mechanism calculations for each year of the transition.</w:t>
      </w:r>
      <w:r w:rsidRPr="00F84ED0">
        <w:rPr>
          <w:rStyle w:val="FootnoteReference"/>
        </w:rPr>
        <w:footnoteReference w:id="23"/>
      </w:r>
      <w:r w:rsidRPr="00F84ED0">
        <w:t xml:space="preserve">  Accordingly, accurate BPR calculations are critical to the successful operation of the recovery mechanism.  Rate-of-return LECs calculated their BPR </w:t>
      </w:r>
      <w:r>
        <w:t>once</w:t>
      </w:r>
      <w:r w:rsidRPr="00F84ED0">
        <w:t xml:space="preserve"> as part of their tariff filings in 2012, the first year of the ICC transition</w:t>
      </w:r>
      <w:r w:rsidR="0041162A">
        <w:t>, so a</w:t>
      </w:r>
      <w:r w:rsidRPr="00F84ED0">
        <w:t xml:space="preserve">ny inaccuracies in the BPR calculation </w:t>
      </w:r>
      <w:r w:rsidR="0041162A">
        <w:t xml:space="preserve">would </w:t>
      </w:r>
      <w:r w:rsidRPr="00F84ED0">
        <w:t>carry forward in future recovery mechanism payments.</w:t>
      </w:r>
    </w:p>
    <w:p w:rsidR="008D4979" w:rsidRPr="00F84ED0" w:rsidRDefault="008D4979" w:rsidP="008D4979">
      <w:pPr>
        <w:pStyle w:val="ParaNum"/>
      </w:pPr>
      <w:r w:rsidRPr="00F84ED0">
        <w:t xml:space="preserve">In the </w:t>
      </w:r>
      <w:r w:rsidRPr="00F84ED0">
        <w:rPr>
          <w:i/>
        </w:rPr>
        <w:t>Transformation Order</w:t>
      </w:r>
      <w:r w:rsidRPr="00F84ED0">
        <w:t xml:space="preserve">, the Commission adopted rules </w:t>
      </w:r>
      <w:r w:rsidR="0041162A">
        <w:t xml:space="preserve">designed </w:t>
      </w:r>
      <w:r w:rsidRPr="00F84ED0">
        <w:t>to ensure that rate-of-return LECs’ BPR calculations capture revenues for FY 2011 ICC services subject to the ICC rate transition</w:t>
      </w:r>
      <w:r w:rsidR="0041162A">
        <w:t xml:space="preserve">, </w:t>
      </w:r>
      <w:r w:rsidR="00C73F31">
        <w:t>balanced by</w:t>
      </w:r>
      <w:r w:rsidR="0041162A">
        <w:t xml:space="preserve"> </w:t>
      </w:r>
      <w:r w:rsidR="0041162A" w:rsidRPr="00F84ED0">
        <w:t xml:space="preserve">stringent standards to </w:t>
      </w:r>
      <w:r w:rsidR="0041162A">
        <w:t>prevent</w:t>
      </w:r>
      <w:r w:rsidR="0041162A" w:rsidRPr="00F84ED0">
        <w:t xml:space="preserve"> </w:t>
      </w:r>
      <w:r w:rsidR="0041162A">
        <w:t>parties from</w:t>
      </w:r>
      <w:r w:rsidR="0041162A" w:rsidRPr="00F84ED0">
        <w:t xml:space="preserve"> tak</w:t>
      </w:r>
      <w:r w:rsidR="0041162A">
        <w:t>ing</w:t>
      </w:r>
      <w:r w:rsidR="0041162A" w:rsidRPr="00F84ED0">
        <w:t xml:space="preserve"> advantage of the recovery mechanism by inflating their BPR</w:t>
      </w:r>
      <w:r w:rsidRPr="00F84ED0">
        <w:t>.</w:t>
      </w:r>
      <w:r w:rsidRPr="00F84ED0">
        <w:rPr>
          <w:rStyle w:val="FootnoteReference"/>
        </w:rPr>
        <w:footnoteReference w:id="24"/>
      </w:r>
      <w:r w:rsidRPr="00F84ED0">
        <w:t xml:space="preserve">  </w:t>
      </w:r>
      <w:r w:rsidR="00C535D0">
        <w:t>For example, t</w:t>
      </w:r>
      <w:r w:rsidRPr="00F84ED0">
        <w:t>he Commission permitted rate-of-return LECs to calculate their BPR to include minutes-of-use (MOUs) related to access service provided during FY 2011, but prohibited rate-of-return LECs from including in BPR calculations MOUs for which “revenues were not recovered, for whatever reason.”</w:t>
      </w:r>
      <w:r w:rsidRPr="00F84ED0">
        <w:rPr>
          <w:rStyle w:val="FootnoteReference"/>
        </w:rPr>
        <w:footnoteReference w:id="25"/>
      </w:r>
      <w:r w:rsidRPr="00F84ED0">
        <w:rPr>
          <w:szCs w:val="24"/>
        </w:rPr>
        <w:t xml:space="preserve">  </w:t>
      </w:r>
      <w:r w:rsidR="00C73F31">
        <w:rPr>
          <w:szCs w:val="24"/>
        </w:rPr>
        <w:t xml:space="preserve">Constraining BPR in this manner </w:t>
      </w:r>
      <w:r w:rsidRPr="00F84ED0">
        <w:t xml:space="preserve">is one of several methods the Commission adopted to </w:t>
      </w:r>
      <w:r w:rsidR="00C535D0">
        <w:t>prevent</w:t>
      </w:r>
      <w:r>
        <w:t xml:space="preserve"> excessive</w:t>
      </w:r>
      <w:r w:rsidR="00C93DAF">
        <w:t xml:space="preserve"> </w:t>
      </w:r>
      <w:r>
        <w:t xml:space="preserve">recovery from end users and the </w:t>
      </w:r>
      <w:r w:rsidR="0096189D">
        <w:t>federal u</w:t>
      </w:r>
      <w:r>
        <w:t xml:space="preserve">niversal </w:t>
      </w:r>
      <w:r w:rsidR="0096189D">
        <w:t>s</w:t>
      </w:r>
      <w:r>
        <w:t xml:space="preserve">ervice </w:t>
      </w:r>
      <w:r w:rsidR="0096189D">
        <w:t>f</w:t>
      </w:r>
      <w:r>
        <w:t>und (USF).</w:t>
      </w:r>
      <w:r w:rsidRPr="00F84ED0">
        <w:rPr>
          <w:rStyle w:val="FootnoteReference"/>
        </w:rPr>
        <w:footnoteReference w:id="26"/>
      </w:r>
    </w:p>
    <w:p w:rsidR="008D4979" w:rsidRPr="00F84ED0" w:rsidRDefault="008D4979" w:rsidP="008D4979">
      <w:pPr>
        <w:pStyle w:val="Heading2"/>
        <w:contextualSpacing/>
      </w:pPr>
      <w:r w:rsidRPr="00F84ED0">
        <w:t>Halo Wireless</w:t>
      </w:r>
    </w:p>
    <w:p w:rsidR="008D4979" w:rsidRPr="00F84ED0" w:rsidRDefault="008D4979" w:rsidP="008D4979">
      <w:pPr>
        <w:pStyle w:val="ParaNum"/>
      </w:pPr>
      <w:bookmarkStart w:id="4" w:name="_Ref380676516"/>
      <w:r w:rsidRPr="00F84ED0">
        <w:t>Halo is a Commercial Mobile Radio Service (CMRS) provider that functions as an “Intermediate Provider</w:t>
      </w:r>
      <w:r w:rsidR="00C535D0">
        <w:t>.</w:t>
      </w:r>
      <w:r w:rsidRPr="00F84ED0">
        <w:t>”</w:t>
      </w:r>
      <w:r w:rsidR="00C535D0">
        <w:t xml:space="preserve">  Specifically,</w:t>
      </w:r>
      <w:r w:rsidRPr="00F84ED0">
        <w:t xml:space="preserve"> it carries or processes traffic that traverses or will traverse the </w:t>
      </w:r>
      <w:r w:rsidR="0096189D">
        <w:t>public switched telephone network</w:t>
      </w:r>
      <w:r w:rsidR="00C535D0">
        <w:t>, but</w:t>
      </w:r>
      <w:r w:rsidRPr="00F84ED0">
        <w:t xml:space="preserve"> </w:t>
      </w:r>
      <w:r w:rsidR="00C535D0">
        <w:t xml:space="preserve">it </w:t>
      </w:r>
      <w:r w:rsidRPr="00F84ED0">
        <w:t xml:space="preserve">neither originates </w:t>
      </w:r>
      <w:r>
        <w:t>n</w:t>
      </w:r>
      <w:r w:rsidRPr="00F84ED0">
        <w:t>or terminates traffic.</w:t>
      </w:r>
      <w:r w:rsidR="004E0C93">
        <w:rPr>
          <w:rStyle w:val="FootnoteReference"/>
        </w:rPr>
        <w:footnoteReference w:id="27"/>
      </w:r>
      <w:r w:rsidRPr="00F84ED0">
        <w:t xml:space="preserve">  </w:t>
      </w:r>
      <w:r w:rsidR="00C535D0">
        <w:t xml:space="preserve">Record evidence </w:t>
      </w:r>
      <w:r w:rsidRPr="00F84ED0">
        <w:t>outline</w:t>
      </w:r>
      <w:r w:rsidR="00C535D0">
        <w:t>s</w:t>
      </w:r>
      <w:r w:rsidRPr="00F84ED0">
        <w:t xml:space="preserve"> an access charge avoidance scheme whereby Halo attempted to disguise traffic otherwise subject to access charges as traffic subject to reciprocal compensation under the “intraMTA rule.”</w:t>
      </w:r>
      <w:r w:rsidR="004E0C93">
        <w:rPr>
          <w:rStyle w:val="FootnoteReference"/>
        </w:rPr>
        <w:footnoteReference w:id="28"/>
      </w:r>
      <w:bookmarkEnd w:id="4"/>
    </w:p>
    <w:p w:rsidR="00897FA7" w:rsidRDefault="00C535D0" w:rsidP="00733F68">
      <w:pPr>
        <w:pStyle w:val="ParaNum"/>
        <w:widowControl/>
      </w:pPr>
      <w:r>
        <w:t>Petitioners</w:t>
      </w:r>
      <w:r w:rsidR="008D4979" w:rsidRPr="00561EC2">
        <w:rPr>
          <w:i/>
        </w:rPr>
        <w:t xml:space="preserve"> </w:t>
      </w:r>
      <w:r w:rsidR="008D4979" w:rsidRPr="00F84ED0">
        <w:t>describe their experience</w:t>
      </w:r>
      <w:r w:rsidR="008D4979">
        <w:t>s</w:t>
      </w:r>
      <w:r w:rsidR="008D4979" w:rsidRPr="00F84ED0">
        <w:t xml:space="preserve"> terminating intrastate access traffic sent to them by Halo during FY 2011, billing Halo for this service, Halo’s refusal to pay based on its theory that the traffic is not subject to access charges</w:t>
      </w:r>
      <w:r w:rsidR="008D4979">
        <w:t xml:space="preserve">, and </w:t>
      </w:r>
      <w:r w:rsidR="00897FA7">
        <w:t>their</w:t>
      </w:r>
      <w:r w:rsidR="008D4979">
        <w:t xml:space="preserve"> efforts to collect</w:t>
      </w:r>
      <w:r w:rsidR="008D4979" w:rsidRPr="00F84ED0">
        <w:t>.</w:t>
      </w:r>
      <w:r w:rsidR="008D4979" w:rsidRPr="00F84ED0">
        <w:rPr>
          <w:rStyle w:val="FootnoteReference"/>
        </w:rPr>
        <w:footnoteReference w:id="29"/>
      </w:r>
      <w:r w:rsidR="008D4979">
        <w:t xml:space="preserve">  Notably, Petitioners are all claimants in the Halo bankruptcy case.</w:t>
      </w:r>
      <w:r w:rsidR="008D4979">
        <w:rPr>
          <w:rStyle w:val="FootnoteReference"/>
        </w:rPr>
        <w:footnoteReference w:id="30"/>
      </w:r>
    </w:p>
    <w:p w:rsidR="00057A50" w:rsidRDefault="008D4979" w:rsidP="00733F68">
      <w:pPr>
        <w:pStyle w:val="ParaNum"/>
        <w:widowControl/>
      </w:pPr>
      <w:r w:rsidRPr="00F84ED0">
        <w:t>The record demonstrates that, when faced with Halo’s refusal to pay access charges, TDS</w:t>
      </w:r>
      <w:r w:rsidR="007A719E">
        <w:t xml:space="preserve"> Telecom</w:t>
      </w:r>
      <w:r w:rsidRPr="00F84ED0">
        <w:t xml:space="preserve"> pursued appropriate relief from various </w:t>
      </w:r>
      <w:r>
        <w:t>s</w:t>
      </w:r>
      <w:r w:rsidRPr="00F84ED0">
        <w:t xml:space="preserve">tate </w:t>
      </w:r>
      <w:r>
        <w:t>public utility commissions (</w:t>
      </w:r>
      <w:r w:rsidRPr="00F84ED0">
        <w:t>PUCs</w:t>
      </w:r>
      <w:r>
        <w:t>).</w:t>
      </w:r>
      <w:r w:rsidR="00626E68">
        <w:rPr>
          <w:rStyle w:val="FootnoteReference"/>
        </w:rPr>
        <w:footnoteReference w:id="31"/>
      </w:r>
      <w:r>
        <w:t xml:space="preserve"> </w:t>
      </w:r>
      <w:r w:rsidR="00897FA7">
        <w:t xml:space="preserve"> </w:t>
      </w:r>
      <w:r>
        <w:t xml:space="preserve">Cimarron </w:t>
      </w:r>
      <w:r w:rsidRPr="000903F2">
        <w:t>et al</w:t>
      </w:r>
      <w:r w:rsidRPr="007A719E">
        <w:t>.</w:t>
      </w:r>
      <w:r w:rsidR="00897FA7">
        <w:t>’s filings</w:t>
      </w:r>
      <w:r>
        <w:t xml:space="preserve"> described how, in 2011, they noticed indications that Halo “was terminating large amounts of traffic, comparable to national wireless carriers,” </w:t>
      </w:r>
      <w:r w:rsidR="00897FA7">
        <w:t>as well as</w:t>
      </w:r>
      <w:r>
        <w:t xml:space="preserve"> a “reduction in amounts of wireline traffic terminated</w:t>
      </w:r>
      <w:r w:rsidR="00897FA7">
        <w:t>,</w:t>
      </w:r>
      <w:r>
        <w:t xml:space="preserve">” and </w:t>
      </w:r>
      <w:r w:rsidR="0012091C">
        <w:t>“</w:t>
      </w:r>
      <w:r>
        <w:t>devoted significant resources to identify, track down, and collect the necessary evidence to prove Halo’s arbitrage scheme.”</w:t>
      </w:r>
      <w:r>
        <w:rPr>
          <w:rStyle w:val="FootnoteReference"/>
        </w:rPr>
        <w:footnoteReference w:id="32"/>
      </w:r>
      <w:r>
        <w:t xml:space="preserve">  Cimarron </w:t>
      </w:r>
      <w:r w:rsidRPr="000903F2">
        <w:t>et al</w:t>
      </w:r>
      <w:r w:rsidRPr="007A719E">
        <w:t>.</w:t>
      </w:r>
      <w:r>
        <w:t xml:space="preserve"> note that they “</w:t>
      </w:r>
      <w:r w:rsidRPr="009D722D">
        <w:t>contemplated seeking relief at the Oklahoma Corporation Commission (OCC)</w:t>
      </w:r>
      <w:r>
        <w:t xml:space="preserve"> but instead made further efforts to collect from Halo.</w:t>
      </w:r>
      <w:r w:rsidR="004E0C93">
        <w:t>”</w:t>
      </w:r>
      <w:r>
        <w:rPr>
          <w:rStyle w:val="FootnoteReference"/>
        </w:rPr>
        <w:footnoteReference w:id="33"/>
      </w:r>
    </w:p>
    <w:p w:rsidR="008D4979" w:rsidRDefault="00E5791A" w:rsidP="008D4979">
      <w:pPr>
        <w:pStyle w:val="ParaNum"/>
      </w:pPr>
      <w:r w:rsidRPr="00F84ED0">
        <w:t xml:space="preserve">On August 8, </w:t>
      </w:r>
      <w:r>
        <w:rPr>
          <w:szCs w:val="24"/>
        </w:rPr>
        <w:t>2011</w:t>
      </w:r>
      <w:r w:rsidRPr="00F84ED0">
        <w:t>, Halo filed for Chapter 11 bankruptcy protection,</w:t>
      </w:r>
      <w:r w:rsidRPr="00F84ED0">
        <w:rPr>
          <w:rStyle w:val="FootnoteReference"/>
          <w:sz w:val="22"/>
        </w:rPr>
        <w:footnoteReference w:id="34"/>
      </w:r>
      <w:r w:rsidRPr="00F84ED0">
        <w:t xml:space="preserve"> </w:t>
      </w:r>
      <w:r>
        <w:t>initiating the automatic stay protection afforded all debtors in bankruptcy.</w:t>
      </w:r>
      <w:r w:rsidRPr="00F84ED0">
        <w:t xml:space="preserve">  On July 19, 2012, Halo converted its bankruptcy status to Chapter 7 liquidation.</w:t>
      </w:r>
      <w:r w:rsidRPr="00F84ED0">
        <w:rPr>
          <w:rStyle w:val="FootnoteReference"/>
          <w:sz w:val="22"/>
        </w:rPr>
        <w:footnoteReference w:id="35"/>
      </w:r>
      <w:r w:rsidR="008D4979" w:rsidRPr="00F84ED0">
        <w:t xml:space="preserve">  </w:t>
      </w:r>
      <w:r w:rsidR="008D4979">
        <w:t xml:space="preserve">Cimarron </w:t>
      </w:r>
      <w:r w:rsidR="008D4979" w:rsidRPr="000903F2">
        <w:t>et al</w:t>
      </w:r>
      <w:r w:rsidR="008D4979" w:rsidRPr="007A719E">
        <w:t>.</w:t>
      </w:r>
      <w:r w:rsidR="008D4979" w:rsidRPr="00F84ED0">
        <w:t xml:space="preserve"> assert that</w:t>
      </w:r>
      <w:r w:rsidR="008D4979">
        <w:t xml:space="preserve"> Halo’s bankruptcy filing put “an automatic stay on collection efforts and [precluded] direct action to the OCC.</w:t>
      </w:r>
      <w:r w:rsidR="004E0C93">
        <w:t>”</w:t>
      </w:r>
      <w:r w:rsidR="004E0C93" w:rsidRPr="004E0C93">
        <w:rPr>
          <w:rStyle w:val="FootnoteReference"/>
        </w:rPr>
        <w:t xml:space="preserve"> </w:t>
      </w:r>
      <w:r w:rsidR="004E0C93">
        <w:rPr>
          <w:rStyle w:val="FootnoteReference"/>
        </w:rPr>
        <w:footnoteReference w:id="36"/>
      </w:r>
      <w:r w:rsidR="008D4979">
        <w:t xml:space="preserve">  TDS also notes that Halo’s bankruptcy </w:t>
      </w:r>
      <w:r w:rsidR="00C93DAF">
        <w:t>status</w:t>
      </w:r>
      <w:r w:rsidR="005D4888">
        <w:t xml:space="preserve"> created a situation where</w:t>
      </w:r>
      <w:r w:rsidR="008D4979">
        <w:t xml:space="preserve"> “regulatory authorities could not order Halo to make payment.”</w:t>
      </w:r>
      <w:r w:rsidR="008D4979" w:rsidRPr="00DE6D30">
        <w:rPr>
          <w:rStyle w:val="FootnoteReference"/>
        </w:rPr>
        <w:t xml:space="preserve"> </w:t>
      </w:r>
      <w:r w:rsidR="008D4979" w:rsidRPr="00F84ED0">
        <w:rPr>
          <w:rStyle w:val="FootnoteReference"/>
        </w:rPr>
        <w:footnoteReference w:id="37"/>
      </w:r>
    </w:p>
    <w:p w:rsidR="008D4979" w:rsidRPr="00F84ED0" w:rsidRDefault="008D4979" w:rsidP="00DD6027">
      <w:pPr>
        <w:pStyle w:val="ParaNum"/>
      </w:pPr>
      <w:r w:rsidRPr="00F84ED0">
        <w:t xml:space="preserve">In the </w:t>
      </w:r>
      <w:r w:rsidRPr="00F84ED0">
        <w:rPr>
          <w:i/>
        </w:rPr>
        <w:t>Transformation Order</w:t>
      </w:r>
      <w:r w:rsidRPr="00F84ED0">
        <w:t xml:space="preserve">, the Commission considered and rejected Halo’s claims that the traffic it sent to Petitioners </w:t>
      </w:r>
      <w:r>
        <w:t xml:space="preserve">and other LECs </w:t>
      </w:r>
      <w:r w:rsidRPr="00F84ED0">
        <w:t>was subject to reciprocal compensation.</w:t>
      </w:r>
      <w:r w:rsidRPr="00F84ED0">
        <w:rPr>
          <w:rStyle w:val="FootnoteReference"/>
          <w:sz w:val="22"/>
        </w:rPr>
        <w:t xml:space="preserve"> </w:t>
      </w:r>
      <w:r w:rsidRPr="00F84ED0">
        <w:rPr>
          <w:rStyle w:val="FootnoteReference"/>
          <w:sz w:val="22"/>
        </w:rPr>
        <w:footnoteReference w:id="38"/>
      </w:r>
      <w:r w:rsidRPr="00F84ED0">
        <w:t xml:space="preserve">  Specifically, the Commission said</w:t>
      </w:r>
      <w:r w:rsidR="00057A50">
        <w:t xml:space="preserve"> “</w:t>
      </w:r>
      <w:r w:rsidRPr="00F84ED0">
        <w:t>that a call is considered to be originated by a CMRS provider for purposes of the intraMTA rule only if the calling party initiating the call has done so through a CMRS provider</w:t>
      </w:r>
      <w:r w:rsidR="00057A50">
        <w:t>,” and “</w:t>
      </w:r>
      <w:r w:rsidRPr="00F84ED0">
        <w:t xml:space="preserve">the </w:t>
      </w:r>
      <w:r w:rsidR="00057A50">
        <w:t>‘</w:t>
      </w:r>
      <w:r w:rsidRPr="00F84ED0">
        <w:t>re-origination</w:t>
      </w:r>
      <w:r w:rsidR="00057A50">
        <w:t>’</w:t>
      </w:r>
      <w:r w:rsidRPr="00F84ED0">
        <w:t xml:space="preserve"> of a call over a wireless link in the middle of the call path does not convert a wireline-originated call into a CMRS-originated call for purposes of reciprocal compensation.</w:t>
      </w:r>
      <w:r w:rsidR="00057A50">
        <w:t>”</w:t>
      </w:r>
      <w:r w:rsidRPr="00F84ED0">
        <w:rPr>
          <w:rStyle w:val="FootnoteReference"/>
          <w:sz w:val="22"/>
        </w:rPr>
        <w:footnoteReference w:id="39"/>
      </w:r>
    </w:p>
    <w:p w:rsidR="008D4979" w:rsidRDefault="008D4979" w:rsidP="000903F2">
      <w:pPr>
        <w:pStyle w:val="ParaNum"/>
        <w:tabs>
          <w:tab w:val="num" w:pos="2160"/>
        </w:tabs>
      </w:pPr>
      <w:r w:rsidRPr="00F84ED0">
        <w:t xml:space="preserve">The Commission’s rejection of Halo’s claims in the </w:t>
      </w:r>
      <w:r w:rsidRPr="00F84ED0">
        <w:rPr>
          <w:i/>
        </w:rPr>
        <w:t>Transformation Order</w:t>
      </w:r>
      <w:r w:rsidRPr="00F84ED0">
        <w:t xml:space="preserve"> informs our decision here</w:t>
      </w:r>
      <w:r w:rsidR="007A719E">
        <w:t>,</w:t>
      </w:r>
      <w:r w:rsidRPr="00F84ED0">
        <w:t xml:space="preserve"> because Halo’s alleged re-origination of wireline-originated call</w:t>
      </w:r>
      <w:r>
        <w:t>s</w:t>
      </w:r>
      <w:r w:rsidRPr="00F84ED0">
        <w:t xml:space="preserve"> as CMRS traffic is also Halo’s primary defense in the disputes over non-payment of intrastate access charges between Petitioners and Halo.  During the same time period, Halo also was subject to numerous </w:t>
      </w:r>
      <w:r>
        <w:t>s</w:t>
      </w:r>
      <w:r w:rsidRPr="00F84ED0">
        <w:t>tate PUC proceedings</w:t>
      </w:r>
      <w:r w:rsidR="007A719E">
        <w:t>;</w:t>
      </w:r>
      <w:r w:rsidRPr="00F84ED0">
        <w:rPr>
          <w:rStyle w:val="FootnoteReference"/>
          <w:sz w:val="22"/>
        </w:rPr>
        <w:footnoteReference w:id="40"/>
      </w:r>
      <w:r w:rsidRPr="00F84ED0">
        <w:t xml:space="preserve"> </w:t>
      </w:r>
      <w:r w:rsidR="00C43D04">
        <w:t>nine</w:t>
      </w:r>
      <w:r w:rsidRPr="00F84ED0">
        <w:t xml:space="preserve"> </w:t>
      </w:r>
      <w:r w:rsidR="0088771B">
        <w:t>s</w:t>
      </w:r>
      <w:r w:rsidR="0088771B" w:rsidRPr="00F84ED0">
        <w:t xml:space="preserve">tate </w:t>
      </w:r>
      <w:r w:rsidRPr="00F84ED0">
        <w:t>PUCs found Halo</w:t>
      </w:r>
      <w:r w:rsidR="00E13490">
        <w:t xml:space="preserve"> liable to incumbent </w:t>
      </w:r>
      <w:r w:rsidRPr="00F84ED0">
        <w:t xml:space="preserve">LECs for disputed </w:t>
      </w:r>
      <w:r w:rsidRPr="00F84ED0">
        <w:rPr>
          <w:szCs w:val="24"/>
        </w:rPr>
        <w:t>intrastate</w:t>
      </w:r>
      <w:r w:rsidRPr="00F84ED0">
        <w:t xml:space="preserve"> access charges.</w:t>
      </w:r>
      <w:r w:rsidRPr="00F84ED0">
        <w:rPr>
          <w:rStyle w:val="FootnoteReference"/>
          <w:sz w:val="22"/>
        </w:rPr>
        <w:footnoteReference w:id="41"/>
      </w:r>
      <w:r w:rsidRPr="00F84ED0">
        <w:t xml:space="preserve">  No evidence in the record indicates that any state PUC agreed with Halo’s position</w:t>
      </w:r>
      <w:r>
        <w:t xml:space="preserve"> that “re-originating” a call can change ICC obligations</w:t>
      </w:r>
      <w:r w:rsidRPr="00F84ED0">
        <w:t>.</w:t>
      </w:r>
    </w:p>
    <w:p w:rsidR="008D4979" w:rsidRPr="002A65D3" w:rsidRDefault="008D4979" w:rsidP="008D4979">
      <w:pPr>
        <w:pStyle w:val="Heading1"/>
      </w:pPr>
      <w:r w:rsidRPr="002A65D3">
        <w:t>discussion</w:t>
      </w:r>
    </w:p>
    <w:p w:rsidR="00383A5A" w:rsidRDefault="008D4979" w:rsidP="008C5CF1">
      <w:pPr>
        <w:pStyle w:val="ParaNum"/>
        <w:tabs>
          <w:tab w:val="num" w:pos="2160"/>
        </w:tabs>
      </w:pPr>
      <w:r w:rsidRPr="00F84ED0">
        <w:t xml:space="preserve">Generally, the Commission’s rules may be waived </w:t>
      </w:r>
      <w:r w:rsidR="003A13A4">
        <w:t xml:space="preserve">under section 1.3 of our rules </w:t>
      </w:r>
      <w:r w:rsidRPr="00F84ED0">
        <w:t>for “good cause</w:t>
      </w:r>
      <w:r w:rsidR="003C0222">
        <w:t xml:space="preserve"> shown</w:t>
      </w:r>
      <w:r w:rsidR="009A1C00">
        <w:t>.</w:t>
      </w:r>
      <w:r w:rsidRPr="00F84ED0">
        <w:t>”</w:t>
      </w:r>
      <w:r w:rsidR="00960CF7">
        <w:rPr>
          <w:rStyle w:val="FootnoteReference"/>
        </w:rPr>
        <w:footnoteReference w:id="42"/>
      </w:r>
      <w:r w:rsidRPr="00F84ED0">
        <w:t xml:space="preserve">  The Commission may exercise its discretion to waive a rule where </w:t>
      </w:r>
      <w:r w:rsidR="009A1C00">
        <w:t xml:space="preserve">(a) </w:t>
      </w:r>
      <w:r w:rsidRPr="00F84ED0">
        <w:t xml:space="preserve">the particular facts make strict compliance inconsistent with the public interest, </w:t>
      </w:r>
      <w:r w:rsidR="009A1C00">
        <w:t xml:space="preserve">(b) </w:t>
      </w:r>
      <w:r w:rsidRPr="00F84ED0">
        <w:t xml:space="preserve">special circumstances warrant a deviation from the general rule, and </w:t>
      </w:r>
      <w:r w:rsidR="009A1C00">
        <w:t xml:space="preserve">(c) </w:t>
      </w:r>
      <w:r w:rsidRPr="00F84ED0">
        <w:t>such deviation will serve the public interest.</w:t>
      </w:r>
      <w:r w:rsidRPr="00F84ED0">
        <w:rPr>
          <w:rStyle w:val="FootnoteReference"/>
        </w:rPr>
        <w:footnoteReference w:id="43"/>
      </w:r>
      <w:r w:rsidRPr="00F84ED0">
        <w:t xml:space="preserve">  In making these determinations, the Commission may consider evidence of hardship, equity, and more effective implementation of overall policy on an individual basis.</w:t>
      </w:r>
      <w:r w:rsidRPr="00F84ED0">
        <w:rPr>
          <w:rStyle w:val="FootnoteReference"/>
        </w:rPr>
        <w:footnoteReference w:id="44"/>
      </w:r>
      <w:r w:rsidR="00C93DAF">
        <w:t xml:space="preserve">  </w:t>
      </w:r>
      <w:r w:rsidR="00383A5A" w:rsidRPr="00F84ED0">
        <w:t xml:space="preserve">For the reasons discussed below, we find that Petitioners </w:t>
      </w:r>
      <w:r w:rsidR="00383A5A">
        <w:t xml:space="preserve">have </w:t>
      </w:r>
      <w:r w:rsidR="00383A5A" w:rsidRPr="00F84ED0">
        <w:t>demonstrate</w:t>
      </w:r>
      <w:r w:rsidR="00383A5A">
        <w:t>d</w:t>
      </w:r>
      <w:r w:rsidR="00383A5A" w:rsidRPr="00F84ED0">
        <w:t xml:space="preserve"> good cause that justifies granting the requested waivers, and that doing so would be consistent with the public interest.</w:t>
      </w:r>
    </w:p>
    <w:p w:rsidR="00111583" w:rsidRDefault="00C93DAF" w:rsidP="000903F2">
      <w:pPr>
        <w:pStyle w:val="ParaNum"/>
        <w:tabs>
          <w:tab w:val="num" w:pos="2160"/>
        </w:tabs>
      </w:pPr>
      <w:r>
        <w:t xml:space="preserve">In the </w:t>
      </w:r>
      <w:r w:rsidRPr="002A65D3">
        <w:rPr>
          <w:i/>
        </w:rPr>
        <w:t>Transformation Order</w:t>
      </w:r>
      <w:r>
        <w:t xml:space="preserve">, the Commission </w:t>
      </w:r>
      <w:r w:rsidR="009A1C00">
        <w:t xml:space="preserve">explicitly </w:t>
      </w:r>
      <w:r>
        <w:t xml:space="preserve">contemplated </w:t>
      </w:r>
      <w:r w:rsidR="000A7099">
        <w:t>that certain circumstances</w:t>
      </w:r>
      <w:r>
        <w:t xml:space="preserve"> could justify adjustments to recovery baseline amounts</w:t>
      </w:r>
      <w:r w:rsidR="009A1C00">
        <w:t>,</w:t>
      </w:r>
      <w:r>
        <w:t xml:space="preserve"> and </w:t>
      </w:r>
      <w:r w:rsidR="000A7099">
        <w:t xml:space="preserve">described some situations where adjustments </w:t>
      </w:r>
      <w:r w:rsidR="00E5791A">
        <w:t xml:space="preserve">may </w:t>
      </w:r>
      <w:r w:rsidR="000A7099">
        <w:t>be appropriate.</w:t>
      </w:r>
      <w:r w:rsidR="000A7099">
        <w:rPr>
          <w:rStyle w:val="FootnoteReference"/>
        </w:rPr>
        <w:footnoteReference w:id="45"/>
      </w:r>
      <w:r w:rsidR="000A7099">
        <w:t xml:space="preserve"> </w:t>
      </w:r>
      <w:r>
        <w:t xml:space="preserve"> </w:t>
      </w:r>
      <w:r w:rsidR="00383A5A">
        <w:t xml:space="preserve">Specifically, the Commission noted that </w:t>
      </w:r>
      <w:r w:rsidR="00B34829">
        <w:t xml:space="preserve">carriers may file </w:t>
      </w:r>
      <w:r w:rsidR="00383A5A">
        <w:t>requests for “waiver of our rules defining the Baseline to account for revenues billed for terminating switched access service or reciprocal compensation provided in FY</w:t>
      </w:r>
      <w:r w:rsidR="003C0222">
        <w:t xml:space="preserve"> </w:t>
      </w:r>
      <w:r w:rsidR="00383A5A">
        <w:t>2011 but recovered after the March 31, 2012 cut-off as the result of the decision of a court or regulatory agency of competent jurisdiction.”</w:t>
      </w:r>
      <w:r w:rsidR="008D4979" w:rsidRPr="00F84ED0">
        <w:rPr>
          <w:rStyle w:val="FootnoteReference"/>
        </w:rPr>
        <w:footnoteReference w:id="46"/>
      </w:r>
      <w:r w:rsidR="00383A5A">
        <w:t xml:space="preserve">  The petitions we consider make similar, but not identical</w:t>
      </w:r>
      <w:r w:rsidR="003C0222">
        <w:t>,</w:t>
      </w:r>
      <w:r w:rsidR="00383A5A">
        <w:t xml:space="preserve"> requests to the requests described in this guidance.  The guidance applies to requests to include revenue in a carrier’s BPR that a carrier has recovered as a result of the order of a court or regulatory agency</w:t>
      </w:r>
      <w:r w:rsidR="00D75291">
        <w:t>,</w:t>
      </w:r>
      <w:r w:rsidR="00383A5A">
        <w:rPr>
          <w:rStyle w:val="FootnoteReference"/>
        </w:rPr>
        <w:footnoteReference w:id="47"/>
      </w:r>
      <w:r w:rsidR="00383A5A">
        <w:t xml:space="preserve"> </w:t>
      </w:r>
      <w:r w:rsidR="00D75291">
        <w:t xml:space="preserve">but here </w:t>
      </w:r>
      <w:r w:rsidR="00383A5A">
        <w:t>Petitioners have not recovered the revenues that they seek to include in their BPR</w:t>
      </w:r>
      <w:r w:rsidR="00D75291">
        <w:t xml:space="preserve"> and</w:t>
      </w:r>
      <w:r w:rsidR="00383A5A">
        <w:t>, as a result of Halo’s bankruptcy protection, it is unlikely that they will.  Accordingly, Petitioners</w:t>
      </w:r>
      <w:r w:rsidR="003C0222">
        <w:t>’</w:t>
      </w:r>
      <w:r w:rsidR="00383A5A">
        <w:t xml:space="preserve"> ability to fall within the four corners of that guidance is at best delayed, and is ultimately uncertain.</w:t>
      </w:r>
    </w:p>
    <w:p w:rsidR="00B2015D" w:rsidRDefault="008D4979" w:rsidP="000903F2">
      <w:pPr>
        <w:pStyle w:val="ParaNum"/>
        <w:tabs>
          <w:tab w:val="num" w:pos="2160"/>
        </w:tabs>
      </w:pPr>
      <w:r>
        <w:t xml:space="preserve">The ICC </w:t>
      </w:r>
      <w:r w:rsidRPr="00F84ED0">
        <w:t>recovery mechanism</w:t>
      </w:r>
      <w:r>
        <w:t xml:space="preserve"> adopted in the </w:t>
      </w:r>
      <w:r w:rsidRPr="00BF50E9">
        <w:rPr>
          <w:i/>
        </w:rPr>
        <w:t>Transformation Order</w:t>
      </w:r>
      <w:r w:rsidRPr="00F84ED0">
        <w:t xml:space="preserve"> </w:t>
      </w:r>
      <w:r>
        <w:t xml:space="preserve">was designed, among other things, to </w:t>
      </w:r>
      <w:r w:rsidRPr="00694A0A">
        <w:t>provide predictability to</w:t>
      </w:r>
      <w:r>
        <w:t xml:space="preserve"> </w:t>
      </w:r>
      <w:r w:rsidR="001F7676">
        <w:t xml:space="preserve">incumbent </w:t>
      </w:r>
      <w:r w:rsidRPr="00694A0A">
        <w:t>LECs that had been receiving implicit ICC subsidies</w:t>
      </w:r>
      <w:r>
        <w:t xml:space="preserve"> and to </w:t>
      </w:r>
      <w:r w:rsidRPr="00694A0A">
        <w:t>mitigate marketplace disruption during the ICC reform transition</w:t>
      </w:r>
      <w:r>
        <w:t>.</w:t>
      </w:r>
      <w:r>
        <w:rPr>
          <w:rStyle w:val="FootnoteReference"/>
        </w:rPr>
        <w:footnoteReference w:id="48"/>
      </w:r>
      <w:r w:rsidR="00B3727A">
        <w:t xml:space="preserve">  </w:t>
      </w:r>
      <w:r w:rsidR="00B34829">
        <w:t xml:space="preserve">The Commission </w:t>
      </w:r>
      <w:r w:rsidR="00D75291">
        <w:t>squarely</w:t>
      </w:r>
      <w:r w:rsidR="00B34829">
        <w:t xml:space="preserve"> address</w:t>
      </w:r>
      <w:r w:rsidR="00D75291">
        <w:t>ed</w:t>
      </w:r>
      <w:r w:rsidR="00B34829">
        <w:t xml:space="preserve"> and reject</w:t>
      </w:r>
      <w:r w:rsidR="00D75291">
        <w:t>ed</w:t>
      </w:r>
      <w:r w:rsidR="00B34829">
        <w:t xml:space="preserve"> Halo’s arguments in the </w:t>
      </w:r>
      <w:r w:rsidR="00B34829" w:rsidRPr="00810FB5">
        <w:rPr>
          <w:i/>
        </w:rPr>
        <w:t>Transformation Order</w:t>
      </w:r>
      <w:r w:rsidR="00B34829">
        <w:t>.</w:t>
      </w:r>
      <w:r w:rsidR="00386992" w:rsidRPr="009D04E1">
        <w:rPr>
          <w:rStyle w:val="FootnoteReference"/>
        </w:rPr>
        <w:footnoteReference w:id="49"/>
      </w:r>
      <w:r w:rsidR="00B34829">
        <w:t xml:space="preserve">  </w:t>
      </w:r>
      <w:r>
        <w:t xml:space="preserve">We believe it would be </w:t>
      </w:r>
      <w:r w:rsidRPr="009D04E1">
        <w:t>contrary to</w:t>
      </w:r>
      <w:r>
        <w:t>, and would impede effective implementation of,</w:t>
      </w:r>
      <w:r w:rsidRPr="009D04E1">
        <w:t xml:space="preserve"> th</w:t>
      </w:r>
      <w:r>
        <w:t>ese</w:t>
      </w:r>
      <w:r w:rsidRPr="009D04E1">
        <w:t xml:space="preserve"> policies</w:t>
      </w:r>
      <w:r>
        <w:t xml:space="preserve"> </w:t>
      </w:r>
      <w:r w:rsidRPr="009D04E1">
        <w:t xml:space="preserve">if Halo’s non-payment </w:t>
      </w:r>
      <w:r w:rsidR="00B34829">
        <w:t xml:space="preserve">due to </w:t>
      </w:r>
      <w:r w:rsidR="00D366B9">
        <w:t>bankruptcy</w:t>
      </w:r>
      <w:r w:rsidR="00D366B9" w:rsidRPr="009D04E1">
        <w:t xml:space="preserve"> </w:t>
      </w:r>
      <w:r w:rsidR="00D75291">
        <w:t xml:space="preserve">for services that were provided </w:t>
      </w:r>
      <w:r w:rsidR="00D366B9" w:rsidRPr="009D04E1">
        <w:t>locked</w:t>
      </w:r>
      <w:r>
        <w:t xml:space="preserve"> </w:t>
      </w:r>
      <w:r w:rsidRPr="009D04E1">
        <w:t>providers harmed by Halo</w:t>
      </w:r>
      <w:r w:rsidR="009178B2">
        <w:t xml:space="preserve">’s </w:t>
      </w:r>
      <w:r w:rsidR="00BF50E9">
        <w:t>non-compliance</w:t>
      </w:r>
      <w:r>
        <w:t xml:space="preserve"> in</w:t>
      </w:r>
      <w:r w:rsidRPr="009D04E1">
        <w:t xml:space="preserve">to </w:t>
      </w:r>
      <w:r w:rsidR="007F13A7">
        <w:t xml:space="preserve">a lower BPR </w:t>
      </w:r>
      <w:r>
        <w:t xml:space="preserve">for the duration of the ICC rate transition.  </w:t>
      </w:r>
    </w:p>
    <w:p w:rsidR="008D4979" w:rsidRDefault="00B2015D" w:rsidP="00B3727A">
      <w:pPr>
        <w:pStyle w:val="ParaNum"/>
      </w:pPr>
      <w:r>
        <w:t xml:space="preserve">We recognize that, at the time of the </w:t>
      </w:r>
      <w:r>
        <w:rPr>
          <w:i/>
          <w:iCs/>
        </w:rPr>
        <w:t>Transformation Order</w:t>
      </w:r>
      <w:r>
        <w:t>, numerous carrier billing disputes existed over whether certain types of traffic were subject to access charge compensation</w:t>
      </w:r>
      <w:r w:rsidR="00117723">
        <w:t>,</w:t>
      </w:r>
      <w:r>
        <w:t xml:space="preserve"> and the Commission limited eligible recovery to specific types of revenues actually collected in an effort to reflect reasonable reliance on such revenues.</w:t>
      </w:r>
      <w:r>
        <w:rPr>
          <w:rStyle w:val="FootnoteReference"/>
        </w:rPr>
        <w:footnoteReference w:id="50"/>
      </w:r>
      <w:r>
        <w:t>  In considering waivers seeking to amend recovery amounts, it is necessary to balance the need to ensure accurate BPR calculations against the burdens associated with adjusting recovery amounts, including any potential burdens on end users and universal service funding.</w:t>
      </w:r>
      <w:r>
        <w:rPr>
          <w:rStyle w:val="FootnoteReference"/>
        </w:rPr>
        <w:footnoteReference w:id="51"/>
      </w:r>
      <w:r>
        <w:t xml:space="preserve">  Under these circumstances, we find that inclusion of the revenues associated with unpaid amounts billed to Halo in the BPR calculations</w:t>
      </w:r>
      <w:r w:rsidR="00863470">
        <w:t>, coupled with appropriate safeguards,</w:t>
      </w:r>
      <w:r>
        <w:t xml:space="preserve"> </w:t>
      </w:r>
      <w:r w:rsidR="00D73570">
        <w:t xml:space="preserve">would produce more accurate recovery calculations.  </w:t>
      </w:r>
      <w:r w:rsidR="00A85E70">
        <w:t>For</w:t>
      </w:r>
      <w:r>
        <w:t xml:space="preserve"> all</w:t>
      </w:r>
      <w:r w:rsidR="00A85E70">
        <w:t xml:space="preserve"> these reasons, we believe that </w:t>
      </w:r>
      <w:r w:rsidR="009178B2">
        <w:t>Petitioners</w:t>
      </w:r>
      <w:r w:rsidR="00A85E70">
        <w:t xml:space="preserve"> should be permitted to include, in their BPR</w:t>
      </w:r>
      <w:r w:rsidR="005D4888">
        <w:t xml:space="preserve"> calculations</w:t>
      </w:r>
      <w:r w:rsidR="00A85E70">
        <w:t>, intrastate access revenues associated with traffic eligible for access charge compensation terminated during FY 2011</w:t>
      </w:r>
      <w:r w:rsidR="007676B3">
        <w:t>.</w:t>
      </w:r>
    </w:p>
    <w:p w:rsidR="008D4979" w:rsidRDefault="008D4979">
      <w:pPr>
        <w:pStyle w:val="ParaNum"/>
      </w:pPr>
      <w:r>
        <w:t>S</w:t>
      </w:r>
      <w:r w:rsidRPr="00F84ED0">
        <w:t>everal commenters oppose the petitions.  Sprint claims that it is unfair for USF contributors to be “forced to make [the Petitioners] whole by covering access invoices unpaid by Halo</w:t>
      </w:r>
      <w:r>
        <w:t>,</w:t>
      </w:r>
      <w:r w:rsidRPr="00F84ED0">
        <w:t xml:space="preserve">” and that granting the petitions “would </w:t>
      </w:r>
      <w:r w:rsidR="00DA3CED">
        <w:t xml:space="preserve">either </w:t>
      </w:r>
      <w:r w:rsidRPr="00F84ED0">
        <w:t>draw support away from other USF recipients or increase the size of the CAF recovery fund.”</w:t>
      </w:r>
      <w:r w:rsidRPr="00F84ED0">
        <w:rPr>
          <w:rStyle w:val="FootnoteReference"/>
        </w:rPr>
        <w:footnoteReference w:id="52"/>
      </w:r>
      <w:r w:rsidRPr="00F84ED0">
        <w:t xml:space="preserve"> </w:t>
      </w:r>
      <w:r w:rsidR="009178B2">
        <w:t xml:space="preserve"> </w:t>
      </w:r>
      <w:r w:rsidRPr="00F84ED0">
        <w:t>NCTA argues that the Commission should reject the petitions because “the public interest would not be served by granting [the instant petitions</w:t>
      </w:r>
      <w:r w:rsidR="009178B2">
        <w:t>,</w:t>
      </w:r>
      <w:r w:rsidRPr="00F84ED0">
        <w:t xml:space="preserve">] as this might lead to hundreds of </w:t>
      </w:r>
      <w:r>
        <w:t xml:space="preserve">‘me too’ </w:t>
      </w:r>
      <w:r w:rsidRPr="00F84ED0">
        <w:t>petitions and would favor [the Petitioners] over similarly-situated competitive providers that also were harmed by Halo’s bankruptcy.”</w:t>
      </w:r>
      <w:r w:rsidRPr="00A858C1">
        <w:rPr>
          <w:rStyle w:val="FootnoteReference"/>
          <w:sz w:val="22"/>
        </w:rPr>
        <w:t xml:space="preserve"> </w:t>
      </w:r>
      <w:r w:rsidRPr="00F84ED0">
        <w:rPr>
          <w:rStyle w:val="FootnoteReference"/>
          <w:sz w:val="22"/>
        </w:rPr>
        <w:footnoteReference w:id="53"/>
      </w:r>
    </w:p>
    <w:p w:rsidR="009178B2" w:rsidRDefault="008D4979" w:rsidP="008D4979">
      <w:pPr>
        <w:pStyle w:val="ParaNum"/>
      </w:pPr>
      <w:r w:rsidRPr="00F84ED0">
        <w:t>We disagree with Sprint’s claims that granting the requested waivers would “cover” access invoices unpaid by Halo.  As previously discussed, our action in this Order does not compensate Petitioners for the unpaid access charges that are in dispute between Petitioners and Halo.</w:t>
      </w:r>
      <w:r w:rsidRPr="00F84ED0">
        <w:rPr>
          <w:rStyle w:val="FootnoteReference"/>
        </w:rPr>
        <w:footnoteReference w:id="54"/>
      </w:r>
      <w:r w:rsidRPr="00F84ED0">
        <w:rPr>
          <w:rStyle w:val="FootnoteReference"/>
        </w:rPr>
        <w:t xml:space="preserve"> </w:t>
      </w:r>
      <w:r w:rsidRPr="00F84ED0">
        <w:t xml:space="preserve">  Instead, granting the waiver </w:t>
      </w:r>
      <w:r w:rsidR="009178B2">
        <w:t xml:space="preserve">only </w:t>
      </w:r>
      <w:r w:rsidRPr="00F84ED0">
        <w:t>will allow the Petitioners to add to their BPR</w:t>
      </w:r>
      <w:r>
        <w:t>s</w:t>
      </w:r>
      <w:r w:rsidRPr="00F84ED0">
        <w:t xml:space="preserve"> intrastate access amounts </w:t>
      </w:r>
      <w:r w:rsidR="009178B2">
        <w:t xml:space="preserve">properly </w:t>
      </w:r>
      <w:r w:rsidRPr="00F84ED0">
        <w:t>billed to Halo for service provided during FY 2011</w:t>
      </w:r>
      <w:r w:rsidR="009178B2">
        <w:t>, thereby ensuring that</w:t>
      </w:r>
      <w:r w:rsidRPr="00F84ED0">
        <w:t xml:space="preserve"> Petitioners’ BPR</w:t>
      </w:r>
      <w:r w:rsidR="009178B2">
        <w:t xml:space="preserve"> amount</w:t>
      </w:r>
      <w:r w:rsidRPr="00F84ED0">
        <w:t>s will result in recovery mechanism payments reflecting actual intrastate access service</w:t>
      </w:r>
      <w:r w:rsidR="007F13A7">
        <w:t>s</w:t>
      </w:r>
      <w:r w:rsidRPr="00F84ED0">
        <w:t xml:space="preserve"> Petitioners provided during FY 2011.</w:t>
      </w:r>
    </w:p>
    <w:p w:rsidR="008D4979" w:rsidRPr="00F84ED0" w:rsidRDefault="008D4979" w:rsidP="008D4979">
      <w:pPr>
        <w:pStyle w:val="ParaNum"/>
      </w:pPr>
      <w:r>
        <w:t>We also disagree with Sprint’s arguments concerning the impact of relief on USF</w:t>
      </w:r>
      <w:r w:rsidR="007F13A7">
        <w:t xml:space="preserve"> contributors</w:t>
      </w:r>
      <w:r>
        <w:t xml:space="preserve">.  </w:t>
      </w:r>
      <w:r w:rsidRPr="00FE3DA4">
        <w:t xml:space="preserve">When the Commission adopted the </w:t>
      </w:r>
      <w:r w:rsidRPr="00FE3DA4">
        <w:rPr>
          <w:i/>
        </w:rPr>
        <w:t>Transformation Order</w:t>
      </w:r>
      <w:r w:rsidRPr="00FE3DA4">
        <w:t>, it planned for</w:t>
      </w:r>
      <w:r w:rsidR="00533787">
        <w:t xml:space="preserve"> carriers being</w:t>
      </w:r>
      <w:r w:rsidRPr="00FE3DA4">
        <w:t>, and anticipated that carriers would be</w:t>
      </w:r>
      <w:r w:rsidR="00533787">
        <w:t>,</w:t>
      </w:r>
      <w:r w:rsidRPr="00FE3DA4">
        <w:t xml:space="preserve"> able to include </w:t>
      </w:r>
      <w:r>
        <w:t>revenues from the provision of actual intrastate</w:t>
      </w:r>
      <w:r w:rsidRPr="00FE3DA4">
        <w:t xml:space="preserve"> access </w:t>
      </w:r>
      <w:r>
        <w:t>service</w:t>
      </w:r>
      <w:r w:rsidRPr="00FE3DA4">
        <w:t xml:space="preserve"> in calculating their BPRs.</w:t>
      </w:r>
      <w:r>
        <w:t xml:space="preserve">  C</w:t>
      </w:r>
      <w:r w:rsidRPr="00FE3DA4">
        <w:t>orrecting for the scheme perpetrated by Halo</w:t>
      </w:r>
      <w:r>
        <w:t xml:space="preserve"> </w:t>
      </w:r>
      <w:r w:rsidRPr="00FE3DA4">
        <w:t xml:space="preserve">helps </w:t>
      </w:r>
      <w:r>
        <w:t xml:space="preserve">the Commission </w:t>
      </w:r>
      <w:r w:rsidRPr="00FE3DA4">
        <w:t>ensure</w:t>
      </w:r>
      <w:r>
        <w:t xml:space="preserve"> the accuracy of the recovery mechanism</w:t>
      </w:r>
      <w:r w:rsidRPr="00FE3DA4">
        <w:t xml:space="preserve"> without increasing the size of the </w:t>
      </w:r>
      <w:r w:rsidR="00533787">
        <w:t>USF</w:t>
      </w:r>
      <w:r w:rsidRPr="00FE3DA4">
        <w:t xml:space="preserve"> in uni</w:t>
      </w:r>
      <w:r w:rsidRPr="00670AC2">
        <w:t xml:space="preserve">ntended ways.  </w:t>
      </w:r>
      <w:r w:rsidR="00EE387B">
        <w:t xml:space="preserve">But for the bankruptcy, Petitioners would fit squarely within the guidance provided in the </w:t>
      </w:r>
      <w:r w:rsidR="00EE387B" w:rsidRPr="00472414">
        <w:rPr>
          <w:i/>
        </w:rPr>
        <w:t>Transformation Order</w:t>
      </w:r>
      <w:r w:rsidR="00EE387B">
        <w:t xml:space="preserve"> that anticipated adjusting BPR pursuant to a decision by a court or regulatory agency order.  </w:t>
      </w:r>
      <w:r>
        <w:t xml:space="preserve">Waiver is appropriate where, as here, </w:t>
      </w:r>
      <w:r w:rsidR="00863470">
        <w:t xml:space="preserve">the Commission’s </w:t>
      </w:r>
      <w:r w:rsidR="00EE387B">
        <w:t xml:space="preserve">guidance </w:t>
      </w:r>
      <w:r w:rsidR="00863470">
        <w:t xml:space="preserve">to allow carriers to include in their BPRs intrastate access revenues </w:t>
      </w:r>
      <w:r w:rsidR="00E31F9D">
        <w:t xml:space="preserve">that ultimately would have been collected from </w:t>
      </w:r>
      <w:r w:rsidR="00863470">
        <w:t>Halo</w:t>
      </w:r>
      <w:r w:rsidR="00E31F9D">
        <w:t xml:space="preserve"> pursuant to court </w:t>
      </w:r>
      <w:r w:rsidR="00B37B60">
        <w:t xml:space="preserve">or regulatory agency </w:t>
      </w:r>
      <w:r w:rsidR="00E31F9D">
        <w:t>order</w:t>
      </w:r>
      <w:r w:rsidR="00D71C60">
        <w:t xml:space="preserve"> </w:t>
      </w:r>
      <w:r>
        <w:t>would be frustrated by a strict application of our rules.</w:t>
      </w:r>
    </w:p>
    <w:p w:rsidR="008D4979" w:rsidRDefault="008D4979" w:rsidP="008D4979">
      <w:pPr>
        <w:pStyle w:val="ParaNum"/>
      </w:pPr>
      <w:r w:rsidRPr="00F84ED0">
        <w:t>We also disagree with NCTA’s allegation that granting these petitions would not serve the public interest.  Granting these petitions will allow Petitioners’ BPRs to reflect actual service provided during FY 2011 to terminate actual calls bound for Petitioners’ customers.</w:t>
      </w:r>
      <w:r w:rsidRPr="00F84ED0">
        <w:rPr>
          <w:rStyle w:val="FootnoteReference"/>
        </w:rPr>
        <w:footnoteReference w:id="55"/>
      </w:r>
      <w:r w:rsidRPr="00F84ED0">
        <w:t xml:space="preserve">  The Commission created the ICC recovery mechanism for the specific purpose of providing a revenue stream to replace, in part, ICC revenue reductions resulting from </w:t>
      </w:r>
      <w:r w:rsidR="00960CF7">
        <w:t xml:space="preserve">the </w:t>
      </w:r>
      <w:r w:rsidRPr="00F84ED0">
        <w:t>ICC reform</w:t>
      </w:r>
      <w:r w:rsidR="005503A2">
        <w:t>s</w:t>
      </w:r>
      <w:r w:rsidRPr="00F84ED0">
        <w:t xml:space="preserve"> adopted in the </w:t>
      </w:r>
      <w:r w:rsidRPr="00F84ED0">
        <w:rPr>
          <w:i/>
        </w:rPr>
        <w:t>Transformation Order</w:t>
      </w:r>
      <w:r w:rsidRPr="00F84ED0">
        <w:t>.  For rate-of-return LECs, the recovery mechanism operates by comparing pre-reform ICC revenues with ICC revenue for e</w:t>
      </w:r>
      <w:r w:rsidR="0080400A">
        <w:t>ach year of the transition.  It would not serve the</w:t>
      </w:r>
      <w:r w:rsidRPr="00F84ED0">
        <w:t xml:space="preserve"> pu</w:t>
      </w:r>
      <w:r w:rsidR="0080400A">
        <w:t>blic interest</w:t>
      </w:r>
      <w:r w:rsidRPr="00F84ED0">
        <w:t xml:space="preserve"> if t</w:t>
      </w:r>
      <w:r w:rsidR="0080400A">
        <w:t>he ICC recovery mechanism provides insufficient</w:t>
      </w:r>
      <w:r w:rsidRPr="00F84ED0">
        <w:t xml:space="preserve"> revenue to Petitioners because</w:t>
      </w:r>
      <w:r w:rsidR="0080400A">
        <w:t xml:space="preserve"> of</w:t>
      </w:r>
      <w:r w:rsidRPr="00F84ED0">
        <w:t xml:space="preserve"> the </w:t>
      </w:r>
      <w:r w:rsidR="00A47923">
        <w:t xml:space="preserve">combined </w:t>
      </w:r>
      <w:r w:rsidRPr="00F84ED0">
        <w:t xml:space="preserve">impact of Halo’s </w:t>
      </w:r>
      <w:r w:rsidR="00A47923">
        <w:t xml:space="preserve">access avoidance scheme and subsequent </w:t>
      </w:r>
      <w:r w:rsidRPr="00F84ED0">
        <w:t xml:space="preserve">bankruptcy. </w:t>
      </w:r>
      <w:r w:rsidR="0080400A">
        <w:t xml:space="preserve"> </w:t>
      </w:r>
      <w:r>
        <w:t>We additionally reject NCTA’s arguments that the relief granted here favors Petitioners over similarly situated competitive carriers.</w:t>
      </w:r>
      <w:r>
        <w:rPr>
          <w:rStyle w:val="FootnoteReference"/>
        </w:rPr>
        <w:footnoteReference w:id="56"/>
      </w:r>
      <w:r>
        <w:t xml:space="preserve">  As discussed above, this </w:t>
      </w:r>
      <w:r w:rsidR="00E5791A">
        <w:t xml:space="preserve">Order </w:t>
      </w:r>
      <w:r>
        <w:t xml:space="preserve">does not compensate Petitioners for </w:t>
      </w:r>
      <w:r w:rsidR="001660C3">
        <w:t xml:space="preserve">their </w:t>
      </w:r>
      <w:r>
        <w:t>claims against Halo.</w:t>
      </w:r>
      <w:r>
        <w:rPr>
          <w:rStyle w:val="FootnoteReference"/>
        </w:rPr>
        <w:footnoteReference w:id="57"/>
      </w:r>
      <w:r>
        <w:t xml:space="preserve">  Such claims will proceed in the bankruptcy court</w:t>
      </w:r>
      <w:r w:rsidR="00A47923">
        <w:t>,</w:t>
      </w:r>
      <w:r>
        <w:t xml:space="preserve"> along with the claims of all other claimants, including competitive carriers.  The </w:t>
      </w:r>
      <w:r w:rsidRPr="00330AD8">
        <w:rPr>
          <w:i/>
        </w:rPr>
        <w:t>Transformation Order</w:t>
      </w:r>
      <w:r>
        <w:t xml:space="preserve"> treated incumbent and competitive carriers differently because of differences between such carriers.</w:t>
      </w:r>
      <w:r>
        <w:rPr>
          <w:rStyle w:val="FootnoteReference"/>
        </w:rPr>
        <w:footnoteReference w:id="58"/>
      </w:r>
      <w:r>
        <w:t xml:space="preserve">  This </w:t>
      </w:r>
      <w:r w:rsidR="00E5791A">
        <w:t xml:space="preserve">Order </w:t>
      </w:r>
      <w:r>
        <w:t>does not change those determinations.</w:t>
      </w:r>
      <w:r w:rsidRPr="00F84ED0">
        <w:rPr>
          <w:rStyle w:val="FootnoteReference"/>
        </w:rPr>
        <w:footnoteReference w:id="59"/>
      </w:r>
      <w:r>
        <w:t xml:space="preserve">  </w:t>
      </w:r>
      <w:r w:rsidR="008F7939">
        <w:t>I</w:t>
      </w:r>
      <w:r w:rsidR="00E5791A">
        <w:t>n fact, t</w:t>
      </w:r>
      <w:r>
        <w:t xml:space="preserve">his Order helps ensure that the recovery mechanism adopted for incumbent LECs in the </w:t>
      </w:r>
      <w:r>
        <w:rPr>
          <w:i/>
        </w:rPr>
        <w:t xml:space="preserve">Transformation Order </w:t>
      </w:r>
      <w:r>
        <w:t>works as intended.</w:t>
      </w:r>
    </w:p>
    <w:p w:rsidR="006F44FC" w:rsidRDefault="00A67652" w:rsidP="008D4979">
      <w:pPr>
        <w:pStyle w:val="ParaNum"/>
      </w:pPr>
      <w:r w:rsidRPr="005C4206">
        <w:t>We grant Petitioners’ waiver requests subject to t</w:t>
      </w:r>
      <w:r>
        <w:t>he following conditions</w:t>
      </w:r>
      <w:r w:rsidRPr="005C4206">
        <w:t xml:space="preserve"> designed to ensure that Petitioners’ adjustments to their BPR calculations include only </w:t>
      </w:r>
      <w:r w:rsidR="00933D03">
        <w:t>uncollected</w:t>
      </w:r>
      <w:r w:rsidR="00E31F9D">
        <w:t xml:space="preserve"> revenues </w:t>
      </w:r>
      <w:r w:rsidR="00933D03">
        <w:t xml:space="preserve">billed to Halo </w:t>
      </w:r>
      <w:r w:rsidR="00E31F9D">
        <w:t xml:space="preserve">for </w:t>
      </w:r>
      <w:r w:rsidRPr="005C4206">
        <w:t>traffic terminated during FY 2011 that was eligible for intrastate access charge compensation</w:t>
      </w:r>
      <w:r>
        <w:t>.  Prior to the implementation of the relief granted in this Order, each petitioner must</w:t>
      </w:r>
      <w:r w:rsidR="00D56713">
        <w:t>, in order to receive such relief,</w:t>
      </w:r>
      <w:r>
        <w:t xml:space="preserve"> certify</w:t>
      </w:r>
      <w:r w:rsidR="004A0CB3">
        <w:t xml:space="preserve"> </w:t>
      </w:r>
      <w:r w:rsidR="00E31F9D">
        <w:t xml:space="preserve">under penalty of perjury </w:t>
      </w:r>
      <w:r w:rsidR="004A0CB3">
        <w:t>the following:</w:t>
      </w:r>
    </w:p>
    <w:p w:rsidR="006F44FC" w:rsidRDefault="006F44FC" w:rsidP="00B50177">
      <w:pPr>
        <w:pStyle w:val="ParaNum"/>
        <w:widowControl/>
        <w:numPr>
          <w:ilvl w:val="0"/>
          <w:numId w:val="22"/>
        </w:numPr>
      </w:pPr>
      <w:r>
        <w:t xml:space="preserve">First, </w:t>
      </w:r>
      <w:r w:rsidR="008D4979" w:rsidRPr="00F84ED0">
        <w:t xml:space="preserve">that </w:t>
      </w:r>
      <w:r w:rsidR="008D4979">
        <w:t xml:space="preserve">it </w:t>
      </w:r>
      <w:r w:rsidR="008D4979" w:rsidRPr="00F84ED0">
        <w:t xml:space="preserve">terminated all intrastate traffic sent to </w:t>
      </w:r>
      <w:r w:rsidR="008D4979">
        <w:t>it</w:t>
      </w:r>
      <w:r w:rsidR="008D4979" w:rsidRPr="00F84ED0">
        <w:t xml:space="preserve"> by Halo for termination during FY 2011</w:t>
      </w:r>
      <w:r w:rsidR="00D47EE9">
        <w:t xml:space="preserve"> that it seeks to add to its BPR calculations</w:t>
      </w:r>
      <w:r w:rsidR="008D4979">
        <w:t>.  This condition will limit BPR adjustments to reflect traffic for which compensable terminating access services were actually provided.</w:t>
      </w:r>
    </w:p>
    <w:p w:rsidR="006F44FC" w:rsidRDefault="006F44FC" w:rsidP="00B50177">
      <w:pPr>
        <w:pStyle w:val="ParaNum"/>
        <w:widowControl/>
        <w:numPr>
          <w:ilvl w:val="0"/>
          <w:numId w:val="22"/>
        </w:numPr>
      </w:pPr>
      <w:r>
        <w:t xml:space="preserve">Second, </w:t>
      </w:r>
      <w:r w:rsidR="008D4979">
        <w:t xml:space="preserve">that </w:t>
      </w:r>
      <w:r w:rsidR="001660C3">
        <w:t>it</w:t>
      </w:r>
      <w:r w:rsidR="008D4979">
        <w:t xml:space="preserve"> </w:t>
      </w:r>
      <w:r w:rsidR="008D4979" w:rsidRPr="00F84ED0">
        <w:t>billed Halo intrastate access charges fo</w:t>
      </w:r>
      <w:r w:rsidR="008D4979">
        <w:t>r such traffic during FY 2011</w:t>
      </w:r>
      <w:r w:rsidR="00655E14">
        <w:t xml:space="preserve"> or before the close of the next regular billing cycle in F</w:t>
      </w:r>
      <w:r w:rsidR="005503A2">
        <w:t xml:space="preserve">iscal </w:t>
      </w:r>
      <w:r w:rsidR="00655E14">
        <w:t>Y</w:t>
      </w:r>
      <w:r w:rsidR="005503A2">
        <w:t>ear</w:t>
      </w:r>
      <w:r w:rsidR="00655E14">
        <w:t xml:space="preserve"> 2012</w:t>
      </w:r>
      <w:r w:rsidR="00E31F9D">
        <w:t xml:space="preserve"> </w:t>
      </w:r>
      <w:r w:rsidR="00E31F9D" w:rsidRPr="00F84ED0">
        <w:t>fo</w:t>
      </w:r>
      <w:r w:rsidR="00E31F9D">
        <w:t>r the amounts to be added to BPR calculations</w:t>
      </w:r>
      <w:r w:rsidR="008D4979">
        <w:t>.  This condition is designed to limit BPR adjustments to those relating to revenue that Petitioners attempted to collect from Halo for provision of terminating access services during FY 2011.</w:t>
      </w:r>
    </w:p>
    <w:p w:rsidR="00CD4250" w:rsidRDefault="00CD4250" w:rsidP="00CD4250">
      <w:pPr>
        <w:pStyle w:val="ParaNum"/>
        <w:numPr>
          <w:ilvl w:val="0"/>
          <w:numId w:val="22"/>
        </w:numPr>
      </w:pPr>
      <w:r>
        <w:t xml:space="preserve">Third, that a court or state regulatory agency </w:t>
      </w:r>
      <w:r w:rsidR="00D75291">
        <w:t xml:space="preserve">of competent jurisdiction </w:t>
      </w:r>
      <w:r>
        <w:t>has made a finding of liability regarding the compensation for such traffic.</w:t>
      </w:r>
    </w:p>
    <w:p w:rsidR="006F44FC" w:rsidRDefault="00CD4250" w:rsidP="00B4266E">
      <w:pPr>
        <w:pStyle w:val="ParaNum"/>
        <w:numPr>
          <w:ilvl w:val="0"/>
          <w:numId w:val="22"/>
        </w:numPr>
      </w:pPr>
      <w:r>
        <w:t>Fourth</w:t>
      </w:r>
      <w:r w:rsidR="006F44FC">
        <w:t xml:space="preserve">, </w:t>
      </w:r>
      <w:r w:rsidR="008C3E5A">
        <w:t xml:space="preserve">that it </w:t>
      </w:r>
      <w:r w:rsidR="008D4979" w:rsidRPr="00F84ED0">
        <w:t xml:space="preserve">filed a timely claim in the Halo </w:t>
      </w:r>
      <w:r w:rsidR="008D4979">
        <w:t>bankruptcy case</w:t>
      </w:r>
      <w:r w:rsidR="008D4979" w:rsidRPr="00F84ED0">
        <w:t xml:space="preserve"> requesting compensation for such traffic</w:t>
      </w:r>
      <w:r w:rsidR="006F44FC">
        <w:t>,</w:t>
      </w:r>
      <w:r w:rsidR="008D4979">
        <w:t xml:space="preserve"> and any BPR adjustment for a study area resulting from this Order </w:t>
      </w:r>
      <w:r w:rsidR="008C3E5A">
        <w:t>does</w:t>
      </w:r>
      <w:r w:rsidR="008D4979">
        <w:t xml:space="preserve"> not exceed the intrastate access portion of </w:t>
      </w:r>
      <w:r w:rsidR="001660C3">
        <w:t xml:space="preserve">such </w:t>
      </w:r>
      <w:r w:rsidR="00A61E31">
        <w:t>p</w:t>
      </w:r>
      <w:r w:rsidR="008D4979">
        <w:t>etitioner’s bankruptcy claim for that study area.  These requirements are intended to prevent Petitioners from taking actions now to increase their BPR adjustments beyond the amounts of their claims in the Halo bankruptcy case.</w:t>
      </w:r>
    </w:p>
    <w:p w:rsidR="008D4979" w:rsidRDefault="00CD4250" w:rsidP="00B4266E">
      <w:pPr>
        <w:pStyle w:val="ParaNum"/>
        <w:numPr>
          <w:ilvl w:val="0"/>
          <w:numId w:val="22"/>
        </w:numPr>
      </w:pPr>
      <w:r>
        <w:t>Fifth</w:t>
      </w:r>
      <w:r w:rsidR="008D4979" w:rsidRPr="00F84ED0">
        <w:t>,</w:t>
      </w:r>
      <w:r w:rsidR="008D4979">
        <w:t xml:space="preserve"> that </w:t>
      </w:r>
      <w:r w:rsidR="001660C3">
        <w:t>its</w:t>
      </w:r>
      <w:r w:rsidR="008D4979">
        <w:t xml:space="preserve"> BPR adjustment amounts do not include </w:t>
      </w:r>
      <w:r w:rsidR="008D4979" w:rsidRPr="00F84ED0">
        <w:t>any interest, late payment fees, collection fees, or attorney fees</w:t>
      </w:r>
      <w:r w:rsidR="00757BD2">
        <w:t>, in order to ensure that BPR adjustments are limited to revenue associated with compensable traffic, and do not include other types of revenue</w:t>
      </w:r>
      <w:r w:rsidR="008D4979" w:rsidRPr="00F84ED0">
        <w:t>.</w:t>
      </w:r>
      <w:r w:rsidR="0061076E">
        <w:t xml:space="preserve">  In addition, such certification must confirm that the revenues supporting the requested BPR adjustments are not already included in the BPR calculations.</w:t>
      </w:r>
    </w:p>
    <w:p w:rsidR="008D4979" w:rsidRPr="00380599" w:rsidRDefault="008D4979" w:rsidP="005A78D3">
      <w:pPr>
        <w:pStyle w:val="Heading1"/>
      </w:pPr>
      <w:r w:rsidRPr="00380599">
        <w:t>Administrative Implementation of relief granted</w:t>
      </w:r>
    </w:p>
    <w:p w:rsidR="008D4979" w:rsidRPr="00F84ED0" w:rsidRDefault="008D4979" w:rsidP="008D4979">
      <w:pPr>
        <w:pStyle w:val="ParaNum"/>
      </w:pPr>
      <w:r>
        <w:t>This section addresses</w:t>
      </w:r>
      <w:r w:rsidRPr="00F84ED0">
        <w:t xml:space="preserve"> how the amount of relief </w:t>
      </w:r>
      <w:r>
        <w:t xml:space="preserve">granted in this </w:t>
      </w:r>
      <w:r w:rsidR="00592A9A">
        <w:t>O</w:t>
      </w:r>
      <w:r>
        <w:t xml:space="preserve">rder </w:t>
      </w:r>
      <w:r w:rsidRPr="00F84ED0">
        <w:t>is to be determined and the process for payment by the Universal Service Administrative Company (USAC).</w:t>
      </w:r>
      <w:r w:rsidRPr="00F84ED0">
        <w:rPr>
          <w:rStyle w:val="FootnoteReference"/>
        </w:rPr>
        <w:footnoteReference w:id="60"/>
      </w:r>
      <w:r w:rsidRPr="00F84ED0">
        <w:t xml:space="preserve">  It is important to note at the outset that Petitioners are all rate-of-return LECs that</w:t>
      </w:r>
      <w:r w:rsidR="00CA4349">
        <w:t xml:space="preserve"> have</w:t>
      </w:r>
      <w:r w:rsidR="00592A9A">
        <w:t>,</w:t>
      </w:r>
      <w:r w:rsidR="00CA4349">
        <w:t xml:space="preserve"> to date</w:t>
      </w:r>
      <w:r w:rsidR="00592A9A">
        <w:t>,</w:t>
      </w:r>
      <w:r w:rsidRPr="00F84ED0">
        <w:t xml:space="preserve"> both recovered the maximum amount possible from </w:t>
      </w:r>
      <w:r>
        <w:t>ARCs</w:t>
      </w:r>
      <w:r>
        <w:rPr>
          <w:rStyle w:val="FootnoteReference"/>
        </w:rPr>
        <w:footnoteReference w:id="61"/>
      </w:r>
      <w:r>
        <w:t xml:space="preserve"> a</w:t>
      </w:r>
      <w:r w:rsidRPr="00F84ED0">
        <w:t xml:space="preserve">nd received CAF ICC support in </w:t>
      </w:r>
      <w:r w:rsidR="004C2AF8">
        <w:t xml:space="preserve">tariff years </w:t>
      </w:r>
      <w:r w:rsidRPr="00F84ED0">
        <w:t>2012</w:t>
      </w:r>
      <w:r w:rsidR="00224920">
        <w:t>,</w:t>
      </w:r>
      <w:r w:rsidRPr="00F84ED0">
        <w:t xml:space="preserve"> </w:t>
      </w:r>
      <w:r w:rsidR="004C2AF8">
        <w:t xml:space="preserve">2013, </w:t>
      </w:r>
      <w:r w:rsidRPr="00F84ED0">
        <w:t>and 201</w:t>
      </w:r>
      <w:r w:rsidR="004C2AF8">
        <w:t>4</w:t>
      </w:r>
      <w:r w:rsidRPr="00F84ED0">
        <w:t>.</w:t>
      </w:r>
      <w:r w:rsidRPr="00F84ED0">
        <w:rPr>
          <w:rStyle w:val="FootnoteReference"/>
        </w:rPr>
        <w:footnoteReference w:id="62"/>
      </w:r>
      <w:r w:rsidRPr="00F84ED0">
        <w:t xml:space="preserve">  Accordingly, any additional </w:t>
      </w:r>
      <w:r>
        <w:t>recovery mechanism revenue</w:t>
      </w:r>
      <w:r w:rsidRPr="00F84ED0">
        <w:t xml:space="preserve"> that Petitioners receive as a result of this </w:t>
      </w:r>
      <w:r w:rsidR="00592A9A">
        <w:t>O</w:t>
      </w:r>
      <w:r w:rsidRPr="00F84ED0">
        <w:t>rder for 2012</w:t>
      </w:r>
      <w:r w:rsidR="004C2AF8">
        <w:t>,</w:t>
      </w:r>
      <w:r w:rsidRPr="00F84ED0">
        <w:t xml:space="preserve"> </w:t>
      </w:r>
      <w:r w:rsidR="004C2AF8">
        <w:t xml:space="preserve">2013, </w:t>
      </w:r>
      <w:r w:rsidRPr="00F84ED0">
        <w:t>and 201</w:t>
      </w:r>
      <w:r w:rsidR="004C2AF8">
        <w:t>4</w:t>
      </w:r>
      <w:r w:rsidR="008C5CF1">
        <w:t>,</w:t>
      </w:r>
      <w:r w:rsidR="00A851AD">
        <w:t xml:space="preserve"> and potentially for future tariff years</w:t>
      </w:r>
      <w:r w:rsidR="008C5CF1">
        <w:t>,</w:t>
      </w:r>
      <w:r w:rsidRPr="00F84ED0">
        <w:t xml:space="preserve"> will come from CAF ICC </w:t>
      </w:r>
      <w:r>
        <w:t xml:space="preserve">support </w:t>
      </w:r>
      <w:r w:rsidRPr="00F84ED0">
        <w:t>and not from ARCs.</w:t>
      </w:r>
      <w:r w:rsidRPr="00F84ED0">
        <w:rPr>
          <w:rStyle w:val="FootnoteReference"/>
        </w:rPr>
        <w:footnoteReference w:id="63"/>
      </w:r>
    </w:p>
    <w:p w:rsidR="008D4979" w:rsidRPr="00F84ED0" w:rsidRDefault="008D4979" w:rsidP="008C5CF1">
      <w:pPr>
        <w:pStyle w:val="ParaNum"/>
      </w:pPr>
      <w:r w:rsidRPr="00F84ED0">
        <w:t xml:space="preserve">Initially, Petitioners shall determine for each affected study area the amount of unpaid intrastate </w:t>
      </w:r>
      <w:r>
        <w:t xml:space="preserve">switched access </w:t>
      </w:r>
      <w:r w:rsidRPr="00F84ED0">
        <w:t>revenues that were billed to Halo during FY 2011</w:t>
      </w:r>
      <w:r w:rsidR="00CA4349">
        <w:t xml:space="preserve"> for which a court or state regulatory agency </w:t>
      </w:r>
      <w:r w:rsidR="00D47E9D">
        <w:t xml:space="preserve">of competent jurisdiction </w:t>
      </w:r>
      <w:r w:rsidR="00CA4349">
        <w:t>has determined liability</w:t>
      </w:r>
      <w:r w:rsidRPr="00F84ED0">
        <w:t xml:space="preserve"> and that are associated with the waiver request</w:t>
      </w:r>
      <w:r w:rsidR="00592A9A">
        <w:t>s</w:t>
      </w:r>
      <w:r w:rsidRPr="00F84ED0">
        <w:t xml:space="preserve">.  This number represents the amount billed to Halo that was uncollected by each </w:t>
      </w:r>
      <w:r w:rsidR="00A61E31">
        <w:t>p</w:t>
      </w:r>
      <w:r w:rsidRPr="00F84ED0">
        <w:t>etitioner for each affected study area</w:t>
      </w:r>
      <w:r w:rsidR="0088771B">
        <w:t xml:space="preserve"> for services during FY 2011</w:t>
      </w:r>
      <w:r w:rsidR="00484BEA">
        <w:t xml:space="preserve"> and is the starting point for determining the amount recoverable pursuant to th</w:t>
      </w:r>
      <w:r w:rsidR="00592A9A">
        <w:t>ese</w:t>
      </w:r>
      <w:r w:rsidR="00484BEA">
        <w:t xml:space="preserve"> waiver</w:t>
      </w:r>
      <w:r w:rsidR="00592A9A">
        <w:t>s</w:t>
      </w:r>
      <w:r w:rsidRPr="00F84ED0">
        <w:t xml:space="preserve">.  To derive a representative collected revenue amount for the amounts billed to Halo, each </w:t>
      </w:r>
      <w:r w:rsidR="00A61E31">
        <w:t>p</w:t>
      </w:r>
      <w:r w:rsidRPr="00F84ED0">
        <w:t xml:space="preserve">etitioner shall adjust the billed amount by the uncollectible factor used for the initial BPR determination for the relevant study area.  The </w:t>
      </w:r>
      <w:r>
        <w:t xml:space="preserve">lesser of the </w:t>
      </w:r>
      <w:r w:rsidRPr="00F84ED0">
        <w:t>adjusted amount</w:t>
      </w:r>
      <w:r>
        <w:t xml:space="preserve"> or the</w:t>
      </w:r>
      <w:r w:rsidRPr="00F84ED0">
        <w:t xml:space="preserve"> </w:t>
      </w:r>
      <w:r w:rsidR="00A61E31">
        <w:t>p</w:t>
      </w:r>
      <w:r>
        <w:t xml:space="preserve">etitioner’s claim amount in the Halo bankruptcy case for each affected study area </w:t>
      </w:r>
      <w:r w:rsidRPr="00F84ED0">
        <w:t xml:space="preserve">is the increase that the </w:t>
      </w:r>
      <w:r w:rsidR="00A61E31">
        <w:t>p</w:t>
      </w:r>
      <w:r w:rsidRPr="00F84ED0">
        <w:t xml:space="preserve">etitioner may make for that particular study area in its BPR calculations.  </w:t>
      </w:r>
      <w:r w:rsidR="00923789">
        <w:t>E</w:t>
      </w:r>
      <w:r w:rsidRPr="00F84ED0">
        <w:t xml:space="preserve">ach </w:t>
      </w:r>
      <w:r w:rsidR="00A61E31">
        <w:t>p</w:t>
      </w:r>
      <w:r w:rsidRPr="00F84ED0">
        <w:t xml:space="preserve">etitioner shall include this increase to the intrastate collected revenue amount shown in its 2012 </w:t>
      </w:r>
      <w:r w:rsidR="00923789">
        <w:t xml:space="preserve">and subsequent year </w:t>
      </w:r>
      <w:r w:rsidRPr="00F84ED0">
        <w:t>tariff support materials.</w:t>
      </w:r>
      <w:r w:rsidR="00C258FB">
        <w:rPr>
          <w:rStyle w:val="FootnoteReference"/>
        </w:rPr>
        <w:footnoteReference w:id="64"/>
      </w:r>
    </w:p>
    <w:p w:rsidR="00923789" w:rsidRDefault="008D4979" w:rsidP="008C5CF1">
      <w:pPr>
        <w:pStyle w:val="ParaNum"/>
      </w:pPr>
      <w:r w:rsidRPr="00F84ED0">
        <w:t>In addition, Petitioners are required to file with the Commission—and certify to the accuracy of—the different categories of charges (</w:t>
      </w:r>
      <w:r w:rsidRPr="00E22C62">
        <w:t>e.g</w:t>
      </w:r>
      <w:r w:rsidRPr="00006D1C">
        <w:t>.</w:t>
      </w:r>
      <w:r w:rsidR="00006D1C" w:rsidRPr="00006D1C">
        <w:t>,</w:t>
      </w:r>
      <w:r w:rsidRPr="00F84ED0">
        <w:t xml:space="preserve"> intrastate access, interstate access, </w:t>
      </w:r>
      <w:r>
        <w:t xml:space="preserve">interest, </w:t>
      </w:r>
      <w:r w:rsidRPr="00F84ED0">
        <w:t xml:space="preserve">late </w:t>
      </w:r>
      <w:r>
        <w:t xml:space="preserve">payment </w:t>
      </w:r>
      <w:r w:rsidRPr="00F84ED0">
        <w:t>fees, collection</w:t>
      </w:r>
      <w:r>
        <w:t xml:space="preserve"> fees</w:t>
      </w:r>
      <w:r w:rsidRPr="00F84ED0">
        <w:t xml:space="preserve">, </w:t>
      </w:r>
      <w:r>
        <w:t>attorney’s fees</w:t>
      </w:r>
      <w:r w:rsidRPr="00F84ED0">
        <w:t xml:space="preserve">) and amounts for each category included in their Halo </w:t>
      </w:r>
      <w:r>
        <w:t>bankruptcy case</w:t>
      </w:r>
      <w:r w:rsidRPr="00F84ED0">
        <w:t xml:space="preserve"> claims.</w:t>
      </w:r>
      <w:r>
        <w:rPr>
          <w:rStyle w:val="FootnoteReference"/>
        </w:rPr>
        <w:footnoteReference w:id="65"/>
      </w:r>
      <w:r w:rsidRPr="00F84ED0">
        <w:t xml:space="preserve">  For the specific purpose of implementing the relief granted in this Order, each </w:t>
      </w:r>
      <w:r w:rsidR="005D1FBE">
        <w:t>p</w:t>
      </w:r>
      <w:r w:rsidRPr="00F84ED0">
        <w:t xml:space="preserve">etitioner shall </w:t>
      </w:r>
      <w:r w:rsidR="002B6674">
        <w:t xml:space="preserve">submit </w:t>
      </w:r>
      <w:r w:rsidR="00006D1C">
        <w:t>to USAC and the relevant state commission</w:t>
      </w:r>
      <w:r w:rsidR="00006D1C" w:rsidRPr="00F84ED0">
        <w:t xml:space="preserve"> </w:t>
      </w:r>
      <w:r w:rsidR="002B6674">
        <w:t>revised</w:t>
      </w:r>
      <w:r w:rsidR="00125630">
        <w:t xml:space="preserve"> data that was filed pursuant to section 54.304(d) of the Commission’s rules.</w:t>
      </w:r>
      <w:r w:rsidR="00981183">
        <w:rPr>
          <w:rStyle w:val="FootnoteReference"/>
        </w:rPr>
        <w:footnoteReference w:id="66"/>
      </w:r>
      <w:r w:rsidRPr="00F84ED0">
        <w:t xml:space="preserve">  Each </w:t>
      </w:r>
      <w:r w:rsidR="005D1FBE">
        <w:t>p</w:t>
      </w:r>
      <w:r w:rsidRPr="00F84ED0">
        <w:t>etitioner should note the FCC number of this Order as authority for the request and include supporting documentation for the calculations.  An officer of the company must certify, under penalty of perjury, that the requested amount is calculated in a manner consistent with the requirements of this Order.</w:t>
      </w:r>
    </w:p>
    <w:p w:rsidR="006E595E" w:rsidRPr="00F84ED0" w:rsidRDefault="00923789" w:rsidP="008C5CF1">
      <w:pPr>
        <w:pStyle w:val="ParaNum"/>
      </w:pPr>
      <w:r>
        <w:t>To effectuate</w:t>
      </w:r>
      <w:r w:rsidRPr="00F84ED0">
        <w:t xml:space="preserve"> </w:t>
      </w:r>
      <w:r>
        <w:t xml:space="preserve">the </w:t>
      </w:r>
      <w:r w:rsidRPr="00F84ED0">
        <w:t xml:space="preserve">relief </w:t>
      </w:r>
      <w:r>
        <w:t>granted by this waiver, Petitioners</w:t>
      </w:r>
      <w:r w:rsidRPr="00394FE2">
        <w:t xml:space="preserve"> </w:t>
      </w:r>
      <w:r>
        <w:t xml:space="preserve">shall file with the Commission in the Electronic Tariff Filing System corrected </w:t>
      </w:r>
      <w:r w:rsidR="00846EA8">
        <w:t>Tariff Review Plan (</w:t>
      </w:r>
      <w:r>
        <w:t>TRP</w:t>
      </w:r>
      <w:r w:rsidR="00846EA8">
        <w:t>)</w:t>
      </w:r>
      <w:r>
        <w:t xml:space="preserve"> worksheets with amended Eligible Recovery amounts</w:t>
      </w:r>
      <w:r w:rsidR="00125630">
        <w:t>, as well as the</w:t>
      </w:r>
      <w:r>
        <w:t xml:space="preserve"> required certifications</w:t>
      </w:r>
      <w:r w:rsidR="00125630">
        <w:t xml:space="preserve">.  </w:t>
      </w:r>
      <w:r>
        <w:t>E</w:t>
      </w:r>
      <w:r w:rsidR="008D4979" w:rsidRPr="00F84ED0">
        <w:t xml:space="preserve">ach </w:t>
      </w:r>
      <w:r w:rsidR="005D1FBE">
        <w:t>p</w:t>
      </w:r>
      <w:r w:rsidR="008D4979" w:rsidRPr="00F84ED0">
        <w:t xml:space="preserve">etitioner shall </w:t>
      </w:r>
      <w:r>
        <w:t xml:space="preserve">also </w:t>
      </w:r>
      <w:r w:rsidR="008D4979">
        <w:t>file</w:t>
      </w:r>
      <w:r w:rsidR="008D4979" w:rsidRPr="00F84ED0">
        <w:t xml:space="preserve"> a </w:t>
      </w:r>
      <w:r>
        <w:t>notice</w:t>
      </w:r>
      <w:r w:rsidR="008D4979" w:rsidRPr="00F84ED0">
        <w:t xml:space="preserve"> of </w:t>
      </w:r>
      <w:r w:rsidR="008D4979">
        <w:t>its</w:t>
      </w:r>
      <w:r w:rsidR="00125630">
        <w:t xml:space="preserve"> corrected TRP filing in the Electronic Comment Filing System (ECFS</w:t>
      </w:r>
      <w:r w:rsidR="002B6674">
        <w:t>)</w:t>
      </w:r>
      <w:r w:rsidR="002B6674" w:rsidRPr="00F84ED0">
        <w:t xml:space="preserve"> </w:t>
      </w:r>
      <w:r w:rsidR="002B6674">
        <w:t>in</w:t>
      </w:r>
      <w:r w:rsidR="008D4979" w:rsidRPr="00F84ED0">
        <w:t xml:space="preserve"> </w:t>
      </w:r>
      <w:r w:rsidR="008D4979">
        <w:t>WC Docket No. 10-90</w:t>
      </w:r>
      <w:r>
        <w:t>,</w:t>
      </w:r>
      <w:r w:rsidR="001A0C46">
        <w:t xml:space="preserve"> and must e-mail a copy of the notice to Richard Kwiatkowski, Pricing Policy Division, Wireline Competition Bureau, at Richard.Kwiatkowski@fcc.gov.</w:t>
      </w:r>
      <w:r w:rsidR="008D4979" w:rsidRPr="00F84ED0">
        <w:t xml:space="preserve">  If </w:t>
      </w:r>
      <w:r w:rsidR="008D4979">
        <w:t xml:space="preserve">a </w:t>
      </w:r>
      <w:r w:rsidR="0088771B">
        <w:t xml:space="preserve">state </w:t>
      </w:r>
      <w:r w:rsidR="008D4979">
        <w:t xml:space="preserve">PUC </w:t>
      </w:r>
      <w:r w:rsidR="00D40C9C">
        <w:t xml:space="preserve">or other interested person </w:t>
      </w:r>
      <w:r w:rsidR="008D4979">
        <w:t>objects</w:t>
      </w:r>
      <w:r w:rsidR="00981183">
        <w:t xml:space="preserve"> to the revised data,</w:t>
      </w:r>
      <w:r w:rsidR="008D4979">
        <w:t xml:space="preserve"> </w:t>
      </w:r>
      <w:r w:rsidR="00125630">
        <w:t xml:space="preserve">it </w:t>
      </w:r>
      <w:r w:rsidR="008D4979">
        <w:t xml:space="preserve">shall file its objection in </w:t>
      </w:r>
      <w:r w:rsidR="008D4979" w:rsidRPr="00BA14A8">
        <w:t>WC Docket No. 10-90</w:t>
      </w:r>
      <w:r w:rsidR="00006D1C">
        <w:t xml:space="preserve"> </w:t>
      </w:r>
      <w:r w:rsidR="00BB581A">
        <w:t xml:space="preserve">within </w:t>
      </w:r>
      <w:r w:rsidR="00D91843">
        <w:t xml:space="preserve">21 </w:t>
      </w:r>
      <w:r w:rsidR="00BB581A">
        <w:t>days of the filing</w:t>
      </w:r>
      <w:r w:rsidR="00981183">
        <w:t xml:space="preserve"> of the notice in ECFS</w:t>
      </w:r>
      <w:r w:rsidR="008D4979">
        <w:t xml:space="preserve">.  The Commission’s Wireline Competition Bureau (Bureau) will release a Public Notice in </w:t>
      </w:r>
      <w:r w:rsidR="008D4979" w:rsidRPr="00BA14A8">
        <w:t>WC Docket No. 10-90</w:t>
      </w:r>
      <w:r w:rsidR="008D4979">
        <w:t xml:space="preserve"> directing USAC to withhold payment while the Bureau </w:t>
      </w:r>
      <w:r w:rsidR="0088771B">
        <w:t xml:space="preserve">resolves </w:t>
      </w:r>
      <w:r w:rsidR="008D4979">
        <w:t>objections.  If</w:t>
      </w:r>
      <w:r w:rsidR="008D4979" w:rsidRPr="00BA14A8">
        <w:t xml:space="preserve"> </w:t>
      </w:r>
      <w:r w:rsidR="008D4979">
        <w:t>such</w:t>
      </w:r>
      <w:r w:rsidR="008D4979" w:rsidRPr="00F84ED0">
        <w:t xml:space="preserve"> a</w:t>
      </w:r>
      <w:r w:rsidR="008D4979">
        <w:t xml:space="preserve"> Public Notice</w:t>
      </w:r>
      <w:r w:rsidR="008D4979" w:rsidRPr="00F84ED0">
        <w:t xml:space="preserve"> </w:t>
      </w:r>
      <w:r w:rsidR="008C3E5A">
        <w:t xml:space="preserve">is not released </w:t>
      </w:r>
      <w:r w:rsidR="008D4979">
        <w:t xml:space="preserve">in the relevant docket </w:t>
      </w:r>
      <w:r w:rsidR="008D4979" w:rsidRPr="00F84ED0">
        <w:t xml:space="preserve">within </w:t>
      </w:r>
      <w:r w:rsidR="00D91843">
        <w:t xml:space="preserve">45 </w:t>
      </w:r>
      <w:r w:rsidR="008D4979" w:rsidRPr="00F84ED0">
        <w:t>days o</w:t>
      </w:r>
      <w:r w:rsidR="008D4979">
        <w:t xml:space="preserve">f </w:t>
      </w:r>
      <w:r w:rsidR="008D4979" w:rsidRPr="00F84ED0">
        <w:t xml:space="preserve">a </w:t>
      </w:r>
      <w:r w:rsidR="005D1FBE">
        <w:t>p</w:t>
      </w:r>
      <w:r w:rsidR="008D4979">
        <w:t>etitioner’s request,</w:t>
      </w:r>
      <w:r w:rsidR="008D4979" w:rsidRPr="00F84ED0">
        <w:t xml:space="preserve"> USAC shall proceed to process the </w:t>
      </w:r>
      <w:r w:rsidR="005D1FBE">
        <w:t>p</w:t>
      </w:r>
      <w:r w:rsidR="008D4979" w:rsidRPr="00F84ED0">
        <w:t>etitioner’s request</w:t>
      </w:r>
      <w:r w:rsidR="008D4979">
        <w:t xml:space="preserve"> and issue payment.  We delegate authority to the Bureau to determine and carry out appropriate procedures to resolve objections.</w:t>
      </w:r>
    </w:p>
    <w:p w:rsidR="008D4979" w:rsidRPr="00E22C62" w:rsidRDefault="008D4979" w:rsidP="00E22C62">
      <w:pPr>
        <w:pStyle w:val="Heading1"/>
      </w:pPr>
      <w:r w:rsidRPr="00E22C62">
        <w:t>Ordering Clauses</w:t>
      </w:r>
    </w:p>
    <w:p w:rsidR="008D4979" w:rsidRPr="00F84ED0" w:rsidRDefault="008D4979" w:rsidP="008D4979">
      <w:pPr>
        <w:pStyle w:val="ParaNum"/>
      </w:pPr>
      <w:r w:rsidRPr="00F84ED0">
        <w:t xml:space="preserve">Accordingly, IT IS ORDERED that, pursuant to sections 1, 4(i) and (j), 201-202, 251, and 254 of the Communications Act of 1934, as amended, 47 U.S.C. §§ 151, 154(i) and (j), 201-202, 251, and 254, and section 1.3 of the Commission’s rules, 47 C.F.R. § 1.3, the Petition for Limited Waiver filed on August </w:t>
      </w:r>
      <w:r w:rsidR="00846EA8">
        <w:t>9</w:t>
      </w:r>
      <w:r w:rsidRPr="00F84ED0">
        <w:t>, 2012, by TDS Telecommunications Corp.,</w:t>
      </w:r>
      <w:r>
        <w:t xml:space="preserve"> and the </w:t>
      </w:r>
      <w:r w:rsidR="00006D1C">
        <w:t>P</w:t>
      </w:r>
      <w:r>
        <w:t xml:space="preserve">etition for Limited Waiver filed jointly on November 19, 2012, by Cimarron Telephone Company, Cross Telephone Company, and </w:t>
      </w:r>
      <w:r w:rsidR="00FF6CE1">
        <w:t xml:space="preserve">the </w:t>
      </w:r>
      <w:r>
        <w:t>Pottawatomie Telephone Company ARE</w:t>
      </w:r>
      <w:r w:rsidRPr="00F84ED0">
        <w:t xml:space="preserve"> GRANTED to the extent specified herein</w:t>
      </w:r>
      <w:r>
        <w:t>, and are otherwise DENIED</w:t>
      </w:r>
      <w:r w:rsidRPr="00F84ED0">
        <w:t>.</w:t>
      </w:r>
    </w:p>
    <w:p w:rsidR="008D4979" w:rsidRPr="00F84ED0" w:rsidRDefault="008D4979" w:rsidP="008D4979">
      <w:pPr>
        <w:pStyle w:val="ParaNum"/>
      </w:pPr>
      <w:r w:rsidRPr="00F84ED0">
        <w:t xml:space="preserve">IT IS FURTHER ORDERED that the Universal Service Administrative Company </w:t>
      </w:r>
      <w:r w:rsidRPr="00E22C62">
        <w:rPr>
          <w:caps/>
        </w:rPr>
        <w:t>shall make payments</w:t>
      </w:r>
      <w:r w:rsidRPr="00F84ED0">
        <w:t xml:space="preserve"> in accordance with the requirements of paragraph</w:t>
      </w:r>
      <w:r w:rsidR="00D90F3C">
        <w:t>s</w:t>
      </w:r>
      <w:r w:rsidRPr="00F84ED0">
        <w:t xml:space="preserve"> </w:t>
      </w:r>
      <w:r w:rsidR="00757BD2">
        <w:t xml:space="preserve">26 </w:t>
      </w:r>
      <w:r w:rsidR="00D90F3C">
        <w:t xml:space="preserve">and 27 </w:t>
      </w:r>
      <w:r>
        <w:t>of this Order</w:t>
      </w:r>
      <w:r w:rsidRPr="00F84ED0">
        <w:t>.</w:t>
      </w:r>
    </w:p>
    <w:p w:rsidR="008D4979" w:rsidRPr="00F84ED0" w:rsidRDefault="008D4979" w:rsidP="005D4888">
      <w:pPr>
        <w:pStyle w:val="ParaNum"/>
        <w:keepNext/>
        <w:widowControl/>
      </w:pPr>
      <w:r w:rsidRPr="00F84ED0">
        <w:t>IT IS FURTHER ORDERED that pursuant to section 1.103 of the Commission’s rules, 47 C.F.R. § 1.103, this Order SHALL BE EFFECTIVE upon release.</w:t>
      </w:r>
    </w:p>
    <w:p w:rsidR="008D4979" w:rsidRPr="00F84ED0" w:rsidRDefault="008D4979" w:rsidP="00B51896">
      <w:pPr>
        <w:pStyle w:val="ParaNum"/>
        <w:keepNext/>
        <w:widowControl/>
        <w:numPr>
          <w:ilvl w:val="0"/>
          <w:numId w:val="0"/>
        </w:numPr>
        <w:contextualSpacing/>
      </w:pPr>
    </w:p>
    <w:p w:rsidR="006A4847" w:rsidRDefault="006A4847" w:rsidP="00E22C62">
      <w:r>
        <w:tab/>
      </w:r>
      <w:r>
        <w:tab/>
      </w:r>
      <w:r>
        <w:tab/>
      </w:r>
      <w:r>
        <w:tab/>
      </w:r>
      <w:r>
        <w:tab/>
      </w:r>
      <w:r>
        <w:tab/>
        <w:t>FEDERAL COMMUNICATIONS COMMISSION</w:t>
      </w:r>
    </w:p>
    <w:p w:rsidR="006A4847" w:rsidRDefault="006A4847" w:rsidP="00E22C62"/>
    <w:p w:rsidR="006A4847" w:rsidRDefault="006A4847" w:rsidP="00E22C62"/>
    <w:p w:rsidR="006A4847" w:rsidRDefault="006A4847" w:rsidP="00E22C62"/>
    <w:p w:rsidR="006A4847" w:rsidRDefault="006A4847" w:rsidP="00E22C62"/>
    <w:p w:rsidR="006A4847" w:rsidRDefault="006A4847" w:rsidP="00E22C62">
      <w:r>
        <w:tab/>
      </w:r>
      <w:r>
        <w:tab/>
      </w:r>
      <w:r>
        <w:tab/>
      </w:r>
      <w:r>
        <w:tab/>
      </w:r>
      <w:r>
        <w:tab/>
      </w:r>
      <w:r>
        <w:tab/>
        <w:t>Marlene H. Dortch</w:t>
      </w:r>
    </w:p>
    <w:p w:rsidR="008D4979" w:rsidRDefault="006A4847" w:rsidP="00E22C62">
      <w:r>
        <w:tab/>
      </w:r>
      <w:r>
        <w:tab/>
      </w:r>
      <w:r>
        <w:tab/>
      </w:r>
      <w:r>
        <w:tab/>
      </w:r>
      <w:r>
        <w:tab/>
      </w:r>
      <w:r>
        <w:tab/>
        <w:t>Secretary</w:t>
      </w:r>
    </w:p>
    <w:p w:rsidR="00C63B38" w:rsidRDefault="00C63B38">
      <w:pPr>
        <w:widowControl/>
      </w:pPr>
      <w:r>
        <w:br w:type="page"/>
      </w:r>
    </w:p>
    <w:p w:rsidR="00C63B38" w:rsidRPr="00986833" w:rsidRDefault="00C63B38" w:rsidP="00C63B38">
      <w:pPr>
        <w:jc w:val="center"/>
        <w:rPr>
          <w:b/>
          <w:caps/>
        </w:rPr>
      </w:pPr>
      <w:r>
        <w:rPr>
          <w:b/>
          <w:caps/>
        </w:rPr>
        <w:t xml:space="preserve">JOINT </w:t>
      </w:r>
      <w:r w:rsidRPr="00986833">
        <w:rPr>
          <w:b/>
          <w:caps/>
        </w:rPr>
        <w:t xml:space="preserve">Statement of </w:t>
      </w:r>
    </w:p>
    <w:p w:rsidR="00C63B38" w:rsidRPr="00986833" w:rsidRDefault="00C63B38" w:rsidP="00C63B38">
      <w:pPr>
        <w:spacing w:after="240"/>
        <w:jc w:val="center"/>
        <w:rPr>
          <w:b/>
          <w:caps/>
        </w:rPr>
      </w:pPr>
      <w:r w:rsidRPr="00986833">
        <w:rPr>
          <w:b/>
          <w:caps/>
        </w:rPr>
        <w:t>Commissioner</w:t>
      </w:r>
      <w:r>
        <w:rPr>
          <w:b/>
          <w:caps/>
        </w:rPr>
        <w:t>S</w:t>
      </w:r>
      <w:r w:rsidRPr="00986833">
        <w:rPr>
          <w:b/>
          <w:caps/>
        </w:rPr>
        <w:t xml:space="preserve"> Mignon L. Clyburn</w:t>
      </w:r>
      <w:r>
        <w:rPr>
          <w:b/>
          <w:caps/>
        </w:rPr>
        <w:t xml:space="preserve"> AND </w:t>
      </w:r>
      <w:r w:rsidRPr="006C6241">
        <w:rPr>
          <w:b/>
          <w:caps/>
        </w:rPr>
        <w:t>Michael O’Rielly</w:t>
      </w:r>
    </w:p>
    <w:p w:rsidR="00C63B38" w:rsidRPr="00986833" w:rsidRDefault="00C63B38" w:rsidP="00C63B38">
      <w:pPr>
        <w:jc w:val="center"/>
        <w:rPr>
          <w:b/>
        </w:rPr>
      </w:pPr>
    </w:p>
    <w:p w:rsidR="00C63B38" w:rsidRPr="000A6291" w:rsidRDefault="00C63B38" w:rsidP="00C63B38">
      <w:pPr>
        <w:spacing w:after="240"/>
        <w:ind w:left="720" w:hanging="720"/>
      </w:pPr>
      <w:r w:rsidRPr="001560EA">
        <w:t>Re</w:t>
      </w:r>
      <w:r w:rsidRPr="001560EA">
        <w:rPr>
          <w:b/>
        </w:rPr>
        <w:t>:</w:t>
      </w:r>
      <w:r w:rsidRPr="00986833">
        <w:rPr>
          <w:b/>
          <w:i/>
        </w:rPr>
        <w:t xml:space="preserve"> </w:t>
      </w:r>
      <w:r w:rsidRPr="00986833">
        <w:rPr>
          <w:i/>
        </w:rPr>
        <w:t xml:space="preserve"> </w:t>
      </w:r>
      <w:r w:rsidRPr="00986833">
        <w:rPr>
          <w:i/>
        </w:rPr>
        <w:tab/>
      </w:r>
      <w:r w:rsidRPr="00986833">
        <w:rPr>
          <w:i/>
          <w:spacing w:val="-2"/>
        </w:rPr>
        <w:t>Connect America Fund</w:t>
      </w:r>
      <w:r w:rsidRPr="00986833">
        <w:rPr>
          <w:spacing w:val="-2"/>
        </w:rPr>
        <w:t>, WC Docket No. 10-90</w:t>
      </w:r>
      <w:r>
        <w:rPr>
          <w:spacing w:val="-2"/>
        </w:rPr>
        <w:t>,</w:t>
      </w:r>
      <w:r w:rsidRPr="00986833">
        <w:rPr>
          <w:spacing w:val="-2"/>
        </w:rPr>
        <w:t xml:space="preserve"> </w:t>
      </w:r>
      <w:r w:rsidRPr="0056375A">
        <w:rPr>
          <w:i/>
        </w:rPr>
        <w:t>Developing a Unified Intercarrier Compensation Regime</w:t>
      </w:r>
      <w:r>
        <w:t xml:space="preserve">, CC Docket No. 01-92; </w:t>
      </w:r>
      <w:r w:rsidRPr="0056375A">
        <w:rPr>
          <w:i/>
        </w:rPr>
        <w:t>Petitions for Waiver of Section 51.917(</w:t>
      </w:r>
      <w:r>
        <w:rPr>
          <w:i/>
        </w:rPr>
        <w:t>b)(7) of the Commission’s Rules</w:t>
      </w:r>
      <w:r>
        <w:t>.</w:t>
      </w:r>
    </w:p>
    <w:p w:rsidR="00C63B38" w:rsidRPr="00E22C62" w:rsidRDefault="00C63B38" w:rsidP="00C63B38">
      <w:pPr>
        <w:spacing w:after="120"/>
        <w:ind w:firstLine="720"/>
      </w:pPr>
      <w:r w:rsidRPr="00E73EC9">
        <w:t xml:space="preserve">We support the item because it contains necessary safeguards to ensure a court or regulatory agency of competent jurisdiction has made a finding of liability before a carrier receives any additional Connect America Fund support.  Doing so is consistent with the goals of intercarrier compensation reform to provide a path away from the legacy subsidies as well as an important safeguard for consumers who contribute to the universal service fund.  We appreciate the willingness of the Chairman to ensure that these safeguards are in </w:t>
      </w:r>
      <w:r>
        <w:t>place before granting a waiver.</w:t>
      </w:r>
      <w:r w:rsidRPr="00E73EC9">
        <w:t xml:space="preserve"> </w:t>
      </w:r>
    </w:p>
    <w:sectPr w:rsidR="00C63B38" w:rsidRPr="00E22C62" w:rsidSect="008D49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C5" w:rsidRDefault="008452C5">
      <w:pPr>
        <w:spacing w:line="20" w:lineRule="exact"/>
      </w:pPr>
    </w:p>
  </w:endnote>
  <w:endnote w:type="continuationSeparator" w:id="0">
    <w:p w:rsidR="008452C5" w:rsidRDefault="008452C5">
      <w:r>
        <w:t xml:space="preserve"> </w:t>
      </w:r>
    </w:p>
  </w:endnote>
  <w:endnote w:type="continuationNotice" w:id="1">
    <w:p w:rsidR="008452C5" w:rsidRDefault="008452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D" w:rsidRDefault="00845C2D" w:rsidP="008D4979">
    <w:pPr>
      <w:pStyle w:val="Footer"/>
      <w:framePr w:wrap="around" w:vAnchor="text" w:hAnchor="margin" w:xAlign="center" w:y="1"/>
    </w:pPr>
    <w:r>
      <w:fldChar w:fldCharType="begin"/>
    </w:r>
    <w:r>
      <w:instrText xml:space="preserve">PAGE  </w:instrText>
    </w:r>
    <w:r>
      <w:fldChar w:fldCharType="end"/>
    </w:r>
  </w:p>
  <w:p w:rsidR="00845C2D" w:rsidRDefault="00845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D" w:rsidRDefault="00845C2D" w:rsidP="008D4979">
    <w:pPr>
      <w:pStyle w:val="Footer"/>
      <w:framePr w:wrap="around" w:vAnchor="text" w:hAnchor="margin" w:xAlign="center" w:y="1"/>
    </w:pPr>
    <w:r>
      <w:fldChar w:fldCharType="begin"/>
    </w:r>
    <w:r>
      <w:instrText xml:space="preserve">PAGE  </w:instrText>
    </w:r>
    <w:r>
      <w:fldChar w:fldCharType="separate"/>
    </w:r>
    <w:r w:rsidR="00BF51DB">
      <w:rPr>
        <w:noProof/>
      </w:rPr>
      <w:t>2</w:t>
    </w:r>
    <w:r>
      <w:rPr>
        <w:noProof/>
      </w:rPr>
      <w:fldChar w:fldCharType="end"/>
    </w:r>
  </w:p>
  <w:p w:rsidR="00845C2D" w:rsidRDefault="00845C2D" w:rsidP="002A65D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D" w:rsidRDefault="00845C2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C5" w:rsidRDefault="008452C5">
      <w:r>
        <w:separator/>
      </w:r>
    </w:p>
  </w:footnote>
  <w:footnote w:type="continuationSeparator" w:id="0">
    <w:p w:rsidR="008452C5" w:rsidRDefault="008452C5" w:rsidP="008D4979">
      <w:pPr>
        <w:spacing w:before="120"/>
        <w:rPr>
          <w:sz w:val="20"/>
        </w:rPr>
      </w:pPr>
      <w:r>
        <w:rPr>
          <w:sz w:val="20"/>
        </w:rPr>
        <w:t xml:space="preserve">(Continued from previous page)  </w:t>
      </w:r>
      <w:r>
        <w:rPr>
          <w:sz w:val="20"/>
        </w:rPr>
        <w:separator/>
      </w:r>
    </w:p>
  </w:footnote>
  <w:footnote w:type="continuationNotice" w:id="1">
    <w:p w:rsidR="008452C5" w:rsidRDefault="008452C5" w:rsidP="008D4979">
      <w:pPr>
        <w:jc w:val="right"/>
        <w:rPr>
          <w:sz w:val="20"/>
        </w:rPr>
      </w:pPr>
      <w:r>
        <w:rPr>
          <w:sz w:val="20"/>
        </w:rPr>
        <w:t>(continued…)</w:t>
      </w:r>
    </w:p>
  </w:footnote>
  <w:footnote w:id="2">
    <w:p w:rsidR="00845C2D" w:rsidRPr="004A12E4" w:rsidRDefault="00845C2D" w:rsidP="00760343">
      <w:pPr>
        <w:pStyle w:val="FootnoteText"/>
      </w:pPr>
      <w:r>
        <w:rPr>
          <w:rStyle w:val="FootnoteReference"/>
        </w:rPr>
        <w:footnoteRef/>
      </w:r>
      <w:r>
        <w:t xml:space="preserve"> </w:t>
      </w:r>
      <w:r>
        <w:rPr>
          <w:i/>
        </w:rPr>
        <w:t xml:space="preserve">See </w:t>
      </w:r>
      <w:r w:rsidRPr="00410058">
        <w:rPr>
          <w:i/>
        </w:rPr>
        <w:t>Connect America Fund et al</w:t>
      </w:r>
      <w:r w:rsidRPr="00093019">
        <w:rPr>
          <w:i/>
        </w:rPr>
        <w:t xml:space="preserve">., </w:t>
      </w:r>
      <w:r w:rsidRPr="009741E1">
        <w:t xml:space="preserve">WC Docket No. 10-90 </w:t>
      </w:r>
      <w:r w:rsidRPr="008156F7">
        <w:t>et al.</w:t>
      </w:r>
      <w:r w:rsidRPr="009741E1">
        <w:t>, Report and Order and Further Notice of Proposed Rulemaking,</w:t>
      </w:r>
      <w:r w:rsidRPr="00410058">
        <w:t xml:space="preserve"> 26 FCC Rcd 17663, </w:t>
      </w:r>
      <w:r>
        <w:t>18026-28, paras. 970-71</w:t>
      </w:r>
      <w:r w:rsidRPr="00410058">
        <w:t xml:space="preserve"> (2011) (</w:t>
      </w:r>
      <w:r w:rsidRPr="004E64C0">
        <w:rPr>
          <w:i/>
        </w:rPr>
        <w:t>Transform</w:t>
      </w:r>
      <w:r>
        <w:rPr>
          <w:i/>
        </w:rPr>
        <w:t>at</w:t>
      </w:r>
      <w:r w:rsidRPr="004E64C0">
        <w:rPr>
          <w:i/>
        </w:rPr>
        <w:t>ion Order</w:t>
      </w:r>
      <w:r>
        <w:t xml:space="preserve">), </w:t>
      </w:r>
      <w:r w:rsidRPr="001462CB">
        <w:rPr>
          <w:i/>
        </w:rPr>
        <w:t>pet</w:t>
      </w:r>
      <w:r w:rsidR="00093019">
        <w:rPr>
          <w:i/>
        </w:rPr>
        <w:t>s</w:t>
      </w:r>
      <w:r w:rsidRPr="00093019">
        <w:t xml:space="preserve">. </w:t>
      </w:r>
      <w:r w:rsidRPr="00093019">
        <w:rPr>
          <w:i/>
        </w:rPr>
        <w:t>for review</w:t>
      </w:r>
      <w:r w:rsidRPr="00093019">
        <w:t xml:space="preserve"> </w:t>
      </w:r>
      <w:r w:rsidRPr="001462CB">
        <w:rPr>
          <w:i/>
        </w:rPr>
        <w:t xml:space="preserve">denied sub nom. </w:t>
      </w:r>
      <w:r>
        <w:rPr>
          <w:i/>
        </w:rPr>
        <w:t>In re:</w:t>
      </w:r>
      <w:r w:rsidRPr="00093019">
        <w:t xml:space="preserve"> </w:t>
      </w:r>
      <w:r w:rsidRPr="00093019">
        <w:rPr>
          <w:i/>
        </w:rPr>
        <w:t>FCC 11-</w:t>
      </w:r>
      <w:r w:rsidRPr="009741E1">
        <w:rPr>
          <w:i/>
        </w:rPr>
        <w:t>161</w:t>
      </w:r>
      <w:r w:rsidRPr="00093019">
        <w:rPr>
          <w:i/>
        </w:rPr>
        <w:t>,</w:t>
      </w:r>
      <w:r w:rsidR="008156F7">
        <w:t xml:space="preserve"> 753 </w:t>
      </w:r>
      <w:r>
        <w:t>F.3d</w:t>
      </w:r>
      <w:r w:rsidR="008156F7">
        <w:t xml:space="preserve"> 1015</w:t>
      </w:r>
      <w:r>
        <w:t xml:space="preserve"> (10th Cir. 2014).</w:t>
      </w:r>
    </w:p>
  </w:footnote>
  <w:footnote w:id="3">
    <w:p w:rsidR="00845C2D" w:rsidRDefault="00845C2D" w:rsidP="00760343">
      <w:pPr>
        <w:pStyle w:val="FootnoteText"/>
      </w:pPr>
      <w:r>
        <w:rPr>
          <w:rStyle w:val="FootnoteReference"/>
        </w:rPr>
        <w:footnoteRef/>
      </w:r>
      <w:r>
        <w:t xml:space="preserve"> </w:t>
      </w:r>
      <w:r w:rsidRPr="000D5CF2">
        <w:rPr>
          <w:i/>
        </w:rPr>
        <w:t>Id</w:t>
      </w:r>
      <w:r w:rsidRPr="000D5CF2">
        <w:t xml:space="preserve">. at </w:t>
      </w:r>
      <w:r>
        <w:t xml:space="preserve">17904, </w:t>
      </w:r>
      <w:r w:rsidRPr="000D5CF2">
        <w:t>para. 740</w:t>
      </w:r>
      <w:r w:rsidR="00D40E99">
        <w:t>,</w:t>
      </w:r>
      <w:r>
        <w:t xml:space="preserve"> 17932, para. 798;</w:t>
      </w:r>
      <w:r w:rsidRPr="000D5CF2">
        <w:t xml:space="preserve"> </w:t>
      </w:r>
      <w:r>
        <w:rPr>
          <w:i/>
        </w:rPr>
        <w:t>s</w:t>
      </w:r>
      <w:r w:rsidRPr="00635883">
        <w:rPr>
          <w:i/>
        </w:rPr>
        <w:t>ee also</w:t>
      </w:r>
      <w:r w:rsidRPr="000D5CF2">
        <w:t xml:space="preserve"> 47 C.F.R. </w:t>
      </w:r>
      <w:r>
        <w:t>§</w:t>
      </w:r>
      <w:r w:rsidRPr="000D5CF2">
        <w:t xml:space="preserve"> 51.713.</w:t>
      </w:r>
    </w:p>
  </w:footnote>
  <w:footnote w:id="4">
    <w:p w:rsidR="00845C2D" w:rsidRDefault="00845C2D" w:rsidP="00760343">
      <w:pPr>
        <w:pStyle w:val="FootnoteText"/>
      </w:pPr>
      <w:r>
        <w:rPr>
          <w:rStyle w:val="FootnoteReference"/>
        </w:rPr>
        <w:footnoteRef/>
      </w:r>
      <w:r>
        <w:t xml:space="preserve"> </w:t>
      </w:r>
      <w:r w:rsidRPr="00DD6027">
        <w:rPr>
          <w:i/>
        </w:rPr>
        <w:t xml:space="preserve">See </w:t>
      </w:r>
      <w:r w:rsidR="00D40E99">
        <w:rPr>
          <w:i/>
        </w:rPr>
        <w:t>Transformation Order</w:t>
      </w:r>
      <w:r w:rsidR="00D40E99">
        <w:t>, 26 FCC Rcd</w:t>
      </w:r>
      <w:r>
        <w:t xml:space="preserve"> </w:t>
      </w:r>
      <w:r w:rsidRPr="00253C69">
        <w:t xml:space="preserve">at </w:t>
      </w:r>
      <w:r>
        <w:t xml:space="preserve">17956-87, </w:t>
      </w:r>
      <w:r w:rsidRPr="00253C69">
        <w:t>para</w:t>
      </w:r>
      <w:r>
        <w:t>s.</w:t>
      </w:r>
      <w:r w:rsidRPr="00253C69">
        <w:t xml:space="preserve"> 847-904.</w:t>
      </w:r>
    </w:p>
  </w:footnote>
  <w:footnote w:id="5">
    <w:p w:rsidR="00845C2D" w:rsidRDefault="00845C2D">
      <w:pPr>
        <w:pStyle w:val="FootnoteText"/>
      </w:pPr>
      <w:r>
        <w:rPr>
          <w:rStyle w:val="FootnoteReference"/>
        </w:rPr>
        <w:footnoteRef/>
      </w:r>
      <w:r>
        <w:t xml:space="preserve"> </w:t>
      </w:r>
      <w:r w:rsidRPr="00DD6027">
        <w:rPr>
          <w:i/>
        </w:rPr>
        <w:t xml:space="preserve">See </w:t>
      </w:r>
      <w:r>
        <w:rPr>
          <w:i/>
        </w:rPr>
        <w:t>id.</w:t>
      </w:r>
      <w:r>
        <w:t xml:space="preserve"> at 17985-86, para. 903.</w:t>
      </w:r>
    </w:p>
  </w:footnote>
  <w:footnote w:id="6">
    <w:p w:rsidR="00845C2D" w:rsidRDefault="00845C2D">
      <w:pPr>
        <w:pStyle w:val="FootnoteText"/>
      </w:pPr>
      <w:r>
        <w:rPr>
          <w:rStyle w:val="FootnoteReference"/>
        </w:rPr>
        <w:footnoteRef/>
      </w:r>
      <w:r>
        <w:t xml:space="preserve"> </w:t>
      </w:r>
      <w:r w:rsidRPr="007C3303">
        <w:t xml:space="preserve">For the purposes of the recovery mechanism, </w:t>
      </w:r>
      <w:r>
        <w:t>Fiscal Year 2011 (</w:t>
      </w:r>
      <w:r w:rsidRPr="007C3303">
        <w:t>FY 2011</w:t>
      </w:r>
      <w:r>
        <w:t>)</w:t>
      </w:r>
      <w:r w:rsidRPr="007C3303">
        <w:t xml:space="preserve"> is defined as Oct. 1, 2010 to Sept. 30, 2011.</w:t>
      </w:r>
      <w:r>
        <w:t xml:space="preserve">  </w:t>
      </w:r>
      <w:r w:rsidRPr="00642930">
        <w:rPr>
          <w:i/>
        </w:rPr>
        <w:t>See</w:t>
      </w:r>
      <w:r w:rsidRPr="00801869">
        <w:t xml:space="preserve"> 47 C.F.R. § 51.903(e).</w:t>
      </w:r>
    </w:p>
  </w:footnote>
  <w:footnote w:id="7">
    <w:p w:rsidR="00845C2D" w:rsidRDefault="00845C2D" w:rsidP="00FD2731">
      <w:pPr>
        <w:pStyle w:val="FootnoteText"/>
      </w:pPr>
      <w:r>
        <w:rPr>
          <w:rStyle w:val="FootnoteReference"/>
        </w:rPr>
        <w:footnoteRef/>
      </w:r>
      <w:r>
        <w:t xml:space="preserve"> </w:t>
      </w:r>
      <w:r w:rsidRPr="00216145">
        <w:t>The</w:t>
      </w:r>
      <w:r w:rsidRPr="000D5CF2">
        <w:t xml:space="preserve"> rule to which the </w:t>
      </w:r>
      <w:r w:rsidR="003A7A2A">
        <w:t>p</w:t>
      </w:r>
      <w:r w:rsidRPr="000D5CF2">
        <w:t xml:space="preserve">etitioners refer in their waiver petitions, 47 C.F.R. § 51.917(c), is now </w:t>
      </w:r>
      <w:r w:rsidR="003A7A2A">
        <w:t xml:space="preserve">codified at </w:t>
      </w:r>
      <w:r w:rsidRPr="000D5CF2">
        <w:t>47 C.F.R. § 51.917(b)(7).</w:t>
      </w:r>
    </w:p>
  </w:footnote>
  <w:footnote w:id="8">
    <w:p w:rsidR="00845C2D" w:rsidRPr="00AE0F78" w:rsidRDefault="00845C2D" w:rsidP="00FD2731">
      <w:pPr>
        <w:pStyle w:val="FootnoteText"/>
      </w:pPr>
      <w:r w:rsidRPr="007C3303">
        <w:rPr>
          <w:rStyle w:val="FootnoteReference"/>
        </w:rPr>
        <w:footnoteRef/>
      </w:r>
      <w:r w:rsidRPr="007C3303">
        <w:t xml:space="preserve"> TDS Telecommunications Corp. Petition for Limited Waiver of Section 51.917(c) of the Commission’s Rules, WC Docket No. 10-90</w:t>
      </w:r>
      <w:r>
        <w:t xml:space="preserve"> </w:t>
      </w:r>
      <w:r w:rsidRPr="00067498">
        <w:t>et al.</w:t>
      </w:r>
      <w:r w:rsidRPr="00024A95">
        <w:t xml:space="preserve"> </w:t>
      </w:r>
      <w:r w:rsidRPr="007C3303">
        <w:t>(filed Aug. 9, 2012) (TDS Telecom Petition)</w:t>
      </w:r>
      <w:r>
        <w:t xml:space="preserve">.  The amount TDS seeks to add to its BPR was redacted in the TDS Telecom Petition, but is now included in the public record.  </w:t>
      </w:r>
      <w:r w:rsidRPr="00216145">
        <w:rPr>
          <w:i/>
        </w:rPr>
        <w:t xml:space="preserve">See </w:t>
      </w:r>
      <w:r w:rsidRPr="007C3303">
        <w:t xml:space="preserve">Letter from </w:t>
      </w:r>
      <w:r w:rsidRPr="008F37F0">
        <w:t>Yaron Dori</w:t>
      </w:r>
      <w:r w:rsidRPr="007C3303">
        <w:t xml:space="preserve">, </w:t>
      </w:r>
      <w:r>
        <w:t>Counsel to TDS Telecom,</w:t>
      </w:r>
      <w:r w:rsidRPr="007C3303">
        <w:t xml:space="preserve"> to Marlene H. Dortch, Secretary, </w:t>
      </w:r>
      <w:r>
        <w:t>Federal Communications Commission</w:t>
      </w:r>
      <w:r w:rsidRPr="007C3303">
        <w:t xml:space="preserve">, </w:t>
      </w:r>
      <w:r>
        <w:t xml:space="preserve">WC Docket No. 10-90 </w:t>
      </w:r>
      <w:r w:rsidRPr="00067498">
        <w:t>et al.</w:t>
      </w:r>
      <w:r>
        <w:rPr>
          <w:i/>
        </w:rPr>
        <w:t xml:space="preserve"> </w:t>
      </w:r>
      <w:r>
        <w:t>(filed Feb. 18, 2014).</w:t>
      </w:r>
    </w:p>
  </w:footnote>
  <w:footnote w:id="9">
    <w:p w:rsidR="00845C2D" w:rsidRPr="007C3303" w:rsidRDefault="00845C2D" w:rsidP="003F0851">
      <w:pPr>
        <w:pStyle w:val="FootnoteText"/>
      </w:pPr>
      <w:r w:rsidRPr="007C3303">
        <w:rPr>
          <w:rStyle w:val="FootnoteReference"/>
        </w:rPr>
        <w:footnoteRef/>
      </w:r>
      <w:r w:rsidRPr="007C3303">
        <w:t xml:space="preserve"> </w:t>
      </w:r>
      <w:r w:rsidRPr="000D0634">
        <w:t>TDS Telecom Petition</w:t>
      </w:r>
      <w:r w:rsidRPr="007C3303">
        <w:t xml:space="preserve"> at 2.</w:t>
      </w:r>
    </w:p>
  </w:footnote>
  <w:footnote w:id="10">
    <w:p w:rsidR="00845C2D" w:rsidRPr="00AE0F78" w:rsidRDefault="00845C2D" w:rsidP="00FD2731">
      <w:pPr>
        <w:pStyle w:val="FootnoteText"/>
      </w:pPr>
      <w:r w:rsidRPr="007C3303">
        <w:rPr>
          <w:rStyle w:val="FootnoteReference"/>
        </w:rPr>
        <w:footnoteRef/>
      </w:r>
      <w:r w:rsidRPr="007C3303">
        <w:t xml:space="preserve"> Cimarron Telephone Company, L.L.C</w:t>
      </w:r>
      <w:r>
        <w:t>,</w:t>
      </w:r>
      <w:r w:rsidRPr="007C3303">
        <w:t xml:space="preserve"> Cross Telephone Company, L.L.C and The Pottawatomie Telephone Co., L.L.C Petition for Limited Waiver of Section 51.917(c) of the Commission’s Rules, WC Docket No. 10-90</w:t>
      </w:r>
      <w:r>
        <w:t xml:space="preserve"> </w:t>
      </w:r>
      <w:r w:rsidRPr="00067498">
        <w:t>et al.</w:t>
      </w:r>
      <w:r w:rsidR="003752EB">
        <w:t>,</w:t>
      </w:r>
      <w:r w:rsidRPr="007C3303">
        <w:t xml:space="preserve"> at 2</w:t>
      </w:r>
      <w:r>
        <w:t xml:space="preserve"> </w:t>
      </w:r>
      <w:r w:rsidRPr="007C3303">
        <w:t xml:space="preserve"> (filed Nov. 19, 2012) </w:t>
      </w:r>
      <w:r>
        <w:t>(“Specifically, the Petitioners request a waiver allowing them to include in their 2011 Base Period Revenues amounts billed, due, and owing from Halo Wireless, Inc., ("Halo") for intrastate usage during Fiscal Year 2011.”)</w:t>
      </w:r>
      <w:r w:rsidRPr="007C3303">
        <w:t xml:space="preserve"> (Cimarron </w:t>
      </w:r>
      <w:r w:rsidRPr="00067498">
        <w:t>et al</w:t>
      </w:r>
      <w:r w:rsidRPr="003752EB">
        <w:t>.</w:t>
      </w:r>
      <w:r w:rsidRPr="007C3303">
        <w:t xml:space="preserve"> Petition)</w:t>
      </w:r>
      <w:r>
        <w:t xml:space="preserve">. </w:t>
      </w:r>
      <w:r w:rsidRPr="002D13DA">
        <w:t xml:space="preserve"> </w:t>
      </w:r>
      <w:r>
        <w:t xml:space="preserve">The amount Cimarron </w:t>
      </w:r>
      <w:r w:rsidRPr="00067498">
        <w:t>et al.</w:t>
      </w:r>
      <w:r w:rsidRPr="003752EB">
        <w:t xml:space="preserve"> </w:t>
      </w:r>
      <w:r>
        <w:t xml:space="preserve">seeks to add to its BPR was redacted in the </w:t>
      </w:r>
      <w:r w:rsidR="003A7A2A" w:rsidRPr="007C3303">
        <w:t xml:space="preserve">Cimarron </w:t>
      </w:r>
      <w:r w:rsidR="003A7A2A" w:rsidRPr="00067498">
        <w:t>et al</w:t>
      </w:r>
      <w:r w:rsidR="003A7A2A" w:rsidRPr="003752EB">
        <w:t>.</w:t>
      </w:r>
      <w:r>
        <w:t xml:space="preserve"> Petition, but is now included in the public record.  </w:t>
      </w:r>
      <w:r w:rsidRPr="00216145">
        <w:rPr>
          <w:i/>
        </w:rPr>
        <w:t>See</w:t>
      </w:r>
      <w:r>
        <w:rPr>
          <w:i/>
        </w:rPr>
        <w:t xml:space="preserve"> </w:t>
      </w:r>
      <w:r>
        <w:t>Letter from Jacob E. Baldwin, C</w:t>
      </w:r>
      <w:r w:rsidR="00405940">
        <w:t xml:space="preserve">ounsel to </w:t>
      </w:r>
      <w:r w:rsidR="00405940" w:rsidRPr="007C3303">
        <w:t xml:space="preserve">Cimarron </w:t>
      </w:r>
      <w:r w:rsidR="00405940" w:rsidRPr="00067498">
        <w:t>et al</w:t>
      </w:r>
      <w:r w:rsidR="00405940" w:rsidRPr="003752EB">
        <w:t>.</w:t>
      </w:r>
      <w:r w:rsidRPr="003752EB">
        <w:t>,</w:t>
      </w:r>
      <w:r>
        <w:t xml:space="preserve"> to </w:t>
      </w:r>
      <w:r w:rsidRPr="007C3303">
        <w:t xml:space="preserve">Marlene H. Dortch, Secretary, </w:t>
      </w:r>
      <w:r>
        <w:t>Federal Communications Commission</w:t>
      </w:r>
      <w:r w:rsidRPr="007C3303">
        <w:t xml:space="preserve">, </w:t>
      </w:r>
      <w:r>
        <w:t xml:space="preserve">WC Docket No. 10-90 </w:t>
      </w:r>
      <w:r w:rsidRPr="00067498">
        <w:t>et al.</w:t>
      </w:r>
      <w:r>
        <w:rPr>
          <w:i/>
        </w:rPr>
        <w:t xml:space="preserve"> </w:t>
      </w:r>
      <w:r>
        <w:t>(filed Feb. 21, 2014).</w:t>
      </w:r>
    </w:p>
  </w:footnote>
  <w:footnote w:id="11">
    <w:p w:rsidR="00845C2D" w:rsidRDefault="00845C2D" w:rsidP="008D4979">
      <w:pPr>
        <w:pStyle w:val="FootnoteText"/>
      </w:pPr>
      <w:r>
        <w:rPr>
          <w:rStyle w:val="FootnoteReference"/>
        </w:rPr>
        <w:footnoteRef/>
      </w:r>
      <w:r>
        <w:t xml:space="preserve"> </w:t>
      </w:r>
      <w:r w:rsidRPr="007C3303">
        <w:rPr>
          <w:i/>
        </w:rPr>
        <w:t>See</w:t>
      </w:r>
      <w:r w:rsidRPr="007C3303">
        <w:t xml:space="preserve"> TDS Telecom Petition Attach. D. (Letters from Halo)</w:t>
      </w:r>
      <w:r>
        <w:t xml:space="preserve">; Cimarron </w:t>
      </w:r>
      <w:r w:rsidRPr="00067498">
        <w:t>et al.</w:t>
      </w:r>
      <w:r>
        <w:t xml:space="preserve"> Petition at 6-8.</w:t>
      </w:r>
    </w:p>
  </w:footnote>
  <w:footnote w:id="12">
    <w:p w:rsidR="00845C2D" w:rsidRDefault="00845C2D">
      <w:pPr>
        <w:pStyle w:val="FootnoteText"/>
      </w:pPr>
      <w:r>
        <w:rPr>
          <w:rStyle w:val="FootnoteReference"/>
        </w:rPr>
        <w:footnoteRef/>
      </w:r>
      <w:r>
        <w:t xml:space="preserve"> </w:t>
      </w:r>
      <w:r w:rsidRPr="00ED1C8D">
        <w:rPr>
          <w:i/>
        </w:rPr>
        <w:t>See infra</w:t>
      </w:r>
      <w:r>
        <w:t xml:space="preserve"> paras. 9-14.</w:t>
      </w:r>
    </w:p>
  </w:footnote>
  <w:footnote w:id="13">
    <w:p w:rsidR="00845C2D" w:rsidRPr="0007201C" w:rsidRDefault="00845C2D">
      <w:pPr>
        <w:pStyle w:val="FootnoteText"/>
      </w:pPr>
      <w:r>
        <w:rPr>
          <w:rStyle w:val="FootnoteReference"/>
        </w:rPr>
        <w:footnoteRef/>
      </w:r>
      <w:r>
        <w:t xml:space="preserve"> </w:t>
      </w:r>
      <w:r>
        <w:rPr>
          <w:i/>
        </w:rPr>
        <w:t xml:space="preserve">See infra </w:t>
      </w:r>
      <w:r>
        <w:t>para. 7.</w:t>
      </w:r>
    </w:p>
  </w:footnote>
  <w:footnote w:id="14">
    <w:p w:rsidR="00845C2D" w:rsidRPr="00C6584E" w:rsidRDefault="00845C2D" w:rsidP="00A67652">
      <w:pPr>
        <w:pStyle w:val="FootnoteText"/>
        <w:spacing w:before="120"/>
      </w:pPr>
      <w:r w:rsidRPr="00C6584E">
        <w:rPr>
          <w:rStyle w:val="FootnoteReference"/>
        </w:rPr>
        <w:footnoteRef/>
      </w:r>
      <w:r w:rsidRPr="00C6584E">
        <w:t xml:space="preserve"> </w:t>
      </w:r>
      <w:r>
        <w:rPr>
          <w:i/>
        </w:rPr>
        <w:t xml:space="preserve">See generally </w:t>
      </w:r>
      <w:r>
        <w:t xml:space="preserve">Claims Register, </w:t>
      </w:r>
      <w:r w:rsidRPr="00B441FA">
        <w:rPr>
          <w:i/>
        </w:rPr>
        <w:t>In re: Halo Wireless, Inc.</w:t>
      </w:r>
      <w:r>
        <w:t xml:space="preserve">, Case No. 11-42464, Bkrtcy. E.D. Tex. (converted July 19, 2012) (including claims from TDS Telecom’s subsidiaries and Cimarron </w:t>
      </w:r>
      <w:r w:rsidRPr="00067498">
        <w:t>et al.</w:t>
      </w:r>
      <w:r w:rsidRPr="003752EB">
        <w:t>)</w:t>
      </w:r>
      <w:r>
        <w:t xml:space="preserve">. </w:t>
      </w:r>
      <w:r w:rsidR="003752EB">
        <w:t xml:space="preserve"> </w:t>
      </w:r>
      <w:r w:rsidRPr="00067498">
        <w:rPr>
          <w:i/>
        </w:rPr>
        <w:t>See also</w:t>
      </w:r>
      <w:r>
        <w:t xml:space="preserve"> </w:t>
      </w:r>
      <w:r w:rsidRPr="007C3303">
        <w:t xml:space="preserve">Letter from </w:t>
      </w:r>
      <w:r>
        <w:t>Yaron Dori</w:t>
      </w:r>
      <w:r w:rsidRPr="007C3303">
        <w:t xml:space="preserve">, </w:t>
      </w:r>
      <w:r>
        <w:t>Counsel to TDS Telecom,</w:t>
      </w:r>
      <w:r w:rsidRPr="007C3303">
        <w:t xml:space="preserve"> to Marlene H. Dortch, Secretary, F</w:t>
      </w:r>
      <w:r>
        <w:t>ederal Communications Commission</w:t>
      </w:r>
      <w:r w:rsidRPr="007C3303">
        <w:t xml:space="preserve">, WC Docket Nos. 10-90 </w:t>
      </w:r>
      <w:r>
        <w:t>et al. (filed July 28, 2014).</w:t>
      </w:r>
    </w:p>
  </w:footnote>
  <w:footnote w:id="15">
    <w:p w:rsidR="00845C2D" w:rsidRPr="00C6584E" w:rsidRDefault="00845C2D" w:rsidP="00A67652">
      <w:pPr>
        <w:pStyle w:val="FootnoteText"/>
        <w:spacing w:before="120"/>
      </w:pPr>
      <w:r w:rsidRPr="00C6584E">
        <w:rPr>
          <w:rStyle w:val="FootnoteReference"/>
        </w:rPr>
        <w:footnoteRef/>
      </w:r>
      <w:r w:rsidRPr="00C6584E">
        <w:t xml:space="preserve"> Petitioners are all creditors in Halo’s bankruptcy case</w:t>
      </w:r>
      <w:r>
        <w:t>,</w:t>
      </w:r>
      <w:r w:rsidRPr="00C6584E">
        <w:t xml:space="preserve"> </w:t>
      </w:r>
      <w:r>
        <w:rPr>
          <w:i/>
        </w:rPr>
        <w:t>s</w:t>
      </w:r>
      <w:r w:rsidRPr="00C6584E">
        <w:rPr>
          <w:i/>
        </w:rPr>
        <w:t>ee</w:t>
      </w:r>
      <w:r w:rsidRPr="00C6584E">
        <w:t xml:space="preserve"> TDS Telecom Petition at 3 n.6; Cimarron </w:t>
      </w:r>
      <w:r w:rsidRPr="00067498">
        <w:t>et al.</w:t>
      </w:r>
      <w:r w:rsidRPr="00C6584E">
        <w:t xml:space="preserve"> Petition Attach. 2 at 21-24</w:t>
      </w:r>
      <w:r>
        <w:t>,</w:t>
      </w:r>
      <w:r w:rsidRPr="00C6584E">
        <w:t xml:space="preserve"> and the Commission is not the proper venue to request an order of back payment of charges; these collection matters are before the bankruptcy court.</w:t>
      </w:r>
      <w:r w:rsidRPr="00C6584E">
        <w:rPr>
          <w:i/>
        </w:rPr>
        <w:t xml:space="preserve">  See</w:t>
      </w:r>
      <w:r w:rsidR="003752EB">
        <w:rPr>
          <w:i/>
        </w:rPr>
        <w:t>,</w:t>
      </w:r>
      <w:r w:rsidRPr="00C6584E">
        <w:rPr>
          <w:i/>
        </w:rPr>
        <w:t xml:space="preserve"> e.g.</w:t>
      </w:r>
      <w:r w:rsidR="003752EB">
        <w:t>,</w:t>
      </w:r>
      <w:r w:rsidRPr="00C6584E">
        <w:rPr>
          <w:i/>
        </w:rPr>
        <w:t xml:space="preserve"> </w:t>
      </w:r>
      <w:r w:rsidRPr="00C6584E">
        <w:rPr>
          <w:i/>
          <w:iCs/>
        </w:rPr>
        <w:t xml:space="preserve">Petition for Declaratory </w:t>
      </w:r>
      <w:r w:rsidRPr="00C6584E">
        <w:rPr>
          <w:i/>
        </w:rPr>
        <w:t>Ruling</w:t>
      </w:r>
      <w:r w:rsidRPr="00C6584E">
        <w:rPr>
          <w:i/>
          <w:iCs/>
        </w:rPr>
        <w:t xml:space="preserve"> </w:t>
      </w:r>
      <w:r w:rsidR="003752EB">
        <w:rPr>
          <w:i/>
          <w:iCs/>
        </w:rPr>
        <w:t>t</w:t>
      </w:r>
      <w:r w:rsidRPr="00C6584E">
        <w:rPr>
          <w:i/>
          <w:iCs/>
        </w:rPr>
        <w:t>hat AT&amp;T’s Phone-to-Phone IP Telephony Serv</w:t>
      </w:r>
      <w:r w:rsidR="003752EB">
        <w:rPr>
          <w:i/>
          <w:iCs/>
        </w:rPr>
        <w:t>ices</w:t>
      </w:r>
      <w:r w:rsidRPr="00C6584E">
        <w:rPr>
          <w:i/>
          <w:iCs/>
        </w:rPr>
        <w:t xml:space="preserve"> are Exempt from Access Charges</w:t>
      </w:r>
      <w:r w:rsidRPr="00C6584E">
        <w:t>, WC Docket No. 02-361, Order, 19 FCC Rcd 7457, 7472</w:t>
      </w:r>
      <w:r w:rsidR="003752EB">
        <w:t>,</w:t>
      </w:r>
      <w:r w:rsidRPr="00C6584E">
        <w:t xml:space="preserve"> </w:t>
      </w:r>
      <w:r w:rsidR="003752EB">
        <w:t xml:space="preserve">para. 23 </w:t>
      </w:r>
      <w:r w:rsidRPr="00C6584E">
        <w:t xml:space="preserve">n.93 (2004) (“Under sections 206-209 of the Act, the Commission does not act as a collection agent for carriers with respect to unpaid tariffed charges. Therefore we expect that LECs will file any claims for recovery of unpaid access charges in state or federal courts, as appropriate.”); </w:t>
      </w:r>
      <w:r>
        <w:rPr>
          <w:i/>
          <w:iCs/>
        </w:rPr>
        <w:t>s</w:t>
      </w:r>
      <w:r w:rsidRPr="00C6584E">
        <w:rPr>
          <w:i/>
          <w:iCs/>
        </w:rPr>
        <w:t xml:space="preserve">ee also, e.g., </w:t>
      </w:r>
      <w:r w:rsidRPr="00C6584E">
        <w:rPr>
          <w:i/>
          <w:iCs/>
          <w:color w:val="000000"/>
        </w:rPr>
        <w:t>Contel of the South, Inc. v. Operator Communications, Inc.</w:t>
      </w:r>
      <w:r w:rsidRPr="00C6584E">
        <w:rPr>
          <w:iCs/>
          <w:color w:val="000000"/>
        </w:rPr>
        <w:t>, Memorandum Opinion and Order, 23 FCC Rcd 548, 555-56, para. 19 (2008) (quoting</w:t>
      </w:r>
      <w:r w:rsidRPr="00C6584E">
        <w:rPr>
          <w:i/>
          <w:iCs/>
          <w:color w:val="000000"/>
        </w:rPr>
        <w:t xml:space="preserve"> U.S. TelePacific Corp. v. Tel-America of Salt Lake City, Inc.</w:t>
      </w:r>
      <w:r w:rsidRPr="00C6584E">
        <w:rPr>
          <w:iCs/>
          <w:color w:val="000000"/>
        </w:rPr>
        <w:t>, Memorandum Opinion and Order, 19 FCC Rcd 24552, 24555-56, para. 8 (2004) (“</w:t>
      </w:r>
      <w:r w:rsidR="003752EB">
        <w:rPr>
          <w:iCs/>
          <w:color w:val="000000"/>
        </w:rPr>
        <w:t>t</w:t>
      </w:r>
      <w:r w:rsidRPr="00C6584E">
        <w:rPr>
          <w:iCs/>
          <w:color w:val="000000"/>
        </w:rPr>
        <w:t>he Commission does not act as a collection agent for carriers with respect to unpaid tariffed charges”)).</w:t>
      </w:r>
    </w:p>
  </w:footnote>
  <w:footnote w:id="16">
    <w:p w:rsidR="00845C2D" w:rsidRPr="007C3303" w:rsidRDefault="00845C2D" w:rsidP="008D4979">
      <w:pPr>
        <w:pStyle w:val="FootnoteText"/>
      </w:pPr>
      <w:r w:rsidRPr="007C3303">
        <w:rPr>
          <w:rStyle w:val="FootnoteReference"/>
        </w:rPr>
        <w:footnoteRef/>
      </w:r>
      <w:r w:rsidRPr="007C3303">
        <w:t xml:space="preserve"> </w:t>
      </w:r>
      <w:r w:rsidRPr="007C3303">
        <w:rPr>
          <w:i/>
        </w:rPr>
        <w:t>See Transformation Order</w:t>
      </w:r>
      <w:r>
        <w:t>, 26 FCC Rcd</w:t>
      </w:r>
      <w:r w:rsidRPr="007C3303">
        <w:t xml:space="preserve"> at </w:t>
      </w:r>
      <w:r>
        <w:t xml:space="preserve">17872-73, </w:t>
      </w:r>
      <w:r w:rsidRPr="007C3303">
        <w:t xml:space="preserve">para. 648. </w:t>
      </w:r>
    </w:p>
  </w:footnote>
  <w:footnote w:id="17">
    <w:p w:rsidR="00845C2D" w:rsidRPr="007C3303" w:rsidRDefault="00845C2D" w:rsidP="008D4979">
      <w:pPr>
        <w:pStyle w:val="FootnoteText"/>
      </w:pPr>
      <w:r w:rsidRPr="007C3303">
        <w:rPr>
          <w:rStyle w:val="FootnoteReference"/>
        </w:rPr>
        <w:footnoteRef/>
      </w:r>
      <w:r w:rsidRPr="007C3303">
        <w:t xml:space="preserve"> </w:t>
      </w:r>
      <w:r w:rsidRPr="007C3303">
        <w:rPr>
          <w:i/>
        </w:rPr>
        <w:t>See</w:t>
      </w:r>
      <w:r w:rsidR="00DF77D1">
        <w:rPr>
          <w:i/>
        </w:rPr>
        <w:t>,</w:t>
      </w:r>
      <w:r w:rsidRPr="007C3303">
        <w:rPr>
          <w:i/>
        </w:rPr>
        <w:t xml:space="preserve"> e.g.</w:t>
      </w:r>
      <w:r>
        <w:t>,</w:t>
      </w:r>
      <w:r w:rsidRPr="007C3303">
        <w:rPr>
          <w:i/>
        </w:rPr>
        <w:t xml:space="preserve"> </w:t>
      </w:r>
      <w:r>
        <w:rPr>
          <w:i/>
        </w:rPr>
        <w:t>i</w:t>
      </w:r>
      <w:r w:rsidRPr="007C3303">
        <w:rPr>
          <w:i/>
        </w:rPr>
        <w:t>d.</w:t>
      </w:r>
      <w:r w:rsidRPr="007C3303">
        <w:t xml:space="preserve"> </w:t>
      </w:r>
      <w:r>
        <w:t xml:space="preserve">at </w:t>
      </w:r>
      <w:r w:rsidR="00DF77D1">
        <w:t xml:space="preserve">17934, para. 801 </w:t>
      </w:r>
      <w:r w:rsidRPr="007C3303">
        <w:t xml:space="preserve">Fig.9 (Intercarrier Compensation Reform Timeline); </w:t>
      </w:r>
      <w:r w:rsidRPr="007C3303">
        <w:rPr>
          <w:i/>
        </w:rPr>
        <w:t xml:space="preserve">see also id. </w:t>
      </w:r>
      <w:r w:rsidRPr="007C3303">
        <w:t xml:space="preserve">at </w:t>
      </w:r>
      <w:r>
        <w:t xml:space="preserve">17957-61, </w:t>
      </w:r>
      <w:r w:rsidRPr="007C3303">
        <w:t>paras. 850-53 (summarizing the Commission’s approach to the recovery mechanism</w:t>
      </w:r>
      <w:r>
        <w:t>).</w:t>
      </w:r>
    </w:p>
  </w:footnote>
  <w:footnote w:id="18">
    <w:p w:rsidR="00845C2D" w:rsidRPr="007C3303" w:rsidRDefault="00845C2D" w:rsidP="008D4979">
      <w:pPr>
        <w:pStyle w:val="FootnoteText"/>
      </w:pPr>
      <w:r w:rsidRPr="007C3303">
        <w:rPr>
          <w:rStyle w:val="FootnoteReference"/>
        </w:rPr>
        <w:footnoteRef/>
      </w:r>
      <w:r w:rsidRPr="007C3303">
        <w:t xml:space="preserve"> </w:t>
      </w:r>
      <w:r w:rsidRPr="009C7F38">
        <w:rPr>
          <w:i/>
        </w:rPr>
        <w:t>See</w:t>
      </w:r>
      <w:r>
        <w:t xml:space="preserve"> </w:t>
      </w:r>
      <w:r w:rsidRPr="007C3303">
        <w:t>47 C.F.R. § 51.917(b)(7)</w:t>
      </w:r>
      <w:r>
        <w:t>; t</w:t>
      </w:r>
      <w:r w:rsidRPr="0071601C">
        <w:t xml:space="preserve">he 2011-2012 tariff period </w:t>
      </w:r>
      <w:r w:rsidR="0096189D">
        <w:t>wa</w:t>
      </w:r>
      <w:r w:rsidRPr="0071601C">
        <w:t>s July 1, 2011</w:t>
      </w:r>
      <w:r>
        <w:t>,</w:t>
      </w:r>
      <w:r w:rsidRPr="0071601C">
        <w:t xml:space="preserve"> through June 30, 2012</w:t>
      </w:r>
      <w:r>
        <w:t>.</w:t>
      </w:r>
    </w:p>
  </w:footnote>
  <w:footnote w:id="19">
    <w:p w:rsidR="00845C2D" w:rsidRPr="002518C3" w:rsidRDefault="00845C2D">
      <w:pPr>
        <w:pStyle w:val="FootnoteText"/>
      </w:pPr>
      <w:r>
        <w:rPr>
          <w:rStyle w:val="FootnoteReference"/>
        </w:rPr>
        <w:footnoteRef/>
      </w:r>
      <w:r>
        <w:t xml:space="preserve"> </w:t>
      </w:r>
      <w:r>
        <w:rPr>
          <w:i/>
        </w:rPr>
        <w:t xml:space="preserve">See </w:t>
      </w:r>
      <w:r>
        <w:t>47 C.F.R. § 51.917(b)(3).</w:t>
      </w:r>
    </w:p>
  </w:footnote>
  <w:footnote w:id="20">
    <w:p w:rsidR="00845C2D" w:rsidRPr="007C3303" w:rsidRDefault="00845C2D" w:rsidP="008D4979">
      <w:pPr>
        <w:pStyle w:val="FootnoteText"/>
      </w:pPr>
      <w:r w:rsidRPr="007C3303">
        <w:rPr>
          <w:rStyle w:val="FootnoteReference"/>
        </w:rPr>
        <w:footnoteRef/>
      </w:r>
      <w:r w:rsidRPr="007C3303">
        <w:t xml:space="preserve"> </w:t>
      </w:r>
      <w:r w:rsidRPr="00D209E2">
        <w:t xml:space="preserve">47 C.F.R. § 51.917(d).  The demand projections that are part of these </w:t>
      </w:r>
      <w:r>
        <w:t xml:space="preserve">projected revenue </w:t>
      </w:r>
      <w:r w:rsidRPr="00D209E2">
        <w:t xml:space="preserve">calculations are “trued-up” after two years.  </w:t>
      </w:r>
      <w:r w:rsidRPr="00D209E2">
        <w:rPr>
          <w:i/>
        </w:rPr>
        <w:t>See</w:t>
      </w:r>
      <w:r w:rsidRPr="00D209E2">
        <w:t xml:space="preserve"> 47 C.F.R. § 51.917(d)(iii)(D). </w:t>
      </w:r>
    </w:p>
  </w:footnote>
  <w:footnote w:id="21">
    <w:p w:rsidR="00666806" w:rsidRDefault="00666806" w:rsidP="00666806">
      <w:pPr>
        <w:pStyle w:val="FootnoteText"/>
      </w:pPr>
      <w:r>
        <w:rPr>
          <w:rStyle w:val="FootnoteReference"/>
        </w:rPr>
        <w:footnoteRef/>
      </w:r>
      <w:r>
        <w:t xml:space="preserve"> </w:t>
      </w:r>
      <w:r w:rsidRPr="007C3303">
        <w:rPr>
          <w:i/>
        </w:rPr>
        <w:t>See Transformation Order</w:t>
      </w:r>
      <w:r>
        <w:t>, 26 FCC Rcd</w:t>
      </w:r>
      <w:r w:rsidRPr="007C3303">
        <w:t xml:space="preserve"> at </w:t>
      </w:r>
      <w:r w:rsidR="00AA6C66">
        <w:t>17981, para. 896</w:t>
      </w:r>
      <w:r>
        <w:t>.</w:t>
      </w:r>
    </w:p>
  </w:footnote>
  <w:footnote w:id="22">
    <w:p w:rsidR="00EA3CA7" w:rsidRDefault="00EA3CA7">
      <w:pPr>
        <w:pStyle w:val="FootnoteText"/>
      </w:pPr>
      <w:r>
        <w:rPr>
          <w:rStyle w:val="FootnoteReference"/>
        </w:rPr>
        <w:footnoteRef/>
      </w:r>
      <w:r>
        <w:t xml:space="preserve"> </w:t>
      </w:r>
      <w:r w:rsidRPr="00F60F30">
        <w:rPr>
          <w:i/>
        </w:rPr>
        <w:t xml:space="preserve">See </w:t>
      </w:r>
      <w:r w:rsidR="00B50177">
        <w:rPr>
          <w:i/>
        </w:rPr>
        <w:t>id</w:t>
      </w:r>
      <w:r w:rsidR="00B50177">
        <w:t>.</w:t>
      </w:r>
      <w:r w:rsidR="00F60F30">
        <w:t xml:space="preserve"> </w:t>
      </w:r>
      <w:r w:rsidR="00636539">
        <w:t xml:space="preserve">at </w:t>
      </w:r>
      <w:r w:rsidR="00F60F30">
        <w:t xml:space="preserve">17723, </w:t>
      </w:r>
      <w:r>
        <w:t>para. 1</w:t>
      </w:r>
      <w:r w:rsidR="00F60F30">
        <w:t>50, 17740-41, paras. 206-08</w:t>
      </w:r>
      <w:r>
        <w:t>.</w:t>
      </w:r>
    </w:p>
  </w:footnote>
  <w:footnote w:id="23">
    <w:p w:rsidR="00845C2D" w:rsidRPr="00850733" w:rsidRDefault="00845C2D" w:rsidP="008D4979">
      <w:pPr>
        <w:pStyle w:val="FootnoteText"/>
      </w:pPr>
      <w:r>
        <w:rPr>
          <w:rStyle w:val="FootnoteReference"/>
        </w:rPr>
        <w:footnoteRef/>
      </w:r>
      <w:r>
        <w:t xml:space="preserve"> </w:t>
      </w:r>
      <w:r>
        <w:rPr>
          <w:i/>
        </w:rPr>
        <w:t>See</w:t>
      </w:r>
      <w:r>
        <w:t xml:space="preserve"> 47 C.F.R. § 51.917(d).</w:t>
      </w:r>
    </w:p>
  </w:footnote>
  <w:footnote w:id="24">
    <w:p w:rsidR="00845C2D" w:rsidRDefault="00845C2D">
      <w:pPr>
        <w:pStyle w:val="FootnoteText"/>
      </w:pPr>
      <w:r>
        <w:rPr>
          <w:rStyle w:val="FootnoteReference"/>
        </w:rPr>
        <w:footnoteRef/>
      </w:r>
      <w:r>
        <w:t xml:space="preserve"> </w:t>
      </w:r>
      <w:r w:rsidRPr="009935BD">
        <w:rPr>
          <w:i/>
        </w:rPr>
        <w:t>See</w:t>
      </w:r>
      <w:r>
        <w:rPr>
          <w:i/>
        </w:rPr>
        <w:t xml:space="preserve"> generally</w:t>
      </w:r>
      <w:r>
        <w:t xml:space="preserve"> </w:t>
      </w:r>
      <w:r w:rsidRPr="00DD6027">
        <w:rPr>
          <w:i/>
        </w:rPr>
        <w:t>Transformation Order</w:t>
      </w:r>
      <w:r>
        <w:t xml:space="preserve">, 26 FCC Rcd at 17977-86, paras. 891-904 (describing the recovery mechanism for rate-of-return LECs).  </w:t>
      </w:r>
    </w:p>
  </w:footnote>
  <w:footnote w:id="25">
    <w:p w:rsidR="00845C2D" w:rsidRDefault="00845C2D">
      <w:pPr>
        <w:pStyle w:val="FootnoteText"/>
      </w:pPr>
      <w:r>
        <w:rPr>
          <w:rStyle w:val="FootnoteReference"/>
        </w:rPr>
        <w:footnoteRef/>
      </w:r>
      <w:r>
        <w:t xml:space="preserve"> </w:t>
      </w:r>
      <w:r w:rsidRPr="000D5CF2">
        <w:rPr>
          <w:i/>
        </w:rPr>
        <w:t xml:space="preserve">See </w:t>
      </w:r>
      <w:r>
        <w:rPr>
          <w:i/>
        </w:rPr>
        <w:t>id.</w:t>
      </w:r>
      <w:r w:rsidRPr="000D5CF2">
        <w:t xml:space="preserve"> at </w:t>
      </w:r>
      <w:r>
        <w:t xml:space="preserve">17982, </w:t>
      </w:r>
      <w:r w:rsidRPr="000D5CF2">
        <w:t xml:space="preserve">para. </w:t>
      </w:r>
      <w:r>
        <w:t xml:space="preserve">898.  </w:t>
      </w:r>
      <w:r w:rsidRPr="00F84ED0">
        <w:rPr>
          <w:szCs w:val="24"/>
        </w:rPr>
        <w:t>The Commission further specified that</w:t>
      </w:r>
      <w:r>
        <w:rPr>
          <w:szCs w:val="24"/>
        </w:rPr>
        <w:t>,</w:t>
      </w:r>
      <w:r w:rsidRPr="00F84ED0">
        <w:rPr>
          <w:szCs w:val="24"/>
        </w:rPr>
        <w:t xml:space="preserve"> in order to be included in a </w:t>
      </w:r>
      <w:r w:rsidRPr="00F84ED0">
        <w:t>rate-of-return LEC</w:t>
      </w:r>
      <w:r w:rsidRPr="00F84ED0">
        <w:rPr>
          <w:szCs w:val="24"/>
        </w:rPr>
        <w:t xml:space="preserve">’s </w:t>
      </w:r>
      <w:r w:rsidRPr="00F84ED0">
        <w:t>BPR</w:t>
      </w:r>
      <w:r w:rsidRPr="00F84ED0">
        <w:rPr>
          <w:szCs w:val="24"/>
        </w:rPr>
        <w:t xml:space="preserve">, revenues associated with MOUs </w:t>
      </w:r>
      <w:r w:rsidR="0096189D">
        <w:rPr>
          <w:szCs w:val="24"/>
        </w:rPr>
        <w:t>had to</w:t>
      </w:r>
      <w:r w:rsidRPr="00F84ED0">
        <w:rPr>
          <w:szCs w:val="24"/>
        </w:rPr>
        <w:t xml:space="preserve"> be </w:t>
      </w:r>
      <w:r w:rsidRPr="00F84ED0">
        <w:t>collected by March 31, 2012.</w:t>
      </w:r>
      <w:r>
        <w:t xml:space="preserve">  47 C.F.R. § 51.917(b)(7).</w:t>
      </w:r>
    </w:p>
  </w:footnote>
  <w:footnote w:id="26">
    <w:p w:rsidR="00845C2D" w:rsidRPr="007C3303" w:rsidRDefault="00845C2D" w:rsidP="008D4979">
      <w:pPr>
        <w:pStyle w:val="FootnoteText"/>
      </w:pPr>
      <w:r w:rsidRPr="007C3303">
        <w:rPr>
          <w:rStyle w:val="FootnoteReference"/>
        </w:rPr>
        <w:footnoteRef/>
      </w:r>
      <w:r>
        <w:t xml:space="preserve"> The Commission also adopted rules requiring rate-of-return LECs to adjust BPR to reflect removal of any increase in revenue requirement or revenues resulting from access stimulation activities during the relevant time period.  </w:t>
      </w:r>
      <w:r w:rsidRPr="00531AC0">
        <w:rPr>
          <w:i/>
        </w:rPr>
        <w:t>See</w:t>
      </w:r>
      <w:r>
        <w:t xml:space="preserve"> 47 C.F.R. § 51.917(c);</w:t>
      </w:r>
      <w:r w:rsidRPr="007C3303">
        <w:t xml:space="preserve"> </w:t>
      </w:r>
      <w:r>
        <w:rPr>
          <w:i/>
        </w:rPr>
        <w:t>s</w:t>
      </w:r>
      <w:r w:rsidRPr="007C3303">
        <w:rPr>
          <w:i/>
        </w:rPr>
        <w:t>ee</w:t>
      </w:r>
      <w:r w:rsidRPr="007C3303">
        <w:t xml:space="preserve"> </w:t>
      </w:r>
      <w:r>
        <w:rPr>
          <w:i/>
        </w:rPr>
        <w:t xml:space="preserve">also </w:t>
      </w:r>
      <w:r w:rsidRPr="007C3303">
        <w:rPr>
          <w:i/>
        </w:rPr>
        <w:t>Transformation Order</w:t>
      </w:r>
      <w:r>
        <w:t>, 26 FCC Rcd</w:t>
      </w:r>
      <w:r w:rsidRPr="007C3303">
        <w:t xml:space="preserve"> at </w:t>
      </w:r>
      <w:r>
        <w:t xml:space="preserve">17956, </w:t>
      </w:r>
      <w:r w:rsidRPr="007C3303">
        <w:t>para. 847.</w:t>
      </w:r>
    </w:p>
  </w:footnote>
  <w:footnote w:id="27">
    <w:p w:rsidR="00845C2D" w:rsidRDefault="00845C2D">
      <w:pPr>
        <w:pStyle w:val="FootnoteText"/>
      </w:pPr>
      <w:r>
        <w:rPr>
          <w:rStyle w:val="FootnoteReference"/>
        </w:rPr>
        <w:footnoteRef/>
      </w:r>
      <w:r>
        <w:t xml:space="preserve"> </w:t>
      </w:r>
      <w:r w:rsidRPr="00216145">
        <w:rPr>
          <w:i/>
        </w:rPr>
        <w:t>See</w:t>
      </w:r>
      <w:r>
        <w:t xml:space="preserve"> 47 C.F.R §</w:t>
      </w:r>
      <w:r w:rsidR="0096189D">
        <w:t xml:space="preserve"> </w:t>
      </w:r>
      <w:r>
        <w:t xml:space="preserve">64.1601(f).  As discussed below, Halo claimed to “re-originate” intrastate access traffic as </w:t>
      </w:r>
      <w:r w:rsidR="00B9033D">
        <w:t>traffic originating and terminating within the same Major Trading Area (“</w:t>
      </w:r>
      <w:r>
        <w:t>intraMTA</w:t>
      </w:r>
      <w:r w:rsidR="00B9033D">
        <w:t>”</w:t>
      </w:r>
      <w:r>
        <w:t xml:space="preserve"> CMRS traffic</w:t>
      </w:r>
      <w:r w:rsidR="00B9033D">
        <w:t>)</w:t>
      </w:r>
      <w:r>
        <w:t xml:space="preserve">, but the Commission rejected this claim.  </w:t>
      </w:r>
      <w:r w:rsidRPr="00216145">
        <w:rPr>
          <w:i/>
        </w:rPr>
        <w:t>See</w:t>
      </w:r>
      <w:r>
        <w:t xml:space="preserve"> </w:t>
      </w:r>
      <w:r w:rsidRPr="000D5CF2">
        <w:rPr>
          <w:i/>
        </w:rPr>
        <w:t>Transformation Order</w:t>
      </w:r>
      <w:r>
        <w:t xml:space="preserve">, 26 FCC Rcd </w:t>
      </w:r>
      <w:r w:rsidRPr="007C3303">
        <w:t xml:space="preserve">at </w:t>
      </w:r>
      <w:r>
        <w:t>18</w:t>
      </w:r>
      <w:r w:rsidR="0096189D">
        <w:t>0</w:t>
      </w:r>
      <w:r>
        <w:t xml:space="preserve">42, </w:t>
      </w:r>
      <w:r w:rsidRPr="007C3303">
        <w:t>para. 1006</w:t>
      </w:r>
      <w:r>
        <w:t xml:space="preserve">; </w:t>
      </w:r>
      <w:r>
        <w:rPr>
          <w:i/>
        </w:rPr>
        <w:t xml:space="preserve">see also infra </w:t>
      </w:r>
      <w:r>
        <w:t>para. 13.</w:t>
      </w:r>
    </w:p>
  </w:footnote>
  <w:footnote w:id="28">
    <w:p w:rsidR="00845C2D" w:rsidRDefault="00845C2D">
      <w:pPr>
        <w:pStyle w:val="FootnoteText"/>
      </w:pPr>
      <w:r>
        <w:rPr>
          <w:rStyle w:val="FootnoteReference"/>
        </w:rPr>
        <w:footnoteRef/>
      </w:r>
      <w:r>
        <w:t xml:space="preserve"> </w:t>
      </w:r>
      <w:r w:rsidRPr="007C3303">
        <w:rPr>
          <w:i/>
        </w:rPr>
        <w:t>See</w:t>
      </w:r>
      <w:r w:rsidR="0096189D">
        <w:rPr>
          <w:i/>
        </w:rPr>
        <w:t>,</w:t>
      </w:r>
      <w:r w:rsidRPr="007C3303">
        <w:t xml:space="preserve"> </w:t>
      </w:r>
      <w:r>
        <w:rPr>
          <w:i/>
        </w:rPr>
        <w:t>e.g.</w:t>
      </w:r>
      <w:r>
        <w:t>,</w:t>
      </w:r>
      <w:r w:rsidRPr="005F68BD">
        <w:rPr>
          <w:i/>
        </w:rPr>
        <w:t xml:space="preserve"> </w:t>
      </w:r>
      <w:r w:rsidRPr="007C3303">
        <w:t>Comments of Rural LEC Section XV Group</w:t>
      </w:r>
      <w:r w:rsidR="006760B0">
        <w:t>,</w:t>
      </w:r>
      <w:r w:rsidRPr="007C3303">
        <w:t xml:space="preserve"> </w:t>
      </w:r>
      <w:r w:rsidR="00B9033D" w:rsidRPr="007C3303">
        <w:t>WC Docket No. 10-90</w:t>
      </w:r>
      <w:r w:rsidR="00B9033D">
        <w:t xml:space="preserve"> et al.</w:t>
      </w:r>
      <w:r w:rsidR="00B9033D" w:rsidRPr="007C3303">
        <w:t>,</w:t>
      </w:r>
      <w:r w:rsidR="00B9033D">
        <w:t xml:space="preserve"> </w:t>
      </w:r>
      <w:r w:rsidRPr="007C3303">
        <w:t>at 17 (</w:t>
      </w:r>
      <w:r>
        <w:t xml:space="preserve">filed </w:t>
      </w:r>
      <w:r w:rsidRPr="007C3303">
        <w:t>Apr</w:t>
      </w:r>
      <w:r>
        <w:t>.</w:t>
      </w:r>
      <w:r w:rsidRPr="007C3303">
        <w:t xml:space="preserve"> 1, 2011); Letter from Jerry Weikle</w:t>
      </w:r>
      <w:r w:rsidR="006760B0">
        <w:t>,</w:t>
      </w:r>
      <w:r w:rsidRPr="007C3303">
        <w:t xml:space="preserve"> on behalf of Eastern Rural Telecom Association</w:t>
      </w:r>
      <w:r w:rsidR="006760B0">
        <w:t>,</w:t>
      </w:r>
      <w:r w:rsidRPr="007C3303">
        <w:t xml:space="preserve"> to Marlene H. Dortch, Secretary</w:t>
      </w:r>
      <w:r>
        <w:t>, Federal Communications Commission</w:t>
      </w:r>
      <w:r w:rsidR="006760B0">
        <w:t xml:space="preserve">, </w:t>
      </w:r>
      <w:r w:rsidR="00B9033D" w:rsidRPr="007C3303">
        <w:t>WC Docket No. 10-90</w:t>
      </w:r>
      <w:r w:rsidR="00B9033D">
        <w:t xml:space="preserve"> et al.</w:t>
      </w:r>
      <w:r w:rsidR="00B9033D" w:rsidRPr="007C3303">
        <w:t>,</w:t>
      </w:r>
      <w:r w:rsidR="00B9033D">
        <w:t xml:space="preserve"> </w:t>
      </w:r>
      <w:r w:rsidR="006760B0">
        <w:t>at 3</w:t>
      </w:r>
      <w:r w:rsidRPr="007C3303">
        <w:t xml:space="preserve"> (</w:t>
      </w:r>
      <w:r>
        <w:t xml:space="preserve">filed </w:t>
      </w:r>
      <w:r w:rsidRPr="007C3303">
        <w:t xml:space="preserve">July 8, 2011); Letter from Gregory W. Whiteaker, </w:t>
      </w:r>
      <w:r w:rsidR="00B9033D">
        <w:t>Counsel to Rural LEC Section XV Group</w:t>
      </w:r>
      <w:r w:rsidRPr="007C3303">
        <w:t>, to Marlene H. Dortch, Secretary, F</w:t>
      </w:r>
      <w:r>
        <w:t>ederal Communications Commission</w:t>
      </w:r>
      <w:r w:rsidRPr="007C3303">
        <w:t>, WC Docket No. 10-90</w:t>
      </w:r>
      <w:r w:rsidR="006760B0">
        <w:t xml:space="preserve"> et al.</w:t>
      </w:r>
      <w:r w:rsidRPr="007C3303">
        <w:t>, Attach. at 3 (filed Sept. 23, 2011)</w:t>
      </w:r>
      <w:r w:rsidR="006760B0">
        <w:t xml:space="preserve"> (Whiteaker </w:t>
      </w:r>
      <w:r w:rsidR="006760B0">
        <w:rPr>
          <w:i/>
        </w:rPr>
        <w:t xml:space="preserve">Ex Parte </w:t>
      </w:r>
      <w:r w:rsidR="006760B0">
        <w:t>Letter)</w:t>
      </w:r>
      <w:r>
        <w:t xml:space="preserve">.  </w:t>
      </w:r>
      <w:r w:rsidRPr="00F84ED0">
        <w:t xml:space="preserve">Under the intraMTA rule in effect during the relevant time period, CMRS-to-LEC traffic that originated and terminated in the same MTA was subject to reciprocal </w:t>
      </w:r>
      <w:r w:rsidRPr="00F84ED0">
        <w:rPr>
          <w:szCs w:val="24"/>
        </w:rPr>
        <w:t>compensation</w:t>
      </w:r>
      <w:r w:rsidRPr="00F84ED0">
        <w:t xml:space="preserve"> rather than access charges.</w:t>
      </w:r>
      <w:r w:rsidRPr="00C535D0">
        <w:t xml:space="preserve"> </w:t>
      </w:r>
      <w:r>
        <w:t xml:space="preserve"> </w:t>
      </w:r>
      <w:r w:rsidRPr="007C3303">
        <w:t xml:space="preserve">47 C.F.R §51.701(b)(2) (2010). </w:t>
      </w:r>
      <w:r w:rsidR="006760B0">
        <w:t xml:space="preserve"> </w:t>
      </w:r>
      <w:r w:rsidRPr="007C3303">
        <w:t xml:space="preserve">This rule was revised by the </w:t>
      </w:r>
      <w:r w:rsidRPr="005F68BD">
        <w:rPr>
          <w:i/>
        </w:rPr>
        <w:t>Transformation Order</w:t>
      </w:r>
      <w:r w:rsidRPr="007C3303">
        <w:t xml:space="preserve"> to define such traffic as “Non-Access Telecommunications Traffic.”  </w:t>
      </w:r>
      <w:r w:rsidRPr="007C3303">
        <w:rPr>
          <w:i/>
        </w:rPr>
        <w:t>See</w:t>
      </w:r>
      <w:r w:rsidRPr="007C3303">
        <w:t xml:space="preserve"> 47 C.F.R §</w:t>
      </w:r>
      <w:r>
        <w:t xml:space="preserve"> </w:t>
      </w:r>
      <w:r w:rsidRPr="007C3303">
        <w:t>51.701(b)</w:t>
      </w:r>
      <w:r>
        <w:t xml:space="preserve"> </w:t>
      </w:r>
      <w:r w:rsidRPr="009847F4">
        <w:t>(2012).</w:t>
      </w:r>
    </w:p>
  </w:footnote>
  <w:footnote w:id="29">
    <w:p w:rsidR="00845C2D" w:rsidRPr="00003B95" w:rsidRDefault="00845C2D" w:rsidP="008D4979">
      <w:pPr>
        <w:pStyle w:val="FootnoteText"/>
        <w:rPr>
          <w:i/>
        </w:rPr>
      </w:pPr>
      <w:r>
        <w:rPr>
          <w:rStyle w:val="FootnoteReference"/>
        </w:rPr>
        <w:footnoteRef/>
      </w:r>
      <w:r w:rsidRPr="00003B95">
        <w:rPr>
          <w:i/>
        </w:rPr>
        <w:t xml:space="preserve"> </w:t>
      </w:r>
      <w:r>
        <w:rPr>
          <w:i/>
        </w:rPr>
        <w:t xml:space="preserve">See </w:t>
      </w:r>
      <w:r w:rsidRPr="007C3303">
        <w:t xml:space="preserve">TDS Telecom Petition at </w:t>
      </w:r>
      <w:r>
        <w:t>2</w:t>
      </w:r>
      <w:r w:rsidRPr="007C3303">
        <w:t>-</w:t>
      </w:r>
      <w:r>
        <w:t>9;</w:t>
      </w:r>
      <w:r w:rsidRPr="007C3303">
        <w:t xml:space="preserve"> </w:t>
      </w:r>
      <w:r>
        <w:t xml:space="preserve">Cimarron </w:t>
      </w:r>
      <w:r w:rsidRPr="000903F2">
        <w:t>et al.</w:t>
      </w:r>
      <w:r>
        <w:t xml:space="preserve"> </w:t>
      </w:r>
      <w:r w:rsidRPr="007F4D6A">
        <w:t xml:space="preserve">Petition at </w:t>
      </w:r>
      <w:r>
        <w:t xml:space="preserve">3-8; </w:t>
      </w:r>
      <w:r>
        <w:rPr>
          <w:i/>
        </w:rPr>
        <w:t xml:space="preserve">see also </w:t>
      </w:r>
      <w:r w:rsidRPr="005F68BD">
        <w:t xml:space="preserve">Whiteaker </w:t>
      </w:r>
      <w:r w:rsidRPr="00ED5C53">
        <w:rPr>
          <w:i/>
        </w:rPr>
        <w:t>Ex Parte</w:t>
      </w:r>
      <w:r>
        <w:t xml:space="preserve"> </w:t>
      </w:r>
      <w:r w:rsidRPr="005F68BD">
        <w:t>Letter</w:t>
      </w:r>
      <w:r w:rsidRPr="007C3303">
        <w:t>, Attach. at 4-29</w:t>
      </w:r>
      <w:r>
        <w:t>.</w:t>
      </w:r>
    </w:p>
  </w:footnote>
  <w:footnote w:id="30">
    <w:p w:rsidR="00845C2D" w:rsidRDefault="00845C2D" w:rsidP="008D4979">
      <w:pPr>
        <w:pStyle w:val="FootnoteText"/>
      </w:pPr>
      <w:r>
        <w:rPr>
          <w:rStyle w:val="FootnoteReference"/>
        </w:rPr>
        <w:footnoteRef/>
      </w:r>
      <w:r>
        <w:t xml:space="preserve"> </w:t>
      </w:r>
      <w:r w:rsidRPr="006E660E">
        <w:rPr>
          <w:i/>
        </w:rPr>
        <w:t>See</w:t>
      </w:r>
      <w:r>
        <w:t xml:space="preserve"> TDS Telecom Petition at 2-3 n.6 (noting that TDS Telecom is a creditor in Halo's bankruptcy case); </w:t>
      </w:r>
      <w:r w:rsidRPr="006E660E">
        <w:t>Cimarron</w:t>
      </w:r>
      <w:r>
        <w:t xml:space="preserve"> </w:t>
      </w:r>
      <w:r w:rsidRPr="000903F2">
        <w:t>et al.</w:t>
      </w:r>
      <w:r>
        <w:t xml:space="preserve"> Petition at 7 (explaining that Cimarron </w:t>
      </w:r>
      <w:r w:rsidRPr="000903F2">
        <w:t>et al.</w:t>
      </w:r>
      <w:r>
        <w:t xml:space="preserve"> filed proofs of claims in the bankruptcy proceeding in November and December 2011).  Petitioners’ diligent pursuit of unpaid intrastate access revenue is part of the factual situation that we find persuasive in granting relief in this Order.  Petitioners have every incentive to include all amounts, intrastate access and otherwise, that are disputed between themselves and Halo in their bankruptcy claim.  Therefore, we expect Petitioners’ bankruptcy claims to exceed the amounts by which they would need to adjust their BPR to account for Halo’s non-payment of intrastate access charges as described in their petitions.  Accordingly, we limit the BPR adjustments resulting from this Order to the intrastate access portion of the relevant Petitioner’s bankruptcy claim for any study area.</w:t>
      </w:r>
    </w:p>
  </w:footnote>
  <w:footnote w:id="31">
    <w:p w:rsidR="00845C2D" w:rsidRPr="00626E68" w:rsidRDefault="00845C2D">
      <w:pPr>
        <w:pStyle w:val="FootnoteText"/>
      </w:pPr>
      <w:r>
        <w:rPr>
          <w:rStyle w:val="FootnoteReference"/>
        </w:rPr>
        <w:footnoteRef/>
      </w:r>
      <w:r>
        <w:t xml:space="preserve"> </w:t>
      </w:r>
      <w:r>
        <w:rPr>
          <w:i/>
        </w:rPr>
        <w:t>See, e.g.</w:t>
      </w:r>
      <w:r>
        <w:t xml:space="preserve">, </w:t>
      </w:r>
      <w:r w:rsidRPr="007C3303">
        <w:t xml:space="preserve">TDS Telecom Petition at </w:t>
      </w:r>
      <w:r>
        <w:t>6</w:t>
      </w:r>
      <w:r w:rsidRPr="009D722D">
        <w:t>.</w:t>
      </w:r>
    </w:p>
  </w:footnote>
  <w:footnote w:id="32">
    <w:p w:rsidR="00845C2D" w:rsidRDefault="00845C2D">
      <w:pPr>
        <w:pStyle w:val="FootnoteText"/>
      </w:pPr>
      <w:r>
        <w:rPr>
          <w:rStyle w:val="FootnoteReference"/>
        </w:rPr>
        <w:footnoteRef/>
      </w:r>
      <w:r>
        <w:t xml:space="preserve"> </w:t>
      </w:r>
      <w:r w:rsidRPr="00444BB1">
        <w:rPr>
          <w:i/>
        </w:rPr>
        <w:t>See</w:t>
      </w:r>
      <w:r>
        <w:t xml:space="preserve"> </w:t>
      </w:r>
      <w:r w:rsidRPr="009D722D">
        <w:t>Letter from Jacob E. Baldwin</w:t>
      </w:r>
      <w:r w:rsidR="007A719E">
        <w:t>,</w:t>
      </w:r>
      <w:r w:rsidRPr="009D722D">
        <w:t xml:space="preserve"> </w:t>
      </w:r>
      <w:r w:rsidR="007A719E">
        <w:t>Counsel to</w:t>
      </w:r>
      <w:r w:rsidRPr="009D722D">
        <w:t xml:space="preserve"> Cimarron </w:t>
      </w:r>
      <w:r w:rsidRPr="000903F2">
        <w:t>et al.</w:t>
      </w:r>
      <w:r w:rsidR="007A719E">
        <w:t>,</w:t>
      </w:r>
      <w:r w:rsidRPr="009D722D">
        <w:rPr>
          <w:i/>
        </w:rPr>
        <w:t xml:space="preserve"> </w:t>
      </w:r>
      <w:r w:rsidRPr="009D722D">
        <w:t>to Marlene H. Dortch, Secretary</w:t>
      </w:r>
      <w:r>
        <w:t>, Federal Communications Commission</w:t>
      </w:r>
      <w:r w:rsidR="007A719E">
        <w:t>, WC Docket No. 10-90 et al., at 2</w:t>
      </w:r>
      <w:r>
        <w:t xml:space="preserve"> </w:t>
      </w:r>
      <w:r w:rsidRPr="009D722D">
        <w:t>(</w:t>
      </w:r>
      <w:r>
        <w:t xml:space="preserve">filed </w:t>
      </w:r>
      <w:r w:rsidRPr="009D722D">
        <w:t>Feb</w:t>
      </w:r>
      <w:r>
        <w:t>.</w:t>
      </w:r>
      <w:r w:rsidRPr="009D722D">
        <w:t xml:space="preserve"> 10, 2014) (Jacob Baldwin Letter)</w:t>
      </w:r>
      <w:r>
        <w:t>.</w:t>
      </w:r>
    </w:p>
  </w:footnote>
  <w:footnote w:id="33">
    <w:p w:rsidR="00845C2D" w:rsidRDefault="00845C2D">
      <w:pPr>
        <w:pStyle w:val="FootnoteText"/>
      </w:pPr>
      <w:r>
        <w:rPr>
          <w:rStyle w:val="FootnoteReference"/>
        </w:rPr>
        <w:footnoteRef/>
      </w:r>
      <w:r>
        <w:t xml:space="preserve"> </w:t>
      </w:r>
      <w:r w:rsidRPr="00444BB1">
        <w:rPr>
          <w:i/>
        </w:rPr>
        <w:t>Id.</w:t>
      </w:r>
    </w:p>
  </w:footnote>
  <w:footnote w:id="34">
    <w:p w:rsidR="00845C2D" w:rsidRPr="007C3303" w:rsidRDefault="00845C2D" w:rsidP="00E5791A">
      <w:pPr>
        <w:pStyle w:val="FootnoteText"/>
      </w:pPr>
      <w:r w:rsidRPr="007C3303">
        <w:rPr>
          <w:rStyle w:val="FootnoteReference"/>
        </w:rPr>
        <w:footnoteRef/>
      </w:r>
      <w:r w:rsidRPr="007C3303">
        <w:t xml:space="preserve"> </w:t>
      </w:r>
      <w:r w:rsidRPr="007C3303">
        <w:rPr>
          <w:i/>
        </w:rPr>
        <w:t>In re Halo Wireless, Inc.,</w:t>
      </w:r>
      <w:r w:rsidRPr="007C3303">
        <w:t xml:space="preserve"> Case No</w:t>
      </w:r>
      <w:r w:rsidR="007A719E">
        <w:t>.</w:t>
      </w:r>
      <w:r w:rsidRPr="007C3303">
        <w:t xml:space="preserve"> 11-42464, Bkrtcy. E.D. Tex. (</w:t>
      </w:r>
      <w:r w:rsidR="007A719E">
        <w:t xml:space="preserve">filed </w:t>
      </w:r>
      <w:r w:rsidRPr="007C3303">
        <w:t>Aug</w:t>
      </w:r>
      <w:r w:rsidR="007A719E">
        <w:t>.</w:t>
      </w:r>
      <w:r w:rsidRPr="007C3303">
        <w:t xml:space="preserve"> 8, 2011).</w:t>
      </w:r>
    </w:p>
  </w:footnote>
  <w:footnote w:id="35">
    <w:p w:rsidR="00845C2D" w:rsidRPr="007C3303" w:rsidRDefault="00845C2D" w:rsidP="00E5791A">
      <w:pPr>
        <w:pStyle w:val="FootnoteText"/>
      </w:pPr>
      <w:r w:rsidRPr="007C3303">
        <w:rPr>
          <w:rStyle w:val="FootnoteReference"/>
        </w:rPr>
        <w:footnoteRef/>
      </w:r>
      <w:r w:rsidRPr="007C3303">
        <w:t xml:space="preserve"> </w:t>
      </w:r>
      <w:r w:rsidRPr="007C3303">
        <w:rPr>
          <w:i/>
        </w:rPr>
        <w:t>In re Halo Wireless, Inc.</w:t>
      </w:r>
      <w:r w:rsidRPr="007C3303">
        <w:t>, Case No</w:t>
      </w:r>
      <w:r w:rsidR="007A719E">
        <w:t>.</w:t>
      </w:r>
      <w:r w:rsidRPr="007C3303">
        <w:t xml:space="preserve"> 11-42464, Bkrtcy. E.D. Tex. (</w:t>
      </w:r>
      <w:r w:rsidR="007A719E">
        <w:t xml:space="preserve">filed </w:t>
      </w:r>
      <w:r w:rsidRPr="007C3303">
        <w:t>July 19, 2012).</w:t>
      </w:r>
    </w:p>
  </w:footnote>
  <w:footnote w:id="36">
    <w:p w:rsidR="00845C2D" w:rsidRDefault="00845C2D" w:rsidP="004E0C93">
      <w:pPr>
        <w:pStyle w:val="FootnoteText"/>
      </w:pPr>
      <w:r>
        <w:rPr>
          <w:rStyle w:val="FootnoteReference"/>
        </w:rPr>
        <w:footnoteRef/>
      </w:r>
      <w:r>
        <w:t xml:space="preserve"> </w:t>
      </w:r>
      <w:r w:rsidRPr="009D722D">
        <w:t>Jacob Baldwin Letter at 2.</w:t>
      </w:r>
    </w:p>
  </w:footnote>
  <w:footnote w:id="37">
    <w:p w:rsidR="00845C2D" w:rsidRPr="007C3303" w:rsidRDefault="00845C2D" w:rsidP="008D4979">
      <w:pPr>
        <w:pStyle w:val="FootnoteText"/>
      </w:pPr>
      <w:r w:rsidRPr="007C3303">
        <w:rPr>
          <w:rStyle w:val="FootnoteReference"/>
        </w:rPr>
        <w:footnoteRef/>
      </w:r>
      <w:r w:rsidRPr="007C3303">
        <w:t xml:space="preserve"> TDS Telecom Petition at 12</w:t>
      </w:r>
      <w:r w:rsidRPr="009D722D">
        <w:t>.</w:t>
      </w:r>
    </w:p>
  </w:footnote>
  <w:footnote w:id="38">
    <w:p w:rsidR="00845C2D" w:rsidRPr="007C3303" w:rsidRDefault="00845C2D" w:rsidP="008D4979">
      <w:pPr>
        <w:pStyle w:val="FootnoteText"/>
      </w:pPr>
      <w:r w:rsidRPr="007C3303">
        <w:rPr>
          <w:rStyle w:val="FootnoteReference"/>
        </w:rPr>
        <w:footnoteRef/>
      </w:r>
      <w:r w:rsidRPr="007C3303">
        <w:t xml:space="preserve"> </w:t>
      </w:r>
      <w:r w:rsidRPr="007C3303">
        <w:rPr>
          <w:i/>
        </w:rPr>
        <w:t>Transformation Orde</w:t>
      </w:r>
      <w:r w:rsidRPr="009847F4">
        <w:rPr>
          <w:i/>
        </w:rPr>
        <w:t>r</w:t>
      </w:r>
      <w:r w:rsidRPr="009847F4">
        <w:t>, 26 FCC Rcd</w:t>
      </w:r>
      <w:r w:rsidRPr="007C3303">
        <w:t xml:space="preserve"> at </w:t>
      </w:r>
      <w:r>
        <w:t xml:space="preserve">18041-44, </w:t>
      </w:r>
      <w:r w:rsidRPr="007C3303">
        <w:t>paras. 1003-08.</w:t>
      </w:r>
    </w:p>
  </w:footnote>
  <w:footnote w:id="39">
    <w:p w:rsidR="00845C2D" w:rsidRPr="00EA3CA7" w:rsidRDefault="00845C2D" w:rsidP="008D4979">
      <w:pPr>
        <w:pStyle w:val="FootnoteText"/>
      </w:pPr>
      <w:r w:rsidRPr="007C3303">
        <w:rPr>
          <w:rStyle w:val="FootnoteReference"/>
        </w:rPr>
        <w:footnoteRef/>
      </w:r>
      <w:r w:rsidRPr="007C3303">
        <w:t xml:space="preserve"> </w:t>
      </w:r>
      <w:r w:rsidRPr="007C3303">
        <w:rPr>
          <w:i/>
        </w:rPr>
        <w:t>Id.</w:t>
      </w:r>
      <w:r w:rsidRPr="007C3303">
        <w:t xml:space="preserve"> at </w:t>
      </w:r>
      <w:r>
        <w:t>18</w:t>
      </w:r>
      <w:r w:rsidR="009D2EEF">
        <w:t>0</w:t>
      </w:r>
      <w:r>
        <w:t xml:space="preserve">42, </w:t>
      </w:r>
      <w:r w:rsidRPr="007C3303">
        <w:t>para. 1006 (internal citations omitted).</w:t>
      </w:r>
      <w:r w:rsidR="006F3FC7">
        <w:t xml:space="preserve">  </w:t>
      </w:r>
      <w:r w:rsidR="006F3FC7" w:rsidRPr="00EA3CA7">
        <w:t>This finding was challenged by Halo</w:t>
      </w:r>
      <w:r w:rsidR="00EA3CA7" w:rsidRPr="00EA3CA7">
        <w:t xml:space="preserve"> and its business partner Transcom, but the United State</w:t>
      </w:r>
      <w:r w:rsidR="0099742F">
        <w:t>s</w:t>
      </w:r>
      <w:r w:rsidR="00EA3CA7" w:rsidRPr="00EA3CA7">
        <w:t xml:space="preserve"> Court of Appeals for the </w:t>
      </w:r>
      <w:r w:rsidR="001037C4">
        <w:t xml:space="preserve">Tenth </w:t>
      </w:r>
      <w:r w:rsidR="00EA3CA7" w:rsidRPr="00EA3CA7">
        <w:t>Circuit upheld the Commission’s findings on appeal.</w:t>
      </w:r>
      <w:r w:rsidR="00EA3CA7">
        <w:t xml:space="preserve">  </w:t>
      </w:r>
      <w:r w:rsidR="00EA3CA7" w:rsidRPr="00472414">
        <w:rPr>
          <w:i/>
        </w:rPr>
        <w:t>In re:  FCC 11-161</w:t>
      </w:r>
      <w:r w:rsidR="00EA3CA7">
        <w:t>,</w:t>
      </w:r>
      <w:r w:rsidR="0099742F">
        <w:t xml:space="preserve"> 753 F.3d 1015, 1151-53</w:t>
      </w:r>
      <w:r w:rsidR="00EA3CA7" w:rsidRPr="00EA3CA7">
        <w:t xml:space="preserve"> (10th Cir. 2014).</w:t>
      </w:r>
    </w:p>
  </w:footnote>
  <w:footnote w:id="40">
    <w:p w:rsidR="00845C2D" w:rsidRPr="007C3303" w:rsidRDefault="00845C2D" w:rsidP="008D4979">
      <w:pPr>
        <w:pStyle w:val="FootnoteText"/>
      </w:pPr>
      <w:r w:rsidRPr="007C3303">
        <w:rPr>
          <w:rStyle w:val="FootnoteReference"/>
        </w:rPr>
        <w:footnoteRef/>
      </w:r>
      <w:r w:rsidRPr="007C3303">
        <w:t xml:space="preserve"> </w:t>
      </w:r>
      <w:r w:rsidRPr="007C3303">
        <w:rPr>
          <w:i/>
        </w:rPr>
        <w:t>See</w:t>
      </w:r>
      <w:r w:rsidRPr="007C3303">
        <w:t xml:space="preserve"> TDS </w:t>
      </w:r>
      <w:r w:rsidR="009D2EEF">
        <w:t>Telecom</w:t>
      </w:r>
      <w:r w:rsidRPr="007C3303">
        <w:t xml:space="preserve"> Petition Attach. E (listing Alabama – Docket No. 31682, Florida – Docket No 110234, Georgia – Docket No. 34219, Kentucky – Docket No. 2011-00199, Michigan – Docket No. U-17018, Mississippi – Docket No. 2011-AD-223, Missouri – Docket No. TC-2011-0404, North Carolina – Docket No. P-55 Sub 1841, South Carolina – Docket No. 2011-304-C, Tennessee – Docket No. 11-00108, and Wisconsin – Docket No. 9495-TI-100).</w:t>
      </w:r>
    </w:p>
  </w:footnote>
  <w:footnote w:id="41">
    <w:p w:rsidR="00845C2D" w:rsidRPr="00FE3DA4" w:rsidRDefault="00845C2D" w:rsidP="000903F2">
      <w:pPr>
        <w:widowControl/>
        <w:autoSpaceDE w:val="0"/>
        <w:autoSpaceDN w:val="0"/>
        <w:adjustRightInd w:val="0"/>
        <w:spacing w:after="120"/>
        <w:rPr>
          <w:sz w:val="20"/>
        </w:rPr>
      </w:pPr>
      <w:r w:rsidRPr="00412D7D">
        <w:rPr>
          <w:rStyle w:val="FootnoteReference"/>
        </w:rPr>
        <w:footnoteRef/>
      </w:r>
      <w:r w:rsidRPr="00FE3DA4">
        <w:t xml:space="preserve"> </w:t>
      </w:r>
      <w:r w:rsidRPr="00FE3DA4">
        <w:rPr>
          <w:rStyle w:val="FootnoteTextChar"/>
          <w:i/>
          <w:sz w:val="20"/>
        </w:rPr>
        <w:t>See</w:t>
      </w:r>
      <w:r w:rsidRPr="00FE3DA4">
        <w:rPr>
          <w:rStyle w:val="FootnoteTextChar"/>
          <w:sz w:val="20"/>
        </w:rPr>
        <w:t xml:space="preserve"> Letter from Yaron Dori, </w:t>
      </w:r>
      <w:r>
        <w:rPr>
          <w:rStyle w:val="FootnoteTextChar"/>
          <w:sz w:val="20"/>
        </w:rPr>
        <w:t>Counsel to TDS Telecom</w:t>
      </w:r>
      <w:r w:rsidR="00D5466A">
        <w:rPr>
          <w:rStyle w:val="FootnoteTextChar"/>
          <w:sz w:val="20"/>
        </w:rPr>
        <w:t>,</w:t>
      </w:r>
      <w:r w:rsidRPr="00FE3DA4">
        <w:rPr>
          <w:rStyle w:val="FootnoteTextChar"/>
          <w:sz w:val="20"/>
        </w:rPr>
        <w:t xml:space="preserve"> to Marlene H. Dortch, Secretary, </w:t>
      </w:r>
      <w:r>
        <w:rPr>
          <w:rStyle w:val="FootnoteTextChar"/>
          <w:sz w:val="20"/>
        </w:rPr>
        <w:t>Federal Communications Commission</w:t>
      </w:r>
      <w:r w:rsidRPr="00FE3DA4">
        <w:rPr>
          <w:rStyle w:val="FootnoteTextChar"/>
          <w:sz w:val="20"/>
        </w:rPr>
        <w:t xml:space="preserve">, </w:t>
      </w:r>
      <w:r>
        <w:rPr>
          <w:rStyle w:val="FootnoteTextChar"/>
          <w:sz w:val="20"/>
        </w:rPr>
        <w:t xml:space="preserve">WC Docket No. 10-90 et al., </w:t>
      </w:r>
      <w:r w:rsidRPr="00FE3DA4">
        <w:rPr>
          <w:rStyle w:val="FootnoteTextChar"/>
          <w:sz w:val="20"/>
        </w:rPr>
        <w:t>Attach. at 1-3 (filed Dec. 20, 2012) (TDS Telecom</w:t>
      </w:r>
      <w:r>
        <w:rPr>
          <w:rStyle w:val="FootnoteTextChar"/>
          <w:sz w:val="20"/>
        </w:rPr>
        <w:t xml:space="preserve"> Dec. 20, 2012</w:t>
      </w:r>
      <w:r w:rsidRPr="00FE3DA4">
        <w:rPr>
          <w:rStyle w:val="FootnoteTextChar"/>
          <w:sz w:val="20"/>
        </w:rPr>
        <w:t xml:space="preserve"> </w:t>
      </w:r>
      <w:r w:rsidRPr="00FE3DA4">
        <w:rPr>
          <w:rStyle w:val="FootnoteTextChar"/>
          <w:i/>
          <w:sz w:val="20"/>
        </w:rPr>
        <w:t>Ex Parte</w:t>
      </w:r>
      <w:r w:rsidRPr="00FE3DA4">
        <w:rPr>
          <w:rStyle w:val="FootnoteTextChar"/>
          <w:sz w:val="20"/>
        </w:rPr>
        <w:t xml:space="preserve"> Notice) (listing Florida – Docket No 110234, Georgia – Docket No. 34219, Mississippi – Docket No. 2011-AD-223, Missouri – Docket No. TC-2011-0404, North Carolina – Docket No. P-55 Sub 1841, South Carolina – Docket No. 2011-304-C, Tennessee – Docket No. 11-00108, and Wisconsin – Docket No. 9495-TI-100)</w:t>
      </w:r>
      <w:r>
        <w:rPr>
          <w:rStyle w:val="FootnoteTextChar"/>
          <w:sz w:val="20"/>
        </w:rPr>
        <w:t xml:space="preserve">;  </w:t>
      </w:r>
      <w:r w:rsidRPr="00810FB5">
        <w:rPr>
          <w:rStyle w:val="FootnoteTextChar"/>
          <w:i/>
          <w:sz w:val="20"/>
        </w:rPr>
        <w:t>see also</w:t>
      </w:r>
      <w:r>
        <w:rPr>
          <w:rStyle w:val="FootnoteTextChar"/>
          <w:sz w:val="20"/>
        </w:rPr>
        <w:t xml:space="preserve"> </w:t>
      </w:r>
      <w:r w:rsidRPr="00C4551D">
        <w:rPr>
          <w:rStyle w:val="FootnoteTextChar"/>
          <w:sz w:val="20"/>
        </w:rPr>
        <w:t xml:space="preserve">Letter from Yaron Dori, </w:t>
      </w:r>
      <w:r>
        <w:rPr>
          <w:rStyle w:val="FootnoteTextChar"/>
          <w:sz w:val="20"/>
        </w:rPr>
        <w:t>Counsel to TDS Telecom,</w:t>
      </w:r>
      <w:r w:rsidRPr="00C4551D">
        <w:rPr>
          <w:rStyle w:val="FootnoteTextChar"/>
          <w:sz w:val="20"/>
        </w:rPr>
        <w:t xml:space="preserve"> to Marlene H. Dortch, Secretary, Federal Communications Commission, WC Docket No. 10-90 et al., at 1-</w:t>
      </w:r>
      <w:r>
        <w:rPr>
          <w:rStyle w:val="FootnoteTextChar"/>
          <w:sz w:val="20"/>
        </w:rPr>
        <w:t>2</w:t>
      </w:r>
      <w:r w:rsidRPr="00C4551D">
        <w:rPr>
          <w:rStyle w:val="FootnoteTextChar"/>
          <w:sz w:val="20"/>
        </w:rPr>
        <w:t xml:space="preserve"> (filed </w:t>
      </w:r>
      <w:r>
        <w:rPr>
          <w:rStyle w:val="FootnoteTextChar"/>
          <w:sz w:val="20"/>
        </w:rPr>
        <w:t>Apr</w:t>
      </w:r>
      <w:r w:rsidR="003C0222">
        <w:rPr>
          <w:rStyle w:val="FootnoteTextChar"/>
          <w:sz w:val="20"/>
        </w:rPr>
        <w:t>.</w:t>
      </w:r>
      <w:r>
        <w:rPr>
          <w:rStyle w:val="FootnoteTextChar"/>
          <w:sz w:val="20"/>
        </w:rPr>
        <w:t xml:space="preserve"> 24</w:t>
      </w:r>
      <w:r w:rsidRPr="00C4551D">
        <w:rPr>
          <w:rStyle w:val="FootnoteTextChar"/>
          <w:sz w:val="20"/>
        </w:rPr>
        <w:t>, 201</w:t>
      </w:r>
      <w:r>
        <w:rPr>
          <w:rStyle w:val="FootnoteTextChar"/>
          <w:sz w:val="20"/>
        </w:rPr>
        <w:t>4</w:t>
      </w:r>
      <w:r w:rsidRPr="00C4551D">
        <w:rPr>
          <w:rStyle w:val="FootnoteTextChar"/>
          <w:sz w:val="20"/>
        </w:rPr>
        <w:t xml:space="preserve">) </w:t>
      </w:r>
      <w:r>
        <w:rPr>
          <w:rStyle w:val="FootnoteTextChar"/>
          <w:sz w:val="20"/>
        </w:rPr>
        <w:t>(noting that on Jan</w:t>
      </w:r>
      <w:r w:rsidR="003C0222">
        <w:rPr>
          <w:rStyle w:val="FootnoteTextChar"/>
          <w:sz w:val="20"/>
        </w:rPr>
        <w:t>uary</w:t>
      </w:r>
      <w:r>
        <w:rPr>
          <w:rStyle w:val="FootnoteTextChar"/>
          <w:sz w:val="20"/>
        </w:rPr>
        <w:t xml:space="preserve"> 7, 2013, the Kentucky Public Service Commission found that Halo breached its interconnection agreement with AT&amp;T and that Halo was liable for the payment of access charges).</w:t>
      </w:r>
    </w:p>
  </w:footnote>
  <w:footnote w:id="42">
    <w:p w:rsidR="00845C2D" w:rsidRDefault="00845C2D">
      <w:pPr>
        <w:pStyle w:val="FootnoteText"/>
      </w:pPr>
      <w:r>
        <w:rPr>
          <w:rStyle w:val="FootnoteReference"/>
        </w:rPr>
        <w:footnoteRef/>
      </w:r>
      <w:r>
        <w:t xml:space="preserve"> </w:t>
      </w:r>
      <w:r w:rsidRPr="007C3303">
        <w:t xml:space="preserve">47 C.F.R. § 1.3; </w:t>
      </w:r>
      <w:r w:rsidRPr="007C3303">
        <w:rPr>
          <w:i/>
        </w:rPr>
        <w:t>Northeast Cellular Telephone Co. v. FCC</w:t>
      </w:r>
      <w:r w:rsidRPr="007C3303">
        <w:t>, 897 F.2d 1164, 1166 (D.C. Cir. 1990).</w:t>
      </w:r>
    </w:p>
  </w:footnote>
  <w:footnote w:id="43">
    <w:p w:rsidR="00845C2D" w:rsidRPr="007C3303" w:rsidRDefault="00845C2D" w:rsidP="008D4979">
      <w:pPr>
        <w:pStyle w:val="FootnoteText"/>
      </w:pPr>
      <w:r w:rsidRPr="007C3303">
        <w:rPr>
          <w:rStyle w:val="FootnoteReference"/>
        </w:rPr>
        <w:footnoteRef/>
      </w:r>
      <w:r w:rsidRPr="007C3303">
        <w:t xml:space="preserve"> </w:t>
      </w:r>
      <w:r w:rsidRPr="007C3303">
        <w:rPr>
          <w:i/>
        </w:rPr>
        <w:t>Northeast Cellular</w:t>
      </w:r>
      <w:r w:rsidRPr="007C3303">
        <w:t>, 897 F.2d at 1166.</w:t>
      </w:r>
    </w:p>
  </w:footnote>
  <w:footnote w:id="44">
    <w:p w:rsidR="00845C2D" w:rsidRPr="007C3303" w:rsidRDefault="00845C2D" w:rsidP="008D4979">
      <w:pPr>
        <w:pStyle w:val="FootnoteText"/>
      </w:pPr>
      <w:r w:rsidRPr="007C3303">
        <w:rPr>
          <w:rStyle w:val="FootnoteReference"/>
        </w:rPr>
        <w:footnoteRef/>
      </w:r>
      <w:r w:rsidRPr="007C3303">
        <w:t xml:space="preserve"> </w:t>
      </w:r>
      <w:r w:rsidRPr="007C3303">
        <w:rPr>
          <w:i/>
        </w:rPr>
        <w:t>WAIT Radio v. FCC</w:t>
      </w:r>
      <w:r w:rsidRPr="007C3303">
        <w:t xml:space="preserve">, 418 F.2d 1153, 1159 (D.C. Cir. 1969); </w:t>
      </w:r>
      <w:r w:rsidRPr="007C3303">
        <w:rPr>
          <w:i/>
        </w:rPr>
        <w:t>Northeast Cellular</w:t>
      </w:r>
      <w:r w:rsidRPr="007C3303">
        <w:t>, 897 F.2d at 1166.</w:t>
      </w:r>
    </w:p>
  </w:footnote>
  <w:footnote w:id="45">
    <w:p w:rsidR="00845C2D" w:rsidRDefault="00845C2D">
      <w:pPr>
        <w:pStyle w:val="FootnoteText"/>
      </w:pPr>
      <w:r>
        <w:rPr>
          <w:rStyle w:val="FootnoteReference"/>
        </w:rPr>
        <w:footnoteRef/>
      </w:r>
      <w:r>
        <w:t xml:space="preserve"> </w:t>
      </w:r>
      <w:r w:rsidRPr="00415D78">
        <w:rPr>
          <w:i/>
        </w:rPr>
        <w:t>See</w:t>
      </w:r>
      <w:r>
        <w:t xml:space="preserve"> </w:t>
      </w:r>
      <w:r w:rsidRPr="00B151CB">
        <w:rPr>
          <w:i/>
        </w:rPr>
        <w:t>Transformation Order</w:t>
      </w:r>
      <w:r>
        <w:t>, 26 FCC Rcd at 17982</w:t>
      </w:r>
      <w:r w:rsidRPr="00042FE3">
        <w:t xml:space="preserve">, para. </w:t>
      </w:r>
      <w:r>
        <w:t>898 n.1745.</w:t>
      </w:r>
    </w:p>
  </w:footnote>
  <w:footnote w:id="46">
    <w:p w:rsidR="00845C2D" w:rsidRDefault="00845C2D" w:rsidP="008D4979">
      <w:pPr>
        <w:pStyle w:val="FootnoteText"/>
      </w:pPr>
      <w:r>
        <w:rPr>
          <w:rStyle w:val="FootnoteReference"/>
        </w:rPr>
        <w:footnoteRef/>
      </w:r>
      <w:r>
        <w:t xml:space="preserve"> </w:t>
      </w:r>
      <w:r w:rsidR="00533787">
        <w:rPr>
          <w:i/>
        </w:rPr>
        <w:t>I</w:t>
      </w:r>
      <w:r w:rsidRPr="00810FB5">
        <w:rPr>
          <w:i/>
        </w:rPr>
        <w:t>d</w:t>
      </w:r>
      <w:r>
        <w:rPr>
          <w:i/>
        </w:rPr>
        <w:t>.</w:t>
      </w:r>
    </w:p>
  </w:footnote>
  <w:footnote w:id="47">
    <w:p w:rsidR="00845C2D" w:rsidRDefault="00845C2D">
      <w:pPr>
        <w:pStyle w:val="FootnoteText"/>
      </w:pPr>
      <w:r>
        <w:rPr>
          <w:rStyle w:val="FootnoteReference"/>
        </w:rPr>
        <w:footnoteRef/>
      </w:r>
      <w:r>
        <w:t xml:space="preserve"> </w:t>
      </w:r>
      <w:r w:rsidRPr="00415D78">
        <w:rPr>
          <w:i/>
        </w:rPr>
        <w:t>See id</w:t>
      </w:r>
      <w:r>
        <w:t>.</w:t>
      </w:r>
    </w:p>
  </w:footnote>
  <w:footnote w:id="48">
    <w:p w:rsidR="00845C2D" w:rsidRDefault="00845C2D">
      <w:pPr>
        <w:pStyle w:val="FootnoteText"/>
      </w:pPr>
      <w:r>
        <w:rPr>
          <w:rStyle w:val="FootnoteReference"/>
        </w:rPr>
        <w:footnoteRef/>
      </w:r>
      <w:r>
        <w:t xml:space="preserve"> </w:t>
      </w:r>
      <w:r w:rsidRPr="004E4761">
        <w:rPr>
          <w:i/>
        </w:rPr>
        <w:t xml:space="preserve">See </w:t>
      </w:r>
      <w:r w:rsidR="00FD4873">
        <w:rPr>
          <w:i/>
        </w:rPr>
        <w:t>id</w:t>
      </w:r>
      <w:r w:rsidR="00FD4873">
        <w:t>.</w:t>
      </w:r>
      <w:r>
        <w:t xml:space="preserve"> </w:t>
      </w:r>
      <w:r w:rsidRPr="00253C69">
        <w:t xml:space="preserve">at </w:t>
      </w:r>
      <w:r>
        <w:t xml:space="preserve">17962, </w:t>
      </w:r>
      <w:r w:rsidRPr="00253C69">
        <w:t>para</w:t>
      </w:r>
      <w:r>
        <w:t>.</w:t>
      </w:r>
      <w:r w:rsidRPr="00253C69">
        <w:t xml:space="preserve"> 8</w:t>
      </w:r>
      <w:r>
        <w:t>58</w:t>
      </w:r>
      <w:r w:rsidRPr="00253C69">
        <w:t>.</w:t>
      </w:r>
    </w:p>
  </w:footnote>
  <w:footnote w:id="49">
    <w:p w:rsidR="00386992" w:rsidRDefault="00386992" w:rsidP="00386992">
      <w:pPr>
        <w:pStyle w:val="FootnoteText"/>
      </w:pPr>
      <w:r>
        <w:rPr>
          <w:rStyle w:val="FootnoteReference"/>
        </w:rPr>
        <w:footnoteRef/>
      </w:r>
      <w:r>
        <w:t xml:space="preserve"> </w:t>
      </w:r>
      <w:r w:rsidRPr="009D04E1">
        <w:rPr>
          <w:i/>
        </w:rPr>
        <w:t xml:space="preserve">See </w:t>
      </w:r>
      <w:r>
        <w:rPr>
          <w:i/>
        </w:rPr>
        <w:t>id.</w:t>
      </w:r>
      <w:r w:rsidRPr="009D04E1">
        <w:t xml:space="preserve"> at 18</w:t>
      </w:r>
      <w:r>
        <w:t>0</w:t>
      </w:r>
      <w:r w:rsidRPr="009D04E1">
        <w:t>42, para. 1006 (internal citations omitted).</w:t>
      </w:r>
    </w:p>
  </w:footnote>
  <w:footnote w:id="50">
    <w:p w:rsidR="00845C2D" w:rsidRDefault="00845C2D" w:rsidP="00B2015D">
      <w:pPr>
        <w:pStyle w:val="FootnoteText"/>
      </w:pPr>
      <w:r>
        <w:rPr>
          <w:rStyle w:val="FootnoteReference"/>
        </w:rPr>
        <w:footnoteRef/>
      </w:r>
      <w:r>
        <w:t xml:space="preserve"> </w:t>
      </w:r>
      <w:r>
        <w:rPr>
          <w:i/>
          <w:iCs/>
        </w:rPr>
        <w:t xml:space="preserve">See id. </w:t>
      </w:r>
      <w:r>
        <w:t>at 17982, para. 898 &amp; n.17</w:t>
      </w:r>
      <w:r w:rsidR="00533787">
        <w:t>4</w:t>
      </w:r>
      <w:r>
        <w:t>5.</w:t>
      </w:r>
    </w:p>
  </w:footnote>
  <w:footnote w:id="51">
    <w:p w:rsidR="00845C2D" w:rsidRDefault="00845C2D" w:rsidP="00B2015D">
      <w:pPr>
        <w:pStyle w:val="FootnoteText"/>
      </w:pPr>
      <w:r>
        <w:rPr>
          <w:rStyle w:val="FootnoteReference"/>
        </w:rPr>
        <w:footnoteRef/>
      </w:r>
      <w:r>
        <w:t xml:space="preserve"> As discussed above, the Commission specifically addressed the access avoidance scheme perpetrated by Halo and rejected Halo’s claims concerning the compensation due. </w:t>
      </w:r>
      <w:r>
        <w:rPr>
          <w:i/>
          <w:iCs/>
        </w:rPr>
        <w:t xml:space="preserve"> See </w:t>
      </w:r>
      <w:r w:rsidR="00533787">
        <w:rPr>
          <w:i/>
          <w:iCs/>
        </w:rPr>
        <w:t>id</w:t>
      </w:r>
      <w:r w:rsidR="00533787">
        <w:t>.</w:t>
      </w:r>
      <w:r>
        <w:t xml:space="preserve"> at 18042, para. 1006; </w:t>
      </w:r>
      <w:r>
        <w:rPr>
          <w:i/>
        </w:rPr>
        <w:t xml:space="preserve">see also </w:t>
      </w:r>
      <w:r>
        <w:t>supra para. 13.  In contrast, the Commission explicitly declined to address other pre-existing ICC disputes, such as the appropriate compensation for V</w:t>
      </w:r>
      <w:r w:rsidR="00533787">
        <w:t xml:space="preserve">oice </w:t>
      </w:r>
      <w:r>
        <w:t>o</w:t>
      </w:r>
      <w:r w:rsidR="00533787">
        <w:t xml:space="preserve">ver </w:t>
      </w:r>
      <w:r>
        <w:t>I</w:t>
      </w:r>
      <w:r w:rsidR="00533787">
        <w:t xml:space="preserve">nternet </w:t>
      </w:r>
      <w:r>
        <w:t>P</w:t>
      </w:r>
      <w:r w:rsidR="00533787">
        <w:t>rotocol</w:t>
      </w:r>
      <w:r>
        <w:t xml:space="preserve"> traffic.  </w:t>
      </w:r>
      <w:r>
        <w:rPr>
          <w:i/>
          <w:iCs/>
        </w:rPr>
        <w:t>See, e.g., Transformation Order</w:t>
      </w:r>
      <w:r>
        <w:t>, 26 FCC Rcd at 18003-09, paras. 937-45.</w:t>
      </w:r>
    </w:p>
  </w:footnote>
  <w:footnote w:id="52">
    <w:p w:rsidR="00845C2D" w:rsidRPr="007C3303" w:rsidRDefault="00845C2D" w:rsidP="008D4979">
      <w:pPr>
        <w:pStyle w:val="FootnoteText"/>
      </w:pPr>
      <w:r w:rsidRPr="007C3303">
        <w:rPr>
          <w:rStyle w:val="FootnoteReference"/>
        </w:rPr>
        <w:footnoteRef/>
      </w:r>
      <w:r w:rsidRPr="007C3303">
        <w:t xml:space="preserve"> </w:t>
      </w:r>
      <w:r>
        <w:t xml:space="preserve">Comments of </w:t>
      </w:r>
      <w:r w:rsidRPr="007C3303">
        <w:t>Sprint Nextel Corporation</w:t>
      </w:r>
      <w:r w:rsidR="00FE2A41">
        <w:t xml:space="preserve"> (Sprint)</w:t>
      </w:r>
      <w:r>
        <w:t>, WC Docket No. 10-90 et al.</w:t>
      </w:r>
      <w:r w:rsidR="00933D03">
        <w:t>, at 2</w:t>
      </w:r>
      <w:r w:rsidRPr="007C3303">
        <w:t xml:space="preserve"> (</w:t>
      </w:r>
      <w:r>
        <w:t xml:space="preserve">filed </w:t>
      </w:r>
      <w:r w:rsidRPr="007C3303">
        <w:t>Oct. 1, 2</w:t>
      </w:r>
      <w:r>
        <w:t>012</w:t>
      </w:r>
      <w:r w:rsidRPr="007C3303">
        <w:t>)</w:t>
      </w:r>
      <w:r>
        <w:t>.</w:t>
      </w:r>
    </w:p>
  </w:footnote>
  <w:footnote w:id="53">
    <w:p w:rsidR="00845C2D" w:rsidRPr="007C3303" w:rsidRDefault="00845C2D" w:rsidP="008D4979">
      <w:pPr>
        <w:pStyle w:val="FootnoteText"/>
      </w:pPr>
      <w:r w:rsidRPr="007C3303">
        <w:rPr>
          <w:rStyle w:val="FootnoteReference"/>
        </w:rPr>
        <w:footnoteRef/>
      </w:r>
      <w:r w:rsidRPr="007C3303">
        <w:t xml:space="preserve"> </w:t>
      </w:r>
      <w:r>
        <w:t xml:space="preserve">Comments of </w:t>
      </w:r>
      <w:r w:rsidRPr="007C3303">
        <w:t>National Cable &amp; Telecommunications Association</w:t>
      </w:r>
      <w:r w:rsidR="00FE2A41">
        <w:t xml:space="preserve"> (NCTA)</w:t>
      </w:r>
      <w:r>
        <w:t>, WC Docket No. 10-90 et al.</w:t>
      </w:r>
      <w:r w:rsidR="00933D03">
        <w:t>, at 2</w:t>
      </w:r>
      <w:r w:rsidRPr="007C3303">
        <w:t xml:space="preserve"> (</w:t>
      </w:r>
      <w:r>
        <w:t xml:space="preserve">filed </w:t>
      </w:r>
      <w:r w:rsidRPr="007C3303">
        <w:t xml:space="preserve">Oct. 1, </w:t>
      </w:r>
      <w:r>
        <w:t>2</w:t>
      </w:r>
      <w:r w:rsidRPr="007C3303">
        <w:t>012)</w:t>
      </w:r>
      <w:r>
        <w:t>.</w:t>
      </w:r>
    </w:p>
  </w:footnote>
  <w:footnote w:id="54">
    <w:p w:rsidR="00845C2D" w:rsidRDefault="00845C2D" w:rsidP="008D4979">
      <w:pPr>
        <w:pStyle w:val="FootnoteText"/>
      </w:pPr>
      <w:r>
        <w:rPr>
          <w:rStyle w:val="FootnoteReference"/>
        </w:rPr>
        <w:footnoteRef/>
      </w:r>
      <w:r>
        <w:t xml:space="preserve"> </w:t>
      </w:r>
      <w:r w:rsidRPr="00451F47">
        <w:rPr>
          <w:i/>
        </w:rPr>
        <w:t xml:space="preserve">See </w:t>
      </w:r>
      <w:r w:rsidRPr="000903F2">
        <w:rPr>
          <w:i/>
        </w:rPr>
        <w:t xml:space="preserve">supra </w:t>
      </w:r>
      <w:r>
        <w:t>para. 5.</w:t>
      </w:r>
    </w:p>
  </w:footnote>
  <w:footnote w:id="55">
    <w:p w:rsidR="00845C2D" w:rsidRDefault="00845C2D">
      <w:pPr>
        <w:pStyle w:val="FootnoteText"/>
      </w:pPr>
      <w:r>
        <w:rPr>
          <w:rStyle w:val="FootnoteReference"/>
        </w:rPr>
        <w:footnoteRef/>
      </w:r>
      <w:r>
        <w:t xml:space="preserve"> In response to the petitions, no commenters raised allegations that Petitioners were engaged in any access stimulation activities.  Additionally, Petitioners were not party to tariff suspensions or other Commission actions designed to curtail incumbent LEC access stimulation activities as addressed in WC Docket No. 07-135.  </w:t>
      </w:r>
      <w:r>
        <w:rPr>
          <w:i/>
        </w:rPr>
        <w:t xml:space="preserve">See generally </w:t>
      </w:r>
      <w:r w:rsidRPr="007377D1">
        <w:rPr>
          <w:i/>
        </w:rPr>
        <w:t xml:space="preserve">Establishing Just </w:t>
      </w:r>
      <w:r w:rsidR="005503A2">
        <w:rPr>
          <w:i/>
        </w:rPr>
        <w:t>and</w:t>
      </w:r>
      <w:r w:rsidRPr="007377D1">
        <w:rPr>
          <w:i/>
        </w:rPr>
        <w:t xml:space="preserve"> Reasonable Rates for Local Exch</w:t>
      </w:r>
      <w:r w:rsidR="005503A2">
        <w:rPr>
          <w:i/>
        </w:rPr>
        <w:t>ange</w:t>
      </w:r>
      <w:r w:rsidRPr="007377D1">
        <w:rPr>
          <w:i/>
        </w:rPr>
        <w:t xml:space="preserve"> Carriers, </w:t>
      </w:r>
      <w:r>
        <w:t xml:space="preserve">WC Docket No. 07-135, </w:t>
      </w:r>
      <w:r w:rsidR="005503A2">
        <w:t xml:space="preserve">Notice of Proposed Rulemaking, </w:t>
      </w:r>
      <w:r w:rsidRPr="00EC4571">
        <w:t>22 F</w:t>
      </w:r>
      <w:r>
        <w:t>CC</w:t>
      </w:r>
      <w:r w:rsidRPr="00EC4571">
        <w:t xml:space="preserve"> Rcd 17989 (2007)</w:t>
      </w:r>
      <w:r>
        <w:t xml:space="preserve">; </w:t>
      </w:r>
      <w:r w:rsidRPr="007377D1">
        <w:rPr>
          <w:i/>
        </w:rPr>
        <w:t>July 1, 2007 Annual Access Charge Tariff Filings</w:t>
      </w:r>
      <w:r w:rsidRPr="000903F2">
        <w:t xml:space="preserve">, </w:t>
      </w:r>
      <w:r w:rsidR="005503A2">
        <w:t xml:space="preserve">Order, </w:t>
      </w:r>
      <w:r>
        <w:t>22 FC</w:t>
      </w:r>
      <w:r w:rsidRPr="007377D1">
        <w:t>C</w:t>
      </w:r>
      <w:r>
        <w:t xml:space="preserve"> Rcd</w:t>
      </w:r>
      <w:r w:rsidRPr="007377D1">
        <w:t xml:space="preserve"> 11619 (</w:t>
      </w:r>
      <w:r w:rsidR="005503A2">
        <w:t xml:space="preserve">Wireline Comp. Bur. </w:t>
      </w:r>
      <w:r w:rsidRPr="007377D1">
        <w:t>2007)</w:t>
      </w:r>
      <w:r>
        <w:t xml:space="preserve"> (suspending certain tariffs).</w:t>
      </w:r>
    </w:p>
  </w:footnote>
  <w:footnote w:id="56">
    <w:p w:rsidR="00845C2D" w:rsidRDefault="00845C2D">
      <w:pPr>
        <w:pStyle w:val="FootnoteText"/>
      </w:pPr>
      <w:r>
        <w:rPr>
          <w:rStyle w:val="FootnoteReference"/>
        </w:rPr>
        <w:footnoteRef/>
      </w:r>
      <w:r>
        <w:t xml:space="preserve"> We similarly reject NCTA’s argument that the potential for similarly situated carriers to file “me too” petitions is a basis for rejecting the waiver request</w:t>
      </w:r>
      <w:r w:rsidR="00813766">
        <w:t>s</w:t>
      </w:r>
      <w:r>
        <w:t xml:space="preserve">.  The scope of Halo’s scheme and the potential that other carriers that also have been harmed by Halo may seek similar relief in the future does not address whether it is reasonable or in the public interest to grant a waiver under these circumstances.  Additionally, Petitioners note that there was a “bar date” of January 10, 2013 for filing claims in the Halo bankruptcy case.  TDS Telecom </w:t>
      </w:r>
      <w:r w:rsidR="00BC0266">
        <w:t xml:space="preserve">Dec. 20, 2012 </w:t>
      </w:r>
      <w:r w:rsidRPr="00CD4C7C">
        <w:rPr>
          <w:i/>
        </w:rPr>
        <w:t>Ex Parte</w:t>
      </w:r>
      <w:r>
        <w:t xml:space="preserve"> Notice at 2.  As that date has passed, claims relying on our analysis here will be limited to those carriers that previously have pursued recovery of unpaid intrastate access charges from Halo</w:t>
      </w:r>
      <w:r w:rsidR="00D71C60">
        <w:t xml:space="preserve"> and have a decision of liability from a court or state regulatory agency of competent jurisdiction</w:t>
      </w:r>
      <w:r>
        <w:t>.</w:t>
      </w:r>
    </w:p>
  </w:footnote>
  <w:footnote w:id="57">
    <w:p w:rsidR="00845C2D" w:rsidRPr="00514A6F" w:rsidRDefault="00845C2D">
      <w:pPr>
        <w:pStyle w:val="FootnoteText"/>
      </w:pPr>
      <w:r>
        <w:rPr>
          <w:rStyle w:val="FootnoteReference"/>
        </w:rPr>
        <w:footnoteRef/>
      </w:r>
      <w:r>
        <w:t xml:space="preserve"> </w:t>
      </w:r>
      <w:r>
        <w:rPr>
          <w:i/>
        </w:rPr>
        <w:t>See supra</w:t>
      </w:r>
      <w:r>
        <w:t xml:space="preserve"> para. </w:t>
      </w:r>
      <w:r>
        <w:fldChar w:fldCharType="begin"/>
      </w:r>
      <w:r>
        <w:instrText xml:space="preserve"> REF _Ref380743293 \r \h </w:instrText>
      </w:r>
      <w:r>
        <w:fldChar w:fldCharType="separate"/>
      </w:r>
      <w:r w:rsidR="00F60F30">
        <w:t>5</w:t>
      </w:r>
      <w:r>
        <w:fldChar w:fldCharType="end"/>
      </w:r>
      <w:r>
        <w:t>.</w:t>
      </w:r>
    </w:p>
  </w:footnote>
  <w:footnote w:id="58">
    <w:p w:rsidR="00845C2D" w:rsidRPr="00B151CB" w:rsidRDefault="00845C2D">
      <w:pPr>
        <w:pStyle w:val="FootnoteText"/>
        <w:rPr>
          <w:i/>
        </w:rPr>
      </w:pPr>
      <w:r>
        <w:rPr>
          <w:rStyle w:val="FootnoteReference"/>
        </w:rPr>
        <w:footnoteRef/>
      </w:r>
      <w:r>
        <w:t xml:space="preserve"> </w:t>
      </w:r>
      <w:r>
        <w:rPr>
          <w:i/>
        </w:rPr>
        <w:t>See Transformation Order</w:t>
      </w:r>
      <w:r>
        <w:t>,</w:t>
      </w:r>
      <w:r>
        <w:rPr>
          <w:i/>
        </w:rPr>
        <w:t xml:space="preserve"> </w:t>
      </w:r>
      <w:r>
        <w:t>26 FCC Rcd at 17964-67, paras. 862-66.</w:t>
      </w:r>
    </w:p>
  </w:footnote>
  <w:footnote w:id="59">
    <w:p w:rsidR="00845C2D" w:rsidRDefault="00845C2D" w:rsidP="008D4979">
      <w:pPr>
        <w:pStyle w:val="FootnoteText"/>
      </w:pPr>
      <w:r>
        <w:rPr>
          <w:rStyle w:val="FootnoteReference"/>
        </w:rPr>
        <w:footnoteRef/>
      </w:r>
      <w:r>
        <w:t xml:space="preserve"> For reasons discussed in detail in the </w:t>
      </w:r>
      <w:r w:rsidRPr="002E6362">
        <w:rPr>
          <w:i/>
        </w:rPr>
        <w:t>Transformation Order</w:t>
      </w:r>
      <w:r>
        <w:t>, no explicit ICC recovery mechanism was provided for competitive carriers.</w:t>
      </w:r>
      <w:r>
        <w:rPr>
          <w:rStyle w:val="FootnoteReference"/>
        </w:rPr>
        <w:t xml:space="preserve"> </w:t>
      </w:r>
      <w:r>
        <w:t xml:space="preserve"> Accordingly, the relief we grant in this </w:t>
      </w:r>
      <w:r w:rsidR="00813766">
        <w:t>O</w:t>
      </w:r>
      <w:r>
        <w:t xml:space="preserve">rder, waiver of certain ICC recovery mechanism implementation rules, is not applicable to competitive carriers because the rules do not apply to them.  </w:t>
      </w:r>
      <w:r w:rsidRPr="007C3303">
        <w:rPr>
          <w:i/>
        </w:rPr>
        <w:t xml:space="preserve">See </w:t>
      </w:r>
      <w:r>
        <w:rPr>
          <w:i/>
        </w:rPr>
        <w:t>id.</w:t>
      </w:r>
      <w:r w:rsidRPr="007C3303">
        <w:t xml:space="preserve"> at </w:t>
      </w:r>
      <w:r>
        <w:t>1796</w:t>
      </w:r>
      <w:r w:rsidR="00813766">
        <w:t>5</w:t>
      </w:r>
      <w:r>
        <w:t>-6</w:t>
      </w:r>
      <w:r w:rsidR="00813766">
        <w:t>7</w:t>
      </w:r>
      <w:r>
        <w:t xml:space="preserve">, </w:t>
      </w:r>
      <w:r w:rsidRPr="007C3303">
        <w:t>para</w:t>
      </w:r>
      <w:r>
        <w:t>s</w:t>
      </w:r>
      <w:r w:rsidRPr="007C3303">
        <w:t xml:space="preserve">. </w:t>
      </w:r>
      <w:r>
        <w:t>864-66.</w:t>
      </w:r>
    </w:p>
  </w:footnote>
  <w:footnote w:id="60">
    <w:p w:rsidR="00845C2D" w:rsidRPr="007C3303" w:rsidRDefault="00845C2D" w:rsidP="008D4979">
      <w:pPr>
        <w:autoSpaceDE w:val="0"/>
        <w:autoSpaceDN w:val="0"/>
        <w:adjustRightInd w:val="0"/>
        <w:spacing w:after="120"/>
        <w:rPr>
          <w:sz w:val="20"/>
        </w:rPr>
      </w:pPr>
      <w:r w:rsidRPr="007C3303">
        <w:rPr>
          <w:rStyle w:val="FootnoteReference"/>
        </w:rPr>
        <w:footnoteRef/>
      </w:r>
      <w:r w:rsidRPr="007C3303">
        <w:rPr>
          <w:sz w:val="20"/>
        </w:rPr>
        <w:t xml:space="preserve"> USAC plays a critical role in the day-to-day administration of universal service support mechanisms</w:t>
      </w:r>
      <w:r>
        <w:rPr>
          <w:sz w:val="20"/>
        </w:rPr>
        <w:t xml:space="preserve">.  </w:t>
      </w:r>
      <w:r>
        <w:rPr>
          <w:i/>
          <w:iCs/>
          <w:sz w:val="20"/>
        </w:rPr>
        <w:t>S</w:t>
      </w:r>
      <w:r w:rsidRPr="007C3303">
        <w:rPr>
          <w:i/>
          <w:iCs/>
          <w:sz w:val="20"/>
        </w:rPr>
        <w:t>ee</w:t>
      </w:r>
      <w:r w:rsidR="00592A9A">
        <w:rPr>
          <w:i/>
          <w:iCs/>
          <w:sz w:val="20"/>
        </w:rPr>
        <w:t>,</w:t>
      </w:r>
      <w:r w:rsidRPr="007C3303">
        <w:rPr>
          <w:i/>
          <w:iCs/>
          <w:sz w:val="20"/>
        </w:rPr>
        <w:t xml:space="preserve"> e.g.</w:t>
      </w:r>
      <w:r w:rsidRPr="00380599">
        <w:rPr>
          <w:i/>
          <w:sz w:val="20"/>
        </w:rPr>
        <w:t xml:space="preserve">, </w:t>
      </w:r>
      <w:r w:rsidR="00592A9A">
        <w:rPr>
          <w:i/>
          <w:iCs/>
          <w:sz w:val="20"/>
        </w:rPr>
        <w:t>Connect America Fund et al.</w:t>
      </w:r>
      <w:r w:rsidR="00592A9A">
        <w:rPr>
          <w:iCs/>
          <w:sz w:val="20"/>
        </w:rPr>
        <w:t>, WC Docket No. et al., Notice of Proposed Rulemaking and Further Notice of Proposed Rulemaking,</w:t>
      </w:r>
      <w:r w:rsidRPr="007C3303">
        <w:rPr>
          <w:sz w:val="20"/>
        </w:rPr>
        <w:t xml:space="preserve"> 26 FCC Rcd </w:t>
      </w:r>
      <w:r w:rsidR="00592A9A">
        <w:rPr>
          <w:sz w:val="20"/>
        </w:rPr>
        <w:t>4554,</w:t>
      </w:r>
      <w:r w:rsidRPr="007C3303">
        <w:rPr>
          <w:sz w:val="20"/>
        </w:rPr>
        <w:t xml:space="preserve"> 4595, para. 116 n.192</w:t>
      </w:r>
      <w:r>
        <w:rPr>
          <w:sz w:val="20"/>
        </w:rPr>
        <w:t>.</w:t>
      </w:r>
    </w:p>
  </w:footnote>
  <w:footnote w:id="61">
    <w:p w:rsidR="00845C2D" w:rsidRPr="00C34F9B" w:rsidRDefault="00845C2D" w:rsidP="008D4979">
      <w:pPr>
        <w:pStyle w:val="FootnoteText"/>
      </w:pPr>
      <w:r>
        <w:rPr>
          <w:rStyle w:val="FootnoteReference"/>
        </w:rPr>
        <w:footnoteRef/>
      </w:r>
      <w:r>
        <w:t xml:space="preserve"> The ARC is the end</w:t>
      </w:r>
      <w:r w:rsidR="00576C46">
        <w:t>-</w:t>
      </w:r>
      <w:r>
        <w:t xml:space="preserve">user charge component of the ICC recovery mechanism adopted in the </w:t>
      </w:r>
      <w:r w:rsidRPr="00F53D8A">
        <w:rPr>
          <w:i/>
        </w:rPr>
        <w:t>Transformation Order</w:t>
      </w:r>
      <w:r>
        <w:t xml:space="preserve">.  Incumbent LECs are authorized to charge ARCs, subject to annual caps and to an overall rate ceiling, in order to partially mitigate the effect of reduced intercarrier revenues on carriers.  </w:t>
      </w:r>
      <w:r>
        <w:rPr>
          <w:i/>
        </w:rPr>
        <w:t>See Transformation Order</w:t>
      </w:r>
      <w:r w:rsidR="00576C46">
        <w:t>,</w:t>
      </w:r>
      <w:r>
        <w:rPr>
          <w:i/>
        </w:rPr>
        <w:t xml:space="preserve"> </w:t>
      </w:r>
      <w:r>
        <w:t xml:space="preserve">26 FCC Rcd at 17677, </w:t>
      </w:r>
      <w:r w:rsidR="00576C46">
        <w:t xml:space="preserve">para. 36, </w:t>
      </w:r>
      <w:r>
        <w:t xml:space="preserve">17957, para. 849; </w:t>
      </w:r>
      <w:r>
        <w:rPr>
          <w:i/>
        </w:rPr>
        <w:t>s</w:t>
      </w:r>
      <w:r w:rsidRPr="006A432B">
        <w:rPr>
          <w:i/>
        </w:rPr>
        <w:t>ee also</w:t>
      </w:r>
      <w:r>
        <w:t xml:space="preserve"> 47 C.F.R. §§ 51.915(e), 51.917(e).</w:t>
      </w:r>
    </w:p>
  </w:footnote>
  <w:footnote w:id="62">
    <w:p w:rsidR="00845C2D" w:rsidRPr="000A6970" w:rsidRDefault="00845C2D" w:rsidP="008D4979">
      <w:pPr>
        <w:pStyle w:val="FootnoteText"/>
        <w:rPr>
          <w:i/>
        </w:rPr>
      </w:pPr>
      <w:r w:rsidRPr="007C3303">
        <w:rPr>
          <w:rStyle w:val="FootnoteReference"/>
        </w:rPr>
        <w:footnoteRef/>
      </w:r>
      <w:r w:rsidRPr="007C3303">
        <w:t xml:space="preserve"> </w:t>
      </w:r>
      <w:r>
        <w:rPr>
          <w:i/>
        </w:rPr>
        <w:t>See</w:t>
      </w:r>
      <w:r w:rsidR="001B3CD2">
        <w:rPr>
          <w:i/>
        </w:rPr>
        <w:t>,</w:t>
      </w:r>
      <w:r>
        <w:rPr>
          <w:i/>
        </w:rPr>
        <w:t xml:space="preserve"> </w:t>
      </w:r>
      <w:r w:rsidR="001B3CD2">
        <w:rPr>
          <w:i/>
        </w:rPr>
        <w:t>e.g.</w:t>
      </w:r>
      <w:r w:rsidR="001B3CD2">
        <w:t>,</w:t>
      </w:r>
      <w:r>
        <w:rPr>
          <w:i/>
        </w:rPr>
        <w:t xml:space="preserve"> </w:t>
      </w:r>
      <w:r w:rsidRPr="000A6970">
        <w:t>John Staurulakis, Inc. Transmittal No. 165, Tariff F.C.C. No. 1, TDS Telecom Companies, Description and Justification and Cost Support Documents (filed June 18, 2012)</w:t>
      </w:r>
      <w:r>
        <w:t xml:space="preserve">.  TDS Telecom’s subsidiaries file under the same tariff, and the TDS </w:t>
      </w:r>
      <w:r w:rsidR="00576C46">
        <w:t xml:space="preserve">Telecom </w:t>
      </w:r>
      <w:r>
        <w:t>tariff is filed by John Staurulakis, Inc.</w:t>
      </w:r>
    </w:p>
  </w:footnote>
  <w:footnote w:id="63">
    <w:p w:rsidR="00845C2D" w:rsidRPr="007C3303" w:rsidRDefault="00845C2D" w:rsidP="008D4979">
      <w:pPr>
        <w:pStyle w:val="FootnoteText"/>
      </w:pPr>
      <w:r w:rsidRPr="007C3303">
        <w:rPr>
          <w:rStyle w:val="FootnoteReference"/>
        </w:rPr>
        <w:footnoteRef/>
      </w:r>
      <w:r w:rsidRPr="007C3303">
        <w:t xml:space="preserve"> </w:t>
      </w:r>
      <w:r w:rsidRPr="00380599">
        <w:rPr>
          <w:i/>
        </w:rPr>
        <w:t>See</w:t>
      </w:r>
      <w:r w:rsidRPr="007C3303">
        <w:t xml:space="preserve"> 47 C</w:t>
      </w:r>
      <w:r>
        <w:t>.</w:t>
      </w:r>
      <w:r w:rsidRPr="007C3303">
        <w:t>F</w:t>
      </w:r>
      <w:r>
        <w:t>.</w:t>
      </w:r>
      <w:r w:rsidRPr="007C3303">
        <w:t>R</w:t>
      </w:r>
      <w:r>
        <w:t>.</w:t>
      </w:r>
      <w:r w:rsidRPr="007C3303">
        <w:t xml:space="preserve"> § 51.917(e).</w:t>
      </w:r>
      <w:r>
        <w:t xml:space="preserve">  We note that we do not address in this Order how a LEC seeking similar relief to that granted herein, but that collected all of its 2012 and 2013 Eligible Recovery through ARC revenue and had remaining “ARC headroom” in 2012 and 2013, would recover any additional BPR amounts.</w:t>
      </w:r>
    </w:p>
  </w:footnote>
  <w:footnote w:id="64">
    <w:p w:rsidR="00C258FB" w:rsidRDefault="00C258FB" w:rsidP="00C258FB">
      <w:pPr>
        <w:pStyle w:val="FootnoteText"/>
      </w:pPr>
      <w:r>
        <w:rPr>
          <w:rStyle w:val="FootnoteReference"/>
        </w:rPr>
        <w:footnoteRef/>
      </w:r>
      <w:r>
        <w:t xml:space="preserve"> If there is a subsequent court or </w:t>
      </w:r>
      <w:r w:rsidR="00026898">
        <w:t xml:space="preserve">state </w:t>
      </w:r>
      <w:r>
        <w:t xml:space="preserve">regulatory agency decision regarding the amount of damages </w:t>
      </w:r>
      <w:r w:rsidR="00026898">
        <w:t xml:space="preserve">for which </w:t>
      </w:r>
      <w:r>
        <w:t xml:space="preserve">Halo is liable, the petitioner </w:t>
      </w:r>
      <w:r w:rsidR="00D71C60">
        <w:t xml:space="preserve">must notify the Commission and provide a copy of </w:t>
      </w:r>
      <w:r w:rsidR="0043117B">
        <w:t>such</w:t>
      </w:r>
      <w:r w:rsidR="00D71C60">
        <w:t xml:space="preserve"> decision within 30 days.  If appropriate, the Petitioner </w:t>
      </w:r>
      <w:r>
        <w:t>would need to adjust its BPR calculations accordingly within the requirements found in para</w:t>
      </w:r>
      <w:r w:rsidR="00026898">
        <w:t>graphs</w:t>
      </w:r>
      <w:r>
        <w:t xml:space="preserve"> 24-27</w:t>
      </w:r>
      <w:r w:rsidR="00026898">
        <w:t xml:space="preserve"> of this Order</w:t>
      </w:r>
      <w:r>
        <w:t>.</w:t>
      </w:r>
    </w:p>
  </w:footnote>
  <w:footnote w:id="65">
    <w:p w:rsidR="00845C2D" w:rsidRPr="003B5664" w:rsidRDefault="00845C2D">
      <w:pPr>
        <w:pStyle w:val="FootnoteText"/>
      </w:pPr>
      <w:r>
        <w:rPr>
          <w:rStyle w:val="FootnoteReference"/>
        </w:rPr>
        <w:footnoteRef/>
      </w:r>
      <w:r>
        <w:t xml:space="preserve"> As discussed above, Petitioners are prohibited from including interest, </w:t>
      </w:r>
      <w:r w:rsidRPr="00F84ED0">
        <w:t xml:space="preserve">late </w:t>
      </w:r>
      <w:r>
        <w:t xml:space="preserve">payment </w:t>
      </w:r>
      <w:r w:rsidRPr="00F84ED0">
        <w:t>fees, collection</w:t>
      </w:r>
      <w:r>
        <w:t xml:space="preserve"> fees</w:t>
      </w:r>
      <w:r w:rsidRPr="00F84ED0">
        <w:t xml:space="preserve">, </w:t>
      </w:r>
      <w:r>
        <w:t xml:space="preserve">or attorney’s fees in their claims under this condition.  </w:t>
      </w:r>
      <w:r>
        <w:rPr>
          <w:i/>
        </w:rPr>
        <w:t xml:space="preserve">See supra </w:t>
      </w:r>
      <w:r>
        <w:t xml:space="preserve">para. </w:t>
      </w:r>
      <w:r>
        <w:fldChar w:fldCharType="begin"/>
      </w:r>
      <w:r>
        <w:instrText xml:space="preserve"> REF _Ref380743293 \r \h </w:instrText>
      </w:r>
      <w:r>
        <w:fldChar w:fldCharType="separate"/>
      </w:r>
      <w:r w:rsidR="00F60F30">
        <w:t>5</w:t>
      </w:r>
      <w:r>
        <w:fldChar w:fldCharType="end"/>
      </w:r>
      <w:r>
        <w:t>.</w:t>
      </w:r>
    </w:p>
  </w:footnote>
  <w:footnote w:id="66">
    <w:p w:rsidR="00845C2D" w:rsidRDefault="00845C2D" w:rsidP="00981183">
      <w:pPr>
        <w:pStyle w:val="FootnoteText"/>
      </w:pPr>
      <w:r>
        <w:rPr>
          <w:rStyle w:val="FootnoteReference"/>
        </w:rPr>
        <w:footnoteRef/>
      </w:r>
      <w:r>
        <w:t xml:space="preserve"> 47 </w:t>
      </w:r>
      <w:r w:rsidR="00FF6CE1">
        <w:t>C.F.R.</w:t>
      </w:r>
      <w:r>
        <w:t xml:space="preserve"> § 54.304(d).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05" w:rsidRDefault="00A67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D" w:rsidRPr="00F84ED0" w:rsidRDefault="00845C2D" w:rsidP="008D4979">
    <w:pPr>
      <w:pStyle w:val="Header"/>
    </w:pPr>
    <w:r w:rsidRPr="00F84ED0">
      <w:tab/>
      <w:t>Federal Communications Commission</w:t>
    </w:r>
    <w:r w:rsidRPr="00F84ED0">
      <w:tab/>
    </w:r>
    <w:r w:rsidR="0076640D">
      <w:t>FCC 14-121</w:t>
    </w:r>
  </w:p>
  <w:p w:rsidR="00845C2D" w:rsidRDefault="00845C2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08A5677" wp14:editId="2623C39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45C2D" w:rsidRPr="002A65D3" w:rsidRDefault="00845C2D" w:rsidP="002A65D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D" w:rsidRPr="00F84ED0" w:rsidRDefault="00845C2D" w:rsidP="008D4979">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84ED0">
      <w:tab/>
      <w:t>Federal Communications Commission</w:t>
    </w:r>
    <w:r w:rsidRPr="00F84ED0">
      <w:tab/>
    </w:r>
    <w:r w:rsidR="0076640D">
      <w:t>FCC 14-121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DB"/>
    <w:multiLevelType w:val="hybridMultilevel"/>
    <w:tmpl w:val="68C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05A34"/>
    <w:multiLevelType w:val="multilevel"/>
    <w:tmpl w:val="97725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EF5CEE"/>
    <w:multiLevelType w:val="hybridMultilevel"/>
    <w:tmpl w:val="C8FE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7E85EE7"/>
    <w:multiLevelType w:val="hybridMultilevel"/>
    <w:tmpl w:val="3F0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8"/>
    <w:lvlOverride w:ilvl="0">
      <w:startOverride w:val="17"/>
    </w:lvlOverride>
  </w:num>
  <w:num w:numId="5">
    <w:abstractNumId w:val="3"/>
  </w:num>
  <w:num w:numId="6">
    <w:abstractNumId w:val="7"/>
  </w:num>
  <w:num w:numId="7">
    <w:abstractNumId w:val="4"/>
  </w:num>
  <w:num w:numId="8">
    <w:abstractNumId w:val="1"/>
  </w:num>
  <w:num w:numId="9">
    <w:abstractNumId w:val="2"/>
  </w:num>
  <w:num w:numId="10">
    <w:abstractNumId w:val="8"/>
    <w:lvlOverride w:ilvl="0">
      <w:startOverride w:val="1"/>
    </w:lvlOverride>
  </w:num>
  <w:num w:numId="11">
    <w:abstractNumId w:val="8"/>
    <w:lvlOverride w:ilvl="0">
      <w:startOverride w:val="1"/>
    </w:lvlOverride>
  </w:num>
  <w:num w:numId="12">
    <w:abstractNumId w:val="0"/>
  </w:num>
  <w:num w:numId="13">
    <w:abstractNumId w:val="8"/>
    <w:lvlOverride w:ilvl="0">
      <w:startOverride w:val="4"/>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5"/>
    </w:lvlOverride>
  </w:num>
  <w:num w:numId="20">
    <w:abstractNumId w:val="8"/>
    <w:lvlOverride w:ilvl="0">
      <w:startOverride w:val="1"/>
    </w:lvlOverride>
  </w:num>
  <w:num w:numId="21">
    <w:abstractNumId w:val="8"/>
    <w:lvlOverride w:ilvl="0">
      <w:startOverride w:val="1"/>
    </w:lvlOverride>
  </w:num>
  <w:num w:numId="22">
    <w:abstractNumId w:val="5"/>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F"/>
    <w:rsid w:val="000069B7"/>
    <w:rsid w:val="00006D1C"/>
    <w:rsid w:val="0002115E"/>
    <w:rsid w:val="00024A95"/>
    <w:rsid w:val="00026898"/>
    <w:rsid w:val="00057A50"/>
    <w:rsid w:val="00067498"/>
    <w:rsid w:val="00071375"/>
    <w:rsid w:val="00074D7D"/>
    <w:rsid w:val="00083946"/>
    <w:rsid w:val="000903F2"/>
    <w:rsid w:val="00093019"/>
    <w:rsid w:val="000A7099"/>
    <w:rsid w:val="000C6B75"/>
    <w:rsid w:val="000D0634"/>
    <w:rsid w:val="000E3BAD"/>
    <w:rsid w:val="000F4235"/>
    <w:rsid w:val="000F56D5"/>
    <w:rsid w:val="001007D8"/>
    <w:rsid w:val="001037C4"/>
    <w:rsid w:val="00111583"/>
    <w:rsid w:val="0011366E"/>
    <w:rsid w:val="00117723"/>
    <w:rsid w:val="00117ADA"/>
    <w:rsid w:val="0012091C"/>
    <w:rsid w:val="0012174F"/>
    <w:rsid w:val="00125630"/>
    <w:rsid w:val="0013121F"/>
    <w:rsid w:val="0013239D"/>
    <w:rsid w:val="00142312"/>
    <w:rsid w:val="0016084B"/>
    <w:rsid w:val="0016442C"/>
    <w:rsid w:val="001660C3"/>
    <w:rsid w:val="00170EC2"/>
    <w:rsid w:val="00171178"/>
    <w:rsid w:val="00177F4D"/>
    <w:rsid w:val="00184191"/>
    <w:rsid w:val="00190F5E"/>
    <w:rsid w:val="001A0C46"/>
    <w:rsid w:val="001A3AD7"/>
    <w:rsid w:val="001B3CD2"/>
    <w:rsid w:val="001D1DDD"/>
    <w:rsid w:val="001E19B0"/>
    <w:rsid w:val="001F4C7C"/>
    <w:rsid w:val="001F7676"/>
    <w:rsid w:val="001F7761"/>
    <w:rsid w:val="00217B84"/>
    <w:rsid w:val="0022391C"/>
    <w:rsid w:val="00224920"/>
    <w:rsid w:val="0023235B"/>
    <w:rsid w:val="002518C3"/>
    <w:rsid w:val="00261758"/>
    <w:rsid w:val="00262143"/>
    <w:rsid w:val="002635CC"/>
    <w:rsid w:val="00284B2C"/>
    <w:rsid w:val="002A65D3"/>
    <w:rsid w:val="002A7643"/>
    <w:rsid w:val="002B3274"/>
    <w:rsid w:val="002B6674"/>
    <w:rsid w:val="002C03C5"/>
    <w:rsid w:val="002D0B3B"/>
    <w:rsid w:val="002D6005"/>
    <w:rsid w:val="0031375D"/>
    <w:rsid w:val="00324FAB"/>
    <w:rsid w:val="00325E40"/>
    <w:rsid w:val="00350958"/>
    <w:rsid w:val="003529BF"/>
    <w:rsid w:val="00354A28"/>
    <w:rsid w:val="00357A3B"/>
    <w:rsid w:val="003732E2"/>
    <w:rsid w:val="003752EB"/>
    <w:rsid w:val="00380599"/>
    <w:rsid w:val="00383A5A"/>
    <w:rsid w:val="00386992"/>
    <w:rsid w:val="00394FE2"/>
    <w:rsid w:val="003A13A4"/>
    <w:rsid w:val="003A7A2A"/>
    <w:rsid w:val="003C0222"/>
    <w:rsid w:val="003C3254"/>
    <w:rsid w:val="003E316E"/>
    <w:rsid w:val="003E47CD"/>
    <w:rsid w:val="003E4D8E"/>
    <w:rsid w:val="003F0851"/>
    <w:rsid w:val="00405940"/>
    <w:rsid w:val="0041162A"/>
    <w:rsid w:val="00415421"/>
    <w:rsid w:val="00421516"/>
    <w:rsid w:val="0043117B"/>
    <w:rsid w:val="00435238"/>
    <w:rsid w:val="00443D78"/>
    <w:rsid w:val="00446C41"/>
    <w:rsid w:val="0046176A"/>
    <w:rsid w:val="00464C78"/>
    <w:rsid w:val="004709A7"/>
    <w:rsid w:val="004712CD"/>
    <w:rsid w:val="00472414"/>
    <w:rsid w:val="00484BEA"/>
    <w:rsid w:val="004A0CB3"/>
    <w:rsid w:val="004A6054"/>
    <w:rsid w:val="004C0ABD"/>
    <w:rsid w:val="004C2AF8"/>
    <w:rsid w:val="004D2E0C"/>
    <w:rsid w:val="004D489E"/>
    <w:rsid w:val="004E0C93"/>
    <w:rsid w:val="004F418D"/>
    <w:rsid w:val="0051163F"/>
    <w:rsid w:val="00523028"/>
    <w:rsid w:val="0052314D"/>
    <w:rsid w:val="00524EEB"/>
    <w:rsid w:val="00533787"/>
    <w:rsid w:val="00540C1A"/>
    <w:rsid w:val="005503A2"/>
    <w:rsid w:val="00564ECF"/>
    <w:rsid w:val="00565AED"/>
    <w:rsid w:val="00576C46"/>
    <w:rsid w:val="00592A9A"/>
    <w:rsid w:val="005A0C76"/>
    <w:rsid w:val="005A3CA8"/>
    <w:rsid w:val="005A78D3"/>
    <w:rsid w:val="005B1684"/>
    <w:rsid w:val="005C0735"/>
    <w:rsid w:val="005C17C9"/>
    <w:rsid w:val="005C62C8"/>
    <w:rsid w:val="005D0396"/>
    <w:rsid w:val="005D1FBE"/>
    <w:rsid w:val="005D4888"/>
    <w:rsid w:val="005E5FFC"/>
    <w:rsid w:val="005F1502"/>
    <w:rsid w:val="00607F92"/>
    <w:rsid w:val="0061076E"/>
    <w:rsid w:val="00616C81"/>
    <w:rsid w:val="006246BC"/>
    <w:rsid w:val="00626E68"/>
    <w:rsid w:val="00636539"/>
    <w:rsid w:val="00636DEE"/>
    <w:rsid w:val="00650BB4"/>
    <w:rsid w:val="00653265"/>
    <w:rsid w:val="00655E14"/>
    <w:rsid w:val="00663ED6"/>
    <w:rsid w:val="0066476D"/>
    <w:rsid w:val="00666806"/>
    <w:rsid w:val="00670607"/>
    <w:rsid w:val="006760B0"/>
    <w:rsid w:val="006804C9"/>
    <w:rsid w:val="00692151"/>
    <w:rsid w:val="006A31BA"/>
    <w:rsid w:val="006A3C85"/>
    <w:rsid w:val="006A4847"/>
    <w:rsid w:val="006B0B10"/>
    <w:rsid w:val="006B5958"/>
    <w:rsid w:val="006C5C39"/>
    <w:rsid w:val="006E595E"/>
    <w:rsid w:val="006F3FC7"/>
    <w:rsid w:val="006F4442"/>
    <w:rsid w:val="006F44FC"/>
    <w:rsid w:val="006F6283"/>
    <w:rsid w:val="0070450E"/>
    <w:rsid w:val="007137BF"/>
    <w:rsid w:val="00717FBA"/>
    <w:rsid w:val="00733F68"/>
    <w:rsid w:val="00755D2E"/>
    <w:rsid w:val="00757BD2"/>
    <w:rsid w:val="00760343"/>
    <w:rsid w:val="0076640D"/>
    <w:rsid w:val="007676B3"/>
    <w:rsid w:val="00771361"/>
    <w:rsid w:val="00772F43"/>
    <w:rsid w:val="00774AFC"/>
    <w:rsid w:val="00775494"/>
    <w:rsid w:val="00777F4E"/>
    <w:rsid w:val="00783A62"/>
    <w:rsid w:val="00795261"/>
    <w:rsid w:val="00795B0B"/>
    <w:rsid w:val="007A719E"/>
    <w:rsid w:val="007B54E9"/>
    <w:rsid w:val="007C7236"/>
    <w:rsid w:val="007E1EE4"/>
    <w:rsid w:val="007F042B"/>
    <w:rsid w:val="007F13A7"/>
    <w:rsid w:val="0080400A"/>
    <w:rsid w:val="00810FB5"/>
    <w:rsid w:val="00813766"/>
    <w:rsid w:val="008156F7"/>
    <w:rsid w:val="00822BDB"/>
    <w:rsid w:val="00824716"/>
    <w:rsid w:val="0083229C"/>
    <w:rsid w:val="008452C5"/>
    <w:rsid w:val="00845C2D"/>
    <w:rsid w:val="00846EA8"/>
    <w:rsid w:val="00863470"/>
    <w:rsid w:val="0088771B"/>
    <w:rsid w:val="00897FA7"/>
    <w:rsid w:val="008A1291"/>
    <w:rsid w:val="008C045E"/>
    <w:rsid w:val="008C0B03"/>
    <w:rsid w:val="008C3167"/>
    <w:rsid w:val="008C3E5A"/>
    <w:rsid w:val="008C46DF"/>
    <w:rsid w:val="008C5CF1"/>
    <w:rsid w:val="008D4979"/>
    <w:rsid w:val="008F7939"/>
    <w:rsid w:val="009152B6"/>
    <w:rsid w:val="009178B2"/>
    <w:rsid w:val="00923789"/>
    <w:rsid w:val="009240D9"/>
    <w:rsid w:val="00933D03"/>
    <w:rsid w:val="00941492"/>
    <w:rsid w:val="00960CF7"/>
    <w:rsid w:val="0096189D"/>
    <w:rsid w:val="009779F8"/>
    <w:rsid w:val="00981183"/>
    <w:rsid w:val="00985795"/>
    <w:rsid w:val="00996453"/>
    <w:rsid w:val="0099742F"/>
    <w:rsid w:val="009A08BF"/>
    <w:rsid w:val="009A1C00"/>
    <w:rsid w:val="009A474F"/>
    <w:rsid w:val="009C1E06"/>
    <w:rsid w:val="009C7240"/>
    <w:rsid w:val="009D2EEF"/>
    <w:rsid w:val="009D5708"/>
    <w:rsid w:val="009E3A20"/>
    <w:rsid w:val="009E637D"/>
    <w:rsid w:val="009E7040"/>
    <w:rsid w:val="009F6037"/>
    <w:rsid w:val="00A336E5"/>
    <w:rsid w:val="00A408C0"/>
    <w:rsid w:val="00A46428"/>
    <w:rsid w:val="00A47923"/>
    <w:rsid w:val="00A56700"/>
    <w:rsid w:val="00A5775A"/>
    <w:rsid w:val="00A61E31"/>
    <w:rsid w:val="00A63D7D"/>
    <w:rsid w:val="00A67305"/>
    <w:rsid w:val="00A67652"/>
    <w:rsid w:val="00A851AD"/>
    <w:rsid w:val="00A85E70"/>
    <w:rsid w:val="00A907F8"/>
    <w:rsid w:val="00A95362"/>
    <w:rsid w:val="00AA6C66"/>
    <w:rsid w:val="00AA75B8"/>
    <w:rsid w:val="00AC03D1"/>
    <w:rsid w:val="00AC2FED"/>
    <w:rsid w:val="00AE30D2"/>
    <w:rsid w:val="00AE7EA2"/>
    <w:rsid w:val="00B020D5"/>
    <w:rsid w:val="00B0471C"/>
    <w:rsid w:val="00B2015D"/>
    <w:rsid w:val="00B2035B"/>
    <w:rsid w:val="00B210BD"/>
    <w:rsid w:val="00B23F7D"/>
    <w:rsid w:val="00B34829"/>
    <w:rsid w:val="00B3727A"/>
    <w:rsid w:val="00B37B60"/>
    <w:rsid w:val="00B4265E"/>
    <w:rsid w:val="00B4266E"/>
    <w:rsid w:val="00B50177"/>
    <w:rsid w:val="00B50184"/>
    <w:rsid w:val="00B514BA"/>
    <w:rsid w:val="00B51896"/>
    <w:rsid w:val="00B53DCC"/>
    <w:rsid w:val="00B9033D"/>
    <w:rsid w:val="00B90348"/>
    <w:rsid w:val="00BB581A"/>
    <w:rsid w:val="00BB5919"/>
    <w:rsid w:val="00BC0266"/>
    <w:rsid w:val="00BD4FD9"/>
    <w:rsid w:val="00BF23A4"/>
    <w:rsid w:val="00BF3B43"/>
    <w:rsid w:val="00BF50E9"/>
    <w:rsid w:val="00BF51DB"/>
    <w:rsid w:val="00C053C5"/>
    <w:rsid w:val="00C171FE"/>
    <w:rsid w:val="00C258FB"/>
    <w:rsid w:val="00C32A86"/>
    <w:rsid w:val="00C43D04"/>
    <w:rsid w:val="00C4551D"/>
    <w:rsid w:val="00C4795A"/>
    <w:rsid w:val="00C535D0"/>
    <w:rsid w:val="00C5742E"/>
    <w:rsid w:val="00C6237F"/>
    <w:rsid w:val="00C63B38"/>
    <w:rsid w:val="00C648AB"/>
    <w:rsid w:val="00C73F31"/>
    <w:rsid w:val="00C93DAF"/>
    <w:rsid w:val="00CA4349"/>
    <w:rsid w:val="00CB0C4A"/>
    <w:rsid w:val="00CC3A34"/>
    <w:rsid w:val="00CD4250"/>
    <w:rsid w:val="00CD4C13"/>
    <w:rsid w:val="00CE68E2"/>
    <w:rsid w:val="00CF2336"/>
    <w:rsid w:val="00CF2BA9"/>
    <w:rsid w:val="00CF7C33"/>
    <w:rsid w:val="00CF7EB8"/>
    <w:rsid w:val="00D00AA7"/>
    <w:rsid w:val="00D06937"/>
    <w:rsid w:val="00D366B9"/>
    <w:rsid w:val="00D40C9C"/>
    <w:rsid w:val="00D40E99"/>
    <w:rsid w:val="00D4613B"/>
    <w:rsid w:val="00D47E9D"/>
    <w:rsid w:val="00D47EE9"/>
    <w:rsid w:val="00D5466A"/>
    <w:rsid w:val="00D56713"/>
    <w:rsid w:val="00D5723C"/>
    <w:rsid w:val="00D608F9"/>
    <w:rsid w:val="00D71C60"/>
    <w:rsid w:val="00D73570"/>
    <w:rsid w:val="00D73EF9"/>
    <w:rsid w:val="00D75291"/>
    <w:rsid w:val="00D75697"/>
    <w:rsid w:val="00D81091"/>
    <w:rsid w:val="00D81AEC"/>
    <w:rsid w:val="00D834D8"/>
    <w:rsid w:val="00D87540"/>
    <w:rsid w:val="00D90F3C"/>
    <w:rsid w:val="00D91843"/>
    <w:rsid w:val="00D933E3"/>
    <w:rsid w:val="00DA3CED"/>
    <w:rsid w:val="00DD243A"/>
    <w:rsid w:val="00DD6027"/>
    <w:rsid w:val="00DE5AFB"/>
    <w:rsid w:val="00DF77D1"/>
    <w:rsid w:val="00E0425F"/>
    <w:rsid w:val="00E13490"/>
    <w:rsid w:val="00E22C62"/>
    <w:rsid w:val="00E31F9D"/>
    <w:rsid w:val="00E361C8"/>
    <w:rsid w:val="00E37AD8"/>
    <w:rsid w:val="00E44CD0"/>
    <w:rsid w:val="00E45E95"/>
    <w:rsid w:val="00E5791A"/>
    <w:rsid w:val="00E6279A"/>
    <w:rsid w:val="00E75B6A"/>
    <w:rsid w:val="00E7649D"/>
    <w:rsid w:val="00E76A99"/>
    <w:rsid w:val="00E84CEF"/>
    <w:rsid w:val="00E85EA1"/>
    <w:rsid w:val="00E8747C"/>
    <w:rsid w:val="00E90AB3"/>
    <w:rsid w:val="00EA0EBF"/>
    <w:rsid w:val="00EA3CA7"/>
    <w:rsid w:val="00EA3D75"/>
    <w:rsid w:val="00EB10EA"/>
    <w:rsid w:val="00EB3920"/>
    <w:rsid w:val="00EB7F48"/>
    <w:rsid w:val="00EC6BAE"/>
    <w:rsid w:val="00ED04C9"/>
    <w:rsid w:val="00EE387B"/>
    <w:rsid w:val="00F04A33"/>
    <w:rsid w:val="00F26C36"/>
    <w:rsid w:val="00F60F30"/>
    <w:rsid w:val="00F973F1"/>
    <w:rsid w:val="00FD2731"/>
    <w:rsid w:val="00FD4873"/>
    <w:rsid w:val="00FE2A41"/>
    <w:rsid w:val="00FE53A3"/>
    <w:rsid w:val="00FF5EC8"/>
    <w:rsid w:val="00FF6C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99" w:qFormat="1"/>
    <w:lsdException w:name="Plain Text" w:uiPriority="99"/>
    <w:lsdException w:name="No List" w:uiPriority="99"/>
    <w:lsdException w:name="No Spacing" w:qFormat="1"/>
    <w:lsdException w:name="List Paragraph" w:qFormat="1"/>
    <w:lsdException w:name="Quote" w:qFormat="1"/>
    <w:lsdException w:name="Intense Quote" w:qFormat="1"/>
    <w:lsdException w:name="Colorful Shading Accent 1" w:uiPriority="71"/>
    <w:lsdException w:name="Colorful List Accent 1" w:uiPriority="7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4A28"/>
    <w:pPr>
      <w:widowControl w:val="0"/>
    </w:pPr>
    <w:rPr>
      <w:snapToGrid w:val="0"/>
      <w:kern w:val="28"/>
      <w:sz w:val="22"/>
    </w:rPr>
  </w:style>
  <w:style w:type="paragraph" w:styleId="Heading1">
    <w:name w:val="heading 1"/>
    <w:basedOn w:val="Normal"/>
    <w:next w:val="ParaNum"/>
    <w:link w:val="Heading1Char"/>
    <w:qFormat/>
    <w:rsid w:val="00354A2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4A28"/>
    <w:pPr>
      <w:keepNext/>
      <w:numPr>
        <w:ilvl w:val="1"/>
        <w:numId w:val="2"/>
      </w:numPr>
      <w:spacing w:after="120"/>
      <w:outlineLvl w:val="1"/>
    </w:pPr>
    <w:rPr>
      <w:b/>
    </w:rPr>
  </w:style>
  <w:style w:type="paragraph" w:styleId="Heading3">
    <w:name w:val="heading 3"/>
    <w:basedOn w:val="Normal"/>
    <w:next w:val="ParaNum"/>
    <w:qFormat/>
    <w:rsid w:val="00354A28"/>
    <w:pPr>
      <w:keepNext/>
      <w:numPr>
        <w:ilvl w:val="2"/>
        <w:numId w:val="2"/>
      </w:numPr>
      <w:tabs>
        <w:tab w:val="left" w:pos="2160"/>
      </w:tabs>
      <w:spacing w:after="120"/>
      <w:outlineLvl w:val="2"/>
    </w:pPr>
    <w:rPr>
      <w:b/>
    </w:rPr>
  </w:style>
  <w:style w:type="paragraph" w:styleId="Heading4">
    <w:name w:val="heading 4"/>
    <w:basedOn w:val="Normal"/>
    <w:next w:val="ParaNum"/>
    <w:qFormat/>
    <w:rsid w:val="00354A28"/>
    <w:pPr>
      <w:keepNext/>
      <w:numPr>
        <w:ilvl w:val="3"/>
        <w:numId w:val="2"/>
      </w:numPr>
      <w:tabs>
        <w:tab w:val="left" w:pos="2880"/>
      </w:tabs>
      <w:spacing w:after="120"/>
      <w:outlineLvl w:val="3"/>
    </w:pPr>
    <w:rPr>
      <w:b/>
    </w:rPr>
  </w:style>
  <w:style w:type="paragraph" w:styleId="Heading5">
    <w:name w:val="heading 5"/>
    <w:basedOn w:val="Normal"/>
    <w:next w:val="ParaNum"/>
    <w:qFormat/>
    <w:rsid w:val="00354A2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54A28"/>
    <w:pPr>
      <w:numPr>
        <w:ilvl w:val="5"/>
        <w:numId w:val="2"/>
      </w:numPr>
      <w:tabs>
        <w:tab w:val="left" w:pos="4320"/>
      </w:tabs>
      <w:spacing w:after="120"/>
      <w:outlineLvl w:val="5"/>
    </w:pPr>
    <w:rPr>
      <w:b/>
    </w:rPr>
  </w:style>
  <w:style w:type="paragraph" w:styleId="Heading7">
    <w:name w:val="heading 7"/>
    <w:basedOn w:val="Normal"/>
    <w:next w:val="ParaNum"/>
    <w:qFormat/>
    <w:rsid w:val="00354A2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54A2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54A2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4A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4A28"/>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0">
    <w:name w:val="Balloon Text Char"/>
    <w:uiPriority w:val="99"/>
    <w:semiHidden/>
    <w:rsid w:val="008F56DC"/>
    <w:rPr>
      <w:rFonts w:ascii="Lucida Grande" w:hAnsi="Lucida Grande"/>
      <w:sz w:val="18"/>
      <w:szCs w:val="18"/>
    </w:rPr>
  </w:style>
  <w:style w:type="character" w:customStyle="1" w:styleId="BalloonTextChar2">
    <w:name w:val="Balloon Text Char"/>
    <w:uiPriority w:val="99"/>
    <w:semiHidden/>
    <w:rsid w:val="0095757C"/>
    <w:rPr>
      <w:rFonts w:ascii="Lucida Grande" w:hAnsi="Lucida Grande"/>
      <w:sz w:val="18"/>
      <w:szCs w:val="18"/>
    </w:rPr>
  </w:style>
  <w:style w:type="paragraph" w:customStyle="1" w:styleId="ParaNum">
    <w:name w:val="ParaNum"/>
    <w:basedOn w:val="Normal"/>
    <w:link w:val="ParaNumChar"/>
    <w:rsid w:val="00354A28"/>
    <w:pPr>
      <w:numPr>
        <w:numId w:val="1"/>
      </w:numPr>
      <w:tabs>
        <w:tab w:val="clear" w:pos="1080"/>
        <w:tab w:val="num" w:pos="1440"/>
      </w:tabs>
      <w:spacing w:after="120"/>
    </w:pPr>
  </w:style>
  <w:style w:type="paragraph" w:styleId="EndnoteText">
    <w:name w:val="endnote text"/>
    <w:basedOn w:val="Normal"/>
    <w:semiHidden/>
    <w:rsid w:val="00354A28"/>
    <w:rPr>
      <w:sz w:val="20"/>
    </w:rPr>
  </w:style>
  <w:style w:type="character" w:styleId="EndnoteReference">
    <w:name w:val="endnote reference"/>
    <w:semiHidden/>
    <w:rsid w:val="00354A28"/>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54A28"/>
    <w:pPr>
      <w:spacing w:after="120"/>
    </w:pPr>
  </w:style>
  <w:style w:type="character" w:styleId="FootnoteReference">
    <w:name w:val="footnote reference"/>
    <w:aliases w:val="Style 13,Style 12,(NECG) Footnote Reference,Appel note de bas de p,Style 124,fr,o,Style 3,FR,Style 17,Style 6,Footnote Reference/,Style 7"/>
    <w:rsid w:val="00354A28"/>
    <w:rPr>
      <w:rFonts w:ascii="Times New Roman" w:hAnsi="Times New Roman"/>
      <w:dstrike w:val="0"/>
      <w:color w:val="auto"/>
      <w:sz w:val="20"/>
      <w:vertAlign w:val="superscript"/>
    </w:rPr>
  </w:style>
  <w:style w:type="paragraph" w:styleId="TOC1">
    <w:name w:val="toc 1"/>
    <w:basedOn w:val="Normal"/>
    <w:next w:val="Normal"/>
    <w:semiHidden/>
    <w:rsid w:val="00354A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4A28"/>
    <w:pPr>
      <w:tabs>
        <w:tab w:val="left" w:pos="720"/>
        <w:tab w:val="right" w:leader="dot" w:pos="9360"/>
      </w:tabs>
      <w:suppressAutoHyphens/>
      <w:ind w:left="720" w:right="720" w:hanging="360"/>
    </w:pPr>
    <w:rPr>
      <w:noProof/>
    </w:rPr>
  </w:style>
  <w:style w:type="paragraph" w:styleId="TOC3">
    <w:name w:val="toc 3"/>
    <w:basedOn w:val="Normal"/>
    <w:next w:val="Normal"/>
    <w:semiHidden/>
    <w:rsid w:val="00354A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4A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4A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4A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4A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4A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4A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4A28"/>
    <w:pPr>
      <w:tabs>
        <w:tab w:val="right" w:pos="9360"/>
      </w:tabs>
      <w:suppressAutoHyphens/>
    </w:pPr>
  </w:style>
  <w:style w:type="character" w:customStyle="1" w:styleId="EquationCaption">
    <w:name w:val="_Equation Caption"/>
    <w:rsid w:val="00354A28"/>
  </w:style>
  <w:style w:type="paragraph" w:styleId="Header">
    <w:name w:val="header"/>
    <w:basedOn w:val="Normal"/>
    <w:autoRedefine/>
    <w:rsid w:val="00354A28"/>
    <w:pPr>
      <w:tabs>
        <w:tab w:val="center" w:pos="4680"/>
        <w:tab w:val="right" w:pos="9360"/>
      </w:tabs>
    </w:pPr>
    <w:rPr>
      <w:b/>
    </w:rPr>
  </w:style>
  <w:style w:type="paragraph" w:styleId="Footer">
    <w:name w:val="footer"/>
    <w:basedOn w:val="Normal"/>
    <w:rsid w:val="00354A28"/>
    <w:pPr>
      <w:tabs>
        <w:tab w:val="center" w:pos="4320"/>
        <w:tab w:val="right" w:pos="8640"/>
      </w:tabs>
    </w:pPr>
  </w:style>
  <w:style w:type="character" w:styleId="PageNumber">
    <w:name w:val="page number"/>
    <w:basedOn w:val="DefaultParagraphFont"/>
    <w:rsid w:val="00354A28"/>
  </w:style>
  <w:style w:type="paragraph" w:styleId="BlockText">
    <w:name w:val="Block Text"/>
    <w:basedOn w:val="Normal"/>
    <w:rsid w:val="00354A28"/>
    <w:pPr>
      <w:spacing w:after="240"/>
      <w:ind w:left="1440" w:right="1440"/>
    </w:pPr>
  </w:style>
  <w:style w:type="paragraph" w:customStyle="1" w:styleId="Paratitle">
    <w:name w:val="Para title"/>
    <w:basedOn w:val="Normal"/>
    <w:rsid w:val="00354A28"/>
    <w:pPr>
      <w:tabs>
        <w:tab w:val="center" w:pos="9270"/>
      </w:tabs>
      <w:spacing w:after="240"/>
    </w:pPr>
    <w:rPr>
      <w:spacing w:val="-2"/>
    </w:rPr>
  </w:style>
  <w:style w:type="paragraph" w:customStyle="1" w:styleId="Bullet">
    <w:name w:val="Bullet"/>
    <w:basedOn w:val="Normal"/>
    <w:rsid w:val="00354A28"/>
    <w:pPr>
      <w:tabs>
        <w:tab w:val="left" w:pos="2160"/>
      </w:tabs>
      <w:spacing w:after="220"/>
      <w:ind w:left="2160" w:hanging="720"/>
    </w:pPr>
  </w:style>
  <w:style w:type="paragraph" w:customStyle="1" w:styleId="TableFormat">
    <w:name w:val="TableFormat"/>
    <w:basedOn w:val="Bullet"/>
    <w:rsid w:val="00354A28"/>
    <w:pPr>
      <w:tabs>
        <w:tab w:val="clear" w:pos="2160"/>
        <w:tab w:val="left" w:pos="5040"/>
      </w:tabs>
      <w:ind w:left="5040" w:hanging="3600"/>
    </w:pPr>
  </w:style>
  <w:style w:type="paragraph" w:customStyle="1" w:styleId="TOCTitle">
    <w:name w:val="TOC Title"/>
    <w:basedOn w:val="Normal"/>
    <w:rsid w:val="00354A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4A28"/>
    <w:pPr>
      <w:jc w:val="center"/>
    </w:pPr>
    <w:rPr>
      <w:rFonts w:ascii="Times New Roman Bold" w:hAnsi="Times New Roman Bold"/>
      <w:b/>
      <w:bCs/>
      <w:caps/>
      <w:szCs w:val="22"/>
    </w:rPr>
  </w:style>
  <w:style w:type="character" w:styleId="Hyperlink">
    <w:name w:val="Hyperlink"/>
    <w:rsid w:val="00354A28"/>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C311F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99" w:qFormat="1"/>
    <w:lsdException w:name="Plain Text" w:uiPriority="99"/>
    <w:lsdException w:name="No List" w:uiPriority="99"/>
    <w:lsdException w:name="No Spacing" w:qFormat="1"/>
    <w:lsdException w:name="List Paragraph" w:qFormat="1"/>
    <w:lsdException w:name="Quote" w:qFormat="1"/>
    <w:lsdException w:name="Intense Quote" w:qFormat="1"/>
    <w:lsdException w:name="Colorful Shading Accent 1" w:uiPriority="71"/>
    <w:lsdException w:name="Colorful List Accent 1" w:uiPriority="7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4A28"/>
    <w:pPr>
      <w:widowControl w:val="0"/>
    </w:pPr>
    <w:rPr>
      <w:snapToGrid w:val="0"/>
      <w:kern w:val="28"/>
      <w:sz w:val="22"/>
    </w:rPr>
  </w:style>
  <w:style w:type="paragraph" w:styleId="Heading1">
    <w:name w:val="heading 1"/>
    <w:basedOn w:val="Normal"/>
    <w:next w:val="ParaNum"/>
    <w:link w:val="Heading1Char"/>
    <w:qFormat/>
    <w:rsid w:val="00354A2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4A28"/>
    <w:pPr>
      <w:keepNext/>
      <w:numPr>
        <w:ilvl w:val="1"/>
        <w:numId w:val="2"/>
      </w:numPr>
      <w:spacing w:after="120"/>
      <w:outlineLvl w:val="1"/>
    </w:pPr>
    <w:rPr>
      <w:b/>
    </w:rPr>
  </w:style>
  <w:style w:type="paragraph" w:styleId="Heading3">
    <w:name w:val="heading 3"/>
    <w:basedOn w:val="Normal"/>
    <w:next w:val="ParaNum"/>
    <w:qFormat/>
    <w:rsid w:val="00354A28"/>
    <w:pPr>
      <w:keepNext/>
      <w:numPr>
        <w:ilvl w:val="2"/>
        <w:numId w:val="2"/>
      </w:numPr>
      <w:tabs>
        <w:tab w:val="left" w:pos="2160"/>
      </w:tabs>
      <w:spacing w:after="120"/>
      <w:outlineLvl w:val="2"/>
    </w:pPr>
    <w:rPr>
      <w:b/>
    </w:rPr>
  </w:style>
  <w:style w:type="paragraph" w:styleId="Heading4">
    <w:name w:val="heading 4"/>
    <w:basedOn w:val="Normal"/>
    <w:next w:val="ParaNum"/>
    <w:qFormat/>
    <w:rsid w:val="00354A28"/>
    <w:pPr>
      <w:keepNext/>
      <w:numPr>
        <w:ilvl w:val="3"/>
        <w:numId w:val="2"/>
      </w:numPr>
      <w:tabs>
        <w:tab w:val="left" w:pos="2880"/>
      </w:tabs>
      <w:spacing w:after="120"/>
      <w:outlineLvl w:val="3"/>
    </w:pPr>
    <w:rPr>
      <w:b/>
    </w:rPr>
  </w:style>
  <w:style w:type="paragraph" w:styleId="Heading5">
    <w:name w:val="heading 5"/>
    <w:basedOn w:val="Normal"/>
    <w:next w:val="ParaNum"/>
    <w:qFormat/>
    <w:rsid w:val="00354A2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54A28"/>
    <w:pPr>
      <w:numPr>
        <w:ilvl w:val="5"/>
        <w:numId w:val="2"/>
      </w:numPr>
      <w:tabs>
        <w:tab w:val="left" w:pos="4320"/>
      </w:tabs>
      <w:spacing w:after="120"/>
      <w:outlineLvl w:val="5"/>
    </w:pPr>
    <w:rPr>
      <w:b/>
    </w:rPr>
  </w:style>
  <w:style w:type="paragraph" w:styleId="Heading7">
    <w:name w:val="heading 7"/>
    <w:basedOn w:val="Normal"/>
    <w:next w:val="ParaNum"/>
    <w:qFormat/>
    <w:rsid w:val="00354A2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54A2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54A2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4A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4A28"/>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0">
    <w:name w:val="Balloon Text Char"/>
    <w:uiPriority w:val="99"/>
    <w:semiHidden/>
    <w:rsid w:val="008F56DC"/>
    <w:rPr>
      <w:rFonts w:ascii="Lucida Grande" w:hAnsi="Lucida Grande"/>
      <w:sz w:val="18"/>
      <w:szCs w:val="18"/>
    </w:rPr>
  </w:style>
  <w:style w:type="character" w:customStyle="1" w:styleId="BalloonTextChar2">
    <w:name w:val="Balloon Text Char"/>
    <w:uiPriority w:val="99"/>
    <w:semiHidden/>
    <w:rsid w:val="0095757C"/>
    <w:rPr>
      <w:rFonts w:ascii="Lucida Grande" w:hAnsi="Lucida Grande"/>
      <w:sz w:val="18"/>
      <w:szCs w:val="18"/>
    </w:rPr>
  </w:style>
  <w:style w:type="paragraph" w:customStyle="1" w:styleId="ParaNum">
    <w:name w:val="ParaNum"/>
    <w:basedOn w:val="Normal"/>
    <w:link w:val="ParaNumChar"/>
    <w:rsid w:val="00354A28"/>
    <w:pPr>
      <w:numPr>
        <w:numId w:val="1"/>
      </w:numPr>
      <w:tabs>
        <w:tab w:val="clear" w:pos="1080"/>
        <w:tab w:val="num" w:pos="1440"/>
      </w:tabs>
      <w:spacing w:after="120"/>
    </w:pPr>
  </w:style>
  <w:style w:type="paragraph" w:styleId="EndnoteText">
    <w:name w:val="endnote text"/>
    <w:basedOn w:val="Normal"/>
    <w:semiHidden/>
    <w:rsid w:val="00354A28"/>
    <w:rPr>
      <w:sz w:val="20"/>
    </w:rPr>
  </w:style>
  <w:style w:type="character" w:styleId="EndnoteReference">
    <w:name w:val="endnote reference"/>
    <w:semiHidden/>
    <w:rsid w:val="00354A28"/>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54A28"/>
    <w:pPr>
      <w:spacing w:after="120"/>
    </w:pPr>
  </w:style>
  <w:style w:type="character" w:styleId="FootnoteReference">
    <w:name w:val="footnote reference"/>
    <w:aliases w:val="Style 13,Style 12,(NECG) Footnote Reference,Appel note de bas de p,Style 124,fr,o,Style 3,FR,Style 17,Style 6,Footnote Reference/,Style 7"/>
    <w:rsid w:val="00354A28"/>
    <w:rPr>
      <w:rFonts w:ascii="Times New Roman" w:hAnsi="Times New Roman"/>
      <w:dstrike w:val="0"/>
      <w:color w:val="auto"/>
      <w:sz w:val="20"/>
      <w:vertAlign w:val="superscript"/>
    </w:rPr>
  </w:style>
  <w:style w:type="paragraph" w:styleId="TOC1">
    <w:name w:val="toc 1"/>
    <w:basedOn w:val="Normal"/>
    <w:next w:val="Normal"/>
    <w:semiHidden/>
    <w:rsid w:val="00354A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4A28"/>
    <w:pPr>
      <w:tabs>
        <w:tab w:val="left" w:pos="720"/>
        <w:tab w:val="right" w:leader="dot" w:pos="9360"/>
      </w:tabs>
      <w:suppressAutoHyphens/>
      <w:ind w:left="720" w:right="720" w:hanging="360"/>
    </w:pPr>
    <w:rPr>
      <w:noProof/>
    </w:rPr>
  </w:style>
  <w:style w:type="paragraph" w:styleId="TOC3">
    <w:name w:val="toc 3"/>
    <w:basedOn w:val="Normal"/>
    <w:next w:val="Normal"/>
    <w:semiHidden/>
    <w:rsid w:val="00354A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4A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4A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4A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4A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4A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4A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4A28"/>
    <w:pPr>
      <w:tabs>
        <w:tab w:val="right" w:pos="9360"/>
      </w:tabs>
      <w:suppressAutoHyphens/>
    </w:pPr>
  </w:style>
  <w:style w:type="character" w:customStyle="1" w:styleId="EquationCaption">
    <w:name w:val="_Equation Caption"/>
    <w:rsid w:val="00354A28"/>
  </w:style>
  <w:style w:type="paragraph" w:styleId="Header">
    <w:name w:val="header"/>
    <w:basedOn w:val="Normal"/>
    <w:autoRedefine/>
    <w:rsid w:val="00354A28"/>
    <w:pPr>
      <w:tabs>
        <w:tab w:val="center" w:pos="4680"/>
        <w:tab w:val="right" w:pos="9360"/>
      </w:tabs>
    </w:pPr>
    <w:rPr>
      <w:b/>
    </w:rPr>
  </w:style>
  <w:style w:type="paragraph" w:styleId="Footer">
    <w:name w:val="footer"/>
    <w:basedOn w:val="Normal"/>
    <w:rsid w:val="00354A28"/>
    <w:pPr>
      <w:tabs>
        <w:tab w:val="center" w:pos="4320"/>
        <w:tab w:val="right" w:pos="8640"/>
      </w:tabs>
    </w:pPr>
  </w:style>
  <w:style w:type="character" w:styleId="PageNumber">
    <w:name w:val="page number"/>
    <w:basedOn w:val="DefaultParagraphFont"/>
    <w:rsid w:val="00354A28"/>
  </w:style>
  <w:style w:type="paragraph" w:styleId="BlockText">
    <w:name w:val="Block Text"/>
    <w:basedOn w:val="Normal"/>
    <w:rsid w:val="00354A28"/>
    <w:pPr>
      <w:spacing w:after="240"/>
      <w:ind w:left="1440" w:right="1440"/>
    </w:pPr>
  </w:style>
  <w:style w:type="paragraph" w:customStyle="1" w:styleId="Paratitle">
    <w:name w:val="Para title"/>
    <w:basedOn w:val="Normal"/>
    <w:rsid w:val="00354A28"/>
    <w:pPr>
      <w:tabs>
        <w:tab w:val="center" w:pos="9270"/>
      </w:tabs>
      <w:spacing w:after="240"/>
    </w:pPr>
    <w:rPr>
      <w:spacing w:val="-2"/>
    </w:rPr>
  </w:style>
  <w:style w:type="paragraph" w:customStyle="1" w:styleId="Bullet">
    <w:name w:val="Bullet"/>
    <w:basedOn w:val="Normal"/>
    <w:rsid w:val="00354A28"/>
    <w:pPr>
      <w:tabs>
        <w:tab w:val="left" w:pos="2160"/>
      </w:tabs>
      <w:spacing w:after="220"/>
      <w:ind w:left="2160" w:hanging="720"/>
    </w:pPr>
  </w:style>
  <w:style w:type="paragraph" w:customStyle="1" w:styleId="TableFormat">
    <w:name w:val="TableFormat"/>
    <w:basedOn w:val="Bullet"/>
    <w:rsid w:val="00354A28"/>
    <w:pPr>
      <w:tabs>
        <w:tab w:val="clear" w:pos="2160"/>
        <w:tab w:val="left" w:pos="5040"/>
      </w:tabs>
      <w:ind w:left="5040" w:hanging="3600"/>
    </w:pPr>
  </w:style>
  <w:style w:type="paragraph" w:customStyle="1" w:styleId="TOCTitle">
    <w:name w:val="TOC Title"/>
    <w:basedOn w:val="Normal"/>
    <w:rsid w:val="00354A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4A28"/>
    <w:pPr>
      <w:jc w:val="center"/>
    </w:pPr>
    <w:rPr>
      <w:rFonts w:ascii="Times New Roman Bold" w:hAnsi="Times New Roman Bold"/>
      <w:b/>
      <w:bCs/>
      <w:caps/>
      <w:szCs w:val="22"/>
    </w:rPr>
  </w:style>
  <w:style w:type="character" w:styleId="Hyperlink">
    <w:name w:val="Hyperlink"/>
    <w:rsid w:val="00354A28"/>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C311F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9788">
      <w:bodyDiv w:val="1"/>
      <w:marLeft w:val="0"/>
      <w:marRight w:val="0"/>
      <w:marTop w:val="0"/>
      <w:marBottom w:val="0"/>
      <w:divBdr>
        <w:top w:val="none" w:sz="0" w:space="0" w:color="auto"/>
        <w:left w:val="none" w:sz="0" w:space="0" w:color="auto"/>
        <w:bottom w:val="none" w:sz="0" w:space="0" w:color="auto"/>
        <w:right w:val="none" w:sz="0" w:space="0" w:color="auto"/>
      </w:divBdr>
    </w:div>
    <w:div w:id="1478958864">
      <w:bodyDiv w:val="1"/>
      <w:marLeft w:val="0"/>
      <w:marRight w:val="0"/>
      <w:marTop w:val="0"/>
      <w:marBottom w:val="0"/>
      <w:divBdr>
        <w:top w:val="none" w:sz="0" w:space="0" w:color="auto"/>
        <w:left w:val="none" w:sz="0" w:space="0" w:color="auto"/>
        <w:bottom w:val="none" w:sz="0" w:space="0" w:color="auto"/>
        <w:right w:val="none" w:sz="0" w:space="0" w:color="auto"/>
      </w:divBdr>
    </w:div>
    <w:div w:id="1565800797">
      <w:bodyDiv w:val="1"/>
      <w:marLeft w:val="0"/>
      <w:marRight w:val="0"/>
      <w:marTop w:val="0"/>
      <w:marBottom w:val="0"/>
      <w:divBdr>
        <w:top w:val="none" w:sz="0" w:space="0" w:color="auto"/>
        <w:left w:val="none" w:sz="0" w:space="0" w:color="auto"/>
        <w:bottom w:val="none" w:sz="0" w:space="0" w:color="auto"/>
        <w:right w:val="none" w:sz="0" w:space="0" w:color="auto"/>
      </w:divBdr>
    </w:div>
    <w:div w:id="178592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4066</Words>
  <Characters>22711</Characters>
  <Application>Microsoft Office Word</Application>
  <DocSecurity>0</DocSecurity>
  <Lines>334</Lines>
  <Paragraphs>70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26832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2014-08-06T20:14:00Z</cp:lastPrinted>
  <dcterms:created xsi:type="dcterms:W3CDTF">2014-08-07T20:20:00Z</dcterms:created>
  <dcterms:modified xsi:type="dcterms:W3CDTF">2014-08-07T20:20:00Z</dcterms:modified>
  <cp:category> </cp:category>
  <cp:contentStatus> </cp:contentStatus>
</cp:coreProperties>
</file>