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7C52AC" w:rsidRPr="007C52AC" w:rsidRDefault="009A6BDE" w:rsidP="007C52AC">
            <w:pPr>
              <w:tabs>
                <w:tab w:val="center" w:pos="4680"/>
              </w:tabs>
              <w:suppressAutoHyphens/>
              <w:rPr>
                <w:spacing w:val="-2"/>
              </w:rPr>
            </w:pPr>
            <w:r>
              <w:rPr>
                <w:spacing w:val="-2"/>
              </w:rPr>
              <w:t>Colonial Radio Group, Inc.</w:t>
            </w:r>
          </w:p>
          <w:p w:rsidR="007C52AC" w:rsidRPr="007C52AC" w:rsidRDefault="007C52AC" w:rsidP="007C52AC">
            <w:pPr>
              <w:tabs>
                <w:tab w:val="center" w:pos="4680"/>
              </w:tabs>
              <w:suppressAutoHyphens/>
              <w:rPr>
                <w:spacing w:val="-2"/>
              </w:rPr>
            </w:pPr>
          </w:p>
          <w:p w:rsidR="005C5FCA" w:rsidRDefault="007C52AC" w:rsidP="007C52AC">
            <w:pPr>
              <w:tabs>
                <w:tab w:val="center" w:pos="4680"/>
              </w:tabs>
              <w:suppressAutoHyphens/>
              <w:rPr>
                <w:spacing w:val="-2"/>
              </w:rPr>
            </w:pPr>
            <w:r w:rsidRPr="007C52AC">
              <w:rPr>
                <w:spacing w:val="-2"/>
              </w:rPr>
              <w:t>Application</w:t>
            </w:r>
            <w:r w:rsidR="009A6BDE">
              <w:rPr>
                <w:spacing w:val="-2"/>
              </w:rPr>
              <w:t>s</w:t>
            </w:r>
            <w:r w:rsidRPr="007C52AC">
              <w:rPr>
                <w:spacing w:val="-2"/>
              </w:rPr>
              <w:t xml:space="preserve"> for </w:t>
            </w:r>
            <w:r w:rsidR="009A6BDE">
              <w:rPr>
                <w:spacing w:val="-2"/>
              </w:rPr>
              <w:t>Minor Modification of</w:t>
            </w:r>
            <w:r w:rsidR="00CE2DD8">
              <w:rPr>
                <w:spacing w:val="-2"/>
              </w:rPr>
              <w:t xml:space="preserve"> Construction Permi</w:t>
            </w:r>
            <w:r w:rsidR="009A6BDE">
              <w:rPr>
                <w:spacing w:val="-2"/>
              </w:rPr>
              <w:t>ts</w:t>
            </w:r>
          </w:p>
          <w:p w:rsidR="00CE2DD8" w:rsidRDefault="00CE2DD8" w:rsidP="007C52AC">
            <w:pPr>
              <w:tabs>
                <w:tab w:val="center" w:pos="4680"/>
              </w:tabs>
              <w:suppressAutoHyphens/>
              <w:rPr>
                <w:spacing w:val="-2"/>
              </w:rPr>
            </w:pPr>
          </w:p>
          <w:p w:rsidR="009A6BDE" w:rsidRDefault="009A6BDE" w:rsidP="007C52AC">
            <w:pPr>
              <w:tabs>
                <w:tab w:val="center" w:pos="4680"/>
              </w:tabs>
              <w:suppressAutoHyphens/>
              <w:rPr>
                <w:spacing w:val="-2"/>
              </w:rPr>
            </w:pPr>
            <w:r>
              <w:rPr>
                <w:spacing w:val="-2"/>
              </w:rPr>
              <w:t>Application for License to Cover</w:t>
            </w:r>
          </w:p>
          <w:p w:rsidR="005C5FCA" w:rsidRDefault="005C5FCA" w:rsidP="007C52AC">
            <w:pPr>
              <w:tabs>
                <w:tab w:val="center" w:pos="4680"/>
              </w:tabs>
              <w:suppressAutoHyphens/>
              <w:rPr>
                <w:spacing w:val="-2"/>
              </w:rPr>
            </w:pPr>
          </w:p>
          <w:p w:rsidR="00C84110" w:rsidRPr="007115F7" w:rsidRDefault="009A6BDE" w:rsidP="007115F7">
            <w:pPr>
              <w:tabs>
                <w:tab w:val="center" w:pos="4680"/>
              </w:tabs>
              <w:suppressAutoHyphens/>
              <w:rPr>
                <w:spacing w:val="-2"/>
              </w:rPr>
            </w:pPr>
            <w:r w:rsidRPr="009A6BDE">
              <w:rPr>
                <w:spacing w:val="-2"/>
              </w:rPr>
              <w:t>FM Translator Station W230BO, Olean, New York</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7C52AC" w:rsidRDefault="004C2EE3">
            <w:pPr>
              <w:tabs>
                <w:tab w:val="center" w:pos="4680"/>
              </w:tabs>
              <w:suppressAutoHyphens/>
              <w:rPr>
                <w:b/>
                <w:spacing w:val="-2"/>
              </w:rPr>
            </w:pPr>
            <w:r>
              <w:rPr>
                <w:b/>
                <w:spacing w:val="-2"/>
              </w:rPr>
              <w:t>)</w:t>
            </w:r>
          </w:p>
          <w:p w:rsidR="007C52AC" w:rsidRDefault="00545909">
            <w:pPr>
              <w:tabs>
                <w:tab w:val="center" w:pos="4680"/>
              </w:tabs>
              <w:suppressAutoHyphens/>
              <w:rPr>
                <w:b/>
                <w:spacing w:val="-2"/>
              </w:rPr>
            </w:pPr>
            <w:r w:rsidRPr="00545909">
              <w:rPr>
                <w:b/>
                <w:spacing w:val="-2"/>
              </w:rPr>
              <w:t>)</w:t>
            </w:r>
          </w:p>
          <w:p w:rsidR="009A6BDE" w:rsidRDefault="009A6BDE">
            <w:pPr>
              <w:tabs>
                <w:tab w:val="center" w:pos="4680"/>
              </w:tabs>
              <w:suppressAutoHyphens/>
              <w:rPr>
                <w:b/>
                <w:spacing w:val="-2"/>
              </w:rPr>
            </w:pPr>
            <w:r>
              <w:rPr>
                <w:b/>
                <w:spacing w:val="-2"/>
              </w:rPr>
              <w:t>)</w:t>
            </w:r>
          </w:p>
          <w:p w:rsidR="009A6BDE" w:rsidRDefault="009A6BDE">
            <w:pPr>
              <w:tabs>
                <w:tab w:val="center" w:pos="4680"/>
              </w:tabs>
              <w:suppressAutoHyphens/>
              <w:rPr>
                <w:b/>
                <w:spacing w:val="-2"/>
              </w:rPr>
            </w:pPr>
            <w:r>
              <w:rPr>
                <w:b/>
                <w:spacing w:val="-2"/>
              </w:rPr>
              <w:t>)</w:t>
            </w:r>
          </w:p>
          <w:p w:rsidR="009A6BDE" w:rsidRPr="00545909" w:rsidRDefault="009A6BDE">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45909" w:rsidRDefault="00545909" w:rsidP="00545909">
            <w:pPr>
              <w:tabs>
                <w:tab w:val="center" w:pos="4680"/>
              </w:tabs>
              <w:suppressAutoHyphens/>
              <w:rPr>
                <w:spacing w:val="-2"/>
              </w:rPr>
            </w:pPr>
          </w:p>
          <w:p w:rsidR="00246DD2" w:rsidRDefault="00246DD2" w:rsidP="00545909">
            <w:pPr>
              <w:tabs>
                <w:tab w:val="center" w:pos="4680"/>
              </w:tabs>
              <w:suppressAutoHyphens/>
              <w:rPr>
                <w:spacing w:val="-2"/>
              </w:rPr>
            </w:pPr>
          </w:p>
          <w:p w:rsidR="00545909" w:rsidRDefault="00545909" w:rsidP="00545909">
            <w:pPr>
              <w:tabs>
                <w:tab w:val="center" w:pos="4680"/>
              </w:tabs>
              <w:suppressAutoHyphens/>
              <w:rPr>
                <w:spacing w:val="-2"/>
              </w:rPr>
            </w:pPr>
            <w:r w:rsidRPr="007C52AC">
              <w:rPr>
                <w:spacing w:val="-2"/>
              </w:rPr>
              <w:t>File No</w:t>
            </w:r>
            <w:r w:rsidR="009A6BDE">
              <w:rPr>
                <w:spacing w:val="-2"/>
              </w:rPr>
              <w:t>s</w:t>
            </w:r>
            <w:r w:rsidRPr="007C52AC">
              <w:rPr>
                <w:spacing w:val="-2"/>
              </w:rPr>
              <w:t xml:space="preserve">. </w:t>
            </w:r>
            <w:r w:rsidR="009A6BDE">
              <w:rPr>
                <w:spacing w:val="-2"/>
              </w:rPr>
              <w:t>BPFT-20091023AAW</w:t>
            </w:r>
          </w:p>
          <w:p w:rsidR="009A6BDE" w:rsidRPr="007C52AC" w:rsidRDefault="009A6BDE" w:rsidP="00545909">
            <w:pPr>
              <w:tabs>
                <w:tab w:val="center" w:pos="4680"/>
              </w:tabs>
              <w:suppressAutoHyphens/>
              <w:rPr>
                <w:spacing w:val="-2"/>
              </w:rPr>
            </w:pPr>
            <w:r>
              <w:rPr>
                <w:spacing w:val="-2"/>
              </w:rPr>
              <w:t xml:space="preserve">                BPFT-20091102AAK</w:t>
            </w:r>
          </w:p>
          <w:p w:rsidR="005C5FCA" w:rsidRDefault="005C5FCA" w:rsidP="007C52AC">
            <w:pPr>
              <w:tabs>
                <w:tab w:val="center" w:pos="4680"/>
              </w:tabs>
              <w:suppressAutoHyphens/>
              <w:rPr>
                <w:spacing w:val="-2"/>
              </w:rPr>
            </w:pPr>
          </w:p>
          <w:p w:rsidR="009A6BDE" w:rsidRDefault="009A6BDE" w:rsidP="007C52AC">
            <w:pPr>
              <w:tabs>
                <w:tab w:val="center" w:pos="4680"/>
              </w:tabs>
              <w:suppressAutoHyphens/>
              <w:rPr>
                <w:spacing w:val="-2"/>
              </w:rPr>
            </w:pPr>
            <w:r>
              <w:rPr>
                <w:spacing w:val="-2"/>
              </w:rPr>
              <w:t>File No. BLFT-20091029AAZ</w:t>
            </w:r>
          </w:p>
          <w:p w:rsidR="005C5FCA" w:rsidRDefault="005C5FCA" w:rsidP="007C52AC">
            <w:pPr>
              <w:tabs>
                <w:tab w:val="center" w:pos="4680"/>
              </w:tabs>
              <w:suppressAutoHyphens/>
              <w:rPr>
                <w:spacing w:val="-2"/>
              </w:rPr>
            </w:pPr>
          </w:p>
          <w:p w:rsidR="009A6BDE" w:rsidRDefault="009A6BDE" w:rsidP="007C52AC">
            <w:pPr>
              <w:tabs>
                <w:tab w:val="center" w:pos="4680"/>
              </w:tabs>
              <w:suppressAutoHyphens/>
              <w:rPr>
                <w:spacing w:val="-2"/>
              </w:rPr>
            </w:pPr>
            <w:r>
              <w:rPr>
                <w:spacing w:val="-2"/>
              </w:rPr>
              <w:t>Facility ID No. 153162</w:t>
            </w:r>
          </w:p>
        </w:tc>
      </w:tr>
      <w:tr w:rsidR="007C52AC">
        <w:tc>
          <w:tcPr>
            <w:tcW w:w="4698" w:type="dxa"/>
          </w:tcPr>
          <w:p w:rsidR="007C52AC" w:rsidRDefault="007C52AC">
            <w:pPr>
              <w:tabs>
                <w:tab w:val="center" w:pos="4680"/>
              </w:tabs>
              <w:suppressAutoHyphens/>
              <w:rPr>
                <w:spacing w:val="-2"/>
              </w:rPr>
            </w:pPr>
          </w:p>
        </w:tc>
        <w:tc>
          <w:tcPr>
            <w:tcW w:w="630" w:type="dxa"/>
          </w:tcPr>
          <w:p w:rsidR="007C52AC" w:rsidRDefault="007C52AC">
            <w:pPr>
              <w:tabs>
                <w:tab w:val="center" w:pos="4680"/>
              </w:tabs>
              <w:suppressAutoHyphens/>
              <w:rPr>
                <w:b/>
                <w:spacing w:val="-2"/>
              </w:rPr>
            </w:pPr>
          </w:p>
        </w:tc>
        <w:tc>
          <w:tcPr>
            <w:tcW w:w="4248" w:type="dxa"/>
          </w:tcPr>
          <w:p w:rsidR="007C52AC" w:rsidRDefault="007C52AC">
            <w:pPr>
              <w:tabs>
                <w:tab w:val="center" w:pos="4680"/>
              </w:tabs>
              <w:suppressAutoHyphens/>
              <w:rPr>
                <w:spacing w:val="-2"/>
              </w:rPr>
            </w:pPr>
          </w:p>
        </w:tc>
      </w:tr>
    </w:tbl>
    <w:p w:rsidR="00841AB1" w:rsidRDefault="007C52AC"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06719">
        <w:rPr>
          <w:b/>
          <w:spacing w:val="-2"/>
        </w:rPr>
        <w:t>August 6,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06719">
        <w:rPr>
          <w:b/>
          <w:spacing w:val="-2"/>
        </w:rPr>
        <w:t>August 12, 2014</w:t>
      </w:r>
    </w:p>
    <w:p w:rsidR="00822CE0" w:rsidRDefault="00822CE0"/>
    <w:p w:rsidR="00E7792D" w:rsidRDefault="004C2EE3" w:rsidP="00E7792D">
      <w:pPr>
        <w:spacing w:after="120"/>
        <w:rPr>
          <w:spacing w:val="-2"/>
        </w:rPr>
      </w:pPr>
      <w:r>
        <w:t xml:space="preserve">By </w:t>
      </w:r>
      <w:r w:rsidR="004E4A22">
        <w:t>th</w:t>
      </w:r>
      <w:r w:rsidR="007C52AC">
        <w:t>e Commission</w:t>
      </w:r>
      <w:r>
        <w:rPr>
          <w:spacing w:val="-2"/>
        </w:rPr>
        <w:t>:</w:t>
      </w:r>
      <w:r w:rsidR="00F445A3">
        <w:rPr>
          <w:spacing w:val="-2"/>
        </w:rPr>
        <w:t xml:space="preserve">  </w:t>
      </w:r>
      <w:r w:rsidR="00F445A3" w:rsidRPr="00F445A3">
        <w:rPr>
          <w:spacing w:val="-2"/>
        </w:rPr>
        <w:t>Commissioner Pai concurring and issuing a statement.</w:t>
      </w:r>
    </w:p>
    <w:p w:rsidR="002712C8" w:rsidRPr="00175F99" w:rsidRDefault="00BB78FC" w:rsidP="00175F99">
      <w:pPr>
        <w:pStyle w:val="ParaNum"/>
        <w:rPr>
          <w:snapToGrid/>
        </w:rPr>
      </w:pPr>
      <w:bookmarkStart w:id="1" w:name="start_here"/>
      <w:bookmarkStart w:id="2" w:name="TOChere"/>
      <w:bookmarkEnd w:id="1"/>
      <w:r w:rsidRPr="00175F99">
        <w:rPr>
          <w:snapToGrid/>
          <w:kern w:val="0"/>
        </w:rPr>
        <w:t>In t</w:t>
      </w:r>
      <w:bookmarkEnd w:id="2"/>
      <w:r w:rsidRPr="00175F99">
        <w:rPr>
          <w:snapToGrid/>
          <w:kern w:val="0"/>
        </w:rPr>
        <w:t xml:space="preserve">his Memorandum Opinion and Order, we deny the </w:t>
      </w:r>
      <w:r w:rsidR="007C52AC" w:rsidRPr="00175F99">
        <w:rPr>
          <w:snapToGrid/>
        </w:rPr>
        <w:t xml:space="preserve">Application for Review filed by </w:t>
      </w:r>
      <w:r w:rsidR="009A6BDE" w:rsidRPr="00175F99">
        <w:rPr>
          <w:snapToGrid/>
        </w:rPr>
        <w:t>Backyard Broadcasting Olean Licensee, LLC (“Backyard”)</w:t>
      </w:r>
      <w:r w:rsidRPr="00175F99">
        <w:rPr>
          <w:snapToGrid/>
        </w:rPr>
        <w:t xml:space="preserve"> on </w:t>
      </w:r>
      <w:r w:rsidR="009A6BDE" w:rsidRPr="00175F99">
        <w:rPr>
          <w:snapToGrid/>
        </w:rPr>
        <w:t>February 22, 2010</w:t>
      </w:r>
      <w:r w:rsidR="00D953BB" w:rsidRPr="00175F99">
        <w:rPr>
          <w:snapToGrid/>
        </w:rPr>
        <w:t>.</w:t>
      </w:r>
      <w:r w:rsidR="00803583">
        <w:rPr>
          <w:rStyle w:val="FootnoteReference"/>
          <w:snapToGrid/>
          <w:szCs w:val="22"/>
        </w:rPr>
        <w:footnoteReference w:id="2"/>
      </w:r>
      <w:r w:rsidR="00D953BB" w:rsidRPr="00175F99">
        <w:rPr>
          <w:snapToGrid/>
        </w:rPr>
        <w:t xml:space="preserve">  </w:t>
      </w:r>
      <w:r w:rsidR="009A6BDE" w:rsidRPr="00175F99">
        <w:rPr>
          <w:snapToGrid/>
        </w:rPr>
        <w:t>Backyard</w:t>
      </w:r>
      <w:r w:rsidR="004750B9" w:rsidRPr="00175F99">
        <w:rPr>
          <w:snapToGrid/>
        </w:rPr>
        <w:t xml:space="preserve"> seeks review of a </w:t>
      </w:r>
      <w:r w:rsidR="009A6BDE" w:rsidRPr="00175F99">
        <w:rPr>
          <w:snapToGrid/>
        </w:rPr>
        <w:t>January 21, 2010</w:t>
      </w:r>
      <w:r w:rsidR="00136EA4" w:rsidRPr="00175F99">
        <w:rPr>
          <w:snapToGrid/>
        </w:rPr>
        <w:t xml:space="preserve">, action by the Media Bureau </w:t>
      </w:r>
      <w:r w:rsidR="00D953BB" w:rsidRPr="00175F99">
        <w:rPr>
          <w:snapToGrid/>
        </w:rPr>
        <w:t>(“Bureau”)</w:t>
      </w:r>
      <w:r w:rsidR="00714E37" w:rsidRPr="00E7792D">
        <w:t xml:space="preserve"> </w:t>
      </w:r>
      <w:r w:rsidR="00CA5CA0">
        <w:t>that</w:t>
      </w:r>
      <w:r w:rsidR="00DC33F4">
        <w:t>:  (1)</w:t>
      </w:r>
      <w:r w:rsidR="00714E37" w:rsidRPr="00E7792D">
        <w:t xml:space="preserve"> </w:t>
      </w:r>
      <w:r w:rsidR="00314F91">
        <w:t xml:space="preserve">granted the above-captioned </w:t>
      </w:r>
      <w:r w:rsidR="00D901BD">
        <w:t xml:space="preserve">minor modification </w:t>
      </w:r>
      <w:r w:rsidR="00314F91">
        <w:t xml:space="preserve">application (File No. </w:t>
      </w:r>
      <w:r w:rsidR="00314F91" w:rsidRPr="00314F91">
        <w:t xml:space="preserve">File No. </w:t>
      </w:r>
      <w:r w:rsidR="00D901BD" w:rsidRPr="00175F99">
        <w:rPr>
          <w:snapToGrid/>
        </w:rPr>
        <w:t>BPFT-20091102AAK</w:t>
      </w:r>
      <w:r w:rsidR="00314F91">
        <w:t xml:space="preserve">) </w:t>
      </w:r>
      <w:r w:rsidR="00314F91" w:rsidRPr="00175F99">
        <w:rPr>
          <w:snapToGrid/>
        </w:rPr>
        <w:t>of Colonial Radio Group, Inc. (“Colonial”)</w:t>
      </w:r>
      <w:r w:rsidR="00DC33F4">
        <w:rPr>
          <w:snapToGrid/>
        </w:rPr>
        <w:t>; (2)</w:t>
      </w:r>
      <w:r w:rsidR="00314F91" w:rsidRPr="00175F99">
        <w:rPr>
          <w:snapToGrid/>
        </w:rPr>
        <w:t xml:space="preserve"> </w:t>
      </w:r>
      <w:r w:rsidR="00714E37" w:rsidRPr="00E7792D">
        <w:t>denied</w:t>
      </w:r>
      <w:r w:rsidR="00136EA4" w:rsidRPr="00175F99">
        <w:rPr>
          <w:snapToGrid/>
        </w:rPr>
        <w:t xml:space="preserve"> </w:t>
      </w:r>
      <w:r w:rsidR="00DE6A03" w:rsidRPr="00175F99">
        <w:rPr>
          <w:snapToGrid/>
        </w:rPr>
        <w:t>Backyard</w:t>
      </w:r>
      <w:r w:rsidR="00136EA4" w:rsidRPr="00175F99">
        <w:rPr>
          <w:snapToGrid/>
        </w:rPr>
        <w:t xml:space="preserve">’s </w:t>
      </w:r>
      <w:r w:rsidR="00CA5CA0">
        <w:rPr>
          <w:snapToGrid/>
        </w:rPr>
        <w:t>October 28, 2009, P</w:t>
      </w:r>
      <w:r w:rsidR="00314F91" w:rsidRPr="00175F99">
        <w:rPr>
          <w:snapToGrid/>
        </w:rPr>
        <w:t xml:space="preserve">etition for </w:t>
      </w:r>
      <w:r w:rsidR="00CA5CA0">
        <w:rPr>
          <w:snapToGrid/>
        </w:rPr>
        <w:t>R</w:t>
      </w:r>
      <w:r w:rsidR="00314F91" w:rsidRPr="00175F99">
        <w:rPr>
          <w:snapToGrid/>
        </w:rPr>
        <w:t xml:space="preserve">econsideration of the </w:t>
      </w:r>
      <w:r w:rsidR="00DC33F4">
        <w:rPr>
          <w:snapToGrid/>
        </w:rPr>
        <w:t xml:space="preserve">previous </w:t>
      </w:r>
      <w:r w:rsidR="00314F91" w:rsidRPr="00175F99">
        <w:rPr>
          <w:snapToGrid/>
        </w:rPr>
        <w:t xml:space="preserve">grant of the above-captioned minor modification </w:t>
      </w:r>
      <w:r w:rsidR="00DC33F4" w:rsidRPr="00175F99">
        <w:rPr>
          <w:snapToGrid/>
        </w:rPr>
        <w:t>(File No. BPFT-20091023AAW</w:t>
      </w:r>
      <w:r w:rsidR="00DC33F4">
        <w:rPr>
          <w:snapToGrid/>
        </w:rPr>
        <w:t>);</w:t>
      </w:r>
      <w:r w:rsidR="00DC33F4" w:rsidRPr="00175F99">
        <w:rPr>
          <w:snapToGrid/>
        </w:rPr>
        <w:t xml:space="preserve"> </w:t>
      </w:r>
      <w:r w:rsidR="00D901BD" w:rsidRPr="00175F99">
        <w:rPr>
          <w:snapToGrid/>
        </w:rPr>
        <w:t xml:space="preserve">and </w:t>
      </w:r>
      <w:r w:rsidR="00DC33F4">
        <w:rPr>
          <w:snapToGrid/>
        </w:rPr>
        <w:t xml:space="preserve">(3) denied Backyard’s November 2, 2009, Informal Objection to </w:t>
      </w:r>
      <w:r w:rsidR="00653F98">
        <w:rPr>
          <w:snapToGrid/>
        </w:rPr>
        <w:t xml:space="preserve">application </w:t>
      </w:r>
      <w:r w:rsidR="00DC33F4">
        <w:rPr>
          <w:snapToGrid/>
        </w:rPr>
        <w:t xml:space="preserve">BPFT-20091102AAK and </w:t>
      </w:r>
      <w:r w:rsidR="005B0FB0">
        <w:rPr>
          <w:snapToGrid/>
        </w:rPr>
        <w:t xml:space="preserve">separate </w:t>
      </w:r>
      <w:r w:rsidR="00DC33F4">
        <w:rPr>
          <w:snapToGrid/>
        </w:rPr>
        <w:t xml:space="preserve">November </w:t>
      </w:r>
      <w:r w:rsidR="005B0FB0">
        <w:rPr>
          <w:snapToGrid/>
        </w:rPr>
        <w:t>2</w:t>
      </w:r>
      <w:r w:rsidR="00DC33F4">
        <w:rPr>
          <w:snapToGrid/>
        </w:rPr>
        <w:t xml:space="preserve">, 2009, Informal Objection to the </w:t>
      </w:r>
      <w:r w:rsidR="00D901BD" w:rsidRPr="00175F99">
        <w:rPr>
          <w:snapToGrid/>
        </w:rPr>
        <w:t xml:space="preserve">license to cover </w:t>
      </w:r>
      <w:r w:rsidR="00314F91" w:rsidRPr="00175F99">
        <w:rPr>
          <w:snapToGrid/>
        </w:rPr>
        <w:t xml:space="preserve">application </w:t>
      </w:r>
      <w:r w:rsidR="00D901BD" w:rsidRPr="00314F91">
        <w:t>BLFT-20091029AAZ</w:t>
      </w:r>
      <w:r w:rsidR="00314F91" w:rsidRPr="00175F99">
        <w:rPr>
          <w:snapToGrid/>
        </w:rPr>
        <w:t xml:space="preserve"> (collectively, “Applications”)</w:t>
      </w:r>
      <w:r w:rsidR="00D953BB" w:rsidRPr="00175F99">
        <w:rPr>
          <w:snapToGrid/>
        </w:rPr>
        <w:t>.</w:t>
      </w:r>
      <w:r w:rsidR="00D901BD" w:rsidRPr="00E7792D">
        <w:rPr>
          <w:rStyle w:val="FootnoteReference"/>
          <w:snapToGrid/>
          <w:sz w:val="22"/>
          <w:szCs w:val="22"/>
        </w:rPr>
        <w:footnoteReference w:id="3"/>
      </w:r>
      <w:r w:rsidR="003E1A1E" w:rsidRPr="00175F99">
        <w:rPr>
          <w:snapToGrid/>
        </w:rPr>
        <w:t xml:space="preserve"> </w:t>
      </w:r>
    </w:p>
    <w:p w:rsidR="003774CA" w:rsidRDefault="00C17495" w:rsidP="005A7D4E">
      <w:pPr>
        <w:pStyle w:val="ParaNum"/>
        <w:rPr>
          <w:snapToGrid/>
        </w:rPr>
      </w:pPr>
      <w:r>
        <w:rPr>
          <w:snapToGrid/>
        </w:rPr>
        <w:t>In the</w:t>
      </w:r>
      <w:r w:rsidR="00117DDF">
        <w:rPr>
          <w:snapToGrid/>
        </w:rPr>
        <w:t xml:space="preserve"> Applications, Colonial specified</w:t>
      </w:r>
      <w:r>
        <w:rPr>
          <w:snapToGrid/>
        </w:rPr>
        <w:t xml:space="preserve"> a</w:t>
      </w:r>
      <w:r w:rsidR="0054455B">
        <w:rPr>
          <w:snapToGrid/>
        </w:rPr>
        <w:t xml:space="preserve"> 34 dBμ</w:t>
      </w:r>
      <w:r>
        <w:rPr>
          <w:snapToGrid/>
        </w:rPr>
        <w:t xml:space="preserve"> interfering contour for </w:t>
      </w:r>
      <w:r w:rsidR="0054455B">
        <w:rPr>
          <w:snapToGrid/>
        </w:rPr>
        <w:t xml:space="preserve">FM Translator </w:t>
      </w:r>
      <w:r w:rsidR="00117DDF">
        <w:rPr>
          <w:snapToGrid/>
        </w:rPr>
        <w:t>Station W230BO that exceeds</w:t>
      </w:r>
      <w:r>
        <w:rPr>
          <w:snapToGrid/>
        </w:rPr>
        <w:t xml:space="preserve"> 60 kilometers.  </w:t>
      </w:r>
      <w:r w:rsidR="00195236">
        <w:rPr>
          <w:snapToGrid/>
        </w:rPr>
        <w:t>Backyard</w:t>
      </w:r>
      <w:r w:rsidR="005059E4">
        <w:rPr>
          <w:snapToGrid/>
        </w:rPr>
        <w:t xml:space="preserve"> argues that </w:t>
      </w:r>
      <w:r w:rsidR="00195236">
        <w:rPr>
          <w:snapToGrid/>
        </w:rPr>
        <w:t>the Applications were</w:t>
      </w:r>
      <w:r w:rsidR="00117DDF">
        <w:rPr>
          <w:snapToGrid/>
        </w:rPr>
        <w:t xml:space="preserve"> therefore</w:t>
      </w:r>
      <w:r w:rsidR="00195236">
        <w:rPr>
          <w:snapToGrid/>
        </w:rPr>
        <w:t xml:space="preserve"> granted in violation of Section 4.3</w:t>
      </w:r>
      <w:r w:rsidR="00D043D1">
        <w:rPr>
          <w:snapToGrid/>
        </w:rPr>
        <w:t xml:space="preserve"> of the governing agreement between the United States and</w:t>
      </w:r>
      <w:r w:rsidR="00195236">
        <w:rPr>
          <w:snapToGrid/>
        </w:rPr>
        <w:t xml:space="preserve"> Canada, the </w:t>
      </w:r>
      <w:r w:rsidR="00195236">
        <w:rPr>
          <w:i/>
          <w:snapToGrid/>
        </w:rPr>
        <w:t>FM Working Arrangement</w:t>
      </w:r>
      <w:r w:rsidR="008B6E2B">
        <w:rPr>
          <w:snapToGrid/>
        </w:rPr>
        <w:t xml:space="preserve">, which states that </w:t>
      </w:r>
      <w:r w:rsidR="00A84347">
        <w:rPr>
          <w:snapToGrid/>
        </w:rPr>
        <w:t xml:space="preserve">the </w:t>
      </w:r>
      <w:r w:rsidR="00D043D1">
        <w:rPr>
          <w:snapToGrid/>
        </w:rPr>
        <w:t xml:space="preserve">34 dBμ </w:t>
      </w:r>
      <w:r w:rsidR="00A84347">
        <w:rPr>
          <w:snapToGrid/>
        </w:rPr>
        <w:t xml:space="preserve">interference contour of FM translators may not exceed </w:t>
      </w:r>
      <w:r w:rsidR="00874DBD">
        <w:rPr>
          <w:snapToGrid/>
        </w:rPr>
        <w:t>60 k</w:t>
      </w:r>
      <w:r w:rsidR="00A84347">
        <w:rPr>
          <w:snapToGrid/>
        </w:rPr>
        <w:t>ilometers.</w:t>
      </w:r>
      <w:r w:rsidR="008B6E2B">
        <w:rPr>
          <w:rStyle w:val="FootnoteReference"/>
          <w:snapToGrid/>
          <w:szCs w:val="22"/>
        </w:rPr>
        <w:footnoteReference w:id="4"/>
      </w:r>
      <w:r w:rsidR="00E90D98">
        <w:rPr>
          <w:snapToGrid/>
        </w:rPr>
        <w:t xml:space="preserve">  </w:t>
      </w:r>
      <w:r w:rsidR="00874DBD">
        <w:rPr>
          <w:snapToGrid/>
        </w:rPr>
        <w:t xml:space="preserve">Backyard contends that the Commission lacks authority to waive this </w:t>
      </w:r>
      <w:r w:rsidR="00AE45D1">
        <w:rPr>
          <w:snapToGrid/>
        </w:rPr>
        <w:t>treaty provision</w:t>
      </w:r>
      <w:r w:rsidR="00916752">
        <w:rPr>
          <w:snapToGrid/>
        </w:rPr>
        <w:t xml:space="preserve"> and that the Bureau exceeded its delegated authority in doing so</w:t>
      </w:r>
      <w:r w:rsidR="00AE45D1">
        <w:rPr>
          <w:snapToGrid/>
        </w:rPr>
        <w:t>.</w:t>
      </w:r>
    </w:p>
    <w:p w:rsidR="003774CA" w:rsidRPr="003774CA" w:rsidRDefault="003774CA" w:rsidP="003774CA"/>
    <w:p w:rsidR="003774CA" w:rsidRPr="003774CA" w:rsidRDefault="003774CA" w:rsidP="003774CA"/>
    <w:p w:rsidR="003774CA" w:rsidRDefault="003774CA" w:rsidP="003774CA"/>
    <w:p w:rsidR="00874DBD" w:rsidRPr="003774CA" w:rsidRDefault="003774CA" w:rsidP="003774CA">
      <w:pPr>
        <w:tabs>
          <w:tab w:val="left" w:pos="3765"/>
        </w:tabs>
      </w:pPr>
      <w:r>
        <w:tab/>
      </w:r>
    </w:p>
    <w:p w:rsidR="00874DBD" w:rsidRPr="00874DBD" w:rsidRDefault="00874DBD" w:rsidP="005C0755">
      <w:pPr>
        <w:pStyle w:val="ParaNum"/>
        <w:keepNext/>
        <w:keepLines/>
        <w:widowControl/>
        <w:rPr>
          <w:snapToGrid/>
        </w:rPr>
      </w:pPr>
      <w:r>
        <w:lastRenderedPageBreak/>
        <w:t xml:space="preserve">In the </w:t>
      </w:r>
      <w:r>
        <w:rPr>
          <w:i/>
        </w:rPr>
        <w:t>Reconsideration Decision</w:t>
      </w:r>
      <w:r w:rsidR="00117DDF">
        <w:t>, the Bureau explain</w:t>
      </w:r>
      <w:r w:rsidR="005C5FCA">
        <w:t>s</w:t>
      </w:r>
      <w:r>
        <w:t xml:space="preserve"> that it </w:t>
      </w:r>
      <w:r>
        <w:rPr>
          <w:snapToGrid/>
        </w:rPr>
        <w:t>has</w:t>
      </w:r>
      <w:r w:rsidRPr="00874DBD">
        <w:rPr>
          <w:snapToGrid/>
        </w:rPr>
        <w:t xml:space="preserve"> consistently applied the 60-kilometer limitation of </w:t>
      </w:r>
      <w:r w:rsidR="00B24FBE">
        <w:rPr>
          <w:snapToGrid/>
        </w:rPr>
        <w:t xml:space="preserve">Section 4.3 </w:t>
      </w:r>
      <w:r w:rsidRPr="00874DBD">
        <w:rPr>
          <w:snapToGrid/>
        </w:rPr>
        <w:t>only where an FM translator station’s proposed 34 dBμ interference contour</w:t>
      </w:r>
      <w:r w:rsidR="00B24FBE">
        <w:rPr>
          <w:snapToGrid/>
        </w:rPr>
        <w:t xml:space="preserve"> </w:t>
      </w:r>
      <w:r w:rsidR="00C17495">
        <w:rPr>
          <w:snapToGrid/>
        </w:rPr>
        <w:t>cross</w:t>
      </w:r>
      <w:r w:rsidR="00CF4B3D">
        <w:rPr>
          <w:snapToGrid/>
        </w:rPr>
        <w:t>es</w:t>
      </w:r>
      <w:r w:rsidRPr="00874DBD">
        <w:rPr>
          <w:snapToGrid/>
        </w:rPr>
        <w:t xml:space="preserve"> the U.S.-Canada borde</w:t>
      </w:r>
      <w:r w:rsidR="00B24FBE">
        <w:rPr>
          <w:snapToGrid/>
        </w:rPr>
        <w:t xml:space="preserve">r.  </w:t>
      </w:r>
      <w:r w:rsidR="00277A29">
        <w:rPr>
          <w:snapToGrid/>
        </w:rPr>
        <w:t>T</w:t>
      </w:r>
      <w:r w:rsidR="00732E6F">
        <w:rPr>
          <w:snapToGrid/>
        </w:rPr>
        <w:t>he Bureau noted that t</w:t>
      </w:r>
      <w:r w:rsidR="00B24FBE">
        <w:rPr>
          <w:snapToGrid/>
        </w:rPr>
        <w:t xml:space="preserve">his </w:t>
      </w:r>
      <w:r w:rsidR="00CF4B3D">
        <w:rPr>
          <w:snapToGrid/>
        </w:rPr>
        <w:t>policy</w:t>
      </w:r>
      <w:r w:rsidR="00B24FBE">
        <w:rPr>
          <w:snapToGrid/>
        </w:rPr>
        <w:t xml:space="preserve"> is the result of </w:t>
      </w:r>
      <w:r w:rsidR="00002039">
        <w:rPr>
          <w:snapToGrid/>
        </w:rPr>
        <w:t>negotiations</w:t>
      </w:r>
      <w:r w:rsidR="00F3058A">
        <w:rPr>
          <w:snapToGrid/>
        </w:rPr>
        <w:t xml:space="preserve"> </w:t>
      </w:r>
      <w:r w:rsidR="00E03269">
        <w:rPr>
          <w:snapToGrid/>
        </w:rPr>
        <w:t>regarding</w:t>
      </w:r>
      <w:r w:rsidR="00B24FBE">
        <w:rPr>
          <w:snapToGrid/>
        </w:rPr>
        <w:t xml:space="preserve"> the </w:t>
      </w:r>
      <w:r w:rsidRPr="00874DBD">
        <w:rPr>
          <w:snapToGrid/>
        </w:rPr>
        <w:t xml:space="preserve">relevant provisions of the </w:t>
      </w:r>
      <w:r w:rsidRPr="00874DBD">
        <w:rPr>
          <w:i/>
          <w:snapToGrid/>
        </w:rPr>
        <w:t>FM Working Arrangement</w:t>
      </w:r>
      <w:r w:rsidR="00117DDF">
        <w:rPr>
          <w:snapToGrid/>
        </w:rPr>
        <w:t>.  These provisions state</w:t>
      </w:r>
      <w:r w:rsidR="00D043D1">
        <w:rPr>
          <w:snapToGrid/>
        </w:rPr>
        <w:t>:</w:t>
      </w:r>
      <w:r w:rsidRPr="00874DBD">
        <w:rPr>
          <w:snapToGrid/>
        </w:rPr>
        <w:br/>
      </w:r>
    </w:p>
    <w:p w:rsidR="00874DBD" w:rsidRPr="00874DBD" w:rsidRDefault="00874DBD" w:rsidP="00874DBD">
      <w:pPr>
        <w:widowControl/>
        <w:ind w:left="720"/>
        <w:rPr>
          <w:snapToGrid/>
          <w:kern w:val="0"/>
          <w:szCs w:val="22"/>
        </w:rPr>
      </w:pPr>
      <w:r w:rsidRPr="00874DBD">
        <w:rPr>
          <w:snapToGrid/>
          <w:kern w:val="0"/>
          <w:szCs w:val="22"/>
        </w:rPr>
        <w:t>4.3</w:t>
      </w:r>
      <w:r w:rsidRPr="00874DBD">
        <w:rPr>
          <w:snapToGrid/>
          <w:kern w:val="0"/>
          <w:szCs w:val="22"/>
        </w:rPr>
        <w:tab/>
        <w:t>LPFM stations</w:t>
      </w:r>
      <w:r w:rsidRPr="00874DBD">
        <w:rPr>
          <w:snapToGrid/>
          <w:kern w:val="0"/>
          <w:szCs w:val="22"/>
          <w:vertAlign w:val="superscript"/>
        </w:rPr>
        <w:footnoteReference w:id="5"/>
      </w:r>
      <w:r w:rsidRPr="00874DBD">
        <w:rPr>
          <w:snapToGrid/>
          <w:kern w:val="0"/>
          <w:szCs w:val="22"/>
        </w:rPr>
        <w:t xml:space="preserve"> may be allowed an effective radiated power not to exceed 250 watts in any direction and an interference contour (34 dBu) not to exceed 60 km subject to 4.1 and 4.2 above [relating to LPFM secondary status and available channels].</w:t>
      </w:r>
    </w:p>
    <w:p w:rsidR="00874DBD" w:rsidRPr="00874DBD" w:rsidRDefault="00874DBD" w:rsidP="00874DBD">
      <w:pPr>
        <w:widowControl/>
        <w:ind w:left="720"/>
        <w:rPr>
          <w:snapToGrid/>
          <w:kern w:val="0"/>
          <w:szCs w:val="22"/>
        </w:rPr>
      </w:pPr>
    </w:p>
    <w:p w:rsidR="00874DBD" w:rsidRPr="00874DBD" w:rsidRDefault="00874DBD" w:rsidP="00874DBD">
      <w:pPr>
        <w:widowControl/>
        <w:ind w:left="720"/>
        <w:rPr>
          <w:snapToGrid/>
          <w:kern w:val="0"/>
          <w:szCs w:val="22"/>
        </w:rPr>
      </w:pPr>
      <w:r w:rsidRPr="00874DBD">
        <w:rPr>
          <w:snapToGrid/>
          <w:kern w:val="0"/>
          <w:szCs w:val="22"/>
        </w:rPr>
        <w:t>4.4</w:t>
      </w:r>
      <w:r w:rsidRPr="00874DBD">
        <w:rPr>
          <w:snapToGrid/>
          <w:kern w:val="0"/>
          <w:szCs w:val="22"/>
        </w:rPr>
        <w:tab/>
      </w:r>
      <w:bookmarkStart w:id="3" w:name="comebackhere"/>
      <w:bookmarkEnd w:id="3"/>
      <w:r w:rsidRPr="00874DBD">
        <w:rPr>
          <w:snapToGrid/>
          <w:kern w:val="0"/>
          <w:szCs w:val="22"/>
        </w:rPr>
        <w:t>For coordination purposes, all proposals for such stations whose interference contour (34 dBu) would extend beyond the common border need to be referred for concurrence.</w:t>
      </w:r>
    </w:p>
    <w:p w:rsidR="00874DBD" w:rsidRPr="00874DBD" w:rsidRDefault="00874DBD" w:rsidP="00874DBD">
      <w:pPr>
        <w:widowControl/>
        <w:ind w:firstLine="720"/>
        <w:rPr>
          <w:snapToGrid/>
          <w:kern w:val="0"/>
          <w:szCs w:val="22"/>
        </w:rPr>
      </w:pPr>
    </w:p>
    <w:p w:rsidR="006368FC" w:rsidRDefault="00C17495" w:rsidP="005A7D4E">
      <w:pPr>
        <w:pStyle w:val="ParaNum"/>
        <w:rPr>
          <w:snapToGrid/>
        </w:rPr>
      </w:pPr>
      <w:r>
        <w:rPr>
          <w:snapToGrid/>
        </w:rPr>
        <w:t>I</w:t>
      </w:r>
      <w:r w:rsidR="00872F45">
        <w:rPr>
          <w:snapToGrid/>
        </w:rPr>
        <w:t xml:space="preserve">n the late 1990’s, </w:t>
      </w:r>
      <w:r w:rsidR="00E8409E">
        <w:rPr>
          <w:snapToGrid/>
        </w:rPr>
        <w:t xml:space="preserve">the Commission </w:t>
      </w:r>
      <w:r w:rsidR="00874DBD" w:rsidRPr="00874DBD">
        <w:rPr>
          <w:snapToGrid/>
        </w:rPr>
        <w:t>consulted with its Canadian counterpart, Industry Canada, in accordance with the agencies’ mandate to “exchange information and cooperate . . . for the purpose of minimizing interference and obtaining maximum efficiency in the use of FM broadcasting radio channels.”</w:t>
      </w:r>
      <w:r w:rsidR="00874DBD" w:rsidRPr="00874DBD">
        <w:rPr>
          <w:snapToGrid/>
          <w:vertAlign w:val="superscript"/>
        </w:rPr>
        <w:footnoteReference w:id="6"/>
      </w:r>
      <w:r w:rsidR="00874DBD" w:rsidRPr="00874DBD">
        <w:rPr>
          <w:snapToGrid/>
        </w:rPr>
        <w:t xml:space="preserve">  On the basis of that consultation</w:t>
      </w:r>
      <w:r w:rsidR="00872F45">
        <w:rPr>
          <w:snapToGrid/>
        </w:rPr>
        <w:t xml:space="preserve">, </w:t>
      </w:r>
      <w:r w:rsidR="00690713">
        <w:rPr>
          <w:snapToGrid/>
        </w:rPr>
        <w:t xml:space="preserve">officials from </w:t>
      </w:r>
      <w:r w:rsidR="00874DBD" w:rsidRPr="00874DBD">
        <w:rPr>
          <w:snapToGrid/>
        </w:rPr>
        <w:t xml:space="preserve">the Commission </w:t>
      </w:r>
      <w:r w:rsidR="00277A29">
        <w:rPr>
          <w:snapToGrid/>
        </w:rPr>
        <w:t>and Indus</w:t>
      </w:r>
      <w:r w:rsidR="00352230">
        <w:rPr>
          <w:snapToGrid/>
        </w:rPr>
        <w:t>t</w:t>
      </w:r>
      <w:r w:rsidR="00277A29">
        <w:rPr>
          <w:snapToGrid/>
        </w:rPr>
        <w:t xml:space="preserve">ry Canada </w:t>
      </w:r>
      <w:r w:rsidR="00874DBD" w:rsidRPr="00874DBD">
        <w:rPr>
          <w:snapToGrid/>
        </w:rPr>
        <w:t xml:space="preserve">determined that </w:t>
      </w:r>
      <w:r w:rsidR="00117DDF">
        <w:rPr>
          <w:snapToGrid/>
        </w:rPr>
        <w:t xml:space="preserve">the maximum </w:t>
      </w:r>
      <w:r w:rsidR="00862E1F">
        <w:rPr>
          <w:snapToGrid/>
        </w:rPr>
        <w:t xml:space="preserve">interference </w:t>
      </w:r>
      <w:r w:rsidR="00117DDF">
        <w:rPr>
          <w:snapToGrid/>
        </w:rPr>
        <w:t xml:space="preserve">contour distance set out in </w:t>
      </w:r>
      <w:r w:rsidR="00874DBD" w:rsidRPr="00874DBD">
        <w:rPr>
          <w:snapToGrid/>
        </w:rPr>
        <w:t xml:space="preserve">Section 4.3 of the </w:t>
      </w:r>
      <w:r w:rsidR="00874DBD" w:rsidRPr="00874DBD">
        <w:rPr>
          <w:i/>
          <w:snapToGrid/>
        </w:rPr>
        <w:t>FM Working Arrangement</w:t>
      </w:r>
      <w:r w:rsidR="00874DBD" w:rsidRPr="00874DBD">
        <w:rPr>
          <w:snapToGrid/>
        </w:rPr>
        <w:t>, which does not otherwise specify a geographic scope, applies only in situations where Section 4.4</w:t>
      </w:r>
      <w:r w:rsidR="00874DBD" w:rsidRPr="00874DBD">
        <w:rPr>
          <w:i/>
          <w:snapToGrid/>
        </w:rPr>
        <w:t xml:space="preserve"> </w:t>
      </w:r>
      <w:r w:rsidR="00874DBD" w:rsidRPr="00874DBD">
        <w:rPr>
          <w:snapToGrid/>
        </w:rPr>
        <w:t>is implicated:  i.e., to FM translators w</w:t>
      </w:r>
      <w:r w:rsidR="00872F45">
        <w:rPr>
          <w:snapToGrid/>
        </w:rPr>
        <w:t>hose 34 dBμ contours cross the common</w:t>
      </w:r>
      <w:r w:rsidR="00874DBD" w:rsidRPr="00874DBD">
        <w:rPr>
          <w:snapToGrid/>
        </w:rPr>
        <w:t xml:space="preserve"> border.</w:t>
      </w:r>
      <w:r w:rsidR="00552B84">
        <w:rPr>
          <w:rStyle w:val="FootnoteReference"/>
          <w:snapToGrid/>
          <w:kern w:val="0"/>
          <w:szCs w:val="22"/>
        </w:rPr>
        <w:footnoteReference w:id="7"/>
      </w:r>
      <w:r w:rsidR="00874DBD" w:rsidRPr="00874DBD">
        <w:rPr>
          <w:snapToGrid/>
        </w:rPr>
        <w:t xml:space="preserve">  </w:t>
      </w:r>
      <w:r w:rsidR="00033996">
        <w:rPr>
          <w:snapToGrid/>
        </w:rPr>
        <w:t>In</w:t>
      </w:r>
      <w:r w:rsidR="00872F45">
        <w:rPr>
          <w:snapToGrid/>
        </w:rPr>
        <w:t xml:space="preserve"> adhering to this longstanding interpretation of the relevant </w:t>
      </w:r>
      <w:r w:rsidR="00872F45">
        <w:rPr>
          <w:i/>
          <w:snapToGrid/>
        </w:rPr>
        <w:t xml:space="preserve">FM Working Arrangement </w:t>
      </w:r>
      <w:r w:rsidR="00872F45">
        <w:rPr>
          <w:snapToGrid/>
        </w:rPr>
        <w:t>provisions</w:t>
      </w:r>
      <w:r w:rsidR="006368FC" w:rsidRPr="00AE45D1">
        <w:rPr>
          <w:snapToGrid/>
        </w:rPr>
        <w:t xml:space="preserve">, </w:t>
      </w:r>
      <w:r w:rsidR="00277A29">
        <w:rPr>
          <w:snapToGrid/>
        </w:rPr>
        <w:t>which has not been contested by Canadian authorities,</w:t>
      </w:r>
      <w:r w:rsidR="00B201A1">
        <w:rPr>
          <w:rStyle w:val="FootnoteReference"/>
          <w:snapToGrid/>
        </w:rPr>
        <w:footnoteReference w:id="8"/>
      </w:r>
      <w:r w:rsidR="00277A29">
        <w:rPr>
          <w:snapToGrid/>
        </w:rPr>
        <w:t xml:space="preserve"> </w:t>
      </w:r>
      <w:r w:rsidR="006368FC" w:rsidRPr="00AE45D1">
        <w:rPr>
          <w:snapToGrid/>
        </w:rPr>
        <w:t xml:space="preserve">the Bureau </w:t>
      </w:r>
      <w:r w:rsidR="00872F45">
        <w:rPr>
          <w:snapToGrid/>
        </w:rPr>
        <w:t>did not waive, but rather complied with,</w:t>
      </w:r>
      <w:r w:rsidR="00033996">
        <w:rPr>
          <w:snapToGrid/>
        </w:rPr>
        <w:t xml:space="preserve"> our </w:t>
      </w:r>
      <w:r w:rsidR="006368FC" w:rsidRPr="00AE45D1">
        <w:rPr>
          <w:snapToGrid/>
        </w:rPr>
        <w:t>treaty obligations.</w:t>
      </w:r>
      <w:r w:rsidR="006368FC">
        <w:rPr>
          <w:rStyle w:val="FootnoteReference"/>
          <w:snapToGrid/>
          <w:kern w:val="0"/>
        </w:rPr>
        <w:footnoteReference w:id="9"/>
      </w:r>
      <w:r w:rsidR="006368FC" w:rsidRPr="00AE45D1">
        <w:rPr>
          <w:snapToGrid/>
        </w:rPr>
        <w:t xml:space="preserve"> </w:t>
      </w:r>
      <w:r w:rsidR="006368FC">
        <w:rPr>
          <w:snapToGrid/>
        </w:rPr>
        <w:t xml:space="preserve"> </w:t>
      </w:r>
    </w:p>
    <w:p w:rsidR="00DD50B9" w:rsidRDefault="00DD50B9" w:rsidP="005A7D4E">
      <w:pPr>
        <w:pStyle w:val="ParaNum"/>
        <w:rPr>
          <w:snapToGrid/>
        </w:rPr>
      </w:pPr>
      <w:r w:rsidRPr="00A4030F">
        <w:rPr>
          <w:snapToGrid/>
        </w:rPr>
        <w:t xml:space="preserve">Upon review of the Application for Review and the entire record, we conclude </w:t>
      </w:r>
      <w:r w:rsidR="002639CC">
        <w:rPr>
          <w:snapToGrid/>
        </w:rPr>
        <w:t xml:space="preserve">that </w:t>
      </w:r>
      <w:r w:rsidR="00A84347">
        <w:rPr>
          <w:snapToGrid/>
        </w:rPr>
        <w:t>Backyard</w:t>
      </w:r>
      <w:r w:rsidR="000130E8" w:rsidRPr="00A4030F">
        <w:rPr>
          <w:snapToGrid/>
        </w:rPr>
        <w:t xml:space="preserve"> </w:t>
      </w:r>
      <w:r w:rsidRPr="00A4030F">
        <w:rPr>
          <w:snapToGrid/>
        </w:rPr>
        <w:t xml:space="preserve">has not demonstrated that the Bureau erred.  The Bureau, in the </w:t>
      </w:r>
      <w:r w:rsidRPr="00A4030F">
        <w:rPr>
          <w:i/>
          <w:snapToGrid/>
        </w:rPr>
        <w:t>Reconsideration Decision</w:t>
      </w:r>
      <w:r w:rsidRPr="00A4030F">
        <w:rPr>
          <w:snapToGrid/>
        </w:rPr>
        <w:t>, properly decide</w:t>
      </w:r>
      <w:r w:rsidRPr="00DD50B9">
        <w:rPr>
          <w:snapToGrid/>
        </w:rPr>
        <w:t>d the matters raised, and we uphold its decision for the reasons stated therein.</w:t>
      </w:r>
    </w:p>
    <w:p w:rsidR="00432E34" w:rsidRDefault="00432E34">
      <w:pPr>
        <w:widowControl/>
        <w:rPr>
          <w:snapToGrid/>
        </w:rPr>
      </w:pPr>
      <w:r>
        <w:rPr>
          <w:snapToGrid/>
        </w:rPr>
        <w:br w:type="page"/>
      </w:r>
    </w:p>
    <w:p w:rsidR="0076773D" w:rsidRPr="009D21C5" w:rsidRDefault="0040710F" w:rsidP="009D21C5">
      <w:pPr>
        <w:pStyle w:val="ParaNum"/>
        <w:rPr>
          <w:snapToGrid/>
        </w:rPr>
      </w:pPr>
      <w:r w:rsidRPr="0040710F">
        <w:rPr>
          <w:snapToGrid/>
        </w:rPr>
        <w:lastRenderedPageBreak/>
        <w:t>ACCORDINGLY, IT IS ORDERED that, pursuant to Section 5(c)(5) of the Communications Act of 1934, as amended,</w:t>
      </w:r>
      <w:r w:rsidRPr="0040710F">
        <w:rPr>
          <w:snapToGrid/>
          <w:vertAlign w:val="superscript"/>
        </w:rPr>
        <w:footnoteReference w:id="10"/>
      </w:r>
      <w:r w:rsidRPr="0040710F">
        <w:rPr>
          <w:snapToGrid/>
        </w:rPr>
        <w:t xml:space="preserve"> and Section 1.115(g) of the Commission’s rules,</w:t>
      </w:r>
      <w:r w:rsidRPr="0040710F">
        <w:rPr>
          <w:snapToGrid/>
          <w:vertAlign w:val="superscript"/>
        </w:rPr>
        <w:footnoteReference w:id="11"/>
      </w:r>
      <w:r w:rsidRPr="0040710F">
        <w:rPr>
          <w:snapToGrid/>
        </w:rPr>
        <w:t xml:space="preserve"> the Application for Review IS DENIED.  </w:t>
      </w:r>
      <w:r w:rsidR="00444ED7">
        <w:rPr>
          <w:snapToGrid/>
        </w:rPr>
        <w:t xml:space="preserve">IT IS FURTHER ORDERED that the Petition for Reconsideration and Request for Rescission IS DISMISSED. </w:t>
      </w:r>
    </w:p>
    <w:p w:rsidR="003F5FBD" w:rsidRDefault="003F5FBD" w:rsidP="0017296B">
      <w:r>
        <w:tab/>
      </w:r>
      <w:r>
        <w:tab/>
      </w:r>
      <w:r>
        <w:tab/>
      </w:r>
      <w:r>
        <w:tab/>
      </w:r>
      <w:r>
        <w:tab/>
      </w:r>
      <w:r>
        <w:tab/>
        <w:t>FEDERAL COMMUNICATIONS COMMISSION</w:t>
      </w:r>
    </w:p>
    <w:p w:rsidR="003F5FBD" w:rsidRDefault="003F5FBD" w:rsidP="0017296B"/>
    <w:p w:rsidR="003F5FBD" w:rsidRDefault="003F5FBD" w:rsidP="0017296B"/>
    <w:p w:rsidR="003F5FBD" w:rsidRDefault="003F5FBD" w:rsidP="0017296B"/>
    <w:p w:rsidR="003F5FBD" w:rsidRDefault="003F5FBD" w:rsidP="0017296B"/>
    <w:p w:rsidR="003F5FBD" w:rsidRDefault="003F5FBD" w:rsidP="0017296B">
      <w:r>
        <w:tab/>
      </w:r>
      <w:r>
        <w:tab/>
      </w:r>
      <w:r>
        <w:tab/>
      </w:r>
      <w:r>
        <w:tab/>
      </w:r>
      <w:r>
        <w:tab/>
      </w:r>
      <w:r>
        <w:tab/>
        <w:t>Marlene H. Dortch</w:t>
      </w:r>
    </w:p>
    <w:p w:rsidR="003F5FBD" w:rsidRDefault="003F5FBD" w:rsidP="003F5FBD">
      <w:r>
        <w:tab/>
      </w:r>
      <w:r>
        <w:tab/>
      </w:r>
      <w:r>
        <w:tab/>
      </w:r>
      <w:r>
        <w:tab/>
      </w:r>
      <w:r>
        <w:tab/>
      </w:r>
      <w:r>
        <w:tab/>
        <w:t>Secretary</w:t>
      </w:r>
    </w:p>
    <w:p w:rsidR="00606719" w:rsidRDefault="00606719">
      <w:pPr>
        <w:widowControl/>
      </w:pPr>
    </w:p>
    <w:p w:rsidR="00606719" w:rsidRDefault="00606719">
      <w:pPr>
        <w:widowControl/>
        <w:sectPr w:rsidR="0060671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606719" w:rsidRPr="00606719" w:rsidRDefault="00606719" w:rsidP="00606719">
      <w:pPr>
        <w:widowControl/>
        <w:spacing w:after="240"/>
        <w:jc w:val="center"/>
        <w:rPr>
          <w:rFonts w:eastAsiaTheme="minorHAnsi"/>
          <w:b/>
          <w:snapToGrid/>
          <w:kern w:val="0"/>
          <w:szCs w:val="22"/>
        </w:rPr>
      </w:pPr>
      <w:r w:rsidRPr="00606719">
        <w:rPr>
          <w:rFonts w:eastAsiaTheme="minorHAnsi"/>
          <w:b/>
          <w:snapToGrid/>
          <w:kern w:val="0"/>
          <w:szCs w:val="22"/>
        </w:rPr>
        <w:t>CONCURRING STATEMENT</w:t>
      </w:r>
      <w:r w:rsidRPr="00606719">
        <w:rPr>
          <w:rFonts w:eastAsiaTheme="minorHAnsi"/>
          <w:b/>
          <w:snapToGrid/>
          <w:kern w:val="0"/>
          <w:szCs w:val="22"/>
        </w:rPr>
        <w:br/>
        <w:t>OF COMMISSIONER AJIT PAI</w:t>
      </w:r>
    </w:p>
    <w:p w:rsidR="00606719" w:rsidRPr="00606719" w:rsidRDefault="00606719" w:rsidP="00606719">
      <w:pPr>
        <w:widowControl/>
        <w:spacing w:after="240"/>
        <w:ind w:left="720" w:hanging="720"/>
        <w:rPr>
          <w:rFonts w:eastAsiaTheme="minorHAnsi"/>
          <w:snapToGrid/>
          <w:kern w:val="0"/>
          <w:szCs w:val="22"/>
        </w:rPr>
      </w:pPr>
      <w:r w:rsidRPr="00606719">
        <w:rPr>
          <w:rFonts w:eastAsiaTheme="minorHAnsi"/>
          <w:snapToGrid/>
          <w:kern w:val="0"/>
          <w:szCs w:val="22"/>
        </w:rPr>
        <w:t>Re:</w:t>
      </w:r>
      <w:r w:rsidRPr="00606719">
        <w:rPr>
          <w:rFonts w:eastAsiaTheme="minorHAnsi"/>
          <w:snapToGrid/>
          <w:kern w:val="0"/>
          <w:szCs w:val="22"/>
        </w:rPr>
        <w:tab/>
      </w:r>
      <w:r w:rsidRPr="00606719">
        <w:rPr>
          <w:rFonts w:eastAsiaTheme="minorHAnsi"/>
          <w:i/>
          <w:snapToGrid/>
          <w:kern w:val="0"/>
          <w:szCs w:val="22"/>
        </w:rPr>
        <w:t>Colonial Radio Group, Inc., Applications for Minor Modification of Construction Permits</w:t>
      </w:r>
      <w:r w:rsidRPr="00606719">
        <w:rPr>
          <w:rFonts w:eastAsiaTheme="minorHAnsi"/>
          <w:snapToGrid/>
          <w:kern w:val="0"/>
          <w:szCs w:val="22"/>
        </w:rPr>
        <w:t xml:space="preserve">; </w:t>
      </w:r>
      <w:r w:rsidRPr="00606719">
        <w:rPr>
          <w:rFonts w:eastAsiaTheme="minorHAnsi"/>
          <w:i/>
          <w:snapToGrid/>
          <w:kern w:val="0"/>
          <w:szCs w:val="22"/>
        </w:rPr>
        <w:t>Application for License to Cover FM Translator Station, W230BO, Olean, New York</w:t>
      </w:r>
      <w:r w:rsidRPr="00606719">
        <w:rPr>
          <w:rFonts w:eastAsiaTheme="minorHAnsi"/>
          <w:snapToGrid/>
          <w:kern w:val="0"/>
          <w:szCs w:val="22"/>
        </w:rPr>
        <w:t>, FCC No. 14-120.</w:t>
      </w:r>
    </w:p>
    <w:p w:rsidR="00606719" w:rsidRPr="00606719" w:rsidRDefault="00606719" w:rsidP="00606719">
      <w:pPr>
        <w:widowControl/>
        <w:spacing w:after="120"/>
        <w:ind w:firstLine="720"/>
        <w:rPr>
          <w:rFonts w:eastAsiaTheme="minorHAnsi"/>
          <w:snapToGrid/>
          <w:kern w:val="0"/>
          <w:szCs w:val="22"/>
        </w:rPr>
      </w:pPr>
      <w:r w:rsidRPr="00606719">
        <w:rPr>
          <w:rFonts w:eastAsiaTheme="minorHAnsi"/>
          <w:snapToGrid/>
          <w:kern w:val="0"/>
          <w:szCs w:val="22"/>
        </w:rPr>
        <w:t>When it comes to international diplomacy, matters are often not as simple as they seem.  It is difficult to square today’s Commission decision with the text of a bilateral agreement between the United States and Canada.  But “[b]ecause a treaty is ‘an agreement among sovereign powers,’” we must also consider “as ‘aids to its interpretation’ the . . . ‘postratification understanding’ of signatory nations.’”</w:t>
      </w:r>
      <w:r w:rsidRPr="00606719">
        <w:rPr>
          <w:rFonts w:eastAsiaTheme="minorHAnsi"/>
          <w:snapToGrid/>
          <w:kern w:val="0"/>
          <w:szCs w:val="22"/>
          <w:vertAlign w:val="superscript"/>
        </w:rPr>
        <w:footnoteReference w:id="12"/>
      </w:r>
    </w:p>
    <w:p w:rsidR="00606719" w:rsidRPr="00606719" w:rsidRDefault="00606719" w:rsidP="00606719">
      <w:pPr>
        <w:widowControl/>
        <w:spacing w:after="120"/>
        <w:ind w:firstLine="720"/>
        <w:rPr>
          <w:rFonts w:eastAsiaTheme="minorHAnsi"/>
          <w:snapToGrid/>
          <w:kern w:val="0"/>
          <w:szCs w:val="22"/>
        </w:rPr>
      </w:pPr>
      <w:r w:rsidRPr="00606719">
        <w:rPr>
          <w:rFonts w:eastAsiaTheme="minorHAnsi"/>
          <w:snapToGrid/>
          <w:kern w:val="0"/>
          <w:szCs w:val="22"/>
        </w:rPr>
        <w:t xml:space="preserve">To review the relevant particulars, the </w:t>
      </w:r>
      <w:r w:rsidRPr="00606719">
        <w:rPr>
          <w:rFonts w:eastAsiaTheme="minorHAnsi"/>
          <w:i/>
          <w:snapToGrid/>
          <w:kern w:val="0"/>
          <w:szCs w:val="22"/>
        </w:rPr>
        <w:t>FM Working Arrangement</w:t>
      </w:r>
      <w:r w:rsidRPr="00606719">
        <w:rPr>
          <w:rFonts w:eastAsiaTheme="minorHAnsi"/>
          <w:snapToGrid/>
          <w:kern w:val="0"/>
          <w:szCs w:val="22"/>
        </w:rPr>
        <w:t xml:space="preserve"> is a bilateral agreement that applies to the allotment and assignment of FM broadcasting channels within 320 kilometers of the U.S.-Canada border.</w:t>
      </w:r>
      <w:r w:rsidRPr="00606719">
        <w:rPr>
          <w:rFonts w:eastAsiaTheme="minorHAnsi"/>
          <w:snapToGrid/>
          <w:kern w:val="0"/>
          <w:szCs w:val="22"/>
          <w:vertAlign w:val="superscript"/>
        </w:rPr>
        <w:footnoteReference w:id="13"/>
      </w:r>
      <w:r w:rsidRPr="00606719">
        <w:rPr>
          <w:rFonts w:eastAsiaTheme="minorHAnsi"/>
          <w:snapToGrid/>
          <w:kern w:val="0"/>
          <w:szCs w:val="22"/>
        </w:rPr>
        <w:t xml:space="preserve">  Section 4.3 of that treaty specifically provides that the 34 dB</w:t>
      </w:r>
      <w:r w:rsidRPr="00606719">
        <w:rPr>
          <w:rFonts w:eastAsiaTheme="minorHAnsi" w:cstheme="minorBidi"/>
          <w:snapToGrid/>
          <w:kern w:val="0"/>
          <w:szCs w:val="22"/>
        </w:rPr>
        <w:t>μ</w:t>
      </w:r>
      <w:r w:rsidRPr="00606719">
        <w:rPr>
          <w:rFonts w:eastAsiaTheme="minorHAnsi"/>
          <w:snapToGrid/>
          <w:kern w:val="0"/>
          <w:szCs w:val="22"/>
        </w:rPr>
        <w:t xml:space="preserve"> interfering contour of an LPFM station, including an FM translator, may not exceed 60 kilometers.</w:t>
      </w:r>
      <w:r w:rsidRPr="00606719">
        <w:rPr>
          <w:rFonts w:eastAsiaTheme="minorHAnsi"/>
          <w:snapToGrid/>
          <w:kern w:val="0"/>
          <w:szCs w:val="22"/>
          <w:vertAlign w:val="superscript"/>
        </w:rPr>
        <w:footnoteReference w:id="14"/>
      </w:r>
    </w:p>
    <w:p w:rsidR="00606719" w:rsidRPr="00606719" w:rsidRDefault="00606719" w:rsidP="00606719">
      <w:pPr>
        <w:widowControl/>
        <w:spacing w:after="120"/>
        <w:ind w:firstLine="720"/>
        <w:rPr>
          <w:rFonts w:eastAsiaTheme="minorHAnsi"/>
          <w:snapToGrid/>
          <w:kern w:val="0"/>
          <w:szCs w:val="22"/>
        </w:rPr>
      </w:pPr>
      <w:r w:rsidRPr="00606719">
        <w:rPr>
          <w:rFonts w:eastAsiaTheme="minorHAnsi"/>
          <w:snapToGrid/>
          <w:kern w:val="0"/>
          <w:szCs w:val="22"/>
        </w:rPr>
        <w:t>Thus, because there is no question that this dispute involves (1) an FM translator that (2) is located within 320 kilometers of the U.S.-Canada border and (3) has a 34dB</w:t>
      </w:r>
      <w:r w:rsidRPr="00606719">
        <w:rPr>
          <w:rFonts w:eastAsiaTheme="minorHAnsi" w:cstheme="minorBidi"/>
          <w:snapToGrid/>
          <w:kern w:val="0"/>
          <w:szCs w:val="22"/>
        </w:rPr>
        <w:t>μ</w:t>
      </w:r>
      <w:r w:rsidRPr="00606719">
        <w:rPr>
          <w:rFonts w:eastAsiaTheme="minorHAnsi"/>
          <w:snapToGrid/>
          <w:kern w:val="0"/>
          <w:szCs w:val="22"/>
        </w:rPr>
        <w:t xml:space="preserve"> interfering contour that extends more than 60 kilometers, it seems clear that our decision approving the FM translator minor-modification application at issue here runs afoul of Section 4.3 of the </w:t>
      </w:r>
      <w:r w:rsidRPr="00606719">
        <w:rPr>
          <w:rFonts w:eastAsiaTheme="minorHAnsi"/>
          <w:i/>
          <w:snapToGrid/>
          <w:kern w:val="0"/>
          <w:szCs w:val="22"/>
        </w:rPr>
        <w:t>FM Working Arrangement</w:t>
      </w:r>
      <w:r w:rsidRPr="00606719">
        <w:rPr>
          <w:rFonts w:eastAsiaTheme="minorHAnsi"/>
          <w:snapToGrid/>
          <w:kern w:val="0"/>
          <w:szCs w:val="22"/>
        </w:rPr>
        <w:t>.</w:t>
      </w:r>
    </w:p>
    <w:p w:rsidR="00606719" w:rsidRPr="00606719" w:rsidRDefault="00606719" w:rsidP="00606719">
      <w:pPr>
        <w:widowControl/>
        <w:spacing w:after="120"/>
        <w:ind w:firstLine="720"/>
        <w:rPr>
          <w:rFonts w:eastAsiaTheme="minorHAnsi"/>
          <w:snapToGrid/>
          <w:kern w:val="0"/>
          <w:szCs w:val="22"/>
        </w:rPr>
      </w:pPr>
      <w:r w:rsidRPr="00606719">
        <w:rPr>
          <w:rFonts w:eastAsiaTheme="minorHAnsi"/>
          <w:snapToGrid/>
          <w:kern w:val="0"/>
          <w:szCs w:val="22"/>
        </w:rPr>
        <w:t xml:space="preserve">However, the Commission relies upon an informal understanding among officials from the FCC and Industry Canada that section 4.3 of the </w:t>
      </w:r>
      <w:r w:rsidRPr="00606719">
        <w:rPr>
          <w:rFonts w:eastAsiaTheme="minorHAnsi"/>
          <w:i/>
          <w:snapToGrid/>
          <w:kern w:val="0"/>
          <w:szCs w:val="22"/>
        </w:rPr>
        <w:t>FM Working Arrangement</w:t>
      </w:r>
      <w:r w:rsidRPr="00606719">
        <w:rPr>
          <w:rFonts w:eastAsiaTheme="minorHAnsi"/>
          <w:snapToGrid/>
          <w:kern w:val="0"/>
          <w:szCs w:val="22"/>
        </w:rPr>
        <w:t xml:space="preserve"> will apply </w:t>
      </w:r>
      <w:r w:rsidRPr="00606719">
        <w:rPr>
          <w:rFonts w:eastAsiaTheme="minorHAnsi"/>
          <w:i/>
          <w:snapToGrid/>
          <w:kern w:val="0"/>
          <w:szCs w:val="22"/>
        </w:rPr>
        <w:t>only</w:t>
      </w:r>
      <w:r w:rsidRPr="00606719">
        <w:rPr>
          <w:rFonts w:eastAsiaTheme="minorHAnsi"/>
          <w:snapToGrid/>
          <w:kern w:val="0"/>
          <w:szCs w:val="22"/>
        </w:rPr>
        <w:t xml:space="preserve"> where a translator’s 34 dB</w:t>
      </w:r>
      <w:r w:rsidRPr="00606719">
        <w:rPr>
          <w:rFonts w:eastAsiaTheme="minorHAnsi" w:cstheme="minorBidi"/>
          <w:snapToGrid/>
          <w:kern w:val="0"/>
          <w:szCs w:val="22"/>
        </w:rPr>
        <w:t>μ</w:t>
      </w:r>
      <w:r w:rsidRPr="00606719">
        <w:rPr>
          <w:rFonts w:eastAsiaTheme="minorHAnsi"/>
          <w:snapToGrid/>
          <w:kern w:val="0"/>
          <w:szCs w:val="22"/>
        </w:rPr>
        <w:t xml:space="preserve"> contour crosses the border.  At my request, the Bureau produced evidence of this understanding dating back to 1999.  The FCC has acted pursuant to this interpretation in the years since without any objection from our neighbors to the north.</w:t>
      </w:r>
    </w:p>
    <w:p w:rsidR="00606719" w:rsidRPr="00606719" w:rsidRDefault="00606719" w:rsidP="00606719">
      <w:pPr>
        <w:widowControl/>
        <w:spacing w:after="120"/>
        <w:ind w:firstLine="720"/>
        <w:rPr>
          <w:rFonts w:eastAsiaTheme="minorHAnsi"/>
          <w:snapToGrid/>
          <w:kern w:val="0"/>
          <w:szCs w:val="22"/>
        </w:rPr>
      </w:pPr>
      <w:r w:rsidRPr="00606719">
        <w:rPr>
          <w:rFonts w:eastAsiaTheme="minorHAnsi"/>
          <w:snapToGrid/>
          <w:kern w:val="0"/>
          <w:szCs w:val="22"/>
        </w:rPr>
        <w:t xml:space="preserve">It is therefore my view that both countries have acquiesced to this interpretation of the </w:t>
      </w:r>
      <w:r w:rsidRPr="00606719">
        <w:rPr>
          <w:rFonts w:eastAsiaTheme="minorHAnsi"/>
          <w:i/>
          <w:snapToGrid/>
          <w:kern w:val="0"/>
          <w:szCs w:val="22"/>
        </w:rPr>
        <w:t>FM Working Arrangement</w:t>
      </w:r>
      <w:r w:rsidRPr="00606719">
        <w:rPr>
          <w:rFonts w:eastAsiaTheme="minorHAnsi"/>
          <w:snapToGrid/>
          <w:kern w:val="0"/>
          <w:szCs w:val="22"/>
        </w:rPr>
        <w:t>, and that it wouldn’t make sense for the Commission to reverse course now.  As a result, since the 34 dB</w:t>
      </w:r>
      <w:r w:rsidRPr="00606719">
        <w:rPr>
          <w:rFonts w:eastAsiaTheme="minorHAnsi" w:cstheme="minorBidi"/>
          <w:snapToGrid/>
          <w:kern w:val="0"/>
          <w:szCs w:val="22"/>
        </w:rPr>
        <w:t>μ</w:t>
      </w:r>
      <w:r w:rsidRPr="00606719">
        <w:rPr>
          <w:rFonts w:eastAsiaTheme="minorHAnsi"/>
          <w:snapToGrid/>
          <w:kern w:val="0"/>
          <w:szCs w:val="22"/>
        </w:rPr>
        <w:t xml:space="preserve"> interfering contour of this FM translator does not cross the border into Canada, I concur.</w:t>
      </w:r>
    </w:p>
    <w:p w:rsidR="00606719" w:rsidRPr="003F5FBD" w:rsidRDefault="00606719" w:rsidP="003F5FBD"/>
    <w:sectPr w:rsidR="00606719" w:rsidRPr="003F5FBD" w:rsidSect="00F5253B">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44" w:rsidRDefault="00D07C44">
      <w:pPr>
        <w:spacing w:line="20" w:lineRule="exact"/>
      </w:pPr>
    </w:p>
  </w:endnote>
  <w:endnote w:type="continuationSeparator" w:id="0">
    <w:p w:rsidR="00D07C44" w:rsidRDefault="00D07C44">
      <w:r>
        <w:t xml:space="preserve"> </w:t>
      </w:r>
    </w:p>
  </w:endnote>
  <w:endnote w:type="continuationNotice" w:id="1">
    <w:p w:rsidR="00D07C44" w:rsidRDefault="00D07C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4" w:rsidRDefault="00D07C44" w:rsidP="0055614C">
    <w:pPr>
      <w:pStyle w:val="Footer"/>
      <w:framePr w:wrap="around" w:vAnchor="text" w:hAnchor="margin" w:xAlign="center" w:y="1"/>
    </w:pPr>
    <w:r>
      <w:fldChar w:fldCharType="begin"/>
    </w:r>
    <w:r>
      <w:instrText xml:space="preserve">PAGE  </w:instrText>
    </w:r>
    <w:r>
      <w:fldChar w:fldCharType="end"/>
    </w:r>
  </w:p>
  <w:p w:rsidR="00D07C44" w:rsidRDefault="00D07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4" w:rsidRDefault="00D07C44" w:rsidP="0055614C">
    <w:pPr>
      <w:pStyle w:val="Footer"/>
      <w:framePr w:wrap="around" w:vAnchor="text" w:hAnchor="margin" w:xAlign="center" w:y="1"/>
    </w:pPr>
    <w:r>
      <w:fldChar w:fldCharType="begin"/>
    </w:r>
    <w:r>
      <w:instrText xml:space="preserve">PAGE  </w:instrText>
    </w:r>
    <w:r>
      <w:fldChar w:fldCharType="separate"/>
    </w:r>
    <w:r w:rsidR="008818A6">
      <w:rPr>
        <w:noProof/>
      </w:rPr>
      <w:t>2</w:t>
    </w:r>
    <w:r>
      <w:fldChar w:fldCharType="end"/>
    </w:r>
  </w:p>
  <w:p w:rsidR="00D07C44" w:rsidRDefault="00D07C4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4" w:rsidRDefault="00D07C44" w:rsidP="004B37A1">
    <w:pPr>
      <w:pStyle w:val="Footer"/>
      <w:tabs>
        <w:tab w:val="clear" w:pos="4320"/>
        <w:tab w:val="clear" w:pos="8640"/>
        <w:tab w:val="left" w:pos="178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56740"/>
      <w:docPartObj>
        <w:docPartGallery w:val="Page Numbers (Bottom of Page)"/>
        <w:docPartUnique/>
      </w:docPartObj>
    </w:sdtPr>
    <w:sdtEndPr>
      <w:rPr>
        <w:noProof/>
      </w:rPr>
    </w:sdtEndPr>
    <w:sdtContent>
      <w:p w:rsidR="00F5253B" w:rsidRDefault="00F5253B">
        <w:pPr>
          <w:pStyle w:val="Footer"/>
          <w:jc w:val="center"/>
        </w:pPr>
        <w:r>
          <w:fldChar w:fldCharType="begin"/>
        </w:r>
        <w:r>
          <w:instrText xml:space="preserve"> PAGE   \* MERGEFORMAT </w:instrText>
        </w:r>
        <w:r>
          <w:fldChar w:fldCharType="separate"/>
        </w:r>
        <w:r w:rsidR="00A22C9F">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44" w:rsidRDefault="00D07C44">
      <w:r>
        <w:separator/>
      </w:r>
    </w:p>
  </w:footnote>
  <w:footnote w:type="continuationSeparator" w:id="0">
    <w:p w:rsidR="00D07C44" w:rsidRDefault="00D07C44" w:rsidP="00C721AC">
      <w:pPr>
        <w:spacing w:before="120"/>
        <w:rPr>
          <w:sz w:val="20"/>
        </w:rPr>
      </w:pPr>
      <w:r>
        <w:rPr>
          <w:sz w:val="20"/>
        </w:rPr>
        <w:t xml:space="preserve">(Continued from previous page)  </w:t>
      </w:r>
      <w:r>
        <w:rPr>
          <w:sz w:val="20"/>
        </w:rPr>
        <w:separator/>
      </w:r>
    </w:p>
  </w:footnote>
  <w:footnote w:type="continuationNotice" w:id="1">
    <w:p w:rsidR="00D07C44" w:rsidRDefault="00D07C44" w:rsidP="00C721AC">
      <w:pPr>
        <w:jc w:val="right"/>
        <w:rPr>
          <w:sz w:val="20"/>
        </w:rPr>
      </w:pPr>
      <w:r>
        <w:rPr>
          <w:sz w:val="20"/>
        </w:rPr>
        <w:t>(continued….)</w:t>
      </w:r>
    </w:p>
  </w:footnote>
  <w:footnote w:id="2">
    <w:p w:rsidR="00D07C44" w:rsidRDefault="00D07C44">
      <w:pPr>
        <w:pStyle w:val="FootnoteText"/>
      </w:pPr>
      <w:r>
        <w:rPr>
          <w:rStyle w:val="FootnoteReference"/>
        </w:rPr>
        <w:footnoteRef/>
      </w:r>
      <w:r>
        <w:t xml:space="preserve"> Because we deny the Application for Review, Backyard’s pending “Petition for Reconsideration and Request for Rescission” of the grant of the application for a license to cover permit application File No. </w:t>
      </w:r>
      <w:r w:rsidRPr="00D901BD">
        <w:t>BPFT-20091102AAK</w:t>
      </w:r>
      <w:r>
        <w:t xml:space="preserve"> (File No. BLFT-20100127AGQ), filed February 22, 2010, will be dismissed as moot.  The sole ground for reconsideration was the pendency</w:t>
      </w:r>
      <w:r w:rsidR="008A575D">
        <w:t xml:space="preserve"> of the Application for Review.</w:t>
      </w:r>
    </w:p>
  </w:footnote>
  <w:footnote w:id="3">
    <w:p w:rsidR="00D07C44" w:rsidRPr="00BB78FC" w:rsidRDefault="00D07C44" w:rsidP="00D901BD">
      <w:pPr>
        <w:pStyle w:val="FootnoteText"/>
        <w:rPr>
          <w:i/>
        </w:rPr>
      </w:pPr>
      <w:r>
        <w:rPr>
          <w:rStyle w:val="FootnoteReference"/>
        </w:rPr>
        <w:footnoteRef/>
      </w:r>
      <w:r>
        <w:t xml:space="preserve"> </w:t>
      </w:r>
      <w:r>
        <w:rPr>
          <w:i/>
        </w:rPr>
        <w:t>Colonial Radio Group Inc.</w:t>
      </w:r>
      <w:r>
        <w:t>, Letter, Ref. No. 1800B3-RG</w:t>
      </w:r>
      <w:r w:rsidRPr="00BB78FC">
        <w:t xml:space="preserve"> </w:t>
      </w:r>
      <w:r>
        <w:t xml:space="preserve">(MB 2010) </w:t>
      </w:r>
      <w:r w:rsidRPr="00BB78FC">
        <w:t>(“</w:t>
      </w:r>
      <w:r w:rsidRPr="00BB78FC">
        <w:rPr>
          <w:i/>
        </w:rPr>
        <w:t>Reconsideration Decision</w:t>
      </w:r>
      <w:r w:rsidRPr="00BB78FC">
        <w:t>”)</w:t>
      </w:r>
      <w:r>
        <w:t>.</w:t>
      </w:r>
    </w:p>
  </w:footnote>
  <w:footnote w:id="4">
    <w:p w:rsidR="00D07C44" w:rsidRDefault="00D07C44" w:rsidP="008B6E2B">
      <w:pPr>
        <w:pStyle w:val="FootnoteText"/>
      </w:pPr>
      <w:r>
        <w:rPr>
          <w:rStyle w:val="FootnoteReference"/>
        </w:rPr>
        <w:footnoteRef/>
      </w:r>
      <w:r>
        <w:t xml:space="preserve"> </w:t>
      </w:r>
      <w:r w:rsidRPr="00195236">
        <w:rPr>
          <w:i/>
        </w:rPr>
        <w:t xml:space="preserve">Working Arrangement for the Allotment and Assignment of FM Broadcasting Channels under the Agreement between the Government of Canada and the Government of the United States of America Relating to the FM Broadcasting Service, </w:t>
      </w:r>
      <w:r w:rsidRPr="00C57022">
        <w:t>available at</w:t>
      </w:r>
      <w:r w:rsidRPr="00195236">
        <w:rPr>
          <w:i/>
        </w:rPr>
        <w:t xml:space="preserve"> </w:t>
      </w:r>
      <w:r w:rsidRPr="00195236">
        <w:t>http://transition.fcc.gov/ib/sand/agree/can_broad_agree.html</w:t>
      </w:r>
      <w:r w:rsidRPr="00195236">
        <w:rPr>
          <w:i/>
        </w:rPr>
        <w:t xml:space="preserve"> </w:t>
      </w:r>
      <w:r w:rsidRPr="00195236">
        <w:t>(executed in 1991, amended in 1997)</w:t>
      </w:r>
      <w:r>
        <w:t xml:space="preserve"> (“</w:t>
      </w:r>
      <w:r w:rsidRPr="00CA5CA0">
        <w:rPr>
          <w:i/>
        </w:rPr>
        <w:t>FM Working Arrangement</w:t>
      </w:r>
      <w:r>
        <w:t>”)</w:t>
      </w:r>
      <w:r w:rsidRPr="00195236">
        <w:rPr>
          <w:i/>
        </w:rPr>
        <w:t>.</w:t>
      </w:r>
    </w:p>
  </w:footnote>
  <w:footnote w:id="5">
    <w:p w:rsidR="00D07C44" w:rsidRPr="00FA450E" w:rsidRDefault="00D07C44" w:rsidP="00874DBD">
      <w:pPr>
        <w:pStyle w:val="FootnoteText"/>
      </w:pPr>
      <w:r>
        <w:rPr>
          <w:rStyle w:val="FootnoteReference"/>
        </w:rPr>
        <w:footnoteRef/>
      </w:r>
      <w:r>
        <w:t xml:space="preserve"> FM translators fall within the </w:t>
      </w:r>
      <w:r>
        <w:rPr>
          <w:i/>
        </w:rPr>
        <w:t>FM Working Arrangement</w:t>
      </w:r>
      <w:r>
        <w:t xml:space="preserve">’s definition of a “low power FM station.”  </w:t>
      </w:r>
      <w:r>
        <w:rPr>
          <w:i/>
        </w:rPr>
        <w:t>See FM Working Arrangement</w:t>
      </w:r>
      <w:r w:rsidR="008A575D">
        <w:t>, Section 4.</w:t>
      </w:r>
    </w:p>
  </w:footnote>
  <w:footnote w:id="6">
    <w:p w:rsidR="00D07C44" w:rsidRPr="00CA5CA0" w:rsidRDefault="00D07C44" w:rsidP="00874DBD">
      <w:pPr>
        <w:pStyle w:val="FootnoteText"/>
        <w:rPr>
          <w:i/>
        </w:rPr>
      </w:pPr>
      <w:r>
        <w:rPr>
          <w:rStyle w:val="FootnoteReference"/>
        </w:rPr>
        <w:footnoteRef/>
      </w:r>
      <w:r>
        <w:t xml:space="preserve"> </w:t>
      </w:r>
      <w:r>
        <w:rPr>
          <w:i/>
        </w:rPr>
        <w:t>Diplomatic Note from James A. Baker III, U.S. Secretary of State, to Derek H. Burney, Ambassador of Canada</w:t>
      </w:r>
      <w:r>
        <w:t xml:space="preserve">, Note No. 149 (Nov. 26, 1990), at 1.  </w:t>
      </w:r>
      <w:r>
        <w:rPr>
          <w:i/>
        </w:rPr>
        <w:t>See also U.S.-Canada FM Agreement Modified to Permit Added Flexibility for FM Translators</w:t>
      </w:r>
      <w:r>
        <w:t>, Public Notice, 13 FCC Rcd 4795 (1997).</w:t>
      </w:r>
    </w:p>
  </w:footnote>
  <w:footnote w:id="7">
    <w:p w:rsidR="00D07C44" w:rsidRPr="009F50AD" w:rsidRDefault="00D07C44">
      <w:pPr>
        <w:pStyle w:val="FootnoteText"/>
      </w:pPr>
      <w:r>
        <w:rPr>
          <w:rStyle w:val="FootnoteReference"/>
        </w:rPr>
        <w:footnoteRef/>
      </w:r>
      <w:r>
        <w:t xml:space="preserve"> </w:t>
      </w:r>
      <w:r>
        <w:rPr>
          <w:i/>
        </w:rPr>
        <w:t>Shaw Communications</w:t>
      </w:r>
      <w:r>
        <w:t xml:space="preserve">, cited by Backyard, </w:t>
      </w:r>
      <w:r w:rsidRPr="005C3E4D">
        <w:t>does not represent a departure from this policy</w:t>
      </w:r>
      <w:r>
        <w:t xml:space="preserve">.  </w:t>
      </w:r>
      <w:r>
        <w:rPr>
          <w:i/>
        </w:rPr>
        <w:t>Shaw Communications, Inc.</w:t>
      </w:r>
      <w:r>
        <w:t xml:space="preserve">, Memorandum Opinion and Order, </w:t>
      </w:r>
      <w:r w:rsidRPr="00387F0E">
        <w:t>24 FCC Rcd 5852</w:t>
      </w:r>
      <w:r>
        <w:t xml:space="preserve">, 5854 (2009). </w:t>
      </w:r>
      <w:r w:rsidRPr="00E14CDB">
        <w:t xml:space="preserve"> </w:t>
      </w:r>
      <w:r>
        <w:t>In that case, the relevant station was rule-compliant regardless of its</w:t>
      </w:r>
      <w:r w:rsidRPr="00E14CDB">
        <w:t xml:space="preserve"> </w:t>
      </w:r>
      <w:r>
        <w:t xml:space="preserve">distance from the Canadian border because its interfering contour did not exceed 60 kilometers.  </w:t>
      </w:r>
      <w:r>
        <w:rPr>
          <w:i/>
        </w:rPr>
        <w:t>Id</w:t>
      </w:r>
      <w:r>
        <w:t xml:space="preserve">.  </w:t>
      </w:r>
      <w:r w:rsidRPr="00EC1527">
        <w:t xml:space="preserve">Therefore, the Commission did not need to apply its policy regarding the geographic limitations of Section 4.3 of the </w:t>
      </w:r>
      <w:r w:rsidRPr="00EC1527">
        <w:rPr>
          <w:i/>
        </w:rPr>
        <w:t xml:space="preserve">FM Working Arrangement </w:t>
      </w:r>
      <w:r w:rsidRPr="00EC1527">
        <w:t xml:space="preserve">or consider a waiver of Section 74.1235(d)(3).  </w:t>
      </w:r>
      <w:r w:rsidRPr="00EC1527">
        <w:rPr>
          <w:i/>
        </w:rPr>
        <w:t xml:space="preserve">See </w:t>
      </w:r>
      <w:r>
        <w:rPr>
          <w:i/>
        </w:rPr>
        <w:t xml:space="preserve">infra </w:t>
      </w:r>
      <w:r w:rsidRPr="00EC1527">
        <w:t xml:space="preserve">note </w:t>
      </w:r>
      <w:r>
        <w:t>7.</w:t>
      </w:r>
    </w:p>
  </w:footnote>
  <w:footnote w:id="8">
    <w:p w:rsidR="00D07C44" w:rsidRDefault="00D07C44">
      <w:pPr>
        <w:pStyle w:val="FootnoteText"/>
      </w:pPr>
      <w:r>
        <w:rPr>
          <w:rStyle w:val="FootnoteReference"/>
        </w:rPr>
        <w:footnoteRef/>
      </w:r>
      <w:r>
        <w:t xml:space="preserve"> As a practical matter, we note that under the </w:t>
      </w:r>
      <w:r>
        <w:rPr>
          <w:i/>
        </w:rPr>
        <w:t>FM Working Arrangement</w:t>
      </w:r>
      <w:r>
        <w:t xml:space="preserve">, FM service areas are not protected outside their home country in any case.  </w:t>
      </w:r>
      <w:r>
        <w:rPr>
          <w:i/>
        </w:rPr>
        <w:t>FM Working Arrangement</w:t>
      </w:r>
      <w:r>
        <w:t>, Section 5.2.2.4.</w:t>
      </w:r>
    </w:p>
  </w:footnote>
  <w:footnote w:id="9">
    <w:p w:rsidR="00D07C44" w:rsidRPr="003D4C30" w:rsidRDefault="00D07C44">
      <w:pPr>
        <w:pStyle w:val="FootnoteText"/>
      </w:pPr>
      <w:r>
        <w:rPr>
          <w:rStyle w:val="FootnoteReference"/>
        </w:rPr>
        <w:footnoteRef/>
      </w:r>
      <w:r>
        <w:t xml:space="preserve"> </w:t>
      </w:r>
      <w:r w:rsidRPr="00033996">
        <w:t xml:space="preserve">The Bureau did, however, waive Section 74.1235(d)(3) of the Rules, 47 C.F.R. §74.1235(d)(3), which states that the distance to the  34 dBμ interfering contour of any FM translator within 320 kilometers of the Canadian border may not exceed 60 kilometers in any direction. </w:t>
      </w:r>
      <w:r>
        <w:t xml:space="preserve"> </w:t>
      </w:r>
      <w:r w:rsidRPr="00033996">
        <w:t>Th</w:t>
      </w:r>
      <w:r>
        <w:t>e</w:t>
      </w:r>
      <w:r w:rsidRPr="00033996">
        <w:t xml:space="preserve"> </w:t>
      </w:r>
      <w:r>
        <w:t xml:space="preserve">rule </w:t>
      </w:r>
      <w:r w:rsidRPr="00033996">
        <w:t>waiver was not contested on review and was</w:t>
      </w:r>
      <w:r>
        <w:t xml:space="preserve"> </w:t>
      </w:r>
      <w:r w:rsidRPr="00033996">
        <w:t xml:space="preserve">within the scope of the Bureau’s delegated authority.  </w:t>
      </w:r>
      <w:r w:rsidRPr="00033996">
        <w:rPr>
          <w:i/>
        </w:rPr>
        <w:t xml:space="preserve">See </w:t>
      </w:r>
      <w:r w:rsidRPr="00033996">
        <w:t>47 C.F.R. § 0.283.</w:t>
      </w:r>
    </w:p>
  </w:footnote>
  <w:footnote w:id="10">
    <w:p w:rsidR="00D07C44" w:rsidRPr="00320BF6" w:rsidRDefault="00D07C44" w:rsidP="0040710F">
      <w:pPr>
        <w:pStyle w:val="FootnoteText"/>
      </w:pPr>
      <w:r w:rsidRPr="00320BF6">
        <w:rPr>
          <w:rStyle w:val="FootnoteReference"/>
        </w:rPr>
        <w:footnoteRef/>
      </w:r>
      <w:r w:rsidRPr="00320BF6">
        <w:t xml:space="preserve"> 47 U.S.C. § 155(c)(5).</w:t>
      </w:r>
    </w:p>
  </w:footnote>
  <w:footnote w:id="11">
    <w:p w:rsidR="00D07C44" w:rsidRPr="00320BF6" w:rsidRDefault="00D07C44" w:rsidP="0040710F">
      <w:pPr>
        <w:pStyle w:val="FootnoteText"/>
      </w:pPr>
      <w:r w:rsidRPr="00320BF6">
        <w:rPr>
          <w:rStyle w:val="FootnoteReference"/>
        </w:rPr>
        <w:footnoteRef/>
      </w:r>
      <w:r w:rsidRPr="00320BF6">
        <w:t xml:space="preserve"> 47 C.F.R. § 1.115(g).</w:t>
      </w:r>
    </w:p>
  </w:footnote>
  <w:footnote w:id="12">
    <w:p w:rsidR="00606719" w:rsidRPr="00CE4212" w:rsidRDefault="00606719" w:rsidP="00606719">
      <w:pPr>
        <w:pStyle w:val="FootnoteText"/>
      </w:pPr>
      <w:r>
        <w:rPr>
          <w:rStyle w:val="FootnoteReference"/>
        </w:rPr>
        <w:footnoteRef/>
      </w:r>
      <w:r w:rsidRPr="00CE4212">
        <w:t xml:space="preserve"> </w:t>
      </w:r>
      <w:r w:rsidRPr="00CE4212">
        <w:rPr>
          <w:i/>
        </w:rPr>
        <w:t>See</w:t>
      </w:r>
      <w:r w:rsidRPr="00CE4212">
        <w:t xml:space="preserve"> </w:t>
      </w:r>
      <w:r w:rsidRPr="00CE4212">
        <w:rPr>
          <w:i/>
        </w:rPr>
        <w:t>Medellin v. Texas</w:t>
      </w:r>
      <w:r w:rsidRPr="00CE4212">
        <w:t>, 552 U.S. 491, 507 (2008) (</w:t>
      </w:r>
      <w:r>
        <w:t>quoting</w:t>
      </w:r>
      <w:r w:rsidRPr="00CE4212">
        <w:rPr>
          <w:i/>
        </w:rPr>
        <w:t xml:space="preserve"> Zicherman v. Korean Air Lines Co.</w:t>
      </w:r>
      <w:r w:rsidRPr="00CE4212">
        <w:t>, 516 U.S. 217, 226 (1996)</w:t>
      </w:r>
      <w:r>
        <w:t>)</w:t>
      </w:r>
      <w:r w:rsidRPr="00CE4212">
        <w:t xml:space="preserve">; </w:t>
      </w:r>
      <w:r w:rsidRPr="00CE4212">
        <w:rPr>
          <w:i/>
        </w:rPr>
        <w:t>see also</w:t>
      </w:r>
      <w:r w:rsidRPr="00CE4212">
        <w:t xml:space="preserve"> </w:t>
      </w:r>
      <w:r w:rsidRPr="00CE4212">
        <w:rPr>
          <w:smallCaps/>
        </w:rPr>
        <w:t>Restatement (Second) of Contracts</w:t>
      </w:r>
      <w:r w:rsidRPr="00CE4212">
        <w:t xml:space="preserve"> § 202(4) (1979) (“Where an agreement involves repeated occasions for performance by either party with knowledge of the nature of the performance and opportunity for objection to it by the other, any course of performance accepted or acquiesced in without objection is given great weight in the interpretation of the agreement.”).</w:t>
      </w:r>
    </w:p>
  </w:footnote>
  <w:footnote w:id="13">
    <w:p w:rsidR="00606719" w:rsidRPr="00CE4212" w:rsidRDefault="00606719" w:rsidP="00606719">
      <w:pPr>
        <w:pStyle w:val="FootnoteText"/>
      </w:pPr>
      <w:r w:rsidRPr="00CE4212">
        <w:rPr>
          <w:rStyle w:val="FootnoteReference"/>
        </w:rPr>
        <w:footnoteRef/>
      </w:r>
      <w:r w:rsidRPr="00CE4212">
        <w:t xml:space="preserve"> </w:t>
      </w:r>
      <w:r w:rsidRPr="00CE4212">
        <w:rPr>
          <w:i/>
        </w:rPr>
        <w:t>See Working Arrangement for the Allotment and Assignment of FM Broadcasting Channels under the Agreement between the Government of Canada and the Government of the United States of America Relating to the FM Broadcasting Service</w:t>
      </w:r>
      <w:r w:rsidRPr="00CE4212">
        <w:t xml:space="preserve"> §</w:t>
      </w:r>
      <w:r>
        <w:t> </w:t>
      </w:r>
      <w:r w:rsidRPr="00CE4212">
        <w:t>1</w:t>
      </w:r>
      <w:r>
        <w:t xml:space="preserve"> </w:t>
      </w:r>
      <w:r w:rsidRPr="00CE4212">
        <w:t xml:space="preserve">(executed in 1991, amended in 1997), </w:t>
      </w:r>
      <w:r w:rsidRPr="00CE4212">
        <w:rPr>
          <w:i/>
        </w:rPr>
        <w:t>available at</w:t>
      </w:r>
      <w:r w:rsidRPr="00CE4212">
        <w:t xml:space="preserve"> http://go.usa.gov/PZuG.</w:t>
      </w:r>
    </w:p>
  </w:footnote>
  <w:footnote w:id="14">
    <w:p w:rsidR="00606719" w:rsidRPr="00657C32" w:rsidRDefault="00606719" w:rsidP="00606719">
      <w:pPr>
        <w:pStyle w:val="FootnoteText"/>
      </w:pPr>
      <w:r>
        <w:rPr>
          <w:rStyle w:val="FootnoteReference"/>
        </w:rPr>
        <w:footnoteRef/>
      </w:r>
      <w:r>
        <w:t xml:space="preserve"> </w:t>
      </w:r>
      <w:r>
        <w:rPr>
          <w:i/>
        </w:rPr>
        <w:t>Id.</w:t>
      </w:r>
      <w:r>
        <w:t xml:space="preserve"> </w:t>
      </w:r>
      <w:r w:rsidRPr="00CE4212">
        <w:t>§§</w:t>
      </w:r>
      <w:r>
        <w:t> 4.1,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9F" w:rsidRDefault="00A22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4" w:rsidRDefault="00D07C44" w:rsidP="00810B6F">
    <w:pPr>
      <w:pStyle w:val="Header"/>
      <w:rPr>
        <w:b w:val="0"/>
      </w:rPr>
    </w:pPr>
    <w:r>
      <w:tab/>
      <w:t>Federal Communications Commission</w:t>
    </w:r>
    <w:r>
      <w:tab/>
    </w:r>
    <w:r w:rsidR="00606719">
      <w:t>FCC 14-120</w:t>
    </w:r>
  </w:p>
  <w:p w:rsidR="00D07C44" w:rsidRDefault="00D07C4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298754E" wp14:editId="4DD907E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07C44" w:rsidRDefault="00D07C4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44" w:rsidRDefault="00D07C4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A1014B6" wp14:editId="75F7590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06719">
      <w:rPr>
        <w:spacing w:val="-2"/>
      </w:rPr>
      <w:t>FCC 14-120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0B613A"/>
    <w:multiLevelType w:val="hybridMultilevel"/>
    <w:tmpl w:val="CB1EEC0A"/>
    <w:lvl w:ilvl="0" w:tplc="B8F4E8D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0"/>
    <w:rsid w:val="00002039"/>
    <w:rsid w:val="00011DA6"/>
    <w:rsid w:val="000130E8"/>
    <w:rsid w:val="00013990"/>
    <w:rsid w:val="00033996"/>
    <w:rsid w:val="00036039"/>
    <w:rsid w:val="00037F90"/>
    <w:rsid w:val="00056D5A"/>
    <w:rsid w:val="0007640B"/>
    <w:rsid w:val="000875BF"/>
    <w:rsid w:val="00087E7D"/>
    <w:rsid w:val="00096D8C"/>
    <w:rsid w:val="000C0B65"/>
    <w:rsid w:val="000C12A4"/>
    <w:rsid w:val="000C56A0"/>
    <w:rsid w:val="000E05FE"/>
    <w:rsid w:val="000E3D42"/>
    <w:rsid w:val="0010634C"/>
    <w:rsid w:val="00117DDF"/>
    <w:rsid w:val="00122BD5"/>
    <w:rsid w:val="001309A5"/>
    <w:rsid w:val="00133F79"/>
    <w:rsid w:val="00136EA4"/>
    <w:rsid w:val="00175F99"/>
    <w:rsid w:val="00194A66"/>
    <w:rsid w:val="00195236"/>
    <w:rsid w:val="001B54CB"/>
    <w:rsid w:val="001D0A3B"/>
    <w:rsid w:val="001D6BCF"/>
    <w:rsid w:val="001E01CA"/>
    <w:rsid w:val="001E3A50"/>
    <w:rsid w:val="00236883"/>
    <w:rsid w:val="00246DD2"/>
    <w:rsid w:val="002639CC"/>
    <w:rsid w:val="002712C8"/>
    <w:rsid w:val="00275CF5"/>
    <w:rsid w:val="00277A29"/>
    <w:rsid w:val="00280CCC"/>
    <w:rsid w:val="0028301F"/>
    <w:rsid w:val="00285017"/>
    <w:rsid w:val="002A2D2E"/>
    <w:rsid w:val="002B6152"/>
    <w:rsid w:val="00314F91"/>
    <w:rsid w:val="00343749"/>
    <w:rsid w:val="003470A2"/>
    <w:rsid w:val="0034733B"/>
    <w:rsid w:val="00352230"/>
    <w:rsid w:val="00365153"/>
    <w:rsid w:val="003660ED"/>
    <w:rsid w:val="00371280"/>
    <w:rsid w:val="003774CA"/>
    <w:rsid w:val="00386ADC"/>
    <w:rsid w:val="00387F0E"/>
    <w:rsid w:val="003B0550"/>
    <w:rsid w:val="003B694F"/>
    <w:rsid w:val="003D4C30"/>
    <w:rsid w:val="003E1A1E"/>
    <w:rsid w:val="003E3366"/>
    <w:rsid w:val="003F171C"/>
    <w:rsid w:val="003F5FBD"/>
    <w:rsid w:val="0040710F"/>
    <w:rsid w:val="00407937"/>
    <w:rsid w:val="00412FC5"/>
    <w:rsid w:val="00422276"/>
    <w:rsid w:val="004242F1"/>
    <w:rsid w:val="0042547E"/>
    <w:rsid w:val="00432E34"/>
    <w:rsid w:val="00444ED7"/>
    <w:rsid w:val="00445A00"/>
    <w:rsid w:val="00446983"/>
    <w:rsid w:val="00451B0F"/>
    <w:rsid w:val="004750B9"/>
    <w:rsid w:val="004B37A1"/>
    <w:rsid w:val="004C2EE3"/>
    <w:rsid w:val="004C4C20"/>
    <w:rsid w:val="004E4A22"/>
    <w:rsid w:val="004E6B01"/>
    <w:rsid w:val="005059E4"/>
    <w:rsid w:val="00505FCA"/>
    <w:rsid w:val="00511968"/>
    <w:rsid w:val="00511C42"/>
    <w:rsid w:val="0054455B"/>
    <w:rsid w:val="00545909"/>
    <w:rsid w:val="00552B84"/>
    <w:rsid w:val="0055614C"/>
    <w:rsid w:val="00586FB6"/>
    <w:rsid w:val="005A7D4E"/>
    <w:rsid w:val="005B0123"/>
    <w:rsid w:val="005B0FB0"/>
    <w:rsid w:val="005B4DE0"/>
    <w:rsid w:val="005B54C0"/>
    <w:rsid w:val="005C0755"/>
    <w:rsid w:val="005C3E4D"/>
    <w:rsid w:val="005C5FCA"/>
    <w:rsid w:val="005D21AE"/>
    <w:rsid w:val="005E14C2"/>
    <w:rsid w:val="00606719"/>
    <w:rsid w:val="00607BA5"/>
    <w:rsid w:val="006238E9"/>
    <w:rsid w:val="00626EB6"/>
    <w:rsid w:val="006368FC"/>
    <w:rsid w:val="00653F98"/>
    <w:rsid w:val="00655D03"/>
    <w:rsid w:val="00683388"/>
    <w:rsid w:val="00683F84"/>
    <w:rsid w:val="00690713"/>
    <w:rsid w:val="006A6A81"/>
    <w:rsid w:val="006F7393"/>
    <w:rsid w:val="00700117"/>
    <w:rsid w:val="0070224F"/>
    <w:rsid w:val="00707781"/>
    <w:rsid w:val="007115F7"/>
    <w:rsid w:val="00714E37"/>
    <w:rsid w:val="0071794E"/>
    <w:rsid w:val="00732E6F"/>
    <w:rsid w:val="00744913"/>
    <w:rsid w:val="00755EAA"/>
    <w:rsid w:val="007578AB"/>
    <w:rsid w:val="0076773D"/>
    <w:rsid w:val="00785689"/>
    <w:rsid w:val="00792A80"/>
    <w:rsid w:val="0079754B"/>
    <w:rsid w:val="007A1E6D"/>
    <w:rsid w:val="007B0EB2"/>
    <w:rsid w:val="007C52AC"/>
    <w:rsid w:val="007F5F44"/>
    <w:rsid w:val="00803583"/>
    <w:rsid w:val="00810B6F"/>
    <w:rsid w:val="00821ACE"/>
    <w:rsid w:val="00822CE0"/>
    <w:rsid w:val="0083245F"/>
    <w:rsid w:val="00841AB1"/>
    <w:rsid w:val="00856EE6"/>
    <w:rsid w:val="00862E1F"/>
    <w:rsid w:val="00872F45"/>
    <w:rsid w:val="00874DBD"/>
    <w:rsid w:val="008818A6"/>
    <w:rsid w:val="008A3F63"/>
    <w:rsid w:val="008A575D"/>
    <w:rsid w:val="008B6E2B"/>
    <w:rsid w:val="008C68F1"/>
    <w:rsid w:val="00916752"/>
    <w:rsid w:val="00921803"/>
    <w:rsid w:val="00926503"/>
    <w:rsid w:val="00945793"/>
    <w:rsid w:val="00952F34"/>
    <w:rsid w:val="009726D8"/>
    <w:rsid w:val="009A6BDE"/>
    <w:rsid w:val="009A6D5A"/>
    <w:rsid w:val="009C73C1"/>
    <w:rsid w:val="009D21C5"/>
    <w:rsid w:val="009D6BC5"/>
    <w:rsid w:val="009E400E"/>
    <w:rsid w:val="009F50AD"/>
    <w:rsid w:val="009F76DB"/>
    <w:rsid w:val="00A22C9F"/>
    <w:rsid w:val="00A32C3B"/>
    <w:rsid w:val="00A375AC"/>
    <w:rsid w:val="00A378F0"/>
    <w:rsid w:val="00A4030F"/>
    <w:rsid w:val="00A45F4F"/>
    <w:rsid w:val="00A57749"/>
    <w:rsid w:val="00A600A9"/>
    <w:rsid w:val="00A74469"/>
    <w:rsid w:val="00A84347"/>
    <w:rsid w:val="00AA55B7"/>
    <w:rsid w:val="00AA5B9E"/>
    <w:rsid w:val="00AB2407"/>
    <w:rsid w:val="00AB53DF"/>
    <w:rsid w:val="00AC680F"/>
    <w:rsid w:val="00AE45D1"/>
    <w:rsid w:val="00B07E5C"/>
    <w:rsid w:val="00B201A1"/>
    <w:rsid w:val="00B24FBE"/>
    <w:rsid w:val="00B466DD"/>
    <w:rsid w:val="00B811F7"/>
    <w:rsid w:val="00B9385C"/>
    <w:rsid w:val="00BA5DC6"/>
    <w:rsid w:val="00BA6196"/>
    <w:rsid w:val="00BB275F"/>
    <w:rsid w:val="00BB78FC"/>
    <w:rsid w:val="00BC6D8C"/>
    <w:rsid w:val="00BD17C1"/>
    <w:rsid w:val="00BF6ED8"/>
    <w:rsid w:val="00C022C0"/>
    <w:rsid w:val="00C17495"/>
    <w:rsid w:val="00C34006"/>
    <w:rsid w:val="00C426B1"/>
    <w:rsid w:val="00C57022"/>
    <w:rsid w:val="00C66160"/>
    <w:rsid w:val="00C721AC"/>
    <w:rsid w:val="00C84110"/>
    <w:rsid w:val="00C90D6A"/>
    <w:rsid w:val="00CA247E"/>
    <w:rsid w:val="00CA5CA0"/>
    <w:rsid w:val="00CC15F0"/>
    <w:rsid w:val="00CC72B6"/>
    <w:rsid w:val="00CE2DD8"/>
    <w:rsid w:val="00CF4B3D"/>
    <w:rsid w:val="00D0218D"/>
    <w:rsid w:val="00D03FEB"/>
    <w:rsid w:val="00D043D1"/>
    <w:rsid w:val="00D07C44"/>
    <w:rsid w:val="00D17B06"/>
    <w:rsid w:val="00D25FB5"/>
    <w:rsid w:val="00D44223"/>
    <w:rsid w:val="00D663FC"/>
    <w:rsid w:val="00D7304B"/>
    <w:rsid w:val="00D901BD"/>
    <w:rsid w:val="00D953BB"/>
    <w:rsid w:val="00DA2529"/>
    <w:rsid w:val="00DB130A"/>
    <w:rsid w:val="00DB2EBB"/>
    <w:rsid w:val="00DC10A1"/>
    <w:rsid w:val="00DC33F4"/>
    <w:rsid w:val="00DC655F"/>
    <w:rsid w:val="00DD0B59"/>
    <w:rsid w:val="00DD50B9"/>
    <w:rsid w:val="00DD7EBD"/>
    <w:rsid w:val="00DE6A03"/>
    <w:rsid w:val="00DF62B6"/>
    <w:rsid w:val="00E03269"/>
    <w:rsid w:val="00E07225"/>
    <w:rsid w:val="00E14CDB"/>
    <w:rsid w:val="00E5409F"/>
    <w:rsid w:val="00E54A92"/>
    <w:rsid w:val="00E67D68"/>
    <w:rsid w:val="00E7334E"/>
    <w:rsid w:val="00E7792D"/>
    <w:rsid w:val="00E8409E"/>
    <w:rsid w:val="00E90D98"/>
    <w:rsid w:val="00EC1527"/>
    <w:rsid w:val="00EE25B3"/>
    <w:rsid w:val="00EE6488"/>
    <w:rsid w:val="00F021FA"/>
    <w:rsid w:val="00F02BC1"/>
    <w:rsid w:val="00F26FE0"/>
    <w:rsid w:val="00F3058A"/>
    <w:rsid w:val="00F445A3"/>
    <w:rsid w:val="00F4505D"/>
    <w:rsid w:val="00F5253B"/>
    <w:rsid w:val="00F62E97"/>
    <w:rsid w:val="00F64209"/>
    <w:rsid w:val="00F92B4B"/>
    <w:rsid w:val="00F93BF5"/>
    <w:rsid w:val="00FA4189"/>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A6"/>
    <w:pPr>
      <w:widowControl w:val="0"/>
    </w:pPr>
    <w:rPr>
      <w:snapToGrid w:val="0"/>
      <w:kern w:val="28"/>
      <w:sz w:val="22"/>
    </w:rPr>
  </w:style>
  <w:style w:type="paragraph" w:styleId="Heading1">
    <w:name w:val="heading 1"/>
    <w:basedOn w:val="Normal"/>
    <w:next w:val="ParaNum"/>
    <w:qFormat/>
    <w:rsid w:val="008818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18A6"/>
    <w:pPr>
      <w:keepNext/>
      <w:numPr>
        <w:ilvl w:val="1"/>
        <w:numId w:val="3"/>
      </w:numPr>
      <w:spacing w:after="120"/>
      <w:outlineLvl w:val="1"/>
    </w:pPr>
    <w:rPr>
      <w:b/>
    </w:rPr>
  </w:style>
  <w:style w:type="paragraph" w:styleId="Heading3">
    <w:name w:val="heading 3"/>
    <w:basedOn w:val="Normal"/>
    <w:next w:val="ParaNum"/>
    <w:qFormat/>
    <w:rsid w:val="008818A6"/>
    <w:pPr>
      <w:keepNext/>
      <w:numPr>
        <w:ilvl w:val="2"/>
        <w:numId w:val="3"/>
      </w:numPr>
      <w:tabs>
        <w:tab w:val="left" w:pos="2160"/>
      </w:tabs>
      <w:spacing w:after="120"/>
      <w:outlineLvl w:val="2"/>
    </w:pPr>
    <w:rPr>
      <w:b/>
    </w:rPr>
  </w:style>
  <w:style w:type="paragraph" w:styleId="Heading4">
    <w:name w:val="heading 4"/>
    <w:basedOn w:val="Normal"/>
    <w:next w:val="ParaNum"/>
    <w:qFormat/>
    <w:rsid w:val="008818A6"/>
    <w:pPr>
      <w:keepNext/>
      <w:numPr>
        <w:ilvl w:val="3"/>
        <w:numId w:val="3"/>
      </w:numPr>
      <w:tabs>
        <w:tab w:val="left" w:pos="2880"/>
      </w:tabs>
      <w:spacing w:after="120"/>
      <w:outlineLvl w:val="3"/>
    </w:pPr>
    <w:rPr>
      <w:b/>
    </w:rPr>
  </w:style>
  <w:style w:type="paragraph" w:styleId="Heading5">
    <w:name w:val="heading 5"/>
    <w:basedOn w:val="Normal"/>
    <w:next w:val="ParaNum"/>
    <w:qFormat/>
    <w:rsid w:val="008818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18A6"/>
    <w:pPr>
      <w:numPr>
        <w:ilvl w:val="5"/>
        <w:numId w:val="3"/>
      </w:numPr>
      <w:tabs>
        <w:tab w:val="left" w:pos="4320"/>
      </w:tabs>
      <w:spacing w:after="120"/>
      <w:outlineLvl w:val="5"/>
    </w:pPr>
    <w:rPr>
      <w:b/>
    </w:rPr>
  </w:style>
  <w:style w:type="paragraph" w:styleId="Heading7">
    <w:name w:val="heading 7"/>
    <w:basedOn w:val="Normal"/>
    <w:next w:val="ParaNum"/>
    <w:qFormat/>
    <w:rsid w:val="008818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18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18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18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8A6"/>
  </w:style>
  <w:style w:type="paragraph" w:customStyle="1" w:styleId="ParaNum">
    <w:name w:val="ParaNum"/>
    <w:basedOn w:val="Normal"/>
    <w:rsid w:val="008818A6"/>
    <w:pPr>
      <w:numPr>
        <w:numId w:val="2"/>
      </w:numPr>
      <w:tabs>
        <w:tab w:val="clear" w:pos="1080"/>
        <w:tab w:val="num" w:pos="1440"/>
      </w:tabs>
      <w:spacing w:after="120"/>
    </w:pPr>
  </w:style>
  <w:style w:type="paragraph" w:styleId="EndnoteText">
    <w:name w:val="endnote text"/>
    <w:basedOn w:val="Normal"/>
    <w:semiHidden/>
    <w:rsid w:val="008818A6"/>
    <w:rPr>
      <w:sz w:val="20"/>
    </w:rPr>
  </w:style>
  <w:style w:type="character" w:styleId="EndnoteReference">
    <w:name w:val="endnote reference"/>
    <w:semiHidden/>
    <w:rsid w:val="008818A6"/>
    <w:rPr>
      <w:vertAlign w:val="superscript"/>
    </w:rPr>
  </w:style>
  <w:style w:type="paragraph" w:styleId="FootnoteText">
    <w:name w:val="footnote text"/>
    <w:rsid w:val="008818A6"/>
    <w:pPr>
      <w:spacing w:after="120"/>
    </w:pPr>
  </w:style>
  <w:style w:type="character" w:styleId="FootnoteReference">
    <w:name w:val="footnote reference"/>
    <w:rsid w:val="008818A6"/>
    <w:rPr>
      <w:rFonts w:ascii="Times New Roman" w:hAnsi="Times New Roman"/>
      <w:dstrike w:val="0"/>
      <w:color w:val="auto"/>
      <w:sz w:val="20"/>
      <w:vertAlign w:val="superscript"/>
    </w:rPr>
  </w:style>
  <w:style w:type="paragraph" w:styleId="TOC1">
    <w:name w:val="toc 1"/>
    <w:basedOn w:val="Normal"/>
    <w:next w:val="Normal"/>
    <w:semiHidden/>
    <w:rsid w:val="008818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18A6"/>
    <w:pPr>
      <w:tabs>
        <w:tab w:val="left" w:pos="720"/>
        <w:tab w:val="right" w:leader="dot" w:pos="9360"/>
      </w:tabs>
      <w:suppressAutoHyphens/>
      <w:ind w:left="720" w:right="720" w:hanging="360"/>
    </w:pPr>
    <w:rPr>
      <w:noProof/>
    </w:rPr>
  </w:style>
  <w:style w:type="paragraph" w:styleId="TOC3">
    <w:name w:val="toc 3"/>
    <w:basedOn w:val="Normal"/>
    <w:next w:val="Normal"/>
    <w:semiHidden/>
    <w:rsid w:val="008818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18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18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18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18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18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18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18A6"/>
    <w:pPr>
      <w:tabs>
        <w:tab w:val="right" w:pos="9360"/>
      </w:tabs>
      <w:suppressAutoHyphens/>
    </w:pPr>
  </w:style>
  <w:style w:type="character" w:customStyle="1" w:styleId="EquationCaption">
    <w:name w:val="_Equation Caption"/>
    <w:rsid w:val="008818A6"/>
  </w:style>
  <w:style w:type="paragraph" w:styleId="Header">
    <w:name w:val="header"/>
    <w:basedOn w:val="Normal"/>
    <w:autoRedefine/>
    <w:rsid w:val="008818A6"/>
    <w:pPr>
      <w:tabs>
        <w:tab w:val="center" w:pos="4680"/>
        <w:tab w:val="right" w:pos="9360"/>
      </w:tabs>
    </w:pPr>
    <w:rPr>
      <w:b/>
    </w:rPr>
  </w:style>
  <w:style w:type="paragraph" w:styleId="Footer">
    <w:name w:val="footer"/>
    <w:basedOn w:val="Normal"/>
    <w:link w:val="FooterChar"/>
    <w:rsid w:val="008818A6"/>
    <w:pPr>
      <w:tabs>
        <w:tab w:val="center" w:pos="4320"/>
        <w:tab w:val="right" w:pos="8640"/>
      </w:tabs>
    </w:pPr>
  </w:style>
  <w:style w:type="character" w:styleId="PageNumber">
    <w:name w:val="page number"/>
    <w:basedOn w:val="DefaultParagraphFont"/>
    <w:rsid w:val="008818A6"/>
  </w:style>
  <w:style w:type="paragraph" w:styleId="BlockText">
    <w:name w:val="Block Text"/>
    <w:basedOn w:val="Normal"/>
    <w:rsid w:val="008818A6"/>
    <w:pPr>
      <w:spacing w:after="240"/>
      <w:ind w:left="1440" w:right="1440"/>
    </w:pPr>
  </w:style>
  <w:style w:type="paragraph" w:customStyle="1" w:styleId="Paratitle">
    <w:name w:val="Para title"/>
    <w:basedOn w:val="Normal"/>
    <w:rsid w:val="008818A6"/>
    <w:pPr>
      <w:tabs>
        <w:tab w:val="center" w:pos="9270"/>
      </w:tabs>
      <w:spacing w:after="240"/>
    </w:pPr>
    <w:rPr>
      <w:spacing w:val="-2"/>
    </w:rPr>
  </w:style>
  <w:style w:type="paragraph" w:customStyle="1" w:styleId="Bullet">
    <w:name w:val="Bullet"/>
    <w:basedOn w:val="Normal"/>
    <w:rsid w:val="008818A6"/>
    <w:pPr>
      <w:tabs>
        <w:tab w:val="left" w:pos="2160"/>
      </w:tabs>
      <w:spacing w:after="220"/>
      <w:ind w:left="2160" w:hanging="720"/>
    </w:pPr>
  </w:style>
  <w:style w:type="paragraph" w:customStyle="1" w:styleId="TableFormat">
    <w:name w:val="TableFormat"/>
    <w:basedOn w:val="Bullet"/>
    <w:rsid w:val="008818A6"/>
    <w:pPr>
      <w:tabs>
        <w:tab w:val="clear" w:pos="2160"/>
        <w:tab w:val="left" w:pos="5040"/>
      </w:tabs>
      <w:ind w:left="5040" w:hanging="3600"/>
    </w:pPr>
  </w:style>
  <w:style w:type="paragraph" w:customStyle="1" w:styleId="TOCTitle">
    <w:name w:val="TOC Title"/>
    <w:basedOn w:val="Normal"/>
    <w:rsid w:val="008818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18A6"/>
    <w:pPr>
      <w:jc w:val="center"/>
    </w:pPr>
    <w:rPr>
      <w:rFonts w:ascii="Times New Roman Bold" w:hAnsi="Times New Roman Bold"/>
      <w:b/>
      <w:bCs/>
      <w:caps/>
      <w:szCs w:val="22"/>
    </w:rPr>
  </w:style>
  <w:style w:type="character" w:styleId="Hyperlink">
    <w:name w:val="Hyperlink"/>
    <w:rsid w:val="008818A6"/>
    <w:rPr>
      <w:color w:val="0000FF"/>
      <w:u w:val="single"/>
    </w:rPr>
  </w:style>
  <w:style w:type="paragraph" w:styleId="BodyText">
    <w:name w:val="Body Text"/>
    <w:basedOn w:val="Normal"/>
    <w:link w:val="BodyTextChar"/>
    <w:rsid w:val="00DD50B9"/>
    <w:pPr>
      <w:spacing w:after="120"/>
    </w:pPr>
  </w:style>
  <w:style w:type="character" w:customStyle="1" w:styleId="BodyTextChar">
    <w:name w:val="Body Text Char"/>
    <w:basedOn w:val="DefaultParagraphFont"/>
    <w:link w:val="BodyText"/>
    <w:rsid w:val="00DD50B9"/>
    <w:rPr>
      <w:snapToGrid w:val="0"/>
      <w:kern w:val="28"/>
      <w:sz w:val="22"/>
    </w:rPr>
  </w:style>
  <w:style w:type="character" w:styleId="CommentReference">
    <w:name w:val="annotation reference"/>
    <w:basedOn w:val="DefaultParagraphFont"/>
    <w:rsid w:val="00856EE6"/>
    <w:rPr>
      <w:sz w:val="16"/>
      <w:szCs w:val="16"/>
    </w:rPr>
  </w:style>
  <w:style w:type="paragraph" w:styleId="CommentText">
    <w:name w:val="annotation text"/>
    <w:basedOn w:val="Normal"/>
    <w:link w:val="CommentTextChar"/>
    <w:rsid w:val="00856EE6"/>
    <w:rPr>
      <w:sz w:val="20"/>
    </w:rPr>
  </w:style>
  <w:style w:type="character" w:customStyle="1" w:styleId="CommentTextChar">
    <w:name w:val="Comment Text Char"/>
    <w:basedOn w:val="DefaultParagraphFont"/>
    <w:link w:val="CommentText"/>
    <w:rsid w:val="00856EE6"/>
    <w:rPr>
      <w:snapToGrid w:val="0"/>
      <w:kern w:val="28"/>
    </w:rPr>
  </w:style>
  <w:style w:type="paragraph" w:styleId="CommentSubject">
    <w:name w:val="annotation subject"/>
    <w:basedOn w:val="CommentText"/>
    <w:next w:val="CommentText"/>
    <w:link w:val="CommentSubjectChar"/>
    <w:rsid w:val="00856EE6"/>
    <w:rPr>
      <w:b/>
      <w:bCs/>
    </w:rPr>
  </w:style>
  <w:style w:type="character" w:customStyle="1" w:styleId="CommentSubjectChar">
    <w:name w:val="Comment Subject Char"/>
    <w:basedOn w:val="CommentTextChar"/>
    <w:link w:val="CommentSubject"/>
    <w:rsid w:val="00856EE6"/>
    <w:rPr>
      <w:b/>
      <w:bCs/>
      <w:snapToGrid w:val="0"/>
      <w:kern w:val="28"/>
    </w:rPr>
  </w:style>
  <w:style w:type="paragraph" w:styleId="BalloonText">
    <w:name w:val="Balloon Text"/>
    <w:basedOn w:val="Normal"/>
    <w:link w:val="BalloonTextChar"/>
    <w:rsid w:val="00856EE6"/>
    <w:rPr>
      <w:rFonts w:ascii="Tahoma" w:hAnsi="Tahoma" w:cs="Tahoma"/>
      <w:sz w:val="16"/>
      <w:szCs w:val="16"/>
    </w:rPr>
  </w:style>
  <w:style w:type="character" w:customStyle="1" w:styleId="BalloonTextChar">
    <w:name w:val="Balloon Text Char"/>
    <w:basedOn w:val="DefaultParagraphFont"/>
    <w:link w:val="BalloonText"/>
    <w:rsid w:val="00856EE6"/>
    <w:rPr>
      <w:rFonts w:ascii="Tahoma" w:hAnsi="Tahoma" w:cs="Tahoma"/>
      <w:snapToGrid w:val="0"/>
      <w:kern w:val="28"/>
      <w:sz w:val="16"/>
      <w:szCs w:val="16"/>
    </w:rPr>
  </w:style>
  <w:style w:type="character" w:customStyle="1" w:styleId="FooterChar">
    <w:name w:val="Footer Char"/>
    <w:basedOn w:val="DefaultParagraphFont"/>
    <w:link w:val="Footer"/>
    <w:rsid w:val="00F5253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8A6"/>
    <w:pPr>
      <w:widowControl w:val="0"/>
    </w:pPr>
    <w:rPr>
      <w:snapToGrid w:val="0"/>
      <w:kern w:val="28"/>
      <w:sz w:val="22"/>
    </w:rPr>
  </w:style>
  <w:style w:type="paragraph" w:styleId="Heading1">
    <w:name w:val="heading 1"/>
    <w:basedOn w:val="Normal"/>
    <w:next w:val="ParaNum"/>
    <w:qFormat/>
    <w:rsid w:val="008818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18A6"/>
    <w:pPr>
      <w:keepNext/>
      <w:numPr>
        <w:ilvl w:val="1"/>
        <w:numId w:val="3"/>
      </w:numPr>
      <w:spacing w:after="120"/>
      <w:outlineLvl w:val="1"/>
    </w:pPr>
    <w:rPr>
      <w:b/>
    </w:rPr>
  </w:style>
  <w:style w:type="paragraph" w:styleId="Heading3">
    <w:name w:val="heading 3"/>
    <w:basedOn w:val="Normal"/>
    <w:next w:val="ParaNum"/>
    <w:qFormat/>
    <w:rsid w:val="008818A6"/>
    <w:pPr>
      <w:keepNext/>
      <w:numPr>
        <w:ilvl w:val="2"/>
        <w:numId w:val="3"/>
      </w:numPr>
      <w:tabs>
        <w:tab w:val="left" w:pos="2160"/>
      </w:tabs>
      <w:spacing w:after="120"/>
      <w:outlineLvl w:val="2"/>
    </w:pPr>
    <w:rPr>
      <w:b/>
    </w:rPr>
  </w:style>
  <w:style w:type="paragraph" w:styleId="Heading4">
    <w:name w:val="heading 4"/>
    <w:basedOn w:val="Normal"/>
    <w:next w:val="ParaNum"/>
    <w:qFormat/>
    <w:rsid w:val="008818A6"/>
    <w:pPr>
      <w:keepNext/>
      <w:numPr>
        <w:ilvl w:val="3"/>
        <w:numId w:val="3"/>
      </w:numPr>
      <w:tabs>
        <w:tab w:val="left" w:pos="2880"/>
      </w:tabs>
      <w:spacing w:after="120"/>
      <w:outlineLvl w:val="3"/>
    </w:pPr>
    <w:rPr>
      <w:b/>
    </w:rPr>
  </w:style>
  <w:style w:type="paragraph" w:styleId="Heading5">
    <w:name w:val="heading 5"/>
    <w:basedOn w:val="Normal"/>
    <w:next w:val="ParaNum"/>
    <w:qFormat/>
    <w:rsid w:val="008818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818A6"/>
    <w:pPr>
      <w:numPr>
        <w:ilvl w:val="5"/>
        <w:numId w:val="3"/>
      </w:numPr>
      <w:tabs>
        <w:tab w:val="left" w:pos="4320"/>
      </w:tabs>
      <w:spacing w:after="120"/>
      <w:outlineLvl w:val="5"/>
    </w:pPr>
    <w:rPr>
      <w:b/>
    </w:rPr>
  </w:style>
  <w:style w:type="paragraph" w:styleId="Heading7">
    <w:name w:val="heading 7"/>
    <w:basedOn w:val="Normal"/>
    <w:next w:val="ParaNum"/>
    <w:qFormat/>
    <w:rsid w:val="008818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818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818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18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18A6"/>
  </w:style>
  <w:style w:type="paragraph" w:customStyle="1" w:styleId="ParaNum">
    <w:name w:val="ParaNum"/>
    <w:basedOn w:val="Normal"/>
    <w:rsid w:val="008818A6"/>
    <w:pPr>
      <w:numPr>
        <w:numId w:val="2"/>
      </w:numPr>
      <w:tabs>
        <w:tab w:val="clear" w:pos="1080"/>
        <w:tab w:val="num" w:pos="1440"/>
      </w:tabs>
      <w:spacing w:after="120"/>
    </w:pPr>
  </w:style>
  <w:style w:type="paragraph" w:styleId="EndnoteText">
    <w:name w:val="endnote text"/>
    <w:basedOn w:val="Normal"/>
    <w:semiHidden/>
    <w:rsid w:val="008818A6"/>
    <w:rPr>
      <w:sz w:val="20"/>
    </w:rPr>
  </w:style>
  <w:style w:type="character" w:styleId="EndnoteReference">
    <w:name w:val="endnote reference"/>
    <w:semiHidden/>
    <w:rsid w:val="008818A6"/>
    <w:rPr>
      <w:vertAlign w:val="superscript"/>
    </w:rPr>
  </w:style>
  <w:style w:type="paragraph" w:styleId="FootnoteText">
    <w:name w:val="footnote text"/>
    <w:rsid w:val="008818A6"/>
    <w:pPr>
      <w:spacing w:after="120"/>
    </w:pPr>
  </w:style>
  <w:style w:type="character" w:styleId="FootnoteReference">
    <w:name w:val="footnote reference"/>
    <w:rsid w:val="008818A6"/>
    <w:rPr>
      <w:rFonts w:ascii="Times New Roman" w:hAnsi="Times New Roman"/>
      <w:dstrike w:val="0"/>
      <w:color w:val="auto"/>
      <w:sz w:val="20"/>
      <w:vertAlign w:val="superscript"/>
    </w:rPr>
  </w:style>
  <w:style w:type="paragraph" w:styleId="TOC1">
    <w:name w:val="toc 1"/>
    <w:basedOn w:val="Normal"/>
    <w:next w:val="Normal"/>
    <w:semiHidden/>
    <w:rsid w:val="008818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818A6"/>
    <w:pPr>
      <w:tabs>
        <w:tab w:val="left" w:pos="720"/>
        <w:tab w:val="right" w:leader="dot" w:pos="9360"/>
      </w:tabs>
      <w:suppressAutoHyphens/>
      <w:ind w:left="720" w:right="720" w:hanging="360"/>
    </w:pPr>
    <w:rPr>
      <w:noProof/>
    </w:rPr>
  </w:style>
  <w:style w:type="paragraph" w:styleId="TOC3">
    <w:name w:val="toc 3"/>
    <w:basedOn w:val="Normal"/>
    <w:next w:val="Normal"/>
    <w:semiHidden/>
    <w:rsid w:val="008818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818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818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18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18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18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18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18A6"/>
    <w:pPr>
      <w:tabs>
        <w:tab w:val="right" w:pos="9360"/>
      </w:tabs>
      <w:suppressAutoHyphens/>
    </w:pPr>
  </w:style>
  <w:style w:type="character" w:customStyle="1" w:styleId="EquationCaption">
    <w:name w:val="_Equation Caption"/>
    <w:rsid w:val="008818A6"/>
  </w:style>
  <w:style w:type="paragraph" w:styleId="Header">
    <w:name w:val="header"/>
    <w:basedOn w:val="Normal"/>
    <w:autoRedefine/>
    <w:rsid w:val="008818A6"/>
    <w:pPr>
      <w:tabs>
        <w:tab w:val="center" w:pos="4680"/>
        <w:tab w:val="right" w:pos="9360"/>
      </w:tabs>
    </w:pPr>
    <w:rPr>
      <w:b/>
    </w:rPr>
  </w:style>
  <w:style w:type="paragraph" w:styleId="Footer">
    <w:name w:val="footer"/>
    <w:basedOn w:val="Normal"/>
    <w:link w:val="FooterChar"/>
    <w:rsid w:val="008818A6"/>
    <w:pPr>
      <w:tabs>
        <w:tab w:val="center" w:pos="4320"/>
        <w:tab w:val="right" w:pos="8640"/>
      </w:tabs>
    </w:pPr>
  </w:style>
  <w:style w:type="character" w:styleId="PageNumber">
    <w:name w:val="page number"/>
    <w:basedOn w:val="DefaultParagraphFont"/>
    <w:rsid w:val="008818A6"/>
  </w:style>
  <w:style w:type="paragraph" w:styleId="BlockText">
    <w:name w:val="Block Text"/>
    <w:basedOn w:val="Normal"/>
    <w:rsid w:val="008818A6"/>
    <w:pPr>
      <w:spacing w:after="240"/>
      <w:ind w:left="1440" w:right="1440"/>
    </w:pPr>
  </w:style>
  <w:style w:type="paragraph" w:customStyle="1" w:styleId="Paratitle">
    <w:name w:val="Para title"/>
    <w:basedOn w:val="Normal"/>
    <w:rsid w:val="008818A6"/>
    <w:pPr>
      <w:tabs>
        <w:tab w:val="center" w:pos="9270"/>
      </w:tabs>
      <w:spacing w:after="240"/>
    </w:pPr>
    <w:rPr>
      <w:spacing w:val="-2"/>
    </w:rPr>
  </w:style>
  <w:style w:type="paragraph" w:customStyle="1" w:styleId="Bullet">
    <w:name w:val="Bullet"/>
    <w:basedOn w:val="Normal"/>
    <w:rsid w:val="008818A6"/>
    <w:pPr>
      <w:tabs>
        <w:tab w:val="left" w:pos="2160"/>
      </w:tabs>
      <w:spacing w:after="220"/>
      <w:ind w:left="2160" w:hanging="720"/>
    </w:pPr>
  </w:style>
  <w:style w:type="paragraph" w:customStyle="1" w:styleId="TableFormat">
    <w:name w:val="TableFormat"/>
    <w:basedOn w:val="Bullet"/>
    <w:rsid w:val="008818A6"/>
    <w:pPr>
      <w:tabs>
        <w:tab w:val="clear" w:pos="2160"/>
        <w:tab w:val="left" w:pos="5040"/>
      </w:tabs>
      <w:ind w:left="5040" w:hanging="3600"/>
    </w:pPr>
  </w:style>
  <w:style w:type="paragraph" w:customStyle="1" w:styleId="TOCTitle">
    <w:name w:val="TOC Title"/>
    <w:basedOn w:val="Normal"/>
    <w:rsid w:val="008818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18A6"/>
    <w:pPr>
      <w:jc w:val="center"/>
    </w:pPr>
    <w:rPr>
      <w:rFonts w:ascii="Times New Roman Bold" w:hAnsi="Times New Roman Bold"/>
      <w:b/>
      <w:bCs/>
      <w:caps/>
      <w:szCs w:val="22"/>
    </w:rPr>
  </w:style>
  <w:style w:type="character" w:styleId="Hyperlink">
    <w:name w:val="Hyperlink"/>
    <w:rsid w:val="008818A6"/>
    <w:rPr>
      <w:color w:val="0000FF"/>
      <w:u w:val="single"/>
    </w:rPr>
  </w:style>
  <w:style w:type="paragraph" w:styleId="BodyText">
    <w:name w:val="Body Text"/>
    <w:basedOn w:val="Normal"/>
    <w:link w:val="BodyTextChar"/>
    <w:rsid w:val="00DD50B9"/>
    <w:pPr>
      <w:spacing w:after="120"/>
    </w:pPr>
  </w:style>
  <w:style w:type="character" w:customStyle="1" w:styleId="BodyTextChar">
    <w:name w:val="Body Text Char"/>
    <w:basedOn w:val="DefaultParagraphFont"/>
    <w:link w:val="BodyText"/>
    <w:rsid w:val="00DD50B9"/>
    <w:rPr>
      <w:snapToGrid w:val="0"/>
      <w:kern w:val="28"/>
      <w:sz w:val="22"/>
    </w:rPr>
  </w:style>
  <w:style w:type="character" w:styleId="CommentReference">
    <w:name w:val="annotation reference"/>
    <w:basedOn w:val="DefaultParagraphFont"/>
    <w:rsid w:val="00856EE6"/>
    <w:rPr>
      <w:sz w:val="16"/>
      <w:szCs w:val="16"/>
    </w:rPr>
  </w:style>
  <w:style w:type="paragraph" w:styleId="CommentText">
    <w:name w:val="annotation text"/>
    <w:basedOn w:val="Normal"/>
    <w:link w:val="CommentTextChar"/>
    <w:rsid w:val="00856EE6"/>
    <w:rPr>
      <w:sz w:val="20"/>
    </w:rPr>
  </w:style>
  <w:style w:type="character" w:customStyle="1" w:styleId="CommentTextChar">
    <w:name w:val="Comment Text Char"/>
    <w:basedOn w:val="DefaultParagraphFont"/>
    <w:link w:val="CommentText"/>
    <w:rsid w:val="00856EE6"/>
    <w:rPr>
      <w:snapToGrid w:val="0"/>
      <w:kern w:val="28"/>
    </w:rPr>
  </w:style>
  <w:style w:type="paragraph" w:styleId="CommentSubject">
    <w:name w:val="annotation subject"/>
    <w:basedOn w:val="CommentText"/>
    <w:next w:val="CommentText"/>
    <w:link w:val="CommentSubjectChar"/>
    <w:rsid w:val="00856EE6"/>
    <w:rPr>
      <w:b/>
      <w:bCs/>
    </w:rPr>
  </w:style>
  <w:style w:type="character" w:customStyle="1" w:styleId="CommentSubjectChar">
    <w:name w:val="Comment Subject Char"/>
    <w:basedOn w:val="CommentTextChar"/>
    <w:link w:val="CommentSubject"/>
    <w:rsid w:val="00856EE6"/>
    <w:rPr>
      <w:b/>
      <w:bCs/>
      <w:snapToGrid w:val="0"/>
      <w:kern w:val="28"/>
    </w:rPr>
  </w:style>
  <w:style w:type="paragraph" w:styleId="BalloonText">
    <w:name w:val="Balloon Text"/>
    <w:basedOn w:val="Normal"/>
    <w:link w:val="BalloonTextChar"/>
    <w:rsid w:val="00856EE6"/>
    <w:rPr>
      <w:rFonts w:ascii="Tahoma" w:hAnsi="Tahoma" w:cs="Tahoma"/>
      <w:sz w:val="16"/>
      <w:szCs w:val="16"/>
    </w:rPr>
  </w:style>
  <w:style w:type="character" w:customStyle="1" w:styleId="BalloonTextChar">
    <w:name w:val="Balloon Text Char"/>
    <w:basedOn w:val="DefaultParagraphFont"/>
    <w:link w:val="BalloonText"/>
    <w:rsid w:val="00856EE6"/>
    <w:rPr>
      <w:rFonts w:ascii="Tahoma" w:hAnsi="Tahoma" w:cs="Tahoma"/>
      <w:snapToGrid w:val="0"/>
      <w:kern w:val="28"/>
      <w:sz w:val="16"/>
      <w:szCs w:val="16"/>
    </w:rPr>
  </w:style>
  <w:style w:type="character" w:customStyle="1" w:styleId="FooterChar">
    <w:name w:val="Footer Char"/>
    <w:basedOn w:val="DefaultParagraphFont"/>
    <w:link w:val="Footer"/>
    <w:rsid w:val="00F525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5800">
      <w:bodyDiv w:val="1"/>
      <w:marLeft w:val="0"/>
      <w:marRight w:val="0"/>
      <w:marTop w:val="0"/>
      <w:marBottom w:val="0"/>
      <w:divBdr>
        <w:top w:val="none" w:sz="0" w:space="0" w:color="auto"/>
        <w:left w:val="none" w:sz="0" w:space="0" w:color="auto"/>
        <w:bottom w:val="none" w:sz="0" w:space="0" w:color="auto"/>
        <w:right w:val="none" w:sz="0" w:space="0" w:color="auto"/>
      </w:divBdr>
    </w:div>
    <w:div w:id="1555772715">
      <w:bodyDiv w:val="1"/>
      <w:marLeft w:val="0"/>
      <w:marRight w:val="0"/>
      <w:marTop w:val="0"/>
      <w:marBottom w:val="0"/>
      <w:divBdr>
        <w:top w:val="none" w:sz="0" w:space="0" w:color="auto"/>
        <w:left w:val="none" w:sz="0" w:space="0" w:color="auto"/>
        <w:bottom w:val="none" w:sz="0" w:space="0" w:color="auto"/>
        <w:right w:val="none" w:sz="0" w:space="0" w:color="auto"/>
      </w:divBdr>
      <w:divsChild>
        <w:div w:id="2041934838">
          <w:marLeft w:val="0"/>
          <w:marRight w:val="0"/>
          <w:marTop w:val="0"/>
          <w:marBottom w:val="0"/>
          <w:divBdr>
            <w:top w:val="none" w:sz="0" w:space="0" w:color="auto"/>
            <w:left w:val="none" w:sz="0" w:space="0" w:color="auto"/>
            <w:bottom w:val="none" w:sz="0" w:space="0" w:color="auto"/>
            <w:right w:val="none" w:sz="0" w:space="0" w:color="auto"/>
          </w:divBdr>
        </w:div>
        <w:div w:id="1632594453">
          <w:marLeft w:val="0"/>
          <w:marRight w:val="0"/>
          <w:marTop w:val="0"/>
          <w:marBottom w:val="0"/>
          <w:divBdr>
            <w:top w:val="none" w:sz="0" w:space="0" w:color="auto"/>
            <w:left w:val="none" w:sz="0" w:space="0" w:color="auto"/>
            <w:bottom w:val="none" w:sz="0" w:space="0" w:color="auto"/>
            <w:right w:val="none" w:sz="0" w:space="0" w:color="auto"/>
          </w:divBdr>
        </w:div>
        <w:div w:id="1091927054">
          <w:marLeft w:val="0"/>
          <w:marRight w:val="0"/>
          <w:marTop w:val="0"/>
          <w:marBottom w:val="0"/>
          <w:divBdr>
            <w:top w:val="none" w:sz="0" w:space="0" w:color="auto"/>
            <w:left w:val="none" w:sz="0" w:space="0" w:color="auto"/>
            <w:bottom w:val="none" w:sz="0" w:space="0" w:color="auto"/>
            <w:right w:val="none" w:sz="0" w:space="0" w:color="auto"/>
          </w:divBdr>
        </w:div>
        <w:div w:id="1110320916">
          <w:marLeft w:val="0"/>
          <w:marRight w:val="0"/>
          <w:marTop w:val="0"/>
          <w:marBottom w:val="0"/>
          <w:divBdr>
            <w:top w:val="none" w:sz="0" w:space="0" w:color="auto"/>
            <w:left w:val="none" w:sz="0" w:space="0" w:color="auto"/>
            <w:bottom w:val="none" w:sz="0" w:space="0" w:color="auto"/>
            <w:right w:val="none" w:sz="0" w:space="0" w:color="auto"/>
          </w:divBdr>
        </w:div>
        <w:div w:id="843399292">
          <w:marLeft w:val="0"/>
          <w:marRight w:val="0"/>
          <w:marTop w:val="0"/>
          <w:marBottom w:val="0"/>
          <w:divBdr>
            <w:top w:val="none" w:sz="0" w:space="0" w:color="auto"/>
            <w:left w:val="none" w:sz="0" w:space="0" w:color="auto"/>
            <w:bottom w:val="none" w:sz="0" w:space="0" w:color="auto"/>
            <w:right w:val="none" w:sz="0" w:space="0" w:color="auto"/>
          </w:divBdr>
        </w:div>
        <w:div w:id="2076779857">
          <w:marLeft w:val="0"/>
          <w:marRight w:val="0"/>
          <w:marTop w:val="0"/>
          <w:marBottom w:val="0"/>
          <w:divBdr>
            <w:top w:val="none" w:sz="0" w:space="0" w:color="auto"/>
            <w:left w:val="none" w:sz="0" w:space="0" w:color="auto"/>
            <w:bottom w:val="none" w:sz="0" w:space="0" w:color="auto"/>
            <w:right w:val="none" w:sz="0" w:space="0" w:color="auto"/>
          </w:divBdr>
        </w:div>
        <w:div w:id="699553488">
          <w:marLeft w:val="0"/>
          <w:marRight w:val="0"/>
          <w:marTop w:val="0"/>
          <w:marBottom w:val="0"/>
          <w:divBdr>
            <w:top w:val="none" w:sz="0" w:space="0" w:color="auto"/>
            <w:left w:val="none" w:sz="0" w:space="0" w:color="auto"/>
            <w:bottom w:val="none" w:sz="0" w:space="0" w:color="auto"/>
            <w:right w:val="none" w:sz="0" w:space="0" w:color="auto"/>
          </w:divBdr>
        </w:div>
        <w:div w:id="40053867">
          <w:marLeft w:val="0"/>
          <w:marRight w:val="0"/>
          <w:marTop w:val="0"/>
          <w:marBottom w:val="0"/>
          <w:divBdr>
            <w:top w:val="none" w:sz="0" w:space="0" w:color="auto"/>
            <w:left w:val="none" w:sz="0" w:space="0" w:color="auto"/>
            <w:bottom w:val="none" w:sz="0" w:space="0" w:color="auto"/>
            <w:right w:val="none" w:sz="0" w:space="0" w:color="auto"/>
          </w:divBdr>
        </w:div>
        <w:div w:id="450050189">
          <w:marLeft w:val="0"/>
          <w:marRight w:val="0"/>
          <w:marTop w:val="0"/>
          <w:marBottom w:val="0"/>
          <w:divBdr>
            <w:top w:val="none" w:sz="0" w:space="0" w:color="auto"/>
            <w:left w:val="none" w:sz="0" w:space="0" w:color="auto"/>
            <w:bottom w:val="none" w:sz="0" w:space="0" w:color="auto"/>
            <w:right w:val="none" w:sz="0" w:space="0" w:color="auto"/>
          </w:divBdr>
        </w:div>
        <w:div w:id="210504525">
          <w:marLeft w:val="0"/>
          <w:marRight w:val="0"/>
          <w:marTop w:val="0"/>
          <w:marBottom w:val="0"/>
          <w:divBdr>
            <w:top w:val="none" w:sz="0" w:space="0" w:color="auto"/>
            <w:left w:val="none" w:sz="0" w:space="0" w:color="auto"/>
            <w:bottom w:val="none" w:sz="0" w:space="0" w:color="auto"/>
            <w:right w:val="none" w:sz="0" w:space="0" w:color="auto"/>
          </w:divBdr>
        </w:div>
        <w:div w:id="356123281">
          <w:marLeft w:val="0"/>
          <w:marRight w:val="0"/>
          <w:marTop w:val="0"/>
          <w:marBottom w:val="0"/>
          <w:divBdr>
            <w:top w:val="none" w:sz="0" w:space="0" w:color="auto"/>
            <w:left w:val="none" w:sz="0" w:space="0" w:color="auto"/>
            <w:bottom w:val="none" w:sz="0" w:space="0" w:color="auto"/>
            <w:right w:val="none" w:sz="0" w:space="0" w:color="auto"/>
          </w:divBdr>
        </w:div>
        <w:div w:id="2129333">
          <w:marLeft w:val="0"/>
          <w:marRight w:val="0"/>
          <w:marTop w:val="0"/>
          <w:marBottom w:val="0"/>
          <w:divBdr>
            <w:top w:val="none" w:sz="0" w:space="0" w:color="auto"/>
            <w:left w:val="none" w:sz="0" w:space="0" w:color="auto"/>
            <w:bottom w:val="none" w:sz="0" w:space="0" w:color="auto"/>
            <w:right w:val="none" w:sz="0" w:space="0" w:color="auto"/>
          </w:divBdr>
        </w:div>
        <w:div w:id="1132862492">
          <w:marLeft w:val="0"/>
          <w:marRight w:val="0"/>
          <w:marTop w:val="0"/>
          <w:marBottom w:val="0"/>
          <w:divBdr>
            <w:top w:val="none" w:sz="0" w:space="0" w:color="auto"/>
            <w:left w:val="none" w:sz="0" w:space="0" w:color="auto"/>
            <w:bottom w:val="none" w:sz="0" w:space="0" w:color="auto"/>
            <w:right w:val="none" w:sz="0" w:space="0" w:color="auto"/>
          </w:divBdr>
        </w:div>
        <w:div w:id="1619098165">
          <w:marLeft w:val="0"/>
          <w:marRight w:val="0"/>
          <w:marTop w:val="0"/>
          <w:marBottom w:val="0"/>
          <w:divBdr>
            <w:top w:val="none" w:sz="0" w:space="0" w:color="auto"/>
            <w:left w:val="none" w:sz="0" w:space="0" w:color="auto"/>
            <w:bottom w:val="none" w:sz="0" w:space="0" w:color="auto"/>
            <w:right w:val="none" w:sz="0" w:space="0" w:color="auto"/>
          </w:divBdr>
        </w:div>
        <w:div w:id="1700161210">
          <w:marLeft w:val="0"/>
          <w:marRight w:val="0"/>
          <w:marTop w:val="0"/>
          <w:marBottom w:val="0"/>
          <w:divBdr>
            <w:top w:val="none" w:sz="0" w:space="0" w:color="auto"/>
            <w:left w:val="none" w:sz="0" w:space="0" w:color="auto"/>
            <w:bottom w:val="none" w:sz="0" w:space="0" w:color="auto"/>
            <w:right w:val="none" w:sz="0" w:space="0" w:color="auto"/>
          </w:divBdr>
        </w:div>
        <w:div w:id="435711146">
          <w:marLeft w:val="0"/>
          <w:marRight w:val="0"/>
          <w:marTop w:val="0"/>
          <w:marBottom w:val="0"/>
          <w:divBdr>
            <w:top w:val="none" w:sz="0" w:space="0" w:color="auto"/>
            <w:left w:val="none" w:sz="0" w:space="0" w:color="auto"/>
            <w:bottom w:val="none" w:sz="0" w:space="0" w:color="auto"/>
            <w:right w:val="none" w:sz="0" w:space="0" w:color="auto"/>
          </w:divBdr>
        </w:div>
        <w:div w:id="1683579823">
          <w:marLeft w:val="0"/>
          <w:marRight w:val="0"/>
          <w:marTop w:val="0"/>
          <w:marBottom w:val="0"/>
          <w:divBdr>
            <w:top w:val="none" w:sz="0" w:space="0" w:color="auto"/>
            <w:left w:val="none" w:sz="0" w:space="0" w:color="auto"/>
            <w:bottom w:val="none" w:sz="0" w:space="0" w:color="auto"/>
            <w:right w:val="none" w:sz="0" w:space="0" w:color="auto"/>
          </w:divBdr>
        </w:div>
      </w:divsChild>
    </w:div>
    <w:div w:id="1622682774">
      <w:bodyDiv w:val="1"/>
      <w:marLeft w:val="0"/>
      <w:marRight w:val="0"/>
      <w:marTop w:val="0"/>
      <w:marBottom w:val="0"/>
      <w:divBdr>
        <w:top w:val="none" w:sz="0" w:space="0" w:color="auto"/>
        <w:left w:val="none" w:sz="0" w:space="0" w:color="auto"/>
        <w:bottom w:val="none" w:sz="0" w:space="0" w:color="auto"/>
        <w:right w:val="none" w:sz="0" w:space="0" w:color="auto"/>
      </w:divBdr>
      <w:divsChild>
        <w:div w:id="1788311082">
          <w:marLeft w:val="0"/>
          <w:marRight w:val="0"/>
          <w:marTop w:val="0"/>
          <w:marBottom w:val="0"/>
          <w:divBdr>
            <w:top w:val="none" w:sz="0" w:space="0" w:color="auto"/>
            <w:left w:val="none" w:sz="0" w:space="0" w:color="auto"/>
            <w:bottom w:val="none" w:sz="0" w:space="0" w:color="auto"/>
            <w:right w:val="none" w:sz="0" w:space="0" w:color="auto"/>
          </w:divBdr>
          <w:divsChild>
            <w:div w:id="1578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973</Words>
  <Characters>5433</Characters>
  <Application>Microsoft Office Word</Application>
  <DocSecurity>0</DocSecurity>
  <Lines>126</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6422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2014-06-30T19:02:00Z</cp:lastPrinted>
  <dcterms:created xsi:type="dcterms:W3CDTF">2014-08-12T15:34:00Z</dcterms:created>
  <dcterms:modified xsi:type="dcterms:W3CDTF">2014-08-12T15:34:00Z</dcterms:modified>
  <cp:category> </cp:category>
  <cp:contentStatus> </cp:contentStatus>
</cp:coreProperties>
</file>