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C90ABA">
            <w:pPr>
              <w:tabs>
                <w:tab w:val="center" w:pos="4680"/>
              </w:tabs>
              <w:suppressAutoHyphens/>
              <w:rPr>
                <w:spacing w:val="-2"/>
              </w:rPr>
            </w:pPr>
            <w:r>
              <w:rPr>
                <w:spacing w:val="-2"/>
              </w:rPr>
              <w:t xml:space="preserve">In </w:t>
            </w:r>
            <w:r w:rsidR="00BB2CAC">
              <w:rPr>
                <w:spacing w:val="-2"/>
              </w:rPr>
              <w:t>the</w:t>
            </w:r>
            <w:r>
              <w:rPr>
                <w:spacing w:val="-2"/>
              </w:rPr>
              <w:t xml:space="preserve"> </w:t>
            </w:r>
            <w:r w:rsidR="00607AFA">
              <w:rPr>
                <w:spacing w:val="-2"/>
              </w:rPr>
              <w:t>Matter of</w:t>
            </w:r>
            <w:r>
              <w:rPr>
                <w:spacing w:val="-2"/>
              </w:rPr>
              <w:t xml:space="preserve"> </w:t>
            </w:r>
          </w:p>
          <w:p w:rsidR="004C2EE3" w:rsidRDefault="004C2EE3">
            <w:pPr>
              <w:tabs>
                <w:tab w:val="center" w:pos="4680"/>
              </w:tabs>
              <w:suppressAutoHyphens/>
              <w:rPr>
                <w:spacing w:val="-2"/>
              </w:rPr>
            </w:pPr>
          </w:p>
          <w:p w:rsidR="00607AFA" w:rsidRDefault="00C90ABA" w:rsidP="007115F7">
            <w:pPr>
              <w:tabs>
                <w:tab w:val="center" w:pos="4680"/>
              </w:tabs>
              <w:suppressAutoHyphens/>
              <w:rPr>
                <w:spacing w:val="-2"/>
              </w:rPr>
            </w:pPr>
            <w:r>
              <w:rPr>
                <w:spacing w:val="-2"/>
              </w:rPr>
              <w:t xml:space="preserve">Nelson Multimedia, Inc. </w:t>
            </w:r>
          </w:p>
          <w:p w:rsidR="00607AFA" w:rsidRDefault="00607AFA" w:rsidP="007115F7">
            <w:pPr>
              <w:tabs>
                <w:tab w:val="center" w:pos="4680"/>
              </w:tabs>
              <w:suppressAutoHyphens/>
              <w:rPr>
                <w:spacing w:val="-2"/>
              </w:rPr>
            </w:pPr>
          </w:p>
          <w:p w:rsidR="00607AFA" w:rsidRDefault="00607AFA" w:rsidP="00607AFA">
            <w:pPr>
              <w:tabs>
                <w:tab w:val="center" w:pos="4680"/>
              </w:tabs>
              <w:suppressAutoHyphens/>
              <w:rPr>
                <w:spacing w:val="-2"/>
              </w:rPr>
            </w:pPr>
            <w:r>
              <w:rPr>
                <w:spacing w:val="-2"/>
              </w:rPr>
              <w:t xml:space="preserve">Application </w:t>
            </w:r>
            <w:r w:rsidR="00C90ABA">
              <w:rPr>
                <w:spacing w:val="-2"/>
              </w:rPr>
              <w:t>for a</w:t>
            </w:r>
            <w:r>
              <w:rPr>
                <w:spacing w:val="-2"/>
              </w:rPr>
              <w:t xml:space="preserve"> </w:t>
            </w:r>
            <w:r w:rsidR="00C90ABA">
              <w:rPr>
                <w:spacing w:val="-2"/>
              </w:rPr>
              <w:t xml:space="preserve">Major Change to </w:t>
            </w:r>
          </w:p>
          <w:p w:rsidR="00C90ABA" w:rsidRPr="007115F7" w:rsidRDefault="002B64BC" w:rsidP="00607AFA">
            <w:pPr>
              <w:tabs>
                <w:tab w:val="center" w:pos="4680"/>
              </w:tabs>
              <w:suppressAutoHyphens/>
              <w:rPr>
                <w:spacing w:val="-2"/>
              </w:rPr>
            </w:pPr>
            <w:r>
              <w:rPr>
                <w:spacing w:val="-2"/>
              </w:rPr>
              <w:t>the</w:t>
            </w:r>
            <w:r w:rsidR="006829F1">
              <w:rPr>
                <w:spacing w:val="-2"/>
              </w:rPr>
              <w:t xml:space="preserve"> Licensed</w:t>
            </w:r>
            <w:r>
              <w:rPr>
                <w:spacing w:val="-2"/>
              </w:rPr>
              <w:t xml:space="preserve"> Facilities of </w:t>
            </w:r>
            <w:r>
              <w:rPr>
                <w:spacing w:val="-2"/>
              </w:rPr>
              <w:br/>
            </w:r>
            <w:r w:rsidR="00C90ABA">
              <w:rPr>
                <w:spacing w:val="-2"/>
              </w:rPr>
              <w:t>WSPY(AM), Geneva, Illinois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607AFA" w:rsidRDefault="00607AFA">
            <w:pPr>
              <w:tabs>
                <w:tab w:val="center" w:pos="4680"/>
              </w:tabs>
              <w:suppressAutoHyphens/>
              <w:rPr>
                <w:b/>
                <w:spacing w:val="-2"/>
              </w:rPr>
            </w:pPr>
            <w:r>
              <w:rPr>
                <w:b/>
                <w:spacing w:val="-2"/>
              </w:rPr>
              <w:t>)</w:t>
            </w:r>
          </w:p>
          <w:p w:rsidR="00607AFA" w:rsidRDefault="00607AFA">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07AFA" w:rsidRDefault="00607AFA" w:rsidP="00C90ABA">
            <w:pPr>
              <w:tabs>
                <w:tab w:val="left" w:pos="882"/>
                <w:tab w:val="center" w:pos="4680"/>
              </w:tabs>
              <w:suppressAutoHyphens/>
              <w:rPr>
                <w:spacing w:val="-2"/>
              </w:rPr>
            </w:pPr>
          </w:p>
          <w:p w:rsidR="00607AFA" w:rsidRDefault="00607AFA" w:rsidP="00C90ABA">
            <w:pPr>
              <w:tabs>
                <w:tab w:val="left" w:pos="882"/>
                <w:tab w:val="center" w:pos="4680"/>
              </w:tabs>
              <w:suppressAutoHyphens/>
              <w:rPr>
                <w:spacing w:val="-2"/>
              </w:rPr>
            </w:pPr>
          </w:p>
          <w:p w:rsidR="00C90ABA" w:rsidRDefault="00C90ABA" w:rsidP="00C90ABA">
            <w:pPr>
              <w:tabs>
                <w:tab w:val="left" w:pos="882"/>
                <w:tab w:val="center" w:pos="4680"/>
              </w:tabs>
              <w:suppressAutoHyphens/>
              <w:rPr>
                <w:spacing w:val="-2"/>
              </w:rPr>
            </w:pPr>
            <w:r>
              <w:rPr>
                <w:spacing w:val="-2"/>
              </w:rPr>
              <w:t xml:space="preserve">File Nos. </w:t>
            </w:r>
            <w:r>
              <w:rPr>
                <w:spacing w:val="-2"/>
              </w:rPr>
              <w:tab/>
              <w:t xml:space="preserve">BMJP-20040127ACW </w:t>
            </w:r>
          </w:p>
          <w:p w:rsidR="004C2EE3" w:rsidRDefault="00C90ABA" w:rsidP="00C90ABA">
            <w:pPr>
              <w:tabs>
                <w:tab w:val="left" w:pos="882"/>
                <w:tab w:val="center" w:pos="4680"/>
              </w:tabs>
              <w:suppressAutoHyphens/>
              <w:rPr>
                <w:spacing w:val="-2"/>
              </w:rPr>
            </w:pPr>
            <w:r>
              <w:rPr>
                <w:spacing w:val="-2"/>
              </w:rPr>
              <w:tab/>
              <w:t>BMJP-20051031ADG</w:t>
            </w:r>
          </w:p>
          <w:p w:rsidR="00C90ABA" w:rsidRDefault="00C90ABA" w:rsidP="00C90ABA">
            <w:pPr>
              <w:tabs>
                <w:tab w:val="left" w:pos="882"/>
                <w:tab w:val="center" w:pos="4680"/>
              </w:tabs>
              <w:suppressAutoHyphens/>
              <w:rPr>
                <w:spacing w:val="-2"/>
              </w:rPr>
            </w:pPr>
            <w:r>
              <w:rPr>
                <w:spacing w:val="-2"/>
              </w:rPr>
              <w:t>Facility ID No. 69700</w:t>
            </w:r>
          </w:p>
        </w:tc>
      </w:tr>
    </w:tbl>
    <w:p w:rsidR="004C2EE3" w:rsidRDefault="004C2EE3" w:rsidP="0070224F"/>
    <w:p w:rsidR="00841AB1" w:rsidRDefault="00C90ABA"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2D6190">
        <w:rPr>
          <w:b/>
          <w:spacing w:val="-2"/>
        </w:rPr>
        <w:t>August 13,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D6190">
        <w:rPr>
          <w:b/>
          <w:spacing w:val="-2"/>
        </w:rPr>
        <w:t>August 14, 2014</w:t>
      </w:r>
    </w:p>
    <w:p w:rsidR="00822CE0" w:rsidRDefault="00822CE0"/>
    <w:p w:rsidR="004C2EE3" w:rsidRDefault="004C2EE3">
      <w:pPr>
        <w:rPr>
          <w:spacing w:val="-2"/>
        </w:rPr>
      </w:pPr>
      <w:r>
        <w:t xml:space="preserve">By </w:t>
      </w:r>
      <w:r w:rsidR="004E4A22">
        <w:t>the</w:t>
      </w:r>
      <w:r w:rsidR="002A2D2E">
        <w:t xml:space="preserve"> </w:t>
      </w:r>
      <w:r w:rsidR="005B1E4A">
        <w:rPr>
          <w:spacing w:val="-2"/>
        </w:rPr>
        <w:t>Commission</w:t>
      </w:r>
      <w:r>
        <w:rPr>
          <w:spacing w:val="-2"/>
        </w:rPr>
        <w:t>:</w:t>
      </w:r>
    </w:p>
    <w:p w:rsidR="00412FC5" w:rsidRDefault="00412FC5" w:rsidP="00412FC5"/>
    <w:p w:rsidR="002C00E8" w:rsidRDefault="001C3317" w:rsidP="005B1E4A">
      <w:pPr>
        <w:pStyle w:val="ParaNum"/>
        <w:tabs>
          <w:tab w:val="clear" w:pos="1440"/>
        </w:tabs>
      </w:pPr>
      <w:r>
        <w:t>We have before us an Application for Review (“AFR”) filed on August 29, 2011, by Nelson Multimedia, Inc. (“Nelson</w:t>
      </w:r>
      <w:r w:rsidR="00DD2622">
        <w:t>”</w:t>
      </w:r>
      <w:r>
        <w:t xml:space="preserve">).  Nelson seeks review </w:t>
      </w:r>
      <w:r w:rsidR="00DC0862">
        <w:t xml:space="preserve">of </w:t>
      </w:r>
      <w:r>
        <w:t xml:space="preserve">the Media Bureau’s (“Bureau”) dismissal of its application </w:t>
      </w:r>
      <w:r w:rsidR="00794ED7">
        <w:t xml:space="preserve">(“Application”) </w:t>
      </w:r>
      <w:r>
        <w:t>to change the community of license of WSPY(AM)</w:t>
      </w:r>
      <w:r w:rsidR="00794ED7">
        <w:t xml:space="preserve"> </w:t>
      </w:r>
      <w:r>
        <w:t>from Geneva to Millbrook, Illinois</w:t>
      </w:r>
      <w:r w:rsidR="00DC0862">
        <w:t>.</w:t>
      </w:r>
      <w:r w:rsidR="003814B3">
        <w:rPr>
          <w:rStyle w:val="FootnoteReference"/>
        </w:rPr>
        <w:footnoteReference w:id="2"/>
      </w:r>
      <w:r w:rsidR="00DC0862">
        <w:t xml:space="preserve">  </w:t>
      </w:r>
      <w:r w:rsidR="004B7234">
        <w:t xml:space="preserve">WSPY(AM) is the sole local transmission service licensed to Geneva.  </w:t>
      </w:r>
      <w:r w:rsidR="00DC0862">
        <w:t xml:space="preserve">The Bureau dismissed the Application after rejecting Nelson’s argument that the Commission should grant the Application pursuant to its interference reduction </w:t>
      </w:r>
      <w:r w:rsidR="00794ED7">
        <w:t>policies</w:t>
      </w:r>
      <w:r w:rsidR="00794ED7">
        <w:rPr>
          <w:rStyle w:val="FootnoteReference"/>
        </w:rPr>
        <w:footnoteReference w:id="3"/>
      </w:r>
      <w:r w:rsidR="00DC0862">
        <w:t xml:space="preserve"> and denying Nelson’s request for waiver of the Commission’s policy prohibiting the removal of a community’s sole local </w:t>
      </w:r>
      <w:r w:rsidR="004B7234">
        <w:t xml:space="preserve">transmission </w:t>
      </w:r>
      <w:r w:rsidR="00DC0862">
        <w:t>service.</w:t>
      </w:r>
      <w:r w:rsidR="00794ED7">
        <w:rPr>
          <w:rStyle w:val="FootnoteReference"/>
        </w:rPr>
        <w:footnoteReference w:id="4"/>
      </w:r>
      <w:r w:rsidR="00DC0862">
        <w:t xml:space="preserve">  The Bureau went on to note that, eve</w:t>
      </w:r>
      <w:r w:rsidR="0020762E">
        <w:t>n if it had found waiver</w:t>
      </w:r>
      <w:r w:rsidR="00DC0862">
        <w:t xml:space="preserve"> </w:t>
      </w:r>
      <w:r w:rsidR="00F86FAA">
        <w:t>justified</w:t>
      </w:r>
      <w:r w:rsidR="00DC0862">
        <w:t xml:space="preserve"> and performed a traditional fair distribution analysis</w:t>
      </w:r>
      <w:r w:rsidR="0020762E">
        <w:t xml:space="preserve"> pursuant to Section 307(b) of the Communications Act of 1934, as amended (“Act”)</w:t>
      </w:r>
      <w:r w:rsidR="00DC0862">
        <w:t>, it still</w:t>
      </w:r>
      <w:r w:rsidR="0020762E">
        <w:t xml:space="preserve"> would</w:t>
      </w:r>
      <w:r w:rsidR="00DC0862">
        <w:t xml:space="preserve"> have </w:t>
      </w:r>
      <w:r w:rsidR="00910081">
        <w:t>rejected the proposal</w:t>
      </w:r>
      <w:r w:rsidR="00DC0862">
        <w:t>.</w:t>
      </w:r>
    </w:p>
    <w:p w:rsidR="00DC0862" w:rsidRDefault="00794ED7" w:rsidP="005B1E4A">
      <w:pPr>
        <w:pStyle w:val="ParaNum"/>
        <w:tabs>
          <w:tab w:val="clear" w:pos="1440"/>
        </w:tabs>
      </w:pPr>
      <w:r>
        <w:t>Nelson challenges</w:t>
      </w:r>
      <w:r w:rsidR="00F86FAA">
        <w:t xml:space="preserve"> </w:t>
      </w:r>
      <w:r>
        <w:t xml:space="preserve">the Bureau’s </w:t>
      </w:r>
      <w:r w:rsidR="00F86FAA">
        <w:t xml:space="preserve">finding </w:t>
      </w:r>
      <w:r w:rsidR="008F5F49">
        <w:t xml:space="preserve">that the Commission’s interference reduction </w:t>
      </w:r>
      <w:r w:rsidR="0020762E">
        <w:t>policies apply only where an</w:t>
      </w:r>
      <w:r w:rsidR="008F5F49">
        <w:t xml:space="preserve"> interstation agreement to reduce interference</w:t>
      </w:r>
      <w:r w:rsidR="0020762E">
        <w:t xml:space="preserve"> is involved</w:t>
      </w:r>
      <w:r w:rsidR="008F5F49">
        <w:t>.</w:t>
      </w:r>
      <w:r w:rsidR="00A955B1">
        <w:rPr>
          <w:rStyle w:val="FootnoteReference"/>
        </w:rPr>
        <w:footnoteReference w:id="5"/>
      </w:r>
      <w:r w:rsidR="008F5F49">
        <w:t xml:space="preserve">  After reviewing the entire record, we conclude that Nelson has failed to demonstrate that the Bureau erred.  The Bureau properly decided the question of whether the interference reduction </w:t>
      </w:r>
      <w:r w:rsidR="00A955B1">
        <w:t>policies</w:t>
      </w:r>
      <w:r w:rsidR="008F5F49">
        <w:t xml:space="preserve"> </w:t>
      </w:r>
      <w:r w:rsidR="0020762E">
        <w:t xml:space="preserve">apply in the absence of an </w:t>
      </w:r>
      <w:r w:rsidR="0020762E">
        <w:lastRenderedPageBreak/>
        <w:t>interstation agreement to reduce interference</w:t>
      </w:r>
      <w:r w:rsidR="000019D2">
        <w:t xml:space="preserve"> and that, since Nelson had failed to indicate that it had entered into such an agreement in connection with its Application, it could not invoke the policies</w:t>
      </w:r>
      <w:r w:rsidR="0020762E">
        <w:t>.  W</w:t>
      </w:r>
      <w:r w:rsidR="008F5F49">
        <w:t xml:space="preserve">e uphold </w:t>
      </w:r>
      <w:r w:rsidR="0020762E">
        <w:t>the Bureau’s</w:t>
      </w:r>
      <w:r w:rsidR="008F5F49">
        <w:t xml:space="preserve"> finding for the reasons stated in its decision.</w:t>
      </w:r>
      <w:r w:rsidR="00A955B1">
        <w:rPr>
          <w:rStyle w:val="FootnoteReference"/>
        </w:rPr>
        <w:footnoteReference w:id="6"/>
      </w:r>
    </w:p>
    <w:p w:rsidR="00433A02" w:rsidRDefault="008F5F49" w:rsidP="00433A02">
      <w:pPr>
        <w:pStyle w:val="ParaNum"/>
        <w:tabs>
          <w:tab w:val="clear" w:pos="1440"/>
        </w:tabs>
      </w:pPr>
      <w:r>
        <w:t xml:space="preserve">Nelson also asserts that </w:t>
      </w:r>
      <w:r w:rsidR="00392B08">
        <w:t xml:space="preserve">the Bureau erred in denying its request for a waiver of the Commission’s </w:t>
      </w:r>
      <w:r w:rsidR="0020762E">
        <w:t xml:space="preserve">policy prohibiting the </w:t>
      </w:r>
      <w:r w:rsidR="00392B08">
        <w:t>removal of a community’s sole local service.</w:t>
      </w:r>
      <w:r w:rsidR="00A955B1">
        <w:rPr>
          <w:rStyle w:val="FootnoteReference"/>
        </w:rPr>
        <w:footnoteReference w:id="7"/>
      </w:r>
      <w:r w:rsidR="00392B08">
        <w:t xml:space="preserve">  </w:t>
      </w:r>
      <w:r w:rsidR="004837DB">
        <w:t xml:space="preserve">Nelson based its waiver request on the fact that the </w:t>
      </w:r>
      <w:r w:rsidR="00997B5D">
        <w:t>WSPY(AM)’s</w:t>
      </w:r>
      <w:r w:rsidR="004837DB">
        <w:t xml:space="preserve"> </w:t>
      </w:r>
      <w:r w:rsidR="00433A02">
        <w:t xml:space="preserve">licensed </w:t>
      </w:r>
      <w:r w:rsidR="004837DB">
        <w:t>transmitter site</w:t>
      </w:r>
      <w:r w:rsidR="00433A02">
        <w:t xml:space="preserve"> was unavailable</w:t>
      </w:r>
      <w:r w:rsidR="004837DB">
        <w:t xml:space="preserve">.  </w:t>
      </w:r>
      <w:r w:rsidR="008B362D">
        <w:t>Specifically, Nelson relied on the fact that, w</w:t>
      </w:r>
      <w:r w:rsidR="004837DB">
        <w:t xml:space="preserve">hen it acquired </w:t>
      </w:r>
      <w:r w:rsidR="00997B5D">
        <w:t>WSPY(AM)</w:t>
      </w:r>
      <w:r w:rsidR="004837DB">
        <w:t xml:space="preserve">, </w:t>
      </w:r>
      <w:r w:rsidR="00997B5D">
        <w:t>the station’s</w:t>
      </w:r>
      <w:r w:rsidR="004837DB">
        <w:t xml:space="preserve"> licensed transmitter site was under development and unavailable for purchase or use by </w:t>
      </w:r>
      <w:r w:rsidR="008B362D">
        <w:t>it</w:t>
      </w:r>
      <w:r w:rsidR="004837DB">
        <w:t xml:space="preserve">.  Nelson </w:t>
      </w:r>
      <w:r w:rsidR="008B362D">
        <w:t xml:space="preserve">also </w:t>
      </w:r>
      <w:r w:rsidR="004837DB">
        <w:t xml:space="preserve">submitted evidence purporting to demonstrate that it had engaged in an exhaustive but fruitless search </w:t>
      </w:r>
      <w:r w:rsidR="00A955B1">
        <w:t xml:space="preserve">for </w:t>
      </w:r>
      <w:r w:rsidR="004837DB">
        <w:t xml:space="preserve">a new site but could not find one that would provide adequate community coverage.  The Bureau found unconvincing the foundation of Nelson’s argument in support of a waiver, noting that Nelson purchased </w:t>
      </w:r>
      <w:r w:rsidR="00997B5D">
        <w:t>WSPY(AM)</w:t>
      </w:r>
      <w:r w:rsidR="004837DB">
        <w:t xml:space="preserve"> with full knowledge that it lacked a transmitter site.</w:t>
      </w:r>
      <w:r w:rsidR="00A955B1">
        <w:rPr>
          <w:rStyle w:val="FootnoteReference"/>
        </w:rPr>
        <w:footnoteReference w:id="8"/>
      </w:r>
      <w:r w:rsidR="004837DB">
        <w:t xml:space="preserve">  The Bureau also deemed insufficient the evidence that Nelson submitted regarding its search for a new site.</w:t>
      </w:r>
      <w:r w:rsidR="00A955B1">
        <w:rPr>
          <w:rStyle w:val="FootnoteReference"/>
        </w:rPr>
        <w:footnoteReference w:id="9"/>
      </w:r>
      <w:r w:rsidR="004837DB">
        <w:t xml:space="preserve">  </w:t>
      </w:r>
      <w:r w:rsidR="008B362D">
        <w:t>We have reviewed</w:t>
      </w:r>
      <w:r w:rsidR="00433A02">
        <w:t xml:space="preserve"> the entire record and all of the evidence submitted by Nelson</w:t>
      </w:r>
      <w:r w:rsidR="008B362D">
        <w:t xml:space="preserve"> and </w:t>
      </w:r>
      <w:r w:rsidR="00433A02">
        <w:t>conclude that Nelson failed to demonstrate the Bureau erred.  The Bureau properly rejected Nelson’s request for a waiver of the policy prohibiting the removal of a community’s sole local service</w:t>
      </w:r>
      <w:r w:rsidR="008B362D">
        <w:t>.  Accordingly,</w:t>
      </w:r>
      <w:r w:rsidR="00433A02">
        <w:t xml:space="preserve"> we uphold </w:t>
      </w:r>
      <w:r w:rsidR="008B362D">
        <w:t>the Bureau’s</w:t>
      </w:r>
      <w:r w:rsidR="00433A02">
        <w:t xml:space="preserve"> finding for the reasons stated in its decision.</w:t>
      </w:r>
      <w:r w:rsidR="00433A02">
        <w:rPr>
          <w:rStyle w:val="FootnoteReference"/>
        </w:rPr>
        <w:footnoteReference w:id="10"/>
      </w:r>
    </w:p>
    <w:p w:rsidR="00997B5D" w:rsidRDefault="00DF2798" w:rsidP="005B1E4A">
      <w:pPr>
        <w:pStyle w:val="ParaNum"/>
        <w:tabs>
          <w:tab w:val="clear" w:pos="1440"/>
        </w:tabs>
      </w:pPr>
      <w:r>
        <w:t xml:space="preserve">Finally, Nelson cites the requirement set forth in Section 307(b) of the </w:t>
      </w:r>
      <w:r w:rsidR="008B362D">
        <w:t>Act</w:t>
      </w:r>
      <w:r>
        <w:t xml:space="preserve"> that the Commission “make such distribution of licenses … as to provide a fair, efficient, and equitable distribution of radio service.”</w:t>
      </w:r>
      <w:r w:rsidR="005A503B">
        <w:rPr>
          <w:rStyle w:val="FootnoteReference"/>
        </w:rPr>
        <w:footnoteReference w:id="11"/>
      </w:r>
      <w:r>
        <w:t xml:space="preserve">  Nelson </w:t>
      </w:r>
      <w:r w:rsidR="00CF0148">
        <w:t>claim</w:t>
      </w:r>
      <w:r w:rsidR="00A45FE2">
        <w:t xml:space="preserve">s the Bureau failed to consider the </w:t>
      </w:r>
      <w:r>
        <w:t xml:space="preserve">efficiency aspect of this mandate.  We reject this argument.  </w:t>
      </w:r>
      <w:r w:rsidR="008910C0">
        <w:t xml:space="preserve">By its terms, Section 307(b) sets forth a three-part standard for the licensing of proposed new stations and station relocations.  Thus, </w:t>
      </w:r>
      <w:r w:rsidR="00B73636">
        <w:t xml:space="preserve">Nelson’s </w:t>
      </w:r>
      <w:r w:rsidR="008910C0">
        <w:t xml:space="preserve">attempt to justify the proposed community of license </w:t>
      </w:r>
      <w:r w:rsidR="00B73636">
        <w:t xml:space="preserve">change </w:t>
      </w:r>
      <w:r w:rsidR="008910C0">
        <w:t>solely on “efficiency” grounds is misguided.  Moreover, the Commission has developed specific standards to carry out its Section 307(b) mandate</w:t>
      </w:r>
      <w:r>
        <w:t>.</w:t>
      </w:r>
      <w:r w:rsidR="005A503B">
        <w:rPr>
          <w:rStyle w:val="FootnoteReference"/>
        </w:rPr>
        <w:footnoteReference w:id="12"/>
      </w:r>
      <w:r>
        <w:t xml:space="preserve">  </w:t>
      </w:r>
      <w:r w:rsidR="00B73636">
        <w:t>We conclude that t</w:t>
      </w:r>
      <w:r>
        <w:t xml:space="preserve">he Bureau properly applied these policies, both in rejecting Nelson’s waiver request and in finding that, </w:t>
      </w:r>
      <w:r w:rsidR="00BE3DD7">
        <w:t>had it</w:t>
      </w:r>
      <w:r>
        <w:t xml:space="preserve"> perform</w:t>
      </w:r>
      <w:r w:rsidR="00BE3DD7">
        <w:t>ed</w:t>
      </w:r>
      <w:r>
        <w:t xml:space="preserve"> a traditional </w:t>
      </w:r>
      <w:r w:rsidR="008B362D">
        <w:t>fair distribution</w:t>
      </w:r>
      <w:r>
        <w:t xml:space="preserve"> analysis, it would reject Nelson’s proposal. </w:t>
      </w:r>
    </w:p>
    <w:p w:rsidR="00997B5D" w:rsidRDefault="00997B5D">
      <w:pPr>
        <w:widowControl/>
      </w:pPr>
      <w:r>
        <w:br w:type="page"/>
      </w:r>
    </w:p>
    <w:p w:rsidR="00DF2798" w:rsidRDefault="00DF2798" w:rsidP="005B1E4A">
      <w:pPr>
        <w:pStyle w:val="ParaNum"/>
        <w:ind w:left="90" w:firstLine="630"/>
      </w:pPr>
      <w:r w:rsidRPr="00DF2798">
        <w:rPr>
          <w:szCs w:val="22"/>
        </w:rPr>
        <w:lastRenderedPageBreak/>
        <w:t>ACCORDINGLY, IT IS ORDERED that, pursuant to Section 5(c)(5) of the Communications Act of 1934, as amended,</w:t>
      </w:r>
      <w:r w:rsidRPr="00EC5899">
        <w:rPr>
          <w:rStyle w:val="FootnoteReference"/>
          <w:szCs w:val="22"/>
        </w:rPr>
        <w:footnoteReference w:id="13"/>
      </w:r>
      <w:r w:rsidRPr="00DF2798">
        <w:rPr>
          <w:szCs w:val="22"/>
        </w:rPr>
        <w:t xml:space="preserve"> and Section</w:t>
      </w:r>
      <w:r>
        <w:rPr>
          <w:szCs w:val="22"/>
        </w:rPr>
        <w:t>s</w:t>
      </w:r>
      <w:r w:rsidRPr="00DF2798">
        <w:rPr>
          <w:szCs w:val="22"/>
        </w:rPr>
        <w:t xml:space="preserve"> 1.115(c) </w:t>
      </w:r>
      <w:r>
        <w:rPr>
          <w:szCs w:val="22"/>
        </w:rPr>
        <w:t xml:space="preserve">and (g) </w:t>
      </w:r>
      <w:r w:rsidRPr="00DF2798">
        <w:rPr>
          <w:szCs w:val="22"/>
        </w:rPr>
        <w:t>of the Commission’s Rules,</w:t>
      </w:r>
      <w:r w:rsidRPr="00EC5899">
        <w:rPr>
          <w:rStyle w:val="FootnoteReference"/>
          <w:szCs w:val="22"/>
        </w:rPr>
        <w:footnoteReference w:id="14"/>
      </w:r>
      <w:r w:rsidRPr="00DF2798">
        <w:rPr>
          <w:szCs w:val="22"/>
        </w:rPr>
        <w:t xml:space="preserve"> the Application for Review filed by </w:t>
      </w:r>
      <w:r>
        <w:rPr>
          <w:szCs w:val="22"/>
        </w:rPr>
        <w:t>Nelson Multimedia, Inc. on August 29, 2011,</w:t>
      </w:r>
      <w:r w:rsidRPr="00DF2798">
        <w:rPr>
          <w:szCs w:val="22"/>
        </w:rPr>
        <w:t xml:space="preserve"> IS </w:t>
      </w:r>
      <w:r w:rsidR="00B73636">
        <w:rPr>
          <w:szCs w:val="22"/>
        </w:rPr>
        <w:t xml:space="preserve">DENIED in part and </w:t>
      </w:r>
      <w:r w:rsidRPr="00DF2798">
        <w:rPr>
          <w:szCs w:val="22"/>
        </w:rPr>
        <w:t>DISMISSED</w:t>
      </w:r>
      <w:r w:rsidR="00B73636">
        <w:rPr>
          <w:szCs w:val="22"/>
        </w:rPr>
        <w:t xml:space="preserve"> in part</w:t>
      </w:r>
      <w:r w:rsidRPr="00DF2798">
        <w:rPr>
          <w:szCs w:val="22"/>
        </w:rPr>
        <w:t xml:space="preserve">.  </w:t>
      </w:r>
    </w:p>
    <w:p w:rsidR="00DC0862" w:rsidRDefault="00DC0862" w:rsidP="0017296B">
      <w:r>
        <w:tab/>
      </w:r>
      <w:r>
        <w:tab/>
      </w:r>
      <w:r>
        <w:tab/>
      </w:r>
      <w:r>
        <w:tab/>
      </w:r>
      <w:r>
        <w:tab/>
      </w:r>
      <w:r>
        <w:tab/>
        <w:t>FEDERAL COMMUNICATIONS COMMISSION</w:t>
      </w:r>
    </w:p>
    <w:p w:rsidR="00DC0862" w:rsidRDefault="00DC0862" w:rsidP="0017296B"/>
    <w:p w:rsidR="00DC0862" w:rsidRDefault="00DC0862" w:rsidP="0017296B"/>
    <w:p w:rsidR="00DC0862" w:rsidRDefault="00DC0862" w:rsidP="0017296B"/>
    <w:p w:rsidR="00DC0862" w:rsidRDefault="00DC0862" w:rsidP="0017296B"/>
    <w:p w:rsidR="00DC0862" w:rsidRDefault="00DC0862" w:rsidP="0017296B">
      <w:r>
        <w:tab/>
      </w:r>
      <w:r>
        <w:tab/>
      </w:r>
      <w:r>
        <w:tab/>
      </w:r>
      <w:r>
        <w:tab/>
      </w:r>
      <w:r>
        <w:tab/>
      </w:r>
      <w:r>
        <w:tab/>
        <w:t>Marlene H. Dortch</w:t>
      </w:r>
    </w:p>
    <w:p w:rsidR="00DC0862" w:rsidRDefault="00DC0862" w:rsidP="0017296B">
      <w:r>
        <w:tab/>
      </w:r>
      <w:r>
        <w:tab/>
      </w:r>
      <w:r>
        <w:tab/>
      </w:r>
      <w:r>
        <w:tab/>
      </w:r>
      <w:r>
        <w:tab/>
      </w:r>
      <w:r>
        <w:tab/>
        <w:t>Secretary</w:t>
      </w:r>
    </w:p>
    <w:p w:rsidR="00DC0862" w:rsidRPr="002C00E8" w:rsidRDefault="00DC0862" w:rsidP="00DC0862"/>
    <w:sectPr w:rsidR="00DC0862"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CE1" w:rsidRDefault="00A70CE1">
      <w:pPr>
        <w:spacing w:line="20" w:lineRule="exact"/>
      </w:pPr>
    </w:p>
  </w:endnote>
  <w:endnote w:type="continuationSeparator" w:id="0">
    <w:p w:rsidR="00A70CE1" w:rsidRDefault="00A70CE1">
      <w:r>
        <w:t xml:space="preserve"> </w:t>
      </w:r>
    </w:p>
  </w:endnote>
  <w:endnote w:type="continuationNotice" w:id="1">
    <w:p w:rsidR="00A70CE1" w:rsidRDefault="00A70C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F1B6E">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CE1" w:rsidRDefault="00A70CE1">
      <w:r>
        <w:separator/>
      </w:r>
    </w:p>
  </w:footnote>
  <w:footnote w:type="continuationSeparator" w:id="0">
    <w:p w:rsidR="00A70CE1" w:rsidRDefault="00A70CE1" w:rsidP="00C721AC">
      <w:pPr>
        <w:spacing w:before="120"/>
        <w:rPr>
          <w:sz w:val="20"/>
        </w:rPr>
      </w:pPr>
      <w:r>
        <w:rPr>
          <w:sz w:val="20"/>
        </w:rPr>
        <w:t xml:space="preserve">(Continued from previous page)  </w:t>
      </w:r>
      <w:r>
        <w:rPr>
          <w:sz w:val="20"/>
        </w:rPr>
        <w:separator/>
      </w:r>
    </w:p>
  </w:footnote>
  <w:footnote w:type="continuationNotice" w:id="1">
    <w:p w:rsidR="00A70CE1" w:rsidRDefault="00A70CE1" w:rsidP="00C721AC">
      <w:pPr>
        <w:jc w:val="right"/>
        <w:rPr>
          <w:sz w:val="20"/>
        </w:rPr>
      </w:pPr>
      <w:r>
        <w:rPr>
          <w:sz w:val="20"/>
        </w:rPr>
        <w:t>(continued….)</w:t>
      </w:r>
    </w:p>
  </w:footnote>
  <w:footnote w:id="2">
    <w:p w:rsidR="003814B3" w:rsidRPr="003814B3" w:rsidRDefault="003814B3">
      <w:pPr>
        <w:pStyle w:val="FootnoteText"/>
      </w:pPr>
      <w:r>
        <w:rPr>
          <w:rStyle w:val="FootnoteReference"/>
        </w:rPr>
        <w:footnoteRef/>
      </w:r>
      <w:r>
        <w:t xml:space="preserve"> </w:t>
      </w:r>
      <w:r>
        <w:rPr>
          <w:i/>
        </w:rPr>
        <w:t>Nelson Multimedia, Inc.</w:t>
      </w:r>
      <w:r>
        <w:t>, Letter, 26 FCC Rcd 10386 (MB 2011)</w:t>
      </w:r>
      <w:r w:rsidR="00794ED7">
        <w:t xml:space="preserve"> (“</w:t>
      </w:r>
      <w:r w:rsidR="00794ED7">
        <w:rPr>
          <w:i/>
        </w:rPr>
        <w:t>Letter Decision</w:t>
      </w:r>
      <w:r w:rsidR="00794ED7">
        <w:t>”)</w:t>
      </w:r>
      <w:r>
        <w:t>.</w:t>
      </w:r>
    </w:p>
  </w:footnote>
  <w:footnote w:id="3">
    <w:p w:rsidR="00794ED7" w:rsidRPr="00794ED7" w:rsidRDefault="00794ED7">
      <w:pPr>
        <w:pStyle w:val="FootnoteText"/>
      </w:pPr>
      <w:r>
        <w:rPr>
          <w:rStyle w:val="FootnoteReference"/>
        </w:rPr>
        <w:footnoteRef/>
      </w:r>
      <w:r>
        <w:t xml:space="preserve"> In 1993, the Commission adopted policies intended “to encourage interstation agreements proposing a reduction in AM interference and to provide a procedural framework that would facilitate such agreements.  </w:t>
      </w:r>
      <w:r>
        <w:rPr>
          <w:i/>
        </w:rPr>
        <w:t>Policies to Encourage Interference Reduction Between AM Broadcast Stations</w:t>
      </w:r>
      <w:r>
        <w:t>, Report</w:t>
      </w:r>
      <w:r w:rsidR="00D82008">
        <w:t xml:space="preserve"> and Order, 5 FCC Rcd 4492, 4494 ¶ 14</w:t>
      </w:r>
      <w:r>
        <w:t xml:space="preserve"> (1990). </w:t>
      </w:r>
      <w:r>
        <w:rPr>
          <w:i/>
        </w:rPr>
        <w:t xml:space="preserve"> </w:t>
      </w:r>
      <w:r w:rsidR="00D82008">
        <w:t>Among other things</w:t>
      </w:r>
      <w:r>
        <w:t>, the Commission created an exception to the general prohibition on filing of contingent applications for construction permits proposing either new or modified facilities set forth in Section 73.3517 of the Commission’s rules in order to permit the filing of contingent applications that lead to “an overall reduction in AM interference</w:t>
      </w:r>
      <w:r w:rsidR="00D82008">
        <w:t>.</w:t>
      </w:r>
      <w:r>
        <w:t xml:space="preserve">   </w:t>
      </w:r>
      <w:r>
        <w:rPr>
          <w:i/>
        </w:rPr>
        <w:t>Id.</w:t>
      </w:r>
      <w:r>
        <w:t xml:space="preserve"> at 4493</w:t>
      </w:r>
      <w:r w:rsidR="00D82008">
        <w:t xml:space="preserve"> ¶¶ 6-8</w:t>
      </w:r>
      <w:r>
        <w:t>.</w:t>
      </w:r>
      <w:r w:rsidR="000F4CC1">
        <w:t xml:space="preserve"> </w:t>
      </w:r>
      <w:r w:rsidR="000019D2">
        <w:t xml:space="preserve"> Accordingly</w:t>
      </w:r>
      <w:r w:rsidR="00DD2622">
        <w:t>, Section 73.3517</w:t>
      </w:r>
      <w:r w:rsidR="000019D2">
        <w:t>(c), which reflects this exception, requires that all applications filed under the exception “must state that they are filed pursuant to an interference reduction agreem</w:t>
      </w:r>
      <w:r w:rsidR="00DD2622">
        <w:t>ent and must cross-reference all</w:t>
      </w:r>
      <w:r w:rsidR="000019D2">
        <w:t xml:space="preserve"> other contingent application</w:t>
      </w:r>
      <w:r w:rsidR="00DD2622">
        <w:t>s</w:t>
      </w:r>
      <w:r w:rsidR="000019D2">
        <w:t>.”</w:t>
      </w:r>
      <w:r w:rsidR="000F4CC1">
        <w:t xml:space="preserve"> </w:t>
      </w:r>
      <w:r w:rsidR="000019D2">
        <w:t xml:space="preserve"> 47 C.F.R.</w:t>
      </w:r>
      <w:r w:rsidR="00DD2622">
        <w:t xml:space="preserve"> § 73.3517</w:t>
      </w:r>
      <w:r w:rsidR="000019D2">
        <w:t>(c).</w:t>
      </w:r>
    </w:p>
  </w:footnote>
  <w:footnote w:id="4">
    <w:p w:rsidR="00794ED7" w:rsidRPr="00F65C28" w:rsidRDefault="00794ED7">
      <w:pPr>
        <w:pStyle w:val="FootnoteText"/>
      </w:pPr>
      <w:r>
        <w:rPr>
          <w:rStyle w:val="FootnoteReference"/>
        </w:rPr>
        <w:footnoteRef/>
      </w:r>
      <w:r>
        <w:t xml:space="preserve"> </w:t>
      </w:r>
      <w:r w:rsidR="00F65C28">
        <w:rPr>
          <w:i/>
        </w:rPr>
        <w:t>Amendment of the Commission’s Rules Regarding Modification of FM and TV Authorizations to Specify a New Community of License</w:t>
      </w:r>
      <w:r w:rsidR="00F65C28">
        <w:t xml:space="preserve">, Report and Order, 4 FCC Rcd 4870 (1989), </w:t>
      </w:r>
      <w:r w:rsidR="00F65C28">
        <w:rPr>
          <w:i/>
        </w:rPr>
        <w:t>recon granted in part</w:t>
      </w:r>
      <w:r w:rsidR="00F65C28">
        <w:t>, Memorandum Opinion and Order</w:t>
      </w:r>
      <w:r w:rsidR="00F65C28">
        <w:rPr>
          <w:i/>
        </w:rPr>
        <w:t xml:space="preserve">, </w:t>
      </w:r>
      <w:r w:rsidR="00F65C28" w:rsidRPr="00F65C28">
        <w:t>5 FCC Rcd 7094, 7097 (1990).</w:t>
      </w:r>
      <w:r w:rsidR="00F65C28">
        <w:t xml:space="preserve">  The Commission reaffirmed this policy in </w:t>
      </w:r>
      <w:r w:rsidR="00F65C28">
        <w:rPr>
          <w:i/>
        </w:rPr>
        <w:t xml:space="preserve">Revision of Procedures Governing Amendments to FM Table of Allotments and Changes of Community of License in the Radio Broadcast Services, </w:t>
      </w:r>
      <w:r w:rsidR="00F65C28">
        <w:t xml:space="preserve">Report and Order, 21 FCC Rcd 14212, 14227-30 (2006).  </w:t>
      </w:r>
    </w:p>
  </w:footnote>
  <w:footnote w:id="5">
    <w:p w:rsidR="00A955B1" w:rsidRDefault="00A955B1" w:rsidP="00C97C7A">
      <w:pPr>
        <w:pStyle w:val="FootnoteText"/>
        <w:tabs>
          <w:tab w:val="left" w:pos="8240"/>
        </w:tabs>
      </w:pPr>
      <w:r>
        <w:rPr>
          <w:rStyle w:val="FootnoteReference"/>
        </w:rPr>
        <w:footnoteRef/>
      </w:r>
      <w:r>
        <w:t xml:space="preserve"> AFR at 5-10.</w:t>
      </w:r>
      <w:r w:rsidR="00C97C7A">
        <w:tab/>
      </w:r>
    </w:p>
  </w:footnote>
  <w:footnote w:id="6">
    <w:p w:rsidR="00A955B1" w:rsidRPr="00A955B1" w:rsidRDefault="00A955B1">
      <w:pPr>
        <w:pStyle w:val="FootnoteText"/>
      </w:pPr>
      <w:r>
        <w:rPr>
          <w:rStyle w:val="FootnoteReference"/>
        </w:rPr>
        <w:footnoteRef/>
      </w:r>
      <w:r>
        <w:t xml:space="preserve"> </w:t>
      </w:r>
      <w:r>
        <w:rPr>
          <w:i/>
        </w:rPr>
        <w:t>See Letter Decision</w:t>
      </w:r>
      <w:r>
        <w:t>, 26 FCC Rcd at 10389-90.</w:t>
      </w:r>
    </w:p>
  </w:footnote>
  <w:footnote w:id="7">
    <w:p w:rsidR="00A955B1" w:rsidRDefault="00A955B1">
      <w:pPr>
        <w:pStyle w:val="FootnoteText"/>
      </w:pPr>
      <w:r>
        <w:rPr>
          <w:rStyle w:val="FootnoteReference"/>
        </w:rPr>
        <w:footnoteRef/>
      </w:r>
      <w:r>
        <w:t xml:space="preserve"> AFR at 10-12.</w:t>
      </w:r>
    </w:p>
  </w:footnote>
  <w:footnote w:id="8">
    <w:p w:rsidR="00A955B1" w:rsidRPr="00A955B1" w:rsidRDefault="00A955B1">
      <w:pPr>
        <w:pStyle w:val="FootnoteText"/>
      </w:pPr>
      <w:r>
        <w:rPr>
          <w:rStyle w:val="FootnoteReference"/>
        </w:rPr>
        <w:footnoteRef/>
      </w:r>
      <w:r>
        <w:t xml:space="preserve"> </w:t>
      </w:r>
      <w:r>
        <w:rPr>
          <w:i/>
        </w:rPr>
        <w:t>Letter Decision</w:t>
      </w:r>
      <w:r>
        <w:t>, 26 FCC Rcd at 10394</w:t>
      </w:r>
      <w:r w:rsidR="006B7C64">
        <w:t xml:space="preserve"> (noting that </w:t>
      </w:r>
      <w:r w:rsidR="009F2318">
        <w:t xml:space="preserve">the </w:t>
      </w:r>
      <w:r w:rsidR="006B7C64">
        <w:t>Commission has warned that “no broadcaster should invest in a station with the expectation that the Commission will routinely approve a request to move to a different community”</w:t>
      </w:r>
      <w:r w:rsidR="008B6725">
        <w:t xml:space="preserve"> and</w:t>
      </w:r>
      <w:r w:rsidR="009F2318">
        <w:t xml:space="preserve"> </w:t>
      </w:r>
      <w:r w:rsidR="009F2318" w:rsidRPr="001F70FC">
        <w:t>citing</w:t>
      </w:r>
      <w:r w:rsidR="009F2318">
        <w:rPr>
          <w:i/>
        </w:rPr>
        <w:t xml:space="preserve"> Revision of Procedures Governing Amendments to FM Table of Allotments and Changes of Community in the Radio Broadcast Services, </w:t>
      </w:r>
      <w:r w:rsidR="009F2318" w:rsidRPr="001F70FC">
        <w:t>Report and Order, 21 FCC Rcd 14212, 14229-14230</w:t>
      </w:r>
      <w:r w:rsidR="007C2513">
        <w:t xml:space="preserve"> </w:t>
      </w:r>
      <w:r w:rsidR="008B6725">
        <w:t xml:space="preserve">¶ 34 </w:t>
      </w:r>
      <w:r w:rsidR="009F2318" w:rsidRPr="001F70FC">
        <w:t>(2006)</w:t>
      </w:r>
      <w:r w:rsidR="006B7C64">
        <w:t>)</w:t>
      </w:r>
      <w:r>
        <w:t>.</w:t>
      </w:r>
    </w:p>
  </w:footnote>
  <w:footnote w:id="9">
    <w:p w:rsidR="00A955B1" w:rsidRPr="00A955B1" w:rsidRDefault="00A955B1">
      <w:pPr>
        <w:pStyle w:val="FootnoteText"/>
      </w:pPr>
      <w:r>
        <w:rPr>
          <w:rStyle w:val="FootnoteReference"/>
        </w:rPr>
        <w:footnoteRef/>
      </w:r>
      <w:r>
        <w:t xml:space="preserve"> </w:t>
      </w:r>
      <w:r>
        <w:rPr>
          <w:i/>
        </w:rPr>
        <w:t>Id.</w:t>
      </w:r>
      <w:r>
        <w:t xml:space="preserve"> at 10394-95.</w:t>
      </w:r>
    </w:p>
  </w:footnote>
  <w:footnote w:id="10">
    <w:p w:rsidR="00433A02" w:rsidRPr="00DD2622" w:rsidRDefault="00433A02">
      <w:pPr>
        <w:pStyle w:val="FootnoteText"/>
        <w:rPr>
          <w:i/>
        </w:rPr>
      </w:pPr>
      <w:r>
        <w:rPr>
          <w:rStyle w:val="FootnoteReference"/>
        </w:rPr>
        <w:footnoteRef/>
      </w:r>
      <w:r>
        <w:t xml:space="preserve"> We note that Nelson for the first time argues that</w:t>
      </w:r>
      <w:r w:rsidR="008B362D">
        <w:t>, in granting Nelson special temporary authority to operate the Station at reduced power from a different location,</w:t>
      </w:r>
      <w:r>
        <w:t xml:space="preserve"> the Bureau “overtly recognized the futility of [its] efforts to locate a site which will allow the station to remain in Geneva.”  AFR at 11-12.  </w:t>
      </w:r>
      <w:r>
        <w:rPr>
          <w:szCs w:val="22"/>
        </w:rPr>
        <w:t xml:space="preserve">This argument </w:t>
      </w:r>
      <w:r w:rsidR="006D309B">
        <w:rPr>
          <w:szCs w:val="22"/>
        </w:rPr>
        <w:t>fails</w:t>
      </w:r>
      <w:r w:rsidRPr="009D6C11">
        <w:rPr>
          <w:szCs w:val="22"/>
        </w:rPr>
        <w:t xml:space="preserve"> </w:t>
      </w:r>
      <w:r w:rsidR="001D111F">
        <w:rPr>
          <w:szCs w:val="22"/>
        </w:rPr>
        <w:t xml:space="preserve">and we dismiss this portion of the Application for Review </w:t>
      </w:r>
      <w:r w:rsidRPr="009D6C11">
        <w:rPr>
          <w:szCs w:val="22"/>
        </w:rPr>
        <w:t xml:space="preserve">because </w:t>
      </w:r>
      <w:r>
        <w:rPr>
          <w:szCs w:val="22"/>
        </w:rPr>
        <w:t>Nelson</w:t>
      </w:r>
      <w:r w:rsidRPr="009D6C11">
        <w:rPr>
          <w:szCs w:val="22"/>
        </w:rPr>
        <w:t xml:space="preserve"> never presented </w:t>
      </w:r>
      <w:r w:rsidR="001D111F">
        <w:rPr>
          <w:szCs w:val="22"/>
        </w:rPr>
        <w:t>the argument</w:t>
      </w:r>
      <w:r w:rsidR="001D111F" w:rsidRPr="009D6C11">
        <w:rPr>
          <w:szCs w:val="22"/>
        </w:rPr>
        <w:t xml:space="preserve"> </w:t>
      </w:r>
      <w:r w:rsidRPr="009D6C11">
        <w:rPr>
          <w:szCs w:val="22"/>
        </w:rPr>
        <w:t xml:space="preserve">to the Bureau.  Section 5(c)(5) of the Communications Act of 1934, as amended, and Section 1.115(c) of </w:t>
      </w:r>
      <w:r w:rsidR="006D309B">
        <w:rPr>
          <w:szCs w:val="22"/>
        </w:rPr>
        <w:t xml:space="preserve">the Commission’s rules </w:t>
      </w:r>
      <w:r w:rsidRPr="009D6C11">
        <w:rPr>
          <w:szCs w:val="22"/>
        </w:rPr>
        <w:t>bar applications for review that rely “on questions of fact or law upon which the [designated authority issuing the decision] has been afforded no opportunity to pass.”</w:t>
      </w:r>
      <w:r>
        <w:rPr>
          <w:szCs w:val="22"/>
        </w:rPr>
        <w:t xml:space="preserve">  </w:t>
      </w:r>
      <w:r w:rsidRPr="00EC5899">
        <w:t xml:space="preserve">47 U.S.C. § 155(c)(5); 47 C.F.R. § </w:t>
      </w:r>
      <w:r w:rsidRPr="00433A02">
        <w:rPr>
          <w:rStyle w:val="term1"/>
          <w:b w:val="0"/>
        </w:rPr>
        <w:t>1.115(c)</w:t>
      </w:r>
      <w:r w:rsidRPr="002A4E5C">
        <w:t>.</w:t>
      </w:r>
      <w:r w:rsidR="00DD2622" w:rsidRPr="002A4E5C">
        <w:t xml:space="preserve"> </w:t>
      </w:r>
    </w:p>
  </w:footnote>
  <w:footnote w:id="11">
    <w:p w:rsidR="005A503B" w:rsidRDefault="005A503B">
      <w:pPr>
        <w:pStyle w:val="FootnoteText"/>
      </w:pPr>
      <w:r>
        <w:rPr>
          <w:rStyle w:val="FootnoteReference"/>
        </w:rPr>
        <w:footnoteRef/>
      </w:r>
      <w:r>
        <w:t xml:space="preserve"> AFR at 12.</w:t>
      </w:r>
    </w:p>
  </w:footnote>
  <w:footnote w:id="12">
    <w:p w:rsidR="005A503B" w:rsidRPr="001F70FC" w:rsidRDefault="005A503B">
      <w:pPr>
        <w:pStyle w:val="FootnoteText"/>
      </w:pPr>
      <w:r>
        <w:rPr>
          <w:rStyle w:val="FootnoteReference"/>
        </w:rPr>
        <w:footnoteRef/>
      </w:r>
      <w:r>
        <w:t xml:space="preserve"> </w:t>
      </w:r>
      <w:r w:rsidR="00805C97">
        <w:rPr>
          <w:i/>
        </w:rPr>
        <w:t xml:space="preserve">See </w:t>
      </w:r>
      <w:r>
        <w:rPr>
          <w:i/>
        </w:rPr>
        <w:t>Revision of FM Assignment Policies and Procedures</w:t>
      </w:r>
      <w:r>
        <w:t xml:space="preserve">, Second Report and Order, 90 FCC 2d 88, 90 ¶ 6 (1982) (“The FM priorities set forth the relative importance of the service to be provided from the perspective of Section 307(b) of the Communications Act.”).  </w:t>
      </w:r>
    </w:p>
  </w:footnote>
  <w:footnote w:id="13">
    <w:p w:rsidR="00DF2798" w:rsidRPr="00EC5899" w:rsidRDefault="00DF2798" w:rsidP="00DF2798">
      <w:pPr>
        <w:pStyle w:val="FootnoteText"/>
        <w:spacing w:after="200"/>
      </w:pPr>
      <w:r w:rsidRPr="00EC5899">
        <w:rPr>
          <w:rStyle w:val="FootnoteReference"/>
        </w:rPr>
        <w:footnoteRef/>
      </w:r>
      <w:r w:rsidRPr="00EC5899">
        <w:t xml:space="preserve"> 47 U.S.C. § 155(c)(5).</w:t>
      </w:r>
    </w:p>
  </w:footnote>
  <w:footnote w:id="14">
    <w:p w:rsidR="00DF2798" w:rsidRPr="00EC5899" w:rsidRDefault="00DF2798" w:rsidP="00DF2798">
      <w:pPr>
        <w:pStyle w:val="FootnoteText"/>
        <w:spacing w:after="200"/>
      </w:pPr>
      <w:r w:rsidRPr="00EC5899">
        <w:rPr>
          <w:rStyle w:val="FootnoteReference"/>
        </w:rPr>
        <w:footnoteRef/>
      </w:r>
      <w:r w:rsidRPr="00EC5899">
        <w:t xml:space="preserve"> 47 C.F.R. §</w:t>
      </w:r>
      <w:r>
        <w:t>§</w:t>
      </w:r>
      <w:r w:rsidRPr="00EC5899">
        <w:t xml:space="preserve"> 1.115</w:t>
      </w:r>
      <w:r>
        <w:t xml:space="preserve"> (c), </w:t>
      </w:r>
      <w:r w:rsidRPr="00EC5899">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AC" w:rsidRDefault="00D37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546FDC">
      <w:t>FCC 14-</w:t>
    </w:r>
    <w:r w:rsidR="002D6190">
      <w:t>119</w:t>
    </w:r>
  </w:p>
  <w:p w:rsidR="00D25FB5" w:rsidRDefault="00AC69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5C80D34B" wp14:editId="5536CA1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C69E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F935FC9" wp14:editId="43CE6B6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90ABA">
      <w:rPr>
        <w:spacing w:val="-2"/>
      </w:rPr>
      <w:t>FCC 14-</w:t>
    </w:r>
    <w:r w:rsidR="002D6190">
      <w:rPr>
        <w:spacing w:val="-2"/>
      </w:rPr>
      <w:t>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E6"/>
    <w:rsid w:val="000019D2"/>
    <w:rsid w:val="00036039"/>
    <w:rsid w:val="00037F90"/>
    <w:rsid w:val="00086349"/>
    <w:rsid w:val="000875BF"/>
    <w:rsid w:val="00090BB2"/>
    <w:rsid w:val="00096D8C"/>
    <w:rsid w:val="000B0CE3"/>
    <w:rsid w:val="000B6CA8"/>
    <w:rsid w:val="000C0B65"/>
    <w:rsid w:val="000E05FE"/>
    <w:rsid w:val="000E3D42"/>
    <w:rsid w:val="000F4CC1"/>
    <w:rsid w:val="00122BD5"/>
    <w:rsid w:val="00133F79"/>
    <w:rsid w:val="00146638"/>
    <w:rsid w:val="00194A66"/>
    <w:rsid w:val="001C2828"/>
    <w:rsid w:val="001C3317"/>
    <w:rsid w:val="001D111F"/>
    <w:rsid w:val="001D6BCF"/>
    <w:rsid w:val="001E01CA"/>
    <w:rsid w:val="001E217B"/>
    <w:rsid w:val="001F70FC"/>
    <w:rsid w:val="001F79BB"/>
    <w:rsid w:val="0020762E"/>
    <w:rsid w:val="00227B21"/>
    <w:rsid w:val="00257F6B"/>
    <w:rsid w:val="00275CF5"/>
    <w:rsid w:val="0028301F"/>
    <w:rsid w:val="00285017"/>
    <w:rsid w:val="002A2D2E"/>
    <w:rsid w:val="002A4E5C"/>
    <w:rsid w:val="002B64BC"/>
    <w:rsid w:val="002C00E8"/>
    <w:rsid w:val="002D6190"/>
    <w:rsid w:val="00313A6D"/>
    <w:rsid w:val="00336CA5"/>
    <w:rsid w:val="00343749"/>
    <w:rsid w:val="003660ED"/>
    <w:rsid w:val="003814B3"/>
    <w:rsid w:val="00392B08"/>
    <w:rsid w:val="003B0550"/>
    <w:rsid w:val="003B694F"/>
    <w:rsid w:val="003F171C"/>
    <w:rsid w:val="00412FC5"/>
    <w:rsid w:val="00422276"/>
    <w:rsid w:val="004242F1"/>
    <w:rsid w:val="00433A02"/>
    <w:rsid w:val="004408AA"/>
    <w:rsid w:val="00445A00"/>
    <w:rsid w:val="00451B0F"/>
    <w:rsid w:val="004837DB"/>
    <w:rsid w:val="004B7234"/>
    <w:rsid w:val="004C2EE3"/>
    <w:rsid w:val="004E4A22"/>
    <w:rsid w:val="00511968"/>
    <w:rsid w:val="00546FDC"/>
    <w:rsid w:val="0055614C"/>
    <w:rsid w:val="005945EA"/>
    <w:rsid w:val="00595BA7"/>
    <w:rsid w:val="005A503B"/>
    <w:rsid w:val="005B1E4A"/>
    <w:rsid w:val="005C27BC"/>
    <w:rsid w:val="005E14C2"/>
    <w:rsid w:val="00607AFA"/>
    <w:rsid w:val="00607BA5"/>
    <w:rsid w:val="0061180A"/>
    <w:rsid w:val="00626EB6"/>
    <w:rsid w:val="00655D03"/>
    <w:rsid w:val="006829F1"/>
    <w:rsid w:val="00683388"/>
    <w:rsid w:val="00683F84"/>
    <w:rsid w:val="006A6A81"/>
    <w:rsid w:val="006B3975"/>
    <w:rsid w:val="006B7C64"/>
    <w:rsid w:val="006D309B"/>
    <w:rsid w:val="006E33CF"/>
    <w:rsid w:val="006F7393"/>
    <w:rsid w:val="0070224F"/>
    <w:rsid w:val="007115F7"/>
    <w:rsid w:val="00745CD6"/>
    <w:rsid w:val="00785689"/>
    <w:rsid w:val="00794ED7"/>
    <w:rsid w:val="0079754B"/>
    <w:rsid w:val="007A1E6D"/>
    <w:rsid w:val="007B0EB2"/>
    <w:rsid w:val="007C2513"/>
    <w:rsid w:val="007F1B6E"/>
    <w:rsid w:val="00805C97"/>
    <w:rsid w:val="00806398"/>
    <w:rsid w:val="00810B6F"/>
    <w:rsid w:val="00811873"/>
    <w:rsid w:val="00822CE0"/>
    <w:rsid w:val="00831332"/>
    <w:rsid w:val="00841AB1"/>
    <w:rsid w:val="00876683"/>
    <w:rsid w:val="00884BA1"/>
    <w:rsid w:val="00884D72"/>
    <w:rsid w:val="008910C0"/>
    <w:rsid w:val="008B362D"/>
    <w:rsid w:val="008B6725"/>
    <w:rsid w:val="008C68F1"/>
    <w:rsid w:val="008F5F49"/>
    <w:rsid w:val="00910081"/>
    <w:rsid w:val="00911FE5"/>
    <w:rsid w:val="00921803"/>
    <w:rsid w:val="00926503"/>
    <w:rsid w:val="009726D8"/>
    <w:rsid w:val="00997B5D"/>
    <w:rsid w:val="009D32CF"/>
    <w:rsid w:val="009F00FB"/>
    <w:rsid w:val="009F2318"/>
    <w:rsid w:val="009F76DB"/>
    <w:rsid w:val="00A32C3B"/>
    <w:rsid w:val="00A45F4F"/>
    <w:rsid w:val="00A45FE2"/>
    <w:rsid w:val="00A600A9"/>
    <w:rsid w:val="00A63C33"/>
    <w:rsid w:val="00A70CE1"/>
    <w:rsid w:val="00A955B1"/>
    <w:rsid w:val="00A96B14"/>
    <w:rsid w:val="00AA55B7"/>
    <w:rsid w:val="00AA5B9E"/>
    <w:rsid w:val="00AB2407"/>
    <w:rsid w:val="00AB53DF"/>
    <w:rsid w:val="00AC69E6"/>
    <w:rsid w:val="00AD1A84"/>
    <w:rsid w:val="00AE27A7"/>
    <w:rsid w:val="00B07E5C"/>
    <w:rsid w:val="00B25ADA"/>
    <w:rsid w:val="00B26162"/>
    <w:rsid w:val="00B56C02"/>
    <w:rsid w:val="00B6374B"/>
    <w:rsid w:val="00B73636"/>
    <w:rsid w:val="00B811F7"/>
    <w:rsid w:val="00BA5DC6"/>
    <w:rsid w:val="00BA6196"/>
    <w:rsid w:val="00BB2CAC"/>
    <w:rsid w:val="00BC6D8C"/>
    <w:rsid w:val="00BE3DD7"/>
    <w:rsid w:val="00C34006"/>
    <w:rsid w:val="00C426B1"/>
    <w:rsid w:val="00C6333A"/>
    <w:rsid w:val="00C66160"/>
    <w:rsid w:val="00C721AC"/>
    <w:rsid w:val="00C90ABA"/>
    <w:rsid w:val="00C90D6A"/>
    <w:rsid w:val="00C94B4B"/>
    <w:rsid w:val="00C97C7A"/>
    <w:rsid w:val="00CA247E"/>
    <w:rsid w:val="00CC72B6"/>
    <w:rsid w:val="00CF0148"/>
    <w:rsid w:val="00D0218D"/>
    <w:rsid w:val="00D25FB5"/>
    <w:rsid w:val="00D374AC"/>
    <w:rsid w:val="00D44223"/>
    <w:rsid w:val="00D54C8F"/>
    <w:rsid w:val="00D82008"/>
    <w:rsid w:val="00DA2529"/>
    <w:rsid w:val="00DB130A"/>
    <w:rsid w:val="00DB2EBB"/>
    <w:rsid w:val="00DC0862"/>
    <w:rsid w:val="00DC10A1"/>
    <w:rsid w:val="00DC655F"/>
    <w:rsid w:val="00DD0B59"/>
    <w:rsid w:val="00DD2622"/>
    <w:rsid w:val="00DD7EBD"/>
    <w:rsid w:val="00DF2798"/>
    <w:rsid w:val="00DF62B6"/>
    <w:rsid w:val="00E07225"/>
    <w:rsid w:val="00E104E0"/>
    <w:rsid w:val="00E139E2"/>
    <w:rsid w:val="00E5409F"/>
    <w:rsid w:val="00EB07E0"/>
    <w:rsid w:val="00EE6488"/>
    <w:rsid w:val="00F021FA"/>
    <w:rsid w:val="00F475E1"/>
    <w:rsid w:val="00F62E97"/>
    <w:rsid w:val="00F64209"/>
    <w:rsid w:val="00F65C28"/>
    <w:rsid w:val="00F86FAA"/>
    <w:rsid w:val="00F93BF5"/>
    <w:rsid w:val="00FE0B22"/>
    <w:rsid w:val="00FE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B6E"/>
    <w:pPr>
      <w:widowControl w:val="0"/>
    </w:pPr>
    <w:rPr>
      <w:snapToGrid w:val="0"/>
      <w:kern w:val="28"/>
      <w:sz w:val="22"/>
    </w:rPr>
  </w:style>
  <w:style w:type="paragraph" w:styleId="Heading1">
    <w:name w:val="heading 1"/>
    <w:basedOn w:val="Normal"/>
    <w:next w:val="ParaNum"/>
    <w:qFormat/>
    <w:rsid w:val="007F1B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1B6E"/>
    <w:pPr>
      <w:keepNext/>
      <w:numPr>
        <w:ilvl w:val="1"/>
        <w:numId w:val="3"/>
      </w:numPr>
      <w:spacing w:after="120"/>
      <w:outlineLvl w:val="1"/>
    </w:pPr>
    <w:rPr>
      <w:b/>
    </w:rPr>
  </w:style>
  <w:style w:type="paragraph" w:styleId="Heading3">
    <w:name w:val="heading 3"/>
    <w:basedOn w:val="Normal"/>
    <w:next w:val="ParaNum"/>
    <w:qFormat/>
    <w:rsid w:val="007F1B6E"/>
    <w:pPr>
      <w:keepNext/>
      <w:numPr>
        <w:ilvl w:val="2"/>
        <w:numId w:val="3"/>
      </w:numPr>
      <w:tabs>
        <w:tab w:val="left" w:pos="2160"/>
      </w:tabs>
      <w:spacing w:after="120"/>
      <w:outlineLvl w:val="2"/>
    </w:pPr>
    <w:rPr>
      <w:b/>
    </w:rPr>
  </w:style>
  <w:style w:type="paragraph" w:styleId="Heading4">
    <w:name w:val="heading 4"/>
    <w:basedOn w:val="Normal"/>
    <w:next w:val="ParaNum"/>
    <w:qFormat/>
    <w:rsid w:val="007F1B6E"/>
    <w:pPr>
      <w:keepNext/>
      <w:numPr>
        <w:ilvl w:val="3"/>
        <w:numId w:val="3"/>
      </w:numPr>
      <w:tabs>
        <w:tab w:val="left" w:pos="2880"/>
      </w:tabs>
      <w:spacing w:after="120"/>
      <w:outlineLvl w:val="3"/>
    </w:pPr>
    <w:rPr>
      <w:b/>
    </w:rPr>
  </w:style>
  <w:style w:type="paragraph" w:styleId="Heading5">
    <w:name w:val="heading 5"/>
    <w:basedOn w:val="Normal"/>
    <w:next w:val="ParaNum"/>
    <w:qFormat/>
    <w:rsid w:val="007F1B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F1B6E"/>
    <w:pPr>
      <w:numPr>
        <w:ilvl w:val="5"/>
        <w:numId w:val="3"/>
      </w:numPr>
      <w:tabs>
        <w:tab w:val="left" w:pos="4320"/>
      </w:tabs>
      <w:spacing w:after="120"/>
      <w:outlineLvl w:val="5"/>
    </w:pPr>
    <w:rPr>
      <w:b/>
    </w:rPr>
  </w:style>
  <w:style w:type="paragraph" w:styleId="Heading7">
    <w:name w:val="heading 7"/>
    <w:basedOn w:val="Normal"/>
    <w:next w:val="ParaNum"/>
    <w:qFormat/>
    <w:rsid w:val="007F1B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F1B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F1B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1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B6E"/>
  </w:style>
  <w:style w:type="paragraph" w:customStyle="1" w:styleId="ParaNum">
    <w:name w:val="ParaNum"/>
    <w:basedOn w:val="Normal"/>
    <w:link w:val="ParaNumChar"/>
    <w:rsid w:val="007F1B6E"/>
    <w:pPr>
      <w:numPr>
        <w:numId w:val="2"/>
      </w:numPr>
      <w:tabs>
        <w:tab w:val="clear" w:pos="1080"/>
        <w:tab w:val="num" w:pos="1440"/>
      </w:tabs>
      <w:spacing w:after="120"/>
    </w:pPr>
  </w:style>
  <w:style w:type="paragraph" w:styleId="EndnoteText">
    <w:name w:val="endnote text"/>
    <w:basedOn w:val="Normal"/>
    <w:semiHidden/>
    <w:rsid w:val="007F1B6E"/>
    <w:rPr>
      <w:sz w:val="20"/>
    </w:rPr>
  </w:style>
  <w:style w:type="character" w:styleId="EndnoteReference">
    <w:name w:val="endnote reference"/>
    <w:semiHidden/>
    <w:rsid w:val="007F1B6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7F1B6E"/>
    <w:pPr>
      <w:spacing w:after="120"/>
    </w:pPr>
  </w:style>
  <w:style w:type="character" w:styleId="FootnoteReference">
    <w:name w:val="footnote reference"/>
    <w:aliases w:val="Style 12,(NECG) Footnote Reference,Appel note de bas de p,Style 124,o,fr,Style 3,Style 13"/>
    <w:rsid w:val="007F1B6E"/>
    <w:rPr>
      <w:rFonts w:ascii="Times New Roman" w:hAnsi="Times New Roman"/>
      <w:dstrike w:val="0"/>
      <w:color w:val="auto"/>
      <w:sz w:val="20"/>
      <w:vertAlign w:val="superscript"/>
    </w:rPr>
  </w:style>
  <w:style w:type="paragraph" w:styleId="TOC1">
    <w:name w:val="toc 1"/>
    <w:basedOn w:val="Normal"/>
    <w:next w:val="Normal"/>
    <w:semiHidden/>
    <w:rsid w:val="007F1B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1B6E"/>
    <w:pPr>
      <w:tabs>
        <w:tab w:val="left" w:pos="720"/>
        <w:tab w:val="right" w:leader="dot" w:pos="9360"/>
      </w:tabs>
      <w:suppressAutoHyphens/>
      <w:ind w:left="720" w:right="720" w:hanging="360"/>
    </w:pPr>
    <w:rPr>
      <w:noProof/>
    </w:rPr>
  </w:style>
  <w:style w:type="paragraph" w:styleId="TOC3">
    <w:name w:val="toc 3"/>
    <w:basedOn w:val="Normal"/>
    <w:next w:val="Normal"/>
    <w:semiHidden/>
    <w:rsid w:val="007F1B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1B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1B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1B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1B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1B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1B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1B6E"/>
    <w:pPr>
      <w:tabs>
        <w:tab w:val="right" w:pos="9360"/>
      </w:tabs>
      <w:suppressAutoHyphens/>
    </w:pPr>
  </w:style>
  <w:style w:type="character" w:customStyle="1" w:styleId="EquationCaption">
    <w:name w:val="_Equation Caption"/>
    <w:rsid w:val="007F1B6E"/>
  </w:style>
  <w:style w:type="paragraph" w:styleId="Header">
    <w:name w:val="header"/>
    <w:basedOn w:val="Normal"/>
    <w:autoRedefine/>
    <w:rsid w:val="007F1B6E"/>
    <w:pPr>
      <w:tabs>
        <w:tab w:val="center" w:pos="4680"/>
        <w:tab w:val="right" w:pos="9360"/>
      </w:tabs>
    </w:pPr>
    <w:rPr>
      <w:b/>
    </w:rPr>
  </w:style>
  <w:style w:type="paragraph" w:styleId="Footer">
    <w:name w:val="footer"/>
    <w:basedOn w:val="Normal"/>
    <w:rsid w:val="007F1B6E"/>
    <w:pPr>
      <w:tabs>
        <w:tab w:val="center" w:pos="4320"/>
        <w:tab w:val="right" w:pos="8640"/>
      </w:tabs>
    </w:pPr>
  </w:style>
  <w:style w:type="character" w:styleId="PageNumber">
    <w:name w:val="page number"/>
    <w:basedOn w:val="DefaultParagraphFont"/>
    <w:rsid w:val="007F1B6E"/>
  </w:style>
  <w:style w:type="paragraph" w:styleId="BlockText">
    <w:name w:val="Block Text"/>
    <w:basedOn w:val="Normal"/>
    <w:rsid w:val="007F1B6E"/>
    <w:pPr>
      <w:spacing w:after="240"/>
      <w:ind w:left="1440" w:right="1440"/>
    </w:pPr>
  </w:style>
  <w:style w:type="paragraph" w:customStyle="1" w:styleId="Paratitle">
    <w:name w:val="Para title"/>
    <w:basedOn w:val="Normal"/>
    <w:rsid w:val="007F1B6E"/>
    <w:pPr>
      <w:tabs>
        <w:tab w:val="center" w:pos="9270"/>
      </w:tabs>
      <w:spacing w:after="240"/>
    </w:pPr>
    <w:rPr>
      <w:spacing w:val="-2"/>
    </w:rPr>
  </w:style>
  <w:style w:type="paragraph" w:customStyle="1" w:styleId="Bullet">
    <w:name w:val="Bullet"/>
    <w:basedOn w:val="Normal"/>
    <w:rsid w:val="007F1B6E"/>
    <w:pPr>
      <w:tabs>
        <w:tab w:val="left" w:pos="2160"/>
      </w:tabs>
      <w:spacing w:after="220"/>
      <w:ind w:left="2160" w:hanging="720"/>
    </w:pPr>
  </w:style>
  <w:style w:type="paragraph" w:customStyle="1" w:styleId="TableFormat">
    <w:name w:val="TableFormat"/>
    <w:basedOn w:val="Bullet"/>
    <w:rsid w:val="007F1B6E"/>
    <w:pPr>
      <w:tabs>
        <w:tab w:val="clear" w:pos="2160"/>
        <w:tab w:val="left" w:pos="5040"/>
      </w:tabs>
      <w:ind w:left="5040" w:hanging="3600"/>
    </w:pPr>
  </w:style>
  <w:style w:type="paragraph" w:customStyle="1" w:styleId="TOCTitle">
    <w:name w:val="TOC Title"/>
    <w:basedOn w:val="Normal"/>
    <w:rsid w:val="007F1B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1B6E"/>
    <w:pPr>
      <w:jc w:val="center"/>
    </w:pPr>
    <w:rPr>
      <w:rFonts w:ascii="Times New Roman Bold" w:hAnsi="Times New Roman Bold"/>
      <w:b/>
      <w:bCs/>
      <w:caps/>
      <w:szCs w:val="22"/>
    </w:rPr>
  </w:style>
  <w:style w:type="character" w:styleId="Hyperlink">
    <w:name w:val="Hyperlink"/>
    <w:rsid w:val="007F1B6E"/>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1B6E"/>
    <w:pPr>
      <w:widowControl w:val="0"/>
    </w:pPr>
    <w:rPr>
      <w:snapToGrid w:val="0"/>
      <w:kern w:val="28"/>
      <w:sz w:val="22"/>
    </w:rPr>
  </w:style>
  <w:style w:type="paragraph" w:styleId="Heading1">
    <w:name w:val="heading 1"/>
    <w:basedOn w:val="Normal"/>
    <w:next w:val="ParaNum"/>
    <w:qFormat/>
    <w:rsid w:val="007F1B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F1B6E"/>
    <w:pPr>
      <w:keepNext/>
      <w:numPr>
        <w:ilvl w:val="1"/>
        <w:numId w:val="3"/>
      </w:numPr>
      <w:spacing w:after="120"/>
      <w:outlineLvl w:val="1"/>
    </w:pPr>
    <w:rPr>
      <w:b/>
    </w:rPr>
  </w:style>
  <w:style w:type="paragraph" w:styleId="Heading3">
    <w:name w:val="heading 3"/>
    <w:basedOn w:val="Normal"/>
    <w:next w:val="ParaNum"/>
    <w:qFormat/>
    <w:rsid w:val="007F1B6E"/>
    <w:pPr>
      <w:keepNext/>
      <w:numPr>
        <w:ilvl w:val="2"/>
        <w:numId w:val="3"/>
      </w:numPr>
      <w:tabs>
        <w:tab w:val="left" w:pos="2160"/>
      </w:tabs>
      <w:spacing w:after="120"/>
      <w:outlineLvl w:val="2"/>
    </w:pPr>
    <w:rPr>
      <w:b/>
    </w:rPr>
  </w:style>
  <w:style w:type="paragraph" w:styleId="Heading4">
    <w:name w:val="heading 4"/>
    <w:basedOn w:val="Normal"/>
    <w:next w:val="ParaNum"/>
    <w:qFormat/>
    <w:rsid w:val="007F1B6E"/>
    <w:pPr>
      <w:keepNext/>
      <w:numPr>
        <w:ilvl w:val="3"/>
        <w:numId w:val="3"/>
      </w:numPr>
      <w:tabs>
        <w:tab w:val="left" w:pos="2880"/>
      </w:tabs>
      <w:spacing w:after="120"/>
      <w:outlineLvl w:val="3"/>
    </w:pPr>
    <w:rPr>
      <w:b/>
    </w:rPr>
  </w:style>
  <w:style w:type="paragraph" w:styleId="Heading5">
    <w:name w:val="heading 5"/>
    <w:basedOn w:val="Normal"/>
    <w:next w:val="ParaNum"/>
    <w:qFormat/>
    <w:rsid w:val="007F1B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F1B6E"/>
    <w:pPr>
      <w:numPr>
        <w:ilvl w:val="5"/>
        <w:numId w:val="3"/>
      </w:numPr>
      <w:tabs>
        <w:tab w:val="left" w:pos="4320"/>
      </w:tabs>
      <w:spacing w:after="120"/>
      <w:outlineLvl w:val="5"/>
    </w:pPr>
    <w:rPr>
      <w:b/>
    </w:rPr>
  </w:style>
  <w:style w:type="paragraph" w:styleId="Heading7">
    <w:name w:val="heading 7"/>
    <w:basedOn w:val="Normal"/>
    <w:next w:val="ParaNum"/>
    <w:qFormat/>
    <w:rsid w:val="007F1B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F1B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F1B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F1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1B6E"/>
  </w:style>
  <w:style w:type="paragraph" w:customStyle="1" w:styleId="ParaNum">
    <w:name w:val="ParaNum"/>
    <w:basedOn w:val="Normal"/>
    <w:link w:val="ParaNumChar"/>
    <w:rsid w:val="007F1B6E"/>
    <w:pPr>
      <w:numPr>
        <w:numId w:val="2"/>
      </w:numPr>
      <w:tabs>
        <w:tab w:val="clear" w:pos="1080"/>
        <w:tab w:val="num" w:pos="1440"/>
      </w:tabs>
      <w:spacing w:after="120"/>
    </w:pPr>
  </w:style>
  <w:style w:type="paragraph" w:styleId="EndnoteText">
    <w:name w:val="endnote text"/>
    <w:basedOn w:val="Normal"/>
    <w:semiHidden/>
    <w:rsid w:val="007F1B6E"/>
    <w:rPr>
      <w:sz w:val="20"/>
    </w:rPr>
  </w:style>
  <w:style w:type="character" w:styleId="EndnoteReference">
    <w:name w:val="endnote reference"/>
    <w:semiHidden/>
    <w:rsid w:val="007F1B6E"/>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7F1B6E"/>
    <w:pPr>
      <w:spacing w:after="120"/>
    </w:pPr>
  </w:style>
  <w:style w:type="character" w:styleId="FootnoteReference">
    <w:name w:val="footnote reference"/>
    <w:aliases w:val="Style 12,(NECG) Footnote Reference,Appel note de bas de p,Style 124,o,fr,Style 3,Style 13"/>
    <w:rsid w:val="007F1B6E"/>
    <w:rPr>
      <w:rFonts w:ascii="Times New Roman" w:hAnsi="Times New Roman"/>
      <w:dstrike w:val="0"/>
      <w:color w:val="auto"/>
      <w:sz w:val="20"/>
      <w:vertAlign w:val="superscript"/>
    </w:rPr>
  </w:style>
  <w:style w:type="paragraph" w:styleId="TOC1">
    <w:name w:val="toc 1"/>
    <w:basedOn w:val="Normal"/>
    <w:next w:val="Normal"/>
    <w:semiHidden/>
    <w:rsid w:val="007F1B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F1B6E"/>
    <w:pPr>
      <w:tabs>
        <w:tab w:val="left" w:pos="720"/>
        <w:tab w:val="right" w:leader="dot" w:pos="9360"/>
      </w:tabs>
      <w:suppressAutoHyphens/>
      <w:ind w:left="720" w:right="720" w:hanging="360"/>
    </w:pPr>
    <w:rPr>
      <w:noProof/>
    </w:rPr>
  </w:style>
  <w:style w:type="paragraph" w:styleId="TOC3">
    <w:name w:val="toc 3"/>
    <w:basedOn w:val="Normal"/>
    <w:next w:val="Normal"/>
    <w:semiHidden/>
    <w:rsid w:val="007F1B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F1B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F1B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F1B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F1B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F1B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F1B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F1B6E"/>
    <w:pPr>
      <w:tabs>
        <w:tab w:val="right" w:pos="9360"/>
      </w:tabs>
      <w:suppressAutoHyphens/>
    </w:pPr>
  </w:style>
  <w:style w:type="character" w:customStyle="1" w:styleId="EquationCaption">
    <w:name w:val="_Equation Caption"/>
    <w:rsid w:val="007F1B6E"/>
  </w:style>
  <w:style w:type="paragraph" w:styleId="Header">
    <w:name w:val="header"/>
    <w:basedOn w:val="Normal"/>
    <w:autoRedefine/>
    <w:rsid w:val="007F1B6E"/>
    <w:pPr>
      <w:tabs>
        <w:tab w:val="center" w:pos="4680"/>
        <w:tab w:val="right" w:pos="9360"/>
      </w:tabs>
    </w:pPr>
    <w:rPr>
      <w:b/>
    </w:rPr>
  </w:style>
  <w:style w:type="paragraph" w:styleId="Footer">
    <w:name w:val="footer"/>
    <w:basedOn w:val="Normal"/>
    <w:rsid w:val="007F1B6E"/>
    <w:pPr>
      <w:tabs>
        <w:tab w:val="center" w:pos="4320"/>
        <w:tab w:val="right" w:pos="8640"/>
      </w:tabs>
    </w:pPr>
  </w:style>
  <w:style w:type="character" w:styleId="PageNumber">
    <w:name w:val="page number"/>
    <w:basedOn w:val="DefaultParagraphFont"/>
    <w:rsid w:val="007F1B6E"/>
  </w:style>
  <w:style w:type="paragraph" w:styleId="BlockText">
    <w:name w:val="Block Text"/>
    <w:basedOn w:val="Normal"/>
    <w:rsid w:val="007F1B6E"/>
    <w:pPr>
      <w:spacing w:after="240"/>
      <w:ind w:left="1440" w:right="1440"/>
    </w:pPr>
  </w:style>
  <w:style w:type="paragraph" w:customStyle="1" w:styleId="Paratitle">
    <w:name w:val="Para title"/>
    <w:basedOn w:val="Normal"/>
    <w:rsid w:val="007F1B6E"/>
    <w:pPr>
      <w:tabs>
        <w:tab w:val="center" w:pos="9270"/>
      </w:tabs>
      <w:spacing w:after="240"/>
    </w:pPr>
    <w:rPr>
      <w:spacing w:val="-2"/>
    </w:rPr>
  </w:style>
  <w:style w:type="paragraph" w:customStyle="1" w:styleId="Bullet">
    <w:name w:val="Bullet"/>
    <w:basedOn w:val="Normal"/>
    <w:rsid w:val="007F1B6E"/>
    <w:pPr>
      <w:tabs>
        <w:tab w:val="left" w:pos="2160"/>
      </w:tabs>
      <w:spacing w:after="220"/>
      <w:ind w:left="2160" w:hanging="720"/>
    </w:pPr>
  </w:style>
  <w:style w:type="paragraph" w:customStyle="1" w:styleId="TableFormat">
    <w:name w:val="TableFormat"/>
    <w:basedOn w:val="Bullet"/>
    <w:rsid w:val="007F1B6E"/>
    <w:pPr>
      <w:tabs>
        <w:tab w:val="clear" w:pos="2160"/>
        <w:tab w:val="left" w:pos="5040"/>
      </w:tabs>
      <w:ind w:left="5040" w:hanging="3600"/>
    </w:pPr>
  </w:style>
  <w:style w:type="paragraph" w:customStyle="1" w:styleId="TOCTitle">
    <w:name w:val="TOC Title"/>
    <w:basedOn w:val="Normal"/>
    <w:rsid w:val="007F1B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F1B6E"/>
    <w:pPr>
      <w:jc w:val="center"/>
    </w:pPr>
    <w:rPr>
      <w:rFonts w:ascii="Times New Roman Bold" w:hAnsi="Times New Roman Bold"/>
      <w:b/>
      <w:bCs/>
      <w:caps/>
      <w:szCs w:val="22"/>
    </w:rPr>
  </w:style>
  <w:style w:type="character" w:styleId="Hyperlink">
    <w:name w:val="Hyperlink"/>
    <w:rsid w:val="007F1B6E"/>
    <w:rPr>
      <w:color w:val="0000FF"/>
      <w:u w:val="single"/>
    </w:rPr>
  </w:style>
  <w:style w:type="character" w:customStyle="1" w:styleId="term1">
    <w:name w:val="term1"/>
    <w:basedOn w:val="DefaultParagraphFont"/>
    <w:rsid w:val="00433A02"/>
    <w:rPr>
      <w:b/>
      <w:bCs/>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DF2798"/>
  </w:style>
  <w:style w:type="character" w:customStyle="1" w:styleId="ParaNumChar">
    <w:name w:val="ParaNum Char"/>
    <w:link w:val="ParaNum"/>
    <w:rsid w:val="00DF2798"/>
    <w:rPr>
      <w:snapToGrid w:val="0"/>
      <w:kern w:val="28"/>
      <w:sz w:val="22"/>
    </w:rPr>
  </w:style>
  <w:style w:type="character" w:styleId="CommentReference">
    <w:name w:val="annotation reference"/>
    <w:basedOn w:val="DefaultParagraphFont"/>
    <w:rsid w:val="008910C0"/>
    <w:rPr>
      <w:sz w:val="16"/>
      <w:szCs w:val="16"/>
    </w:rPr>
  </w:style>
  <w:style w:type="paragraph" w:styleId="CommentText">
    <w:name w:val="annotation text"/>
    <w:basedOn w:val="Normal"/>
    <w:link w:val="CommentTextChar"/>
    <w:rsid w:val="008910C0"/>
    <w:rPr>
      <w:sz w:val="20"/>
    </w:rPr>
  </w:style>
  <w:style w:type="character" w:customStyle="1" w:styleId="CommentTextChar">
    <w:name w:val="Comment Text Char"/>
    <w:basedOn w:val="DefaultParagraphFont"/>
    <w:link w:val="CommentText"/>
    <w:rsid w:val="008910C0"/>
    <w:rPr>
      <w:snapToGrid w:val="0"/>
      <w:kern w:val="28"/>
    </w:rPr>
  </w:style>
  <w:style w:type="paragraph" w:styleId="CommentSubject">
    <w:name w:val="annotation subject"/>
    <w:basedOn w:val="CommentText"/>
    <w:next w:val="CommentText"/>
    <w:link w:val="CommentSubjectChar"/>
    <w:rsid w:val="008910C0"/>
    <w:rPr>
      <w:b/>
      <w:bCs/>
    </w:rPr>
  </w:style>
  <w:style w:type="character" w:customStyle="1" w:styleId="CommentSubjectChar">
    <w:name w:val="Comment Subject Char"/>
    <w:basedOn w:val="CommentTextChar"/>
    <w:link w:val="CommentSubject"/>
    <w:rsid w:val="008910C0"/>
    <w:rPr>
      <w:b/>
      <w:bCs/>
      <w:snapToGrid w:val="0"/>
      <w:kern w:val="28"/>
    </w:rPr>
  </w:style>
  <w:style w:type="paragraph" w:styleId="BalloonText">
    <w:name w:val="Balloon Text"/>
    <w:basedOn w:val="Normal"/>
    <w:link w:val="BalloonTextChar"/>
    <w:rsid w:val="008910C0"/>
    <w:rPr>
      <w:rFonts w:ascii="Tahoma" w:hAnsi="Tahoma" w:cs="Tahoma"/>
      <w:sz w:val="16"/>
      <w:szCs w:val="16"/>
    </w:rPr>
  </w:style>
  <w:style w:type="character" w:customStyle="1" w:styleId="BalloonTextChar">
    <w:name w:val="Balloon Text Char"/>
    <w:basedOn w:val="DefaultParagraphFont"/>
    <w:link w:val="BalloonText"/>
    <w:rsid w:val="008910C0"/>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695</Words>
  <Characters>3848</Characters>
  <Application>Microsoft Office Word</Application>
  <DocSecurity>0</DocSecurity>
  <Lines>86</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2014-08-14T15:14:00Z</dcterms:created>
  <dcterms:modified xsi:type="dcterms:W3CDTF">2014-08-14T15:14:00Z</dcterms:modified>
  <cp:category> </cp:category>
  <cp:contentStatus> </cp:contentStatus>
</cp:coreProperties>
</file>