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B7" w:rsidRPr="00BD6BB4" w:rsidRDefault="00DB4EB7" w:rsidP="00DB4EB7">
      <w:pPr>
        <w:spacing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DISSENTING </w:t>
      </w:r>
      <w:r w:rsidRPr="00BD6BB4">
        <w:rPr>
          <w:rFonts w:ascii="Times New Roman" w:hAnsi="Times New Roman" w:cs="Times New Roman"/>
          <w:b/>
        </w:rPr>
        <w:t xml:space="preserve">STATEMENT OF </w:t>
      </w:r>
      <w:r w:rsidRPr="00BD6BB4">
        <w:rPr>
          <w:rFonts w:ascii="Times New Roman" w:hAnsi="Times New Roman" w:cs="Times New Roman"/>
          <w:b/>
        </w:rPr>
        <w:br/>
        <w:t>COMMISSIONER MICHAEL O’RIELLY</w:t>
      </w:r>
    </w:p>
    <w:p w:rsidR="00DB4EB7" w:rsidRPr="00B14219" w:rsidRDefault="00DB4EB7" w:rsidP="00B14219">
      <w:pPr>
        <w:spacing w:line="240" w:lineRule="auto"/>
        <w:ind w:left="720" w:hanging="720"/>
        <w:rPr>
          <w:rFonts w:ascii="Times New Roman" w:eastAsia="Times New Roman" w:hAnsi="Times New Roman" w:cs="Times New Roman"/>
          <w:b/>
          <w:i/>
          <w:snapToGrid w:val="0"/>
          <w:kern w:val="28"/>
          <w:szCs w:val="20"/>
        </w:rPr>
      </w:pPr>
      <w:r w:rsidRPr="00B14219">
        <w:rPr>
          <w:rFonts w:ascii="Times New Roman" w:hAnsi="Times New Roman" w:cs="Times New Roman"/>
          <w:b/>
        </w:rPr>
        <w:t xml:space="preserve">Re:  </w:t>
      </w:r>
      <w:r w:rsidR="00B14219" w:rsidRPr="00B14219">
        <w:rPr>
          <w:rFonts w:ascii="Times New Roman" w:hAnsi="Times New Roman" w:cs="Times New Roman"/>
          <w:b/>
        </w:rPr>
        <w:tab/>
      </w:r>
      <w:r w:rsidRPr="003960EC">
        <w:rPr>
          <w:rFonts w:ascii="Times New Roman" w:hAnsi="Times New Roman" w:cs="Times New Roman"/>
          <w:b/>
          <w:i/>
        </w:rPr>
        <w:t>Grain Managemen</w:t>
      </w:r>
      <w:r w:rsidR="00501C14" w:rsidRPr="003960EC">
        <w:rPr>
          <w:rFonts w:ascii="Times New Roman" w:hAnsi="Times New Roman" w:cs="Times New Roman"/>
          <w:b/>
          <w:i/>
        </w:rPr>
        <w:t>t,</w:t>
      </w:r>
      <w:r w:rsidRPr="003960EC">
        <w:rPr>
          <w:rFonts w:ascii="Times New Roman" w:hAnsi="Times New Roman" w:cs="Times New Roman"/>
          <w:b/>
          <w:i/>
        </w:rPr>
        <w:t xml:space="preserve"> LLC’s Request for Clarification </w:t>
      </w:r>
      <w:r w:rsidR="001D386F" w:rsidRPr="003960EC">
        <w:rPr>
          <w:rFonts w:ascii="Times New Roman" w:hAnsi="Times New Roman" w:cs="Times New Roman"/>
          <w:b/>
          <w:i/>
        </w:rPr>
        <w:t>or</w:t>
      </w:r>
      <w:r w:rsidRPr="003960EC">
        <w:rPr>
          <w:rFonts w:ascii="Times New Roman" w:hAnsi="Times New Roman" w:cs="Times New Roman"/>
          <w:b/>
          <w:i/>
        </w:rPr>
        <w:t xml:space="preserve"> Waiver of Section 1.2110(b)(3)(iv)(A) of the Commission’s Rules; Implementation of the Commercial Spectrum Enhancement Act and Modernization of the Commission’s Competitive Bidding Rules and Procedures, WT Docket No. 05-211; Expanding the Economic and Innovation Opportunities of Spectrum Through Incentive Auctions, </w:t>
      </w:r>
      <w:r w:rsidRPr="003960EC">
        <w:rPr>
          <w:rFonts w:ascii="Times New Roman" w:eastAsia="Times New Roman" w:hAnsi="Times New Roman" w:cs="Times New Roman"/>
          <w:b/>
          <w:i/>
          <w:snapToGrid w:val="0"/>
          <w:kern w:val="28"/>
          <w:szCs w:val="20"/>
        </w:rPr>
        <w:t>GN Docket No. 12-268; Amendment of the Commission’s Rules with Regard to Commercial Operations in the 1695-1710 MHz, 1755-1780 MHz, and 2155-2180 MHz Bands, GN Docket No. 13-185.</w:t>
      </w:r>
    </w:p>
    <w:p w:rsidR="003311B7" w:rsidRPr="00BD7A1D" w:rsidRDefault="003311B7" w:rsidP="003311B7">
      <w:pPr>
        <w:spacing w:line="240" w:lineRule="auto"/>
        <w:ind w:firstLine="720"/>
        <w:rPr>
          <w:rFonts w:ascii="Times New Roman" w:hAnsi="Times New Roman" w:cs="Times New Roman"/>
        </w:rPr>
      </w:pPr>
      <w:r w:rsidRPr="00BD7A1D">
        <w:rPr>
          <w:rFonts w:ascii="Times New Roman" w:hAnsi="Times New Roman" w:cs="Times New Roman"/>
        </w:rPr>
        <w:t xml:space="preserve">I must </w:t>
      </w:r>
      <w:r>
        <w:rPr>
          <w:rFonts w:ascii="Times New Roman" w:hAnsi="Times New Roman" w:cs="Times New Roman"/>
        </w:rPr>
        <w:t xml:space="preserve">respectfully </w:t>
      </w:r>
      <w:r w:rsidRPr="00BD7A1D">
        <w:rPr>
          <w:rFonts w:ascii="Times New Roman" w:hAnsi="Times New Roman" w:cs="Times New Roman"/>
        </w:rPr>
        <w:t xml:space="preserve">dissent from this waiver order that exempts Grain Management, LLC (and other similarly situated parties) from the bright-line trigger of the attributable material relationship (AMR) rule.  I do so because I am not persuaded that the standard for a waiver under section 1.925 </w:t>
      </w:r>
      <w:r>
        <w:rPr>
          <w:rFonts w:ascii="Times New Roman" w:hAnsi="Times New Roman" w:cs="Times New Roman"/>
        </w:rPr>
        <w:t>of the Commission’s rules</w:t>
      </w:r>
      <w:r w:rsidRPr="00BD7A1D">
        <w:rPr>
          <w:rFonts w:ascii="Times New Roman" w:hAnsi="Times New Roman" w:cs="Times New Roman"/>
        </w:rPr>
        <w:t xml:space="preserve"> has been met.</w:t>
      </w:r>
      <w:r>
        <w:rPr>
          <w:rStyle w:val="FootnoteReference"/>
          <w:rFonts w:ascii="Times New Roman" w:hAnsi="Times New Roman" w:cs="Times New Roman"/>
        </w:rPr>
        <w:footnoteReference w:id="1"/>
      </w:r>
      <w:r w:rsidRPr="00BD7A1D">
        <w:rPr>
          <w:rFonts w:ascii="Times New Roman" w:hAnsi="Times New Roman" w:cs="Times New Roman"/>
        </w:rPr>
        <w:t xml:space="preserve">  I am also concerned that today’s action set</w:t>
      </w:r>
      <w:r>
        <w:rPr>
          <w:rFonts w:ascii="Times New Roman" w:hAnsi="Times New Roman" w:cs="Times New Roman"/>
        </w:rPr>
        <w:t>s</w:t>
      </w:r>
      <w:r w:rsidRPr="00BD7A1D">
        <w:rPr>
          <w:rFonts w:ascii="Times New Roman" w:hAnsi="Times New Roman" w:cs="Times New Roman"/>
        </w:rPr>
        <w:t xml:space="preserve"> i</w:t>
      </w:r>
      <w:r>
        <w:rPr>
          <w:rFonts w:ascii="Times New Roman" w:hAnsi="Times New Roman" w:cs="Times New Roman"/>
        </w:rPr>
        <w:t>n motion an effort to undermine</w:t>
      </w:r>
      <w:r w:rsidRPr="00BD7A1D">
        <w:rPr>
          <w:rFonts w:ascii="Times New Roman" w:hAnsi="Times New Roman" w:cs="Times New Roman"/>
        </w:rPr>
        <w:t xml:space="preserve"> th</w:t>
      </w:r>
      <w:r>
        <w:rPr>
          <w:rFonts w:ascii="Times New Roman" w:hAnsi="Times New Roman" w:cs="Times New Roman"/>
        </w:rPr>
        <w:t>e designated entity rules</w:t>
      </w:r>
      <w:r w:rsidRPr="00BD7A1D">
        <w:rPr>
          <w:rFonts w:ascii="Times New Roman" w:hAnsi="Times New Roman" w:cs="Times New Roman"/>
        </w:rPr>
        <w:t xml:space="preserve">.  </w:t>
      </w:r>
    </w:p>
    <w:p w:rsidR="003311B7" w:rsidRPr="00BD7A1D" w:rsidRDefault="003311B7" w:rsidP="003311B7">
      <w:pPr>
        <w:spacing w:line="240" w:lineRule="auto"/>
        <w:ind w:firstLine="720"/>
        <w:rPr>
          <w:rFonts w:ascii="Times New Roman" w:hAnsi="Times New Roman" w:cs="Times New Roman"/>
        </w:rPr>
      </w:pPr>
      <w:r>
        <w:rPr>
          <w:rFonts w:ascii="Times New Roman" w:hAnsi="Times New Roman" w:cs="Times New Roman"/>
        </w:rPr>
        <w:t>Starting in the 1990s, t</w:t>
      </w:r>
      <w:r w:rsidRPr="00BD7A1D">
        <w:rPr>
          <w:rFonts w:ascii="Times New Roman" w:hAnsi="Times New Roman" w:cs="Times New Roman"/>
        </w:rPr>
        <w:t xml:space="preserve">he Commission established rules </w:t>
      </w:r>
      <w:r>
        <w:rPr>
          <w:rFonts w:ascii="Times New Roman" w:hAnsi="Times New Roman" w:cs="Times New Roman"/>
        </w:rPr>
        <w:t>enabling</w:t>
      </w:r>
      <w:r w:rsidRPr="00BD7A1D">
        <w:rPr>
          <w:rFonts w:ascii="Times New Roman" w:hAnsi="Times New Roman" w:cs="Times New Roman"/>
        </w:rPr>
        <w:t xml:space="preserve"> independent small businesses to </w:t>
      </w:r>
      <w:r>
        <w:rPr>
          <w:rFonts w:ascii="Times New Roman" w:hAnsi="Times New Roman" w:cs="Times New Roman"/>
        </w:rPr>
        <w:t>receive</w:t>
      </w:r>
      <w:r w:rsidRPr="00BD7A1D">
        <w:rPr>
          <w:rFonts w:ascii="Times New Roman" w:hAnsi="Times New Roman" w:cs="Times New Roman"/>
        </w:rPr>
        <w:t xml:space="preserve"> bidding credits—government subsidies provided by the American people—</w:t>
      </w:r>
      <w:r>
        <w:rPr>
          <w:rFonts w:ascii="Times New Roman" w:hAnsi="Times New Roman" w:cs="Times New Roman"/>
        </w:rPr>
        <w:t>for use in spectrum auctions</w:t>
      </w:r>
      <w:r w:rsidRPr="00BD7A1D">
        <w:rPr>
          <w:rFonts w:ascii="Times New Roman" w:hAnsi="Times New Roman" w:cs="Times New Roman"/>
        </w:rPr>
        <w:t xml:space="preserve">.  Over the years, </w:t>
      </w:r>
      <w:r>
        <w:rPr>
          <w:rFonts w:ascii="Times New Roman" w:hAnsi="Times New Roman" w:cs="Times New Roman"/>
        </w:rPr>
        <w:t>the</w:t>
      </w:r>
      <w:r w:rsidRPr="00BD7A1D">
        <w:rPr>
          <w:rFonts w:ascii="Times New Roman" w:hAnsi="Times New Roman" w:cs="Times New Roman"/>
        </w:rPr>
        <w:t xml:space="preserve"> rules</w:t>
      </w:r>
      <w:r>
        <w:rPr>
          <w:rFonts w:ascii="Times New Roman" w:hAnsi="Times New Roman" w:cs="Times New Roman"/>
        </w:rPr>
        <w:t xml:space="preserve"> for these “designated entities”</w:t>
      </w:r>
      <w:r w:rsidRPr="00BD7A1D">
        <w:rPr>
          <w:rFonts w:ascii="Times New Roman" w:hAnsi="Times New Roman" w:cs="Times New Roman"/>
        </w:rPr>
        <w:t xml:space="preserve"> were refined to </w:t>
      </w:r>
      <w:r>
        <w:rPr>
          <w:rFonts w:ascii="Times New Roman" w:hAnsi="Times New Roman" w:cs="Times New Roman"/>
        </w:rPr>
        <w:t>prevent</w:t>
      </w:r>
      <w:r w:rsidRPr="00BD7A1D">
        <w:rPr>
          <w:rFonts w:ascii="Times New Roman" w:hAnsi="Times New Roman" w:cs="Times New Roman"/>
        </w:rPr>
        <w:t xml:space="preserve"> instances of abuse and to promote facilities-based communications service.</w:t>
      </w:r>
      <w:r>
        <w:rPr>
          <w:rFonts w:ascii="Times New Roman" w:hAnsi="Times New Roman" w:cs="Times New Roman"/>
        </w:rPr>
        <w:t xml:space="preserve">  Specifically, the AMR rule</w:t>
      </w:r>
      <w:r w:rsidRPr="00BD7A1D">
        <w:rPr>
          <w:rFonts w:ascii="Times New Roman" w:hAnsi="Times New Roman" w:cs="Times New Roman"/>
        </w:rPr>
        <w:t xml:space="preserve"> </w:t>
      </w:r>
      <w:r>
        <w:rPr>
          <w:rFonts w:ascii="Times New Roman" w:hAnsi="Times New Roman" w:cs="Times New Roman"/>
        </w:rPr>
        <w:t>aims</w:t>
      </w:r>
      <w:r w:rsidRPr="00BD7A1D">
        <w:rPr>
          <w:rFonts w:ascii="Times New Roman" w:hAnsi="Times New Roman" w:cs="Times New Roman"/>
        </w:rPr>
        <w:t xml:space="preserve"> to limit a </w:t>
      </w:r>
      <w:r>
        <w:rPr>
          <w:rFonts w:ascii="Times New Roman" w:hAnsi="Times New Roman" w:cs="Times New Roman"/>
        </w:rPr>
        <w:t>subsidy recipient’s</w:t>
      </w:r>
      <w:r w:rsidRPr="00BD7A1D">
        <w:rPr>
          <w:rFonts w:ascii="Times New Roman" w:hAnsi="Times New Roman" w:cs="Times New Roman"/>
        </w:rPr>
        <w:t xml:space="preserve"> ability to merely lease spectrum to other wireless </w:t>
      </w:r>
      <w:r>
        <w:rPr>
          <w:rFonts w:ascii="Times New Roman" w:hAnsi="Times New Roman" w:cs="Times New Roman"/>
        </w:rPr>
        <w:t>providers</w:t>
      </w:r>
      <w:r w:rsidRPr="00BD7A1D">
        <w:rPr>
          <w:rFonts w:ascii="Times New Roman" w:hAnsi="Times New Roman" w:cs="Times New Roman"/>
        </w:rPr>
        <w:t xml:space="preserve"> instead of building out its own network.  The</w:t>
      </w:r>
      <w:r>
        <w:rPr>
          <w:rFonts w:ascii="Times New Roman" w:hAnsi="Times New Roman" w:cs="Times New Roman"/>
        </w:rPr>
        <w:t xml:space="preserve"> stated</w:t>
      </w:r>
      <w:r w:rsidRPr="00BD7A1D">
        <w:rPr>
          <w:rFonts w:ascii="Times New Roman" w:hAnsi="Times New Roman" w:cs="Times New Roman"/>
        </w:rPr>
        <w:t xml:space="preserve"> concern </w:t>
      </w:r>
      <w:r>
        <w:rPr>
          <w:rFonts w:ascii="Times New Roman" w:hAnsi="Times New Roman" w:cs="Times New Roman"/>
        </w:rPr>
        <w:t>being</w:t>
      </w:r>
      <w:r w:rsidRPr="00BD7A1D">
        <w:rPr>
          <w:rFonts w:ascii="Times New Roman" w:hAnsi="Times New Roman" w:cs="Times New Roman"/>
        </w:rPr>
        <w:t xml:space="preserve"> that these lease agreements could unduly influence a designated entity’s decisions</w:t>
      </w:r>
      <w:r>
        <w:rPr>
          <w:rFonts w:ascii="Times New Roman" w:hAnsi="Times New Roman" w:cs="Times New Roman"/>
        </w:rPr>
        <w:t>, increasing the potential to operate as a shell company</w:t>
      </w:r>
      <w:r w:rsidRPr="00BD7A1D">
        <w:rPr>
          <w:rFonts w:ascii="Times New Roman" w:hAnsi="Times New Roman" w:cs="Times New Roman"/>
        </w:rPr>
        <w:t xml:space="preserve">.  </w:t>
      </w:r>
    </w:p>
    <w:p w:rsidR="003311B7" w:rsidRDefault="003311B7" w:rsidP="003311B7">
      <w:pPr>
        <w:spacing w:line="240" w:lineRule="auto"/>
        <w:rPr>
          <w:rFonts w:ascii="Times New Roman" w:hAnsi="Times New Roman" w:cs="Times New Roman"/>
        </w:rPr>
      </w:pPr>
      <w:r>
        <w:rPr>
          <w:rFonts w:ascii="Times New Roman" w:hAnsi="Times New Roman" w:cs="Times New Roman"/>
        </w:rPr>
        <w:tab/>
        <w:t xml:space="preserve"> Section 1.925 allows a rule to be waived if the petitioner can demonstrate that the rule’s underlying purpose would not be served, or would be unduly burdensome or contrary to the public interest.</w:t>
      </w:r>
      <w:r>
        <w:rPr>
          <w:rStyle w:val="FootnoteReference"/>
          <w:rFonts w:ascii="Times New Roman" w:hAnsi="Times New Roman" w:cs="Times New Roman"/>
        </w:rPr>
        <w:footnoteReference w:id="2"/>
      </w:r>
      <w:r>
        <w:rPr>
          <w:rFonts w:ascii="Times New Roman" w:hAnsi="Times New Roman" w:cs="Times New Roman"/>
        </w:rPr>
        <w:t xml:space="preserve">  In this case, Grain obtained spectrum licenses on the secondary market.  It then immediately leased </w:t>
      </w:r>
      <w:r w:rsidRPr="00E40933">
        <w:rPr>
          <w:rFonts w:ascii="Times New Roman" w:hAnsi="Times New Roman" w:cs="Times New Roman"/>
          <w:i/>
        </w:rPr>
        <w:t>all</w:t>
      </w:r>
      <w:r>
        <w:rPr>
          <w:rFonts w:ascii="Times New Roman" w:hAnsi="Times New Roman" w:cs="Times New Roman"/>
        </w:rPr>
        <w:t xml:space="preserve"> of this spectrum to AT&amp;T and Verizon, thus making their revenues attributable and rendering Grain ineligible for designated entity status.</w:t>
      </w:r>
      <w:r>
        <w:rPr>
          <w:rStyle w:val="FootnoteReference"/>
          <w:rFonts w:ascii="Times New Roman" w:hAnsi="Times New Roman" w:cs="Times New Roman"/>
        </w:rPr>
        <w:footnoteReference w:id="3"/>
      </w:r>
      <w:r>
        <w:rPr>
          <w:rFonts w:ascii="Times New Roman" w:hAnsi="Times New Roman" w:cs="Times New Roman"/>
        </w:rPr>
        <w:t xml:space="preserve">  Despite full knowledge of the AMR rule when it entered into these business arrangements, Grain now wants a waiver so that it can pursue bidding credits in the upcoming AWS-3 spectrum auction.  Unfortunately, this item provides little to no analysis as to how waiving this rule will promote facilities-based service.  There is also no attempt to adequately explain how this category of leasing arrangements could not result in undue influence and how this waiver is, therefore, consistent with the underlying purpose of the AMR rule.  Moreover, this rule is not overly burdensome because there is nothing that prevents Grain from participating in future spectrum auctions or transactions; they just wouldn’t get a special subsidy in the process.    </w:t>
      </w:r>
    </w:p>
    <w:p w:rsidR="003311B7" w:rsidRPr="00BD7A1D" w:rsidRDefault="003311B7" w:rsidP="003311B7">
      <w:pPr>
        <w:spacing w:line="240" w:lineRule="auto"/>
        <w:ind w:firstLine="720"/>
        <w:rPr>
          <w:rFonts w:ascii="Times New Roman" w:hAnsi="Times New Roman" w:cs="Times New Roman"/>
        </w:rPr>
      </w:pPr>
      <w:r>
        <w:rPr>
          <w:rFonts w:ascii="Times New Roman" w:hAnsi="Times New Roman" w:cs="Times New Roman"/>
        </w:rPr>
        <w:t xml:space="preserve">Going forward, I will monitor the implementation of this item closely and I will be skeptical of any attempts to water down our designated entity rules.  Let’s be clear: bidding credits should be awarded sparingly to bona fide small businesses after going through a stringent and comprehensive review process.  Otherwise, we deprive the American people of the opportunity to rightfully maximize revenues for the use of </w:t>
      </w:r>
      <w:r w:rsidRPr="00DD47A2">
        <w:rPr>
          <w:rFonts w:ascii="Times New Roman" w:hAnsi="Times New Roman" w:cs="Times New Roman"/>
        </w:rPr>
        <w:t>their</w:t>
      </w:r>
      <w:r>
        <w:rPr>
          <w:rFonts w:ascii="Times New Roman" w:hAnsi="Times New Roman" w:cs="Times New Roman"/>
        </w:rPr>
        <w:t xml:space="preserve"> public resource.</w:t>
      </w:r>
    </w:p>
    <w:p w:rsidR="00862F4E" w:rsidRPr="00BD7A1D" w:rsidRDefault="003311B7" w:rsidP="003311B7">
      <w:pPr>
        <w:spacing w:line="240" w:lineRule="auto"/>
        <w:ind w:firstLine="720"/>
        <w:rPr>
          <w:rFonts w:ascii="Times New Roman" w:hAnsi="Times New Roman" w:cs="Times New Roman"/>
        </w:rPr>
      </w:pPr>
      <w:r w:rsidRPr="00BD7A1D">
        <w:rPr>
          <w:rFonts w:ascii="Times New Roman" w:hAnsi="Times New Roman" w:cs="Times New Roman"/>
        </w:rPr>
        <w:t xml:space="preserve">In closing, as I have said previously, the full Commission should have the opportunity to vote on all issues of significance.  I, therefore, thank Chairman Wheeler for circulating this item for a vote.      </w:t>
      </w:r>
    </w:p>
    <w:sectPr w:rsidR="00862F4E" w:rsidRPr="00BD7A1D" w:rsidSect="00B142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A67" w:rsidRDefault="00271A67" w:rsidP="00181472">
      <w:pPr>
        <w:spacing w:after="0" w:line="240" w:lineRule="auto"/>
      </w:pPr>
      <w:r>
        <w:separator/>
      </w:r>
    </w:p>
  </w:endnote>
  <w:endnote w:type="continuationSeparator" w:id="0">
    <w:p w:rsidR="00271A67" w:rsidRDefault="00271A67" w:rsidP="0018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62" w:rsidRDefault="009A1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62" w:rsidRDefault="009A1F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62" w:rsidRDefault="009A1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A67" w:rsidRDefault="00271A67" w:rsidP="00181472">
      <w:pPr>
        <w:spacing w:after="0" w:line="240" w:lineRule="auto"/>
      </w:pPr>
      <w:r>
        <w:separator/>
      </w:r>
    </w:p>
  </w:footnote>
  <w:footnote w:type="continuationSeparator" w:id="0">
    <w:p w:rsidR="00271A67" w:rsidRDefault="00271A67" w:rsidP="00181472">
      <w:pPr>
        <w:spacing w:after="0" w:line="240" w:lineRule="auto"/>
      </w:pPr>
      <w:r>
        <w:continuationSeparator/>
      </w:r>
    </w:p>
  </w:footnote>
  <w:footnote w:id="1">
    <w:p w:rsidR="00271A67" w:rsidRPr="009F5909" w:rsidRDefault="00271A67" w:rsidP="003311B7">
      <w:pPr>
        <w:pStyle w:val="FootnoteText"/>
        <w:spacing w:after="120"/>
        <w:rPr>
          <w:rFonts w:ascii="Times New Roman" w:hAnsi="Times New Roman" w:cs="Times New Roman"/>
        </w:rPr>
      </w:pPr>
      <w:r w:rsidRPr="009F5909">
        <w:rPr>
          <w:rStyle w:val="FootnoteReference"/>
          <w:rFonts w:ascii="Times New Roman" w:hAnsi="Times New Roman" w:cs="Times New Roman"/>
        </w:rPr>
        <w:footnoteRef/>
      </w:r>
      <w:r w:rsidRPr="009F5909">
        <w:rPr>
          <w:rFonts w:ascii="Times New Roman" w:hAnsi="Times New Roman" w:cs="Times New Roman"/>
        </w:rPr>
        <w:t xml:space="preserve"> </w:t>
      </w:r>
      <w:r w:rsidRPr="00B51CA2">
        <w:rPr>
          <w:rFonts w:ascii="Times New Roman" w:hAnsi="Times New Roman" w:cs="Times New Roman"/>
        </w:rPr>
        <w:t>47 C.F.R. § 1.925.</w:t>
      </w:r>
    </w:p>
  </w:footnote>
  <w:footnote w:id="2">
    <w:p w:rsidR="00271A67" w:rsidRPr="009F5909" w:rsidRDefault="00271A67" w:rsidP="003311B7">
      <w:pPr>
        <w:pStyle w:val="FootnoteText"/>
        <w:spacing w:after="120"/>
        <w:rPr>
          <w:rFonts w:ascii="Times New Roman" w:hAnsi="Times New Roman" w:cs="Times New Roman"/>
        </w:rPr>
      </w:pPr>
      <w:r w:rsidRPr="009F5909">
        <w:rPr>
          <w:rStyle w:val="FootnoteReference"/>
          <w:rFonts w:ascii="Times New Roman" w:hAnsi="Times New Roman" w:cs="Times New Roman"/>
        </w:rPr>
        <w:footnoteRef/>
      </w:r>
      <w:r w:rsidRPr="009F5909">
        <w:rPr>
          <w:rFonts w:ascii="Times New Roman" w:hAnsi="Times New Roman" w:cs="Times New Roman"/>
        </w:rPr>
        <w:t xml:space="preserve"> </w:t>
      </w:r>
      <w:r w:rsidRPr="00B51CA2">
        <w:rPr>
          <w:rFonts w:ascii="Times New Roman" w:hAnsi="Times New Roman" w:cs="Times New Roman"/>
          <w:i/>
        </w:rPr>
        <w:t>Id</w:t>
      </w:r>
      <w:r w:rsidRPr="00B51CA2">
        <w:rPr>
          <w:rFonts w:ascii="Times New Roman" w:hAnsi="Times New Roman" w:cs="Times New Roman"/>
        </w:rPr>
        <w:t>.</w:t>
      </w:r>
      <w:r>
        <w:rPr>
          <w:rFonts w:ascii="Times New Roman" w:hAnsi="Times New Roman" w:cs="Times New Roman"/>
        </w:rPr>
        <w:t xml:space="preserve"> </w:t>
      </w:r>
      <w:r w:rsidRPr="00B51CA2">
        <w:rPr>
          <w:rFonts w:ascii="Times New Roman" w:hAnsi="Times New Roman" w:cs="Times New Roman"/>
        </w:rPr>
        <w:t>§ 1.925</w:t>
      </w:r>
      <w:r>
        <w:rPr>
          <w:rFonts w:ascii="Times New Roman" w:hAnsi="Times New Roman" w:cs="Times New Roman"/>
        </w:rPr>
        <w:t>(b)(3).</w:t>
      </w:r>
    </w:p>
  </w:footnote>
  <w:footnote w:id="3">
    <w:p w:rsidR="00271A67" w:rsidRPr="007B021E" w:rsidRDefault="00271A67" w:rsidP="003311B7">
      <w:pPr>
        <w:pStyle w:val="FootnoteText"/>
        <w:spacing w:after="120"/>
        <w:rPr>
          <w:rFonts w:ascii="Times New Roman" w:hAnsi="Times New Roman" w:cs="Times New Roman"/>
        </w:rPr>
      </w:pPr>
      <w:r w:rsidRPr="00B51CA2">
        <w:rPr>
          <w:rStyle w:val="FootnoteReference"/>
          <w:rFonts w:ascii="Times New Roman" w:hAnsi="Times New Roman" w:cs="Times New Roman"/>
        </w:rPr>
        <w:footnoteRef/>
      </w:r>
      <w:r w:rsidRPr="00B51CA2">
        <w:rPr>
          <w:rFonts w:ascii="Times New Roman" w:hAnsi="Times New Roman" w:cs="Times New Roman"/>
        </w:rPr>
        <w:t xml:space="preserve"> If a designated entity has a lease agreement for “more than 25 percent of the spectrum capacity of </w:t>
      </w:r>
      <w:r w:rsidRPr="00B51CA2">
        <w:rPr>
          <w:rFonts w:ascii="Times New Roman" w:hAnsi="Times New Roman" w:cs="Times New Roman"/>
          <w:i/>
        </w:rPr>
        <w:t>any one</w:t>
      </w:r>
      <w:r w:rsidRPr="00B51CA2">
        <w:rPr>
          <w:rFonts w:ascii="Times New Roman" w:hAnsi="Times New Roman" w:cs="Times New Roman"/>
        </w:rPr>
        <w:t xml:space="preserve"> of the applicant’s</w:t>
      </w:r>
      <w:r>
        <w:rPr>
          <w:rFonts w:ascii="Times New Roman" w:hAnsi="Times New Roman" w:cs="Times New Roman"/>
        </w:rPr>
        <w:t xml:space="preserve"> or licensee’s</w:t>
      </w:r>
      <w:r w:rsidRPr="007B021E" w:rsidDel="006E19D3">
        <w:rPr>
          <w:rFonts w:ascii="Times New Roman" w:hAnsi="Times New Roman" w:cs="Times New Roman"/>
        </w:rPr>
        <w:t xml:space="preserve"> </w:t>
      </w:r>
      <w:r w:rsidRPr="007B021E">
        <w:rPr>
          <w:rFonts w:ascii="Times New Roman" w:hAnsi="Times New Roman" w:cs="Times New Roman"/>
        </w:rPr>
        <w:t>license</w:t>
      </w:r>
      <w:r>
        <w:rPr>
          <w:rFonts w:ascii="Times New Roman" w:hAnsi="Times New Roman" w:cs="Times New Roman"/>
        </w:rPr>
        <w:t>s</w:t>
      </w:r>
      <w:r w:rsidRPr="007B021E">
        <w:rPr>
          <w:rFonts w:ascii="Times New Roman" w:hAnsi="Times New Roman" w:cs="Times New Roman"/>
        </w:rPr>
        <w:t>,” the revenues of the lessee are attributed to the applicant.</w:t>
      </w:r>
      <w:r w:rsidRPr="006E19D3">
        <w:rPr>
          <w:rFonts w:ascii="Times New Roman" w:hAnsi="Times New Roman" w:cs="Times New Roman"/>
        </w:rPr>
        <w:t xml:space="preserve"> </w:t>
      </w:r>
      <w:r>
        <w:rPr>
          <w:rFonts w:ascii="Times New Roman" w:hAnsi="Times New Roman" w:cs="Times New Roman"/>
        </w:rPr>
        <w:t xml:space="preserve"> 47 C.F.R. § 1.2110(b)(3)(iv) (emphasis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62" w:rsidRDefault="009A1F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62" w:rsidRDefault="009A1F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62" w:rsidRDefault="009A1F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FE"/>
    <w:rsid w:val="00013E8E"/>
    <w:rsid w:val="000402BD"/>
    <w:rsid w:val="000412D1"/>
    <w:rsid w:val="00067F5F"/>
    <w:rsid w:val="000950A3"/>
    <w:rsid w:val="000E6F3D"/>
    <w:rsid w:val="00145075"/>
    <w:rsid w:val="00181472"/>
    <w:rsid w:val="001A5A6C"/>
    <w:rsid w:val="001D386F"/>
    <w:rsid w:val="001E6B07"/>
    <w:rsid w:val="0025096D"/>
    <w:rsid w:val="002703F7"/>
    <w:rsid w:val="00271A67"/>
    <w:rsid w:val="002833A5"/>
    <w:rsid w:val="002E0619"/>
    <w:rsid w:val="00316EC3"/>
    <w:rsid w:val="003311B7"/>
    <w:rsid w:val="00362C99"/>
    <w:rsid w:val="003640DE"/>
    <w:rsid w:val="003960EC"/>
    <w:rsid w:val="003A6A39"/>
    <w:rsid w:val="003D4427"/>
    <w:rsid w:val="00413CD0"/>
    <w:rsid w:val="00485C58"/>
    <w:rsid w:val="004A7C85"/>
    <w:rsid w:val="00501C14"/>
    <w:rsid w:val="00551FD0"/>
    <w:rsid w:val="005654AF"/>
    <w:rsid w:val="006A5649"/>
    <w:rsid w:val="00706FD5"/>
    <w:rsid w:val="007B021E"/>
    <w:rsid w:val="00862F4E"/>
    <w:rsid w:val="008E63FD"/>
    <w:rsid w:val="008E7C43"/>
    <w:rsid w:val="0095147F"/>
    <w:rsid w:val="009A1F62"/>
    <w:rsid w:val="009C72B6"/>
    <w:rsid w:val="009D196F"/>
    <w:rsid w:val="009E57D7"/>
    <w:rsid w:val="009E63B9"/>
    <w:rsid w:val="009F5909"/>
    <w:rsid w:val="00A075BB"/>
    <w:rsid w:val="00A3589E"/>
    <w:rsid w:val="00A3758E"/>
    <w:rsid w:val="00AD31CE"/>
    <w:rsid w:val="00B14219"/>
    <w:rsid w:val="00B15C44"/>
    <w:rsid w:val="00B51CA2"/>
    <w:rsid w:val="00B86C25"/>
    <w:rsid w:val="00B979CC"/>
    <w:rsid w:val="00BD7A1D"/>
    <w:rsid w:val="00C00377"/>
    <w:rsid w:val="00CC72FD"/>
    <w:rsid w:val="00CD0367"/>
    <w:rsid w:val="00CF0482"/>
    <w:rsid w:val="00D05CEA"/>
    <w:rsid w:val="00D336FE"/>
    <w:rsid w:val="00D701C8"/>
    <w:rsid w:val="00D73F52"/>
    <w:rsid w:val="00DB4EB7"/>
    <w:rsid w:val="00DD47A2"/>
    <w:rsid w:val="00DE5EC5"/>
    <w:rsid w:val="00E40933"/>
    <w:rsid w:val="00E55A73"/>
    <w:rsid w:val="00E7146A"/>
    <w:rsid w:val="00EE5593"/>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14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472"/>
    <w:rPr>
      <w:sz w:val="20"/>
      <w:szCs w:val="20"/>
    </w:rPr>
  </w:style>
  <w:style w:type="character" w:styleId="FootnoteReference">
    <w:name w:val="footnote reference"/>
    <w:basedOn w:val="DefaultParagraphFont"/>
    <w:uiPriority w:val="99"/>
    <w:semiHidden/>
    <w:unhideWhenUsed/>
    <w:rsid w:val="00181472"/>
    <w:rPr>
      <w:vertAlign w:val="superscript"/>
    </w:rPr>
  </w:style>
  <w:style w:type="paragraph" w:styleId="BalloonText">
    <w:name w:val="Balloon Text"/>
    <w:basedOn w:val="Normal"/>
    <w:link w:val="BalloonTextChar"/>
    <w:uiPriority w:val="99"/>
    <w:semiHidden/>
    <w:unhideWhenUsed/>
    <w:rsid w:val="00362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C99"/>
    <w:rPr>
      <w:rFonts w:ascii="Tahoma" w:hAnsi="Tahoma" w:cs="Tahoma"/>
      <w:sz w:val="16"/>
      <w:szCs w:val="16"/>
    </w:rPr>
  </w:style>
  <w:style w:type="paragraph" w:styleId="Header">
    <w:name w:val="header"/>
    <w:basedOn w:val="Normal"/>
    <w:link w:val="HeaderChar"/>
    <w:unhideWhenUsed/>
    <w:rsid w:val="00B14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219"/>
  </w:style>
  <w:style w:type="paragraph" w:styleId="Footer">
    <w:name w:val="footer"/>
    <w:basedOn w:val="Normal"/>
    <w:link w:val="FooterChar"/>
    <w:uiPriority w:val="99"/>
    <w:unhideWhenUsed/>
    <w:rsid w:val="00B14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14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472"/>
    <w:rPr>
      <w:sz w:val="20"/>
      <w:szCs w:val="20"/>
    </w:rPr>
  </w:style>
  <w:style w:type="character" w:styleId="FootnoteReference">
    <w:name w:val="footnote reference"/>
    <w:basedOn w:val="DefaultParagraphFont"/>
    <w:uiPriority w:val="99"/>
    <w:semiHidden/>
    <w:unhideWhenUsed/>
    <w:rsid w:val="00181472"/>
    <w:rPr>
      <w:vertAlign w:val="superscript"/>
    </w:rPr>
  </w:style>
  <w:style w:type="paragraph" w:styleId="BalloonText">
    <w:name w:val="Balloon Text"/>
    <w:basedOn w:val="Normal"/>
    <w:link w:val="BalloonTextChar"/>
    <w:uiPriority w:val="99"/>
    <w:semiHidden/>
    <w:unhideWhenUsed/>
    <w:rsid w:val="00362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C99"/>
    <w:rPr>
      <w:rFonts w:ascii="Tahoma" w:hAnsi="Tahoma" w:cs="Tahoma"/>
      <w:sz w:val="16"/>
      <w:szCs w:val="16"/>
    </w:rPr>
  </w:style>
  <w:style w:type="paragraph" w:styleId="Header">
    <w:name w:val="header"/>
    <w:basedOn w:val="Normal"/>
    <w:link w:val="HeaderChar"/>
    <w:unhideWhenUsed/>
    <w:rsid w:val="00B14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219"/>
  </w:style>
  <w:style w:type="paragraph" w:styleId="Footer">
    <w:name w:val="footer"/>
    <w:basedOn w:val="Normal"/>
    <w:link w:val="FooterChar"/>
    <w:uiPriority w:val="99"/>
    <w:unhideWhenUsed/>
    <w:rsid w:val="00B14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3025</Characters>
  <Application>Microsoft Office Word</Application>
  <DocSecurity>0</DocSecurity>
  <Lines>40</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2014-07-22T20:04:00Z</cp:lastPrinted>
  <dcterms:created xsi:type="dcterms:W3CDTF">2014-07-23T21:26:00Z</dcterms:created>
  <dcterms:modified xsi:type="dcterms:W3CDTF">2014-07-23T21:26:00Z</dcterms:modified>
  <cp:category> </cp:category>
  <cp:contentStatus> </cp:contentStatus>
</cp:coreProperties>
</file>