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731665" w:rsidRDefault="004C2EE3">
      <w:pPr>
        <w:jc w:val="center"/>
        <w:rPr>
          <w:b/>
        </w:rPr>
      </w:pPr>
      <w:bookmarkStart w:id="0" w:name="_GoBack"/>
      <w:bookmarkEnd w:id="0"/>
      <w:r w:rsidRPr="00731665">
        <w:rPr>
          <w:b/>
          <w:kern w:val="0"/>
          <w:szCs w:val="22"/>
        </w:rPr>
        <w:t>Before</w:t>
      </w:r>
      <w:r w:rsidRPr="00731665">
        <w:rPr>
          <w:b/>
        </w:rPr>
        <w:t xml:space="preserve"> the</w:t>
      </w:r>
    </w:p>
    <w:p w:rsidR="00921803" w:rsidRPr="00731665" w:rsidRDefault="00921803" w:rsidP="00921803">
      <w:pPr>
        <w:pStyle w:val="StyleBoldCentered"/>
        <w:rPr>
          <w:rFonts w:ascii="Times New Roman" w:hAnsi="Times New Roman"/>
        </w:rPr>
      </w:pPr>
      <w:r w:rsidRPr="00731665">
        <w:rPr>
          <w:rFonts w:ascii="Times New Roman" w:hAnsi="Times New Roman"/>
        </w:rPr>
        <w:t>F</w:t>
      </w:r>
      <w:r w:rsidRPr="00731665">
        <w:rPr>
          <w:rFonts w:ascii="Times New Roman" w:hAnsi="Times New Roman"/>
          <w:caps w:val="0"/>
        </w:rPr>
        <w:t>ederal Communications Commission</w:t>
      </w:r>
    </w:p>
    <w:p w:rsidR="004C2EE3" w:rsidRPr="00731665" w:rsidRDefault="00731665" w:rsidP="00731665">
      <w:pPr>
        <w:jc w:val="center"/>
        <w:rPr>
          <w:b/>
        </w:rPr>
      </w:pPr>
      <w:r w:rsidRPr="00731665">
        <w:rPr>
          <w:b/>
        </w:rPr>
        <w:t>Washington</w:t>
      </w:r>
      <w:r w:rsidRPr="00731665">
        <w:rPr>
          <w:b/>
          <w:caps/>
        </w:rPr>
        <w:t xml:space="preserve">, </w:t>
      </w:r>
      <w:r w:rsidR="004C2EE3" w:rsidRPr="00731665">
        <w:rPr>
          <w:b/>
        </w:rPr>
        <w:t>DC 20554</w:t>
      </w:r>
    </w:p>
    <w:p w:rsidR="004C2EE3" w:rsidRPr="00731665"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E6528E" w:rsidP="007115F7">
            <w:pPr>
              <w:tabs>
                <w:tab w:val="center" w:pos="4680"/>
              </w:tabs>
              <w:suppressAutoHyphens/>
              <w:rPr>
                <w:spacing w:val="-2"/>
              </w:rPr>
            </w:pPr>
            <w:r>
              <w:rPr>
                <w:spacing w:val="-2"/>
              </w:rPr>
              <w:t>Net One International</w:t>
            </w:r>
            <w:r w:rsidR="00F12149">
              <w:rPr>
                <w:spacing w:val="-2"/>
              </w:rPr>
              <w:t>, Inc.</w:t>
            </w:r>
          </w:p>
          <w:p w:rsidR="00E6528E" w:rsidRDefault="00E6528E" w:rsidP="007115F7">
            <w:pPr>
              <w:tabs>
                <w:tab w:val="center" w:pos="4680"/>
              </w:tabs>
              <w:suppressAutoHyphens/>
              <w:rPr>
                <w:spacing w:val="-2"/>
              </w:rPr>
            </w:pPr>
          </w:p>
          <w:p w:rsidR="00E6528E" w:rsidRPr="007115F7" w:rsidRDefault="00E6528E" w:rsidP="007115F7">
            <w:pPr>
              <w:tabs>
                <w:tab w:val="center" w:pos="4680"/>
              </w:tabs>
              <w:suppressAutoHyphens/>
              <w:rPr>
                <w:spacing w:val="-2"/>
              </w:rPr>
            </w:pPr>
            <w:r>
              <w:rPr>
                <w:spacing w:val="-2"/>
              </w:rPr>
              <w:t>Apparent Liability for Forfeiture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EB3E8F" w:rsidRDefault="00EB3E8F" w:rsidP="00EB3E8F">
            <w:pPr>
              <w:tabs>
                <w:tab w:val="center" w:pos="4680"/>
              </w:tabs>
              <w:suppressAutoHyphens/>
              <w:rPr>
                <w:spacing w:val="-2"/>
              </w:rPr>
            </w:pPr>
            <w:r>
              <w:rPr>
                <w:spacing w:val="-2"/>
              </w:rPr>
              <w:t>File No.: EB-TCD-1</w:t>
            </w:r>
            <w:r w:rsidR="002B1C24">
              <w:rPr>
                <w:spacing w:val="-2"/>
              </w:rPr>
              <w:t>2</w:t>
            </w:r>
            <w:r>
              <w:rPr>
                <w:spacing w:val="-2"/>
              </w:rPr>
              <w:t>-</w:t>
            </w:r>
            <w:r w:rsidR="002B1C24">
              <w:rPr>
                <w:spacing w:val="-2"/>
              </w:rPr>
              <w:t>00000418</w:t>
            </w:r>
            <w:r w:rsidR="00DC000B">
              <w:rPr>
                <w:rStyle w:val="FootnoteReference"/>
                <w:spacing w:val="-2"/>
              </w:rPr>
              <w:footnoteReference w:id="2"/>
            </w:r>
          </w:p>
          <w:p w:rsidR="004C2EE3" w:rsidRDefault="004C2EE3">
            <w:pPr>
              <w:pStyle w:val="TOAHeading"/>
              <w:tabs>
                <w:tab w:val="clear" w:pos="9360"/>
                <w:tab w:val="center" w:pos="4680"/>
              </w:tabs>
              <w:rPr>
                <w:spacing w:val="-2"/>
              </w:rPr>
            </w:pPr>
          </w:p>
          <w:p w:rsidR="00EB3E8F" w:rsidRDefault="00EB3E8F" w:rsidP="00EB3E8F">
            <w:pPr>
              <w:tabs>
                <w:tab w:val="center" w:pos="4680"/>
              </w:tabs>
              <w:suppressAutoHyphens/>
              <w:rPr>
                <w:spacing w:val="-2"/>
              </w:rPr>
            </w:pPr>
            <w:r>
              <w:rPr>
                <w:spacing w:val="-2"/>
              </w:rPr>
              <w:t>NAL/Acct. No</w:t>
            </w:r>
            <w:r w:rsidRPr="009704B4">
              <w:rPr>
                <w:spacing w:val="-2"/>
                <w:szCs w:val="22"/>
              </w:rPr>
              <w:t xml:space="preserve">.: </w:t>
            </w:r>
            <w:r w:rsidR="009704B4" w:rsidRPr="009704B4">
              <w:rPr>
                <w:szCs w:val="22"/>
              </w:rPr>
              <w:t>201432170010</w:t>
            </w:r>
          </w:p>
          <w:p w:rsidR="00E6528E" w:rsidRDefault="00E6528E">
            <w:pPr>
              <w:tabs>
                <w:tab w:val="center" w:pos="4680"/>
              </w:tabs>
              <w:suppressAutoHyphens/>
              <w:rPr>
                <w:spacing w:val="-2"/>
              </w:rPr>
            </w:pPr>
          </w:p>
          <w:p w:rsidR="00E6528E" w:rsidRDefault="00EB3E8F">
            <w:pPr>
              <w:tabs>
                <w:tab w:val="center" w:pos="4680"/>
              </w:tabs>
              <w:suppressAutoHyphens/>
              <w:rPr>
                <w:spacing w:val="-2"/>
              </w:rPr>
            </w:pPr>
            <w:r>
              <w:rPr>
                <w:spacing w:val="-2"/>
              </w:rPr>
              <w:t>FRN: 0004337556</w:t>
            </w:r>
          </w:p>
          <w:p w:rsidR="00E6528E" w:rsidRDefault="00E6528E">
            <w:pPr>
              <w:tabs>
                <w:tab w:val="center" w:pos="4680"/>
              </w:tabs>
              <w:suppressAutoHyphens/>
              <w:rPr>
                <w:spacing w:val="-2"/>
              </w:rPr>
            </w:pPr>
          </w:p>
        </w:tc>
      </w:tr>
    </w:tbl>
    <w:p w:rsidR="004C2EE3" w:rsidRDefault="004C2EE3" w:rsidP="0070224F"/>
    <w:p w:rsidR="00841AB1" w:rsidRDefault="00E6528E" w:rsidP="00F021FA">
      <w:pPr>
        <w:pStyle w:val="StyleBoldCentered"/>
      </w:pPr>
      <w:r>
        <w:t>Notice of apparent liability for fo</w:t>
      </w:r>
      <w:r w:rsidR="009118C1">
        <w:t>rfeiture</w:t>
      </w:r>
      <w:r>
        <w:t xml:space="preserve"> </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1F402E">
        <w:rPr>
          <w:b/>
          <w:spacing w:val="-2"/>
        </w:rPr>
        <w:t>July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402E">
        <w:rPr>
          <w:b/>
          <w:spacing w:val="-2"/>
        </w:rPr>
        <w:t>July 15, 2014</w:t>
      </w:r>
    </w:p>
    <w:p w:rsidR="00822CE0" w:rsidRDefault="00822CE0"/>
    <w:p w:rsidR="009836B0" w:rsidRDefault="004C2EE3" w:rsidP="009836B0">
      <w:pPr>
        <w:rPr>
          <w:spacing w:val="-2"/>
        </w:rPr>
      </w:pPr>
      <w:r>
        <w:t xml:space="preserve">By </w:t>
      </w:r>
      <w:r w:rsidR="004E4A22">
        <w:t>the</w:t>
      </w:r>
      <w:r w:rsidR="00242D2B">
        <w:t xml:space="preserve"> Commission</w:t>
      </w:r>
      <w:r>
        <w:rPr>
          <w:spacing w:val="-2"/>
        </w:rPr>
        <w:t>:</w:t>
      </w:r>
    </w:p>
    <w:p w:rsidR="009836B0" w:rsidRPr="009836B0" w:rsidRDefault="009836B0" w:rsidP="009836B0"/>
    <w:p w:rsidR="00412FC5" w:rsidRDefault="00E6528E" w:rsidP="00412FC5">
      <w:pPr>
        <w:pStyle w:val="Heading1"/>
      </w:pPr>
      <w:r>
        <w:t>introduction</w:t>
      </w:r>
    </w:p>
    <w:p w:rsidR="00E31051" w:rsidRPr="00405FBC" w:rsidRDefault="00E86D1F" w:rsidP="00405FBC">
      <w:pPr>
        <w:pStyle w:val="ParaNum"/>
        <w:numPr>
          <w:ilvl w:val="0"/>
          <w:numId w:val="3"/>
        </w:numPr>
        <w:tabs>
          <w:tab w:val="clear" w:pos="1080"/>
        </w:tabs>
        <w:ind w:left="-90"/>
        <w:rPr>
          <w:szCs w:val="22"/>
        </w:rPr>
      </w:pPr>
      <w:r>
        <w:t xml:space="preserve">We </w:t>
      </w:r>
      <w:r w:rsidR="00171F0D">
        <w:t>propose</w:t>
      </w:r>
      <w:r w:rsidR="000B77DE">
        <w:t xml:space="preserve"> a penalty </w:t>
      </w:r>
      <w:r w:rsidR="000B77DE" w:rsidRPr="00215A23">
        <w:t>of $1,</w:t>
      </w:r>
      <w:r w:rsidR="00C26261" w:rsidRPr="00215A23">
        <w:t>60</w:t>
      </w:r>
      <w:r w:rsidR="000B77DE" w:rsidRPr="00215A23">
        <w:t>0,000</w:t>
      </w:r>
      <w:r w:rsidR="000B77DE">
        <w:rPr>
          <w:b/>
        </w:rPr>
        <w:t xml:space="preserve"> </w:t>
      </w:r>
      <w:r w:rsidR="000A56E7">
        <w:t xml:space="preserve">against </w:t>
      </w:r>
      <w:r w:rsidR="00E31051">
        <w:rPr>
          <w:szCs w:val="22"/>
        </w:rPr>
        <w:t>Net One International,</w:t>
      </w:r>
      <w:r w:rsidR="00F12149">
        <w:rPr>
          <w:szCs w:val="22"/>
        </w:rPr>
        <w:t xml:space="preserve"> Inc.</w:t>
      </w:r>
      <w:r w:rsidR="00E31051">
        <w:rPr>
          <w:szCs w:val="22"/>
        </w:rPr>
        <w:t xml:space="preserve"> </w:t>
      </w:r>
      <w:r w:rsidR="00F12149">
        <w:rPr>
          <w:szCs w:val="22"/>
        </w:rPr>
        <w:t>(</w:t>
      </w:r>
      <w:r w:rsidR="00E31051">
        <w:rPr>
          <w:szCs w:val="22"/>
        </w:rPr>
        <w:t>Net One</w:t>
      </w:r>
      <w:r w:rsidR="000A2295">
        <w:rPr>
          <w:szCs w:val="22"/>
        </w:rPr>
        <w:t xml:space="preserve"> or Company</w:t>
      </w:r>
      <w:r w:rsidR="00E31051">
        <w:rPr>
          <w:szCs w:val="22"/>
        </w:rPr>
        <w:t>)</w:t>
      </w:r>
      <w:r w:rsidR="000A306C">
        <w:rPr>
          <w:szCs w:val="22"/>
        </w:rPr>
        <w:t>,</w:t>
      </w:r>
      <w:r w:rsidR="00E31051">
        <w:rPr>
          <w:szCs w:val="22"/>
        </w:rPr>
        <w:t xml:space="preserve"> </w:t>
      </w:r>
      <w:r w:rsidR="000A56E7">
        <w:rPr>
          <w:szCs w:val="22"/>
        </w:rPr>
        <w:t xml:space="preserve">for </w:t>
      </w:r>
      <w:r w:rsidR="00171F0D">
        <w:rPr>
          <w:szCs w:val="22"/>
        </w:rPr>
        <w:t xml:space="preserve">apparently billing consumers for </w:t>
      </w:r>
      <w:r w:rsidR="008E3ECC">
        <w:rPr>
          <w:szCs w:val="22"/>
        </w:rPr>
        <w:t xml:space="preserve">unauthorized charges and fees purportedly in connection with </w:t>
      </w:r>
      <w:r w:rsidR="00171F0D">
        <w:rPr>
          <w:szCs w:val="22"/>
        </w:rPr>
        <w:t xml:space="preserve">long distance </w:t>
      </w:r>
      <w:r w:rsidR="008E3ECC">
        <w:rPr>
          <w:szCs w:val="22"/>
        </w:rPr>
        <w:t xml:space="preserve">telephone </w:t>
      </w:r>
      <w:r w:rsidR="00171F0D">
        <w:rPr>
          <w:szCs w:val="22"/>
        </w:rPr>
        <w:t>service</w:t>
      </w:r>
      <w:r w:rsidR="008E3ECC">
        <w:rPr>
          <w:szCs w:val="22"/>
        </w:rPr>
        <w:t>—</w:t>
      </w:r>
      <w:r w:rsidR="006C7D8E">
        <w:rPr>
          <w:szCs w:val="22"/>
        </w:rPr>
        <w:t xml:space="preserve">a practice commonly known as </w:t>
      </w:r>
      <w:r w:rsidR="008E3ECC">
        <w:rPr>
          <w:szCs w:val="22"/>
        </w:rPr>
        <w:t xml:space="preserve">“cramming.”  Consumers explained that Net One charged them for services and “late fees” </w:t>
      </w:r>
      <w:r w:rsidR="008E3ECC">
        <w:rPr>
          <w:i/>
          <w:szCs w:val="22"/>
        </w:rPr>
        <w:t>after</w:t>
      </w:r>
      <w:r w:rsidR="008E3ECC">
        <w:rPr>
          <w:szCs w:val="22"/>
        </w:rPr>
        <w:t xml:space="preserve"> they </w:t>
      </w:r>
      <w:r w:rsidR="005E1E97">
        <w:t xml:space="preserve">had </w:t>
      </w:r>
      <w:r w:rsidR="008E3ECC">
        <w:t xml:space="preserve">affirmatively </w:t>
      </w:r>
      <w:r w:rsidR="00171F0D">
        <w:t xml:space="preserve">cancelled their service and </w:t>
      </w:r>
      <w:r w:rsidR="005E1E97">
        <w:t xml:space="preserve">paid </w:t>
      </w:r>
      <w:r w:rsidR="0099704D">
        <w:t>the</w:t>
      </w:r>
      <w:r w:rsidR="00171F0D">
        <w:t>ir final bill</w:t>
      </w:r>
      <w:r w:rsidR="008E3ECC">
        <w:t>s</w:t>
      </w:r>
      <w:r w:rsidR="005E1E97">
        <w:t>.</w:t>
      </w:r>
      <w:r w:rsidR="008E3ECC">
        <w:t xml:space="preserve">  Indeed, many consumers complained that </w:t>
      </w:r>
      <w:r w:rsidR="008273B0">
        <w:t>the Company threatened them with collection actions if they did not pay charges they had not authorized.</w:t>
      </w:r>
      <w:r w:rsidR="005E1E97">
        <w:t xml:space="preserve">  </w:t>
      </w:r>
      <w:r w:rsidR="006C7D8E" w:rsidRPr="000C50F5">
        <w:rPr>
          <w:szCs w:val="22"/>
        </w:rPr>
        <w:t>The Commission is committed to protecting consumers against cramming and will take aggressive action against carriers that perpetrate such unjust</w:t>
      </w:r>
      <w:r w:rsidR="001C20ED">
        <w:rPr>
          <w:szCs w:val="22"/>
        </w:rPr>
        <w:t xml:space="preserve"> and</w:t>
      </w:r>
      <w:r w:rsidR="006C7D8E" w:rsidRPr="000C50F5">
        <w:rPr>
          <w:szCs w:val="22"/>
        </w:rPr>
        <w:t xml:space="preserve"> unreasonable acts</w:t>
      </w:r>
      <w:r w:rsidR="006C7D8E">
        <w:rPr>
          <w:szCs w:val="22"/>
        </w:rPr>
        <w:t>.</w:t>
      </w:r>
      <w:r w:rsidR="006C7D8E">
        <w:t xml:space="preserve">  </w:t>
      </w:r>
      <w:r w:rsidR="000B77DE">
        <w:t xml:space="preserve">We </w:t>
      </w:r>
      <w:r w:rsidR="00405FBC">
        <w:t xml:space="preserve">propose this penalty </w:t>
      </w:r>
      <w:r w:rsidR="0002608E">
        <w:t xml:space="preserve">after evaluating over 100 consumer complaints </w:t>
      </w:r>
      <w:r w:rsidR="000B77DE">
        <w:t xml:space="preserve">against Net One as part of our ongoing </w:t>
      </w:r>
      <w:r w:rsidR="0002608E">
        <w:t xml:space="preserve">effort </w:t>
      </w:r>
      <w:r w:rsidR="000B77DE">
        <w:t xml:space="preserve">to protect consumers from </w:t>
      </w:r>
      <w:r w:rsidR="0002608E">
        <w:t>being charged by carriers for services they did not authorize</w:t>
      </w:r>
      <w:r w:rsidRPr="00796FEB">
        <w:t>.</w:t>
      </w:r>
    </w:p>
    <w:p w:rsidR="00E31051" w:rsidRPr="00E31051" w:rsidRDefault="00E31051" w:rsidP="00E31051">
      <w:pPr>
        <w:pStyle w:val="Heading1"/>
      </w:pPr>
      <w:r>
        <w:t>background</w:t>
      </w:r>
    </w:p>
    <w:p w:rsidR="00B22D72" w:rsidRPr="001E3D4E" w:rsidRDefault="000E7D8A" w:rsidP="0099704D">
      <w:pPr>
        <w:pStyle w:val="ParaNum"/>
        <w:numPr>
          <w:ilvl w:val="0"/>
          <w:numId w:val="3"/>
        </w:numPr>
        <w:tabs>
          <w:tab w:val="clear" w:pos="1080"/>
          <w:tab w:val="num" w:pos="1440"/>
        </w:tabs>
        <w:ind w:left="-90"/>
        <w:rPr>
          <w:szCs w:val="22"/>
        </w:rPr>
      </w:pPr>
      <w:r>
        <w:rPr>
          <w:szCs w:val="22"/>
        </w:rPr>
        <w:t>Net One</w:t>
      </w:r>
      <w:r w:rsidR="009E49B4">
        <w:rPr>
          <w:rStyle w:val="FootnoteReference"/>
          <w:szCs w:val="22"/>
        </w:rPr>
        <w:footnoteReference w:id="3"/>
      </w:r>
      <w:r>
        <w:rPr>
          <w:szCs w:val="22"/>
        </w:rPr>
        <w:t xml:space="preserve"> </w:t>
      </w:r>
      <w:r w:rsidR="00D6459E">
        <w:rPr>
          <w:szCs w:val="22"/>
        </w:rPr>
        <w:t>is a toll reseller</w:t>
      </w:r>
      <w:r w:rsidR="00FC5343">
        <w:rPr>
          <w:szCs w:val="22"/>
        </w:rPr>
        <w:t xml:space="preserve"> that offers </w:t>
      </w:r>
      <w:r w:rsidR="00EB550C">
        <w:rPr>
          <w:szCs w:val="22"/>
        </w:rPr>
        <w:t>interexchange and international service</w:t>
      </w:r>
      <w:r w:rsidR="00D6459E">
        <w:rPr>
          <w:szCs w:val="22"/>
        </w:rPr>
        <w:t>.</w:t>
      </w:r>
      <w:r w:rsidR="00D6459E">
        <w:rPr>
          <w:rStyle w:val="FootnoteReference"/>
          <w:szCs w:val="22"/>
        </w:rPr>
        <w:footnoteReference w:id="4"/>
      </w:r>
      <w:r w:rsidR="00D6459E">
        <w:rPr>
          <w:szCs w:val="22"/>
        </w:rPr>
        <w:t xml:space="preserve">  </w:t>
      </w:r>
      <w:r w:rsidR="006C7D8E">
        <w:t xml:space="preserve">The Company </w:t>
      </w:r>
      <w:r w:rsidR="002F1681">
        <w:t>has offices at 6931 University Blvd., Winter Park, F</w:t>
      </w:r>
      <w:r w:rsidR="00EA5A46">
        <w:t>lorida</w:t>
      </w:r>
      <w:r w:rsidR="002F1681">
        <w:t xml:space="preserve"> 32792.</w:t>
      </w:r>
      <w:r w:rsidR="002F1681">
        <w:rPr>
          <w:rStyle w:val="FootnoteReference"/>
        </w:rPr>
        <w:footnoteReference w:id="5"/>
      </w:r>
      <w:r w:rsidR="002F1681">
        <w:t xml:space="preserve"> </w:t>
      </w:r>
      <w:r w:rsidR="002F1681" w:rsidRPr="006D4A56">
        <w:t xml:space="preserve"> </w:t>
      </w:r>
      <w:r w:rsidR="00B22D72">
        <w:t xml:space="preserve">  </w:t>
      </w:r>
      <w:r w:rsidR="00B22D72" w:rsidRPr="001E3D4E">
        <w:rPr>
          <w:szCs w:val="22"/>
        </w:rPr>
        <w:t xml:space="preserve">  </w:t>
      </w:r>
    </w:p>
    <w:p w:rsidR="007E0260" w:rsidRDefault="0026208E" w:rsidP="00F121FD">
      <w:pPr>
        <w:pStyle w:val="ParaNum"/>
        <w:keepNext/>
        <w:widowControl/>
        <w:numPr>
          <w:ilvl w:val="0"/>
          <w:numId w:val="3"/>
        </w:numPr>
        <w:tabs>
          <w:tab w:val="clear" w:pos="1080"/>
          <w:tab w:val="num" w:pos="1440"/>
        </w:tabs>
        <w:ind w:left="-86"/>
        <w:rPr>
          <w:szCs w:val="22"/>
        </w:rPr>
      </w:pPr>
      <w:r>
        <w:rPr>
          <w:szCs w:val="22"/>
        </w:rPr>
        <w:t>T</w:t>
      </w:r>
      <w:r w:rsidR="00D00DC8">
        <w:rPr>
          <w:szCs w:val="22"/>
        </w:rPr>
        <w:t xml:space="preserve">he Bureau reviewed over </w:t>
      </w:r>
      <w:r w:rsidR="00EC4780">
        <w:rPr>
          <w:szCs w:val="22"/>
        </w:rPr>
        <w:t>10</w:t>
      </w:r>
      <w:r w:rsidRPr="00E91DEA">
        <w:rPr>
          <w:szCs w:val="22"/>
        </w:rPr>
        <w:t>0</w:t>
      </w:r>
      <w:r>
        <w:rPr>
          <w:szCs w:val="22"/>
        </w:rPr>
        <w:t xml:space="preserve"> </w:t>
      </w:r>
      <w:r w:rsidRPr="001E3D4E">
        <w:rPr>
          <w:szCs w:val="22"/>
        </w:rPr>
        <w:t>consumer</w:t>
      </w:r>
      <w:r>
        <w:rPr>
          <w:szCs w:val="22"/>
        </w:rPr>
        <w:t xml:space="preserve"> complaints</w:t>
      </w:r>
      <w:r w:rsidRPr="001E3D4E">
        <w:rPr>
          <w:szCs w:val="22"/>
        </w:rPr>
        <w:t xml:space="preserve"> filed against Net One with the </w:t>
      </w:r>
      <w:r w:rsidR="006C7D8E">
        <w:rPr>
          <w:szCs w:val="22"/>
        </w:rPr>
        <w:t xml:space="preserve">Federal Communications </w:t>
      </w:r>
      <w:r w:rsidRPr="001E3D4E">
        <w:rPr>
          <w:szCs w:val="22"/>
        </w:rPr>
        <w:t>Commission</w:t>
      </w:r>
      <w:r w:rsidR="006C7D8E">
        <w:rPr>
          <w:szCs w:val="22"/>
        </w:rPr>
        <w:t xml:space="preserve"> (Commission)</w:t>
      </w:r>
      <w:r w:rsidRPr="001E3D4E">
        <w:rPr>
          <w:szCs w:val="22"/>
        </w:rPr>
        <w:t>, the F</w:t>
      </w:r>
      <w:r>
        <w:rPr>
          <w:szCs w:val="22"/>
        </w:rPr>
        <w:t xml:space="preserve">ederal </w:t>
      </w:r>
      <w:r w:rsidRPr="001E3D4E">
        <w:rPr>
          <w:szCs w:val="22"/>
        </w:rPr>
        <w:t>T</w:t>
      </w:r>
      <w:r>
        <w:rPr>
          <w:szCs w:val="22"/>
        </w:rPr>
        <w:t xml:space="preserve">rade </w:t>
      </w:r>
      <w:r w:rsidRPr="001E3D4E">
        <w:rPr>
          <w:szCs w:val="22"/>
        </w:rPr>
        <w:t>C</w:t>
      </w:r>
      <w:r>
        <w:rPr>
          <w:szCs w:val="22"/>
        </w:rPr>
        <w:t>ommission (FTC)</w:t>
      </w:r>
      <w:r w:rsidRPr="001E3D4E">
        <w:rPr>
          <w:szCs w:val="22"/>
        </w:rPr>
        <w:t>, and the Better Business Bureau (BBB).</w:t>
      </w:r>
      <w:r w:rsidR="002659FB">
        <w:rPr>
          <w:rStyle w:val="FootnoteReference"/>
          <w:szCs w:val="22"/>
        </w:rPr>
        <w:footnoteReference w:id="6"/>
      </w:r>
      <w:r>
        <w:rPr>
          <w:szCs w:val="22"/>
        </w:rPr>
        <w:t xml:space="preserve">  </w:t>
      </w:r>
      <w:r w:rsidR="007E0260">
        <w:rPr>
          <w:szCs w:val="22"/>
        </w:rPr>
        <w:t xml:space="preserve">Complainants allege that while they were once customers of Net One, </w:t>
      </w:r>
      <w:r w:rsidR="00FC5343">
        <w:rPr>
          <w:szCs w:val="22"/>
        </w:rPr>
        <w:t xml:space="preserve">in </w:t>
      </w:r>
      <w:r w:rsidR="00FC5343">
        <w:rPr>
          <w:szCs w:val="22"/>
        </w:rPr>
        <w:lastRenderedPageBreak/>
        <w:t xml:space="preserve">many cases </w:t>
      </w:r>
      <w:r w:rsidR="007E0260">
        <w:rPr>
          <w:szCs w:val="22"/>
        </w:rPr>
        <w:t>the Company continued to bill them long after they had paid the</w:t>
      </w:r>
      <w:r w:rsidR="006C7D8E">
        <w:rPr>
          <w:szCs w:val="22"/>
        </w:rPr>
        <w:t>ir</w:t>
      </w:r>
      <w:r w:rsidR="007E0260">
        <w:rPr>
          <w:szCs w:val="22"/>
        </w:rPr>
        <w:t xml:space="preserve"> final bill and </w:t>
      </w:r>
      <w:r w:rsidR="001A70B8">
        <w:rPr>
          <w:szCs w:val="22"/>
        </w:rPr>
        <w:t>notified Net One</w:t>
      </w:r>
      <w:r w:rsidR="006C7D8E">
        <w:rPr>
          <w:szCs w:val="22"/>
        </w:rPr>
        <w:t>’s</w:t>
      </w:r>
      <w:r w:rsidR="001A70B8">
        <w:rPr>
          <w:szCs w:val="22"/>
        </w:rPr>
        <w:t xml:space="preserve"> customer service department that they were cancelling </w:t>
      </w:r>
      <w:r w:rsidR="007E0260">
        <w:rPr>
          <w:szCs w:val="22"/>
        </w:rPr>
        <w:t>their account</w:t>
      </w:r>
      <w:r w:rsidR="00FC5343">
        <w:rPr>
          <w:szCs w:val="22"/>
        </w:rPr>
        <w:t>s</w:t>
      </w:r>
      <w:r w:rsidR="007E0260">
        <w:rPr>
          <w:szCs w:val="22"/>
        </w:rPr>
        <w:t>.</w:t>
      </w:r>
      <w:r w:rsidR="001A70B8">
        <w:rPr>
          <w:rStyle w:val="FootnoteReference"/>
          <w:szCs w:val="22"/>
        </w:rPr>
        <w:footnoteReference w:id="7"/>
      </w:r>
    </w:p>
    <w:p w:rsidR="00E55734" w:rsidRDefault="00CD1D73" w:rsidP="0099704D">
      <w:pPr>
        <w:pStyle w:val="ParaNum"/>
        <w:numPr>
          <w:ilvl w:val="0"/>
          <w:numId w:val="3"/>
        </w:numPr>
        <w:tabs>
          <w:tab w:val="clear" w:pos="1080"/>
          <w:tab w:val="num" w:pos="1440"/>
        </w:tabs>
        <w:ind w:left="-90"/>
        <w:rPr>
          <w:szCs w:val="22"/>
        </w:rPr>
      </w:pPr>
      <w:r>
        <w:rPr>
          <w:szCs w:val="22"/>
        </w:rPr>
        <w:t xml:space="preserve">Due to the large </w:t>
      </w:r>
      <w:r w:rsidR="00690DE6">
        <w:rPr>
          <w:szCs w:val="22"/>
        </w:rPr>
        <w:t xml:space="preserve">number </w:t>
      </w:r>
      <w:r>
        <w:rPr>
          <w:szCs w:val="22"/>
        </w:rPr>
        <w:t xml:space="preserve">of </w:t>
      </w:r>
      <w:r w:rsidR="003B59F5">
        <w:rPr>
          <w:szCs w:val="22"/>
        </w:rPr>
        <w:t xml:space="preserve">consumer </w:t>
      </w:r>
      <w:r>
        <w:rPr>
          <w:szCs w:val="22"/>
        </w:rPr>
        <w:t xml:space="preserve">complaints filed against the </w:t>
      </w:r>
      <w:r w:rsidR="006C7D8E">
        <w:rPr>
          <w:szCs w:val="22"/>
        </w:rPr>
        <w:t>C</w:t>
      </w:r>
      <w:r>
        <w:rPr>
          <w:szCs w:val="22"/>
        </w:rPr>
        <w:t>ompany</w:t>
      </w:r>
      <w:r w:rsidR="007E69FF">
        <w:rPr>
          <w:szCs w:val="22"/>
        </w:rPr>
        <w:t xml:space="preserve"> and the alleged misconduct evidenced by those complaints</w:t>
      </w:r>
      <w:r w:rsidR="000A2295">
        <w:rPr>
          <w:szCs w:val="22"/>
        </w:rPr>
        <w:t>,</w:t>
      </w:r>
      <w:r w:rsidR="00F407AB">
        <w:rPr>
          <w:rStyle w:val="FootnoteReference"/>
          <w:szCs w:val="22"/>
        </w:rPr>
        <w:footnoteReference w:id="8"/>
      </w:r>
      <w:r>
        <w:rPr>
          <w:szCs w:val="22"/>
        </w:rPr>
        <w:t xml:space="preserve"> </w:t>
      </w:r>
      <w:r w:rsidR="002C1A82">
        <w:rPr>
          <w:szCs w:val="22"/>
        </w:rPr>
        <w:t xml:space="preserve">the </w:t>
      </w:r>
      <w:r w:rsidR="006C7D8E">
        <w:rPr>
          <w:szCs w:val="22"/>
        </w:rPr>
        <w:t xml:space="preserve">Commission’s </w:t>
      </w:r>
      <w:r w:rsidR="002C1A82">
        <w:rPr>
          <w:szCs w:val="22"/>
        </w:rPr>
        <w:t xml:space="preserve">Enforcement Bureau (Bureau) </w:t>
      </w:r>
      <w:r w:rsidR="007E69FF">
        <w:rPr>
          <w:szCs w:val="22"/>
        </w:rPr>
        <w:t xml:space="preserve">initiated an investigation of Net One’s practices by issuing </w:t>
      </w:r>
      <w:r>
        <w:rPr>
          <w:szCs w:val="22"/>
        </w:rPr>
        <w:t xml:space="preserve">a </w:t>
      </w:r>
      <w:r w:rsidR="003556D4">
        <w:rPr>
          <w:szCs w:val="22"/>
        </w:rPr>
        <w:t>letter of inquiry (</w:t>
      </w:r>
      <w:r>
        <w:rPr>
          <w:szCs w:val="22"/>
        </w:rPr>
        <w:t>LOI</w:t>
      </w:r>
      <w:r w:rsidR="003556D4">
        <w:rPr>
          <w:szCs w:val="22"/>
        </w:rPr>
        <w:t>)</w:t>
      </w:r>
      <w:r w:rsidR="006C7D8E">
        <w:rPr>
          <w:szCs w:val="22"/>
        </w:rPr>
        <w:t xml:space="preserve"> to the Company</w:t>
      </w:r>
      <w:r w:rsidR="002C1A82">
        <w:rPr>
          <w:szCs w:val="22"/>
        </w:rPr>
        <w:t>.</w:t>
      </w:r>
      <w:r>
        <w:rPr>
          <w:rStyle w:val="FootnoteReference"/>
          <w:szCs w:val="22"/>
        </w:rPr>
        <w:footnoteReference w:id="9"/>
      </w:r>
      <w:r w:rsidR="00E627FF">
        <w:rPr>
          <w:szCs w:val="22"/>
        </w:rPr>
        <w:t xml:space="preserve">  </w:t>
      </w:r>
      <w:r w:rsidR="0028443D">
        <w:rPr>
          <w:szCs w:val="22"/>
        </w:rPr>
        <w:t xml:space="preserve">Net One failed to submit a </w:t>
      </w:r>
      <w:r w:rsidR="002C20FC">
        <w:rPr>
          <w:szCs w:val="22"/>
        </w:rPr>
        <w:t xml:space="preserve">timely </w:t>
      </w:r>
      <w:r w:rsidR="0028443D">
        <w:rPr>
          <w:szCs w:val="22"/>
        </w:rPr>
        <w:t>response to the LOI</w:t>
      </w:r>
      <w:r w:rsidR="00FC3418">
        <w:rPr>
          <w:szCs w:val="22"/>
        </w:rPr>
        <w:t>,</w:t>
      </w:r>
      <w:r w:rsidR="0028443D">
        <w:rPr>
          <w:szCs w:val="22"/>
        </w:rPr>
        <w:t xml:space="preserve"> and the Bureau released </w:t>
      </w:r>
      <w:r w:rsidR="00AF72E7">
        <w:rPr>
          <w:szCs w:val="22"/>
        </w:rPr>
        <w:t>a Notice of Apparent Liability for Forfeiture</w:t>
      </w:r>
      <w:r w:rsidR="0028443D">
        <w:rPr>
          <w:szCs w:val="22"/>
        </w:rPr>
        <w:t xml:space="preserve"> proposing a $25,000 forfeiture </w:t>
      </w:r>
      <w:r w:rsidR="00FC3418">
        <w:rPr>
          <w:szCs w:val="22"/>
        </w:rPr>
        <w:t xml:space="preserve">based on the Company’s </w:t>
      </w:r>
      <w:r w:rsidR="0028443D">
        <w:rPr>
          <w:szCs w:val="22"/>
        </w:rPr>
        <w:t>fail</w:t>
      </w:r>
      <w:r w:rsidR="00FC3418">
        <w:rPr>
          <w:szCs w:val="22"/>
        </w:rPr>
        <w:t>ure</w:t>
      </w:r>
      <w:r w:rsidR="0028443D">
        <w:rPr>
          <w:szCs w:val="22"/>
        </w:rPr>
        <w:t xml:space="preserve"> to respond to </w:t>
      </w:r>
      <w:r w:rsidR="005366B7">
        <w:rPr>
          <w:szCs w:val="22"/>
        </w:rPr>
        <w:t>a Commission order</w:t>
      </w:r>
      <w:r w:rsidR="0028443D">
        <w:rPr>
          <w:szCs w:val="22"/>
        </w:rPr>
        <w:t>.</w:t>
      </w:r>
      <w:r w:rsidR="009118C1">
        <w:rPr>
          <w:rStyle w:val="FootnoteReference"/>
          <w:szCs w:val="22"/>
        </w:rPr>
        <w:footnoteReference w:id="10"/>
      </w:r>
      <w:r w:rsidR="0028443D">
        <w:rPr>
          <w:szCs w:val="22"/>
        </w:rPr>
        <w:t xml:space="preserve">  </w:t>
      </w:r>
      <w:r w:rsidR="00E55734">
        <w:rPr>
          <w:szCs w:val="22"/>
        </w:rPr>
        <w:t xml:space="preserve">Subsequently, the Bureau </w:t>
      </w:r>
      <w:r w:rsidR="002224C1">
        <w:rPr>
          <w:szCs w:val="22"/>
        </w:rPr>
        <w:t xml:space="preserve">released a Forfeiture Order affirming </w:t>
      </w:r>
      <w:r w:rsidR="00AF72E7">
        <w:rPr>
          <w:szCs w:val="22"/>
        </w:rPr>
        <w:t>the $25,000 forfeiture</w:t>
      </w:r>
      <w:r w:rsidR="00E55734">
        <w:rPr>
          <w:szCs w:val="22"/>
        </w:rPr>
        <w:t>.</w:t>
      </w:r>
      <w:r w:rsidR="00E55734">
        <w:rPr>
          <w:rStyle w:val="FootnoteReference"/>
          <w:szCs w:val="22"/>
        </w:rPr>
        <w:footnoteReference w:id="11"/>
      </w:r>
      <w:r w:rsidR="00D20037">
        <w:rPr>
          <w:szCs w:val="22"/>
        </w:rPr>
        <w:t xml:space="preserve">  </w:t>
      </w:r>
      <w:r w:rsidR="0026208E">
        <w:rPr>
          <w:szCs w:val="22"/>
        </w:rPr>
        <w:t xml:space="preserve">Following the </w:t>
      </w:r>
      <w:r w:rsidR="001C20ED">
        <w:rPr>
          <w:i/>
          <w:szCs w:val="22"/>
        </w:rPr>
        <w:t>2011</w:t>
      </w:r>
      <w:r w:rsidR="001C20ED" w:rsidRPr="002F1681">
        <w:rPr>
          <w:i/>
          <w:szCs w:val="22"/>
        </w:rPr>
        <w:t xml:space="preserve"> </w:t>
      </w:r>
      <w:r w:rsidR="0026208E" w:rsidRPr="002F1681">
        <w:rPr>
          <w:i/>
          <w:szCs w:val="22"/>
        </w:rPr>
        <w:t>Net One NAL</w:t>
      </w:r>
      <w:r w:rsidR="0026208E">
        <w:rPr>
          <w:szCs w:val="22"/>
        </w:rPr>
        <w:t>, consumers continued to file complaints against Net One</w:t>
      </w:r>
      <w:r w:rsidR="00932FE8">
        <w:rPr>
          <w:szCs w:val="22"/>
        </w:rPr>
        <w:t>, alleging similar instances of unauthorized charges</w:t>
      </w:r>
      <w:r w:rsidR="0026208E">
        <w:rPr>
          <w:szCs w:val="22"/>
        </w:rPr>
        <w:t xml:space="preserve">.  </w:t>
      </w:r>
    </w:p>
    <w:p w:rsidR="002D18B6" w:rsidRDefault="002D18B6" w:rsidP="002D18B6">
      <w:pPr>
        <w:pStyle w:val="Heading1"/>
      </w:pPr>
      <w:r>
        <w:t>discussion</w:t>
      </w:r>
    </w:p>
    <w:p w:rsidR="002606EA" w:rsidRDefault="005D401A" w:rsidP="00443F8F">
      <w:pPr>
        <w:pStyle w:val="ParaNum"/>
        <w:widowControl/>
        <w:numPr>
          <w:ilvl w:val="0"/>
          <w:numId w:val="3"/>
        </w:numPr>
        <w:tabs>
          <w:tab w:val="clear" w:pos="1080"/>
          <w:tab w:val="num" w:pos="1440"/>
        </w:tabs>
        <w:ind w:left="-86"/>
      </w:pPr>
      <w:r>
        <w:rPr>
          <w:szCs w:val="22"/>
        </w:rPr>
        <w:t>Based on the evidence before us, w</w:t>
      </w:r>
      <w:r w:rsidRPr="000C50F5">
        <w:rPr>
          <w:szCs w:val="22"/>
        </w:rPr>
        <w:t xml:space="preserve">e find that </w:t>
      </w:r>
      <w:r w:rsidR="00796FEB">
        <w:rPr>
          <w:szCs w:val="22"/>
        </w:rPr>
        <w:t>Net One</w:t>
      </w:r>
      <w:r w:rsidRPr="000C50F5">
        <w:rPr>
          <w:szCs w:val="22"/>
        </w:rPr>
        <w:t xml:space="preserve"> apparently willfully and repeatedly violated Section 201(b) of the </w:t>
      </w:r>
      <w:r>
        <w:rPr>
          <w:szCs w:val="22"/>
        </w:rPr>
        <w:t xml:space="preserve">Communications </w:t>
      </w:r>
      <w:r w:rsidRPr="000C50F5">
        <w:rPr>
          <w:szCs w:val="22"/>
        </w:rPr>
        <w:t>Act</w:t>
      </w:r>
      <w:r>
        <w:rPr>
          <w:szCs w:val="22"/>
        </w:rPr>
        <w:t xml:space="preserve"> of 1934, as amended (Act).</w:t>
      </w:r>
      <w:r>
        <w:rPr>
          <w:rStyle w:val="FootnoteReference"/>
          <w:szCs w:val="22"/>
        </w:rPr>
        <w:footnoteReference w:id="12"/>
      </w:r>
      <w:r>
        <w:rPr>
          <w:szCs w:val="22"/>
        </w:rPr>
        <w:t xml:space="preserve">  </w:t>
      </w:r>
      <w:r w:rsidR="002606EA" w:rsidRPr="002461F8">
        <w:t xml:space="preserve">Section 201(b) of the Act states, in pertinent part, that “[a]ll charges, practices, classifications, and regulations for and in connection with </w:t>
      </w:r>
      <w:r w:rsidR="002606EA">
        <w:t xml:space="preserve">[interstate or foreign] </w:t>
      </w:r>
      <w:r w:rsidR="002606EA" w:rsidRPr="002461F8">
        <w:t xml:space="preserve">communication </w:t>
      </w:r>
      <w:r w:rsidR="002606EA">
        <w:t>service [by wire or radio]</w:t>
      </w:r>
      <w:r w:rsidR="002606EA" w:rsidRPr="002461F8">
        <w:t>, shall be just and reasonable, and any such charge, practice, classification, or regulation that is unjust or unreasonable is hereby declared to be unlawful</w:t>
      </w:r>
      <w:r w:rsidR="002606EA">
        <w:t>.</w:t>
      </w:r>
      <w:r w:rsidR="002606EA" w:rsidRPr="002461F8">
        <w:t>”</w:t>
      </w:r>
      <w:r w:rsidR="002606EA">
        <w:rPr>
          <w:rStyle w:val="FootnoteReference"/>
          <w:color w:val="000000"/>
          <w:szCs w:val="22"/>
        </w:rPr>
        <w:footnoteReference w:id="13"/>
      </w:r>
      <w:r w:rsidR="002606EA" w:rsidRPr="002461F8">
        <w:t xml:space="preserve"> </w:t>
      </w:r>
      <w:r w:rsidR="002606EA">
        <w:t xml:space="preserve"> </w:t>
      </w:r>
      <w:r w:rsidRPr="002461F8">
        <w:t xml:space="preserve">The </w:t>
      </w:r>
      <w:r>
        <w:t>Commission</w:t>
      </w:r>
      <w:r w:rsidRPr="002461F8">
        <w:t xml:space="preserve"> has found that </w:t>
      </w:r>
      <w:r>
        <w:t>the inclusion of unauthorized charges and fees on consumers’ telephone bills</w:t>
      </w:r>
      <w:r w:rsidRPr="000C50F5">
        <w:rPr>
          <w:szCs w:val="22"/>
        </w:rPr>
        <w:t>—</w:t>
      </w:r>
      <w:r w:rsidR="004F023F">
        <w:rPr>
          <w:szCs w:val="22"/>
        </w:rPr>
        <w:t>or</w:t>
      </w:r>
      <w:r w:rsidRPr="000C50F5">
        <w:rPr>
          <w:szCs w:val="22"/>
        </w:rPr>
        <w:t xml:space="preserve"> “cramming”—</w:t>
      </w:r>
      <w:r>
        <w:t>is an “unjust and unreasonable” practice under Section 201(b)</w:t>
      </w:r>
      <w:r w:rsidRPr="002461F8">
        <w:t>.</w:t>
      </w:r>
      <w:r>
        <w:rPr>
          <w:rStyle w:val="FootnoteReference"/>
          <w:color w:val="000000"/>
          <w:szCs w:val="22"/>
        </w:rPr>
        <w:footnoteReference w:id="14"/>
      </w:r>
      <w:r>
        <w:t xml:space="preserve">  </w:t>
      </w:r>
      <w:r w:rsidR="0066043A">
        <w:t>Cramming can occur when carriers place unauthorized charges on their own telephone bills.</w:t>
      </w:r>
      <w:r w:rsidR="0066043A">
        <w:rPr>
          <w:rStyle w:val="FootnoteReference"/>
          <w:color w:val="000000"/>
          <w:szCs w:val="22"/>
        </w:rPr>
        <w:footnoteReference w:id="15"/>
      </w:r>
      <w:r w:rsidR="0066043A">
        <w:t xml:space="preserve"> </w:t>
      </w:r>
      <w:r w:rsidR="0066043A" w:rsidRPr="002461F8">
        <w:t xml:space="preserve"> </w:t>
      </w:r>
    </w:p>
    <w:p w:rsidR="002E4FAA" w:rsidRDefault="0036717D" w:rsidP="00575A19">
      <w:pPr>
        <w:pStyle w:val="ParaNum"/>
        <w:numPr>
          <w:ilvl w:val="0"/>
          <w:numId w:val="3"/>
        </w:numPr>
        <w:tabs>
          <w:tab w:val="clear" w:pos="1080"/>
          <w:tab w:val="num" w:pos="1440"/>
        </w:tabs>
        <w:ind w:left="-90"/>
      </w:pPr>
      <w:r>
        <w:lastRenderedPageBreak/>
        <w:t>During the course of its investigation</w:t>
      </w:r>
      <w:r w:rsidR="0039726E">
        <w:t>,</w:t>
      </w:r>
      <w:r>
        <w:t xml:space="preserve"> the Bureau reviewed over 100 consumer complaints alleging, among other things, that </w:t>
      </w:r>
      <w:r w:rsidR="00AF61BE">
        <w:t xml:space="preserve">Net One billed </w:t>
      </w:r>
      <w:r w:rsidR="00FC5343">
        <w:t xml:space="preserve">consumers </w:t>
      </w:r>
      <w:r w:rsidR="00AF61BE">
        <w:t>for long distance service after they had cancelled their service</w:t>
      </w:r>
      <w:r w:rsidR="00932FE8">
        <w:t xml:space="preserve"> </w:t>
      </w:r>
      <w:r w:rsidR="00A602CB">
        <w:t xml:space="preserve">with Net One </w:t>
      </w:r>
      <w:r w:rsidR="00932FE8">
        <w:t>and paid their final bill</w:t>
      </w:r>
      <w:r w:rsidR="00AF61BE">
        <w:t>.  Some consumers explain that after closing their accounts with Net One, the Company continued to charge them, and often assessed late fees which compounded month after month.  Other consumers state that Net One refused to stop billing them unless they paid additional charges and fees which were not authorized in the first place.</w:t>
      </w:r>
      <w:r w:rsidR="00575A19">
        <w:t xml:space="preserve">  </w:t>
      </w:r>
      <w:r w:rsidR="007428BC">
        <w:t>For example</w:t>
      </w:r>
      <w:r w:rsidR="00FC5343">
        <w:t xml:space="preserve">: </w:t>
      </w:r>
    </w:p>
    <w:p w:rsidR="002E4FAA" w:rsidRDefault="00966B86" w:rsidP="0099704D">
      <w:pPr>
        <w:pStyle w:val="ListParagraph"/>
        <w:numPr>
          <w:ilvl w:val="0"/>
          <w:numId w:val="5"/>
        </w:numPr>
      </w:pPr>
      <w:r>
        <w:t xml:space="preserve">Complainant </w:t>
      </w:r>
      <w:r w:rsidR="00C13026">
        <w:t xml:space="preserve">Ahmed stopped using Net One when he </w:t>
      </w:r>
      <w:r w:rsidR="00F43E28">
        <w:t xml:space="preserve">became a </w:t>
      </w:r>
      <w:r w:rsidR="00C13026">
        <w:t xml:space="preserve">CenturyLink </w:t>
      </w:r>
      <w:r w:rsidR="00F43E28">
        <w:t xml:space="preserve">subscriber </w:t>
      </w:r>
      <w:r w:rsidR="00C13026">
        <w:t>in January 2013.</w:t>
      </w:r>
      <w:r w:rsidR="00C13026">
        <w:rPr>
          <w:rStyle w:val="FootnoteReference"/>
        </w:rPr>
        <w:footnoteReference w:id="16"/>
      </w:r>
      <w:r w:rsidR="00AB2368">
        <w:t xml:space="preserve">  </w:t>
      </w:r>
      <w:r w:rsidR="00A602CB">
        <w:t xml:space="preserve">Mr. Ahmed repeatedly called Net One customer service </w:t>
      </w:r>
      <w:r w:rsidR="00486460">
        <w:t>to</w:t>
      </w:r>
      <w:r w:rsidR="00A602CB">
        <w:t xml:space="preserve"> cancel his account.  Nevertheless, </w:t>
      </w:r>
      <w:r w:rsidR="00AB2368">
        <w:t xml:space="preserve">Net One continued to bill Mr. Ahmed monthly, </w:t>
      </w:r>
      <w:r w:rsidR="00A602CB">
        <w:t xml:space="preserve">claiming that they could not cancel his account because they could not access his “account information.”  Finally, Net One agreed to stop billing him if he would pay an additional </w:t>
      </w:r>
      <w:r w:rsidR="00AB2368">
        <w:t>$10.99</w:t>
      </w:r>
      <w:r w:rsidR="003F3777">
        <w:t xml:space="preserve">.  </w:t>
      </w:r>
      <w:r w:rsidR="00A602CB">
        <w:t>Mr. Ahmed</w:t>
      </w:r>
      <w:r w:rsidR="003F3777">
        <w:t xml:space="preserve"> explains that “the customer agent asked me to pay $10.99 and that would stop billing statements.  I paid the amount at the time but the monthly billing never stopped</w:t>
      </w:r>
      <w:r w:rsidR="002659FB">
        <w:t xml:space="preserve"> </w:t>
      </w:r>
      <w:r w:rsidR="003F3777">
        <w:t>. . . . [N]ow they want me to [pay] $25.00 including $10.00 of late fee charges otherwise they would send the bill to collection agency.”</w:t>
      </w:r>
      <w:r w:rsidR="00AB2368">
        <w:rPr>
          <w:rStyle w:val="FootnoteReference"/>
        </w:rPr>
        <w:footnoteReference w:id="17"/>
      </w:r>
      <w:r w:rsidR="00AB2368">
        <w:t xml:space="preserve"> </w:t>
      </w:r>
      <w:r w:rsidR="00E06457">
        <w:t xml:space="preserve">   </w:t>
      </w:r>
    </w:p>
    <w:p w:rsidR="00304907" w:rsidRDefault="00304907" w:rsidP="00304907">
      <w:pPr>
        <w:pStyle w:val="ListParagraph"/>
      </w:pPr>
    </w:p>
    <w:p w:rsidR="00304907" w:rsidRDefault="00304907" w:rsidP="0099704D">
      <w:pPr>
        <w:pStyle w:val="ListParagraph"/>
        <w:numPr>
          <w:ilvl w:val="0"/>
          <w:numId w:val="5"/>
        </w:numPr>
      </w:pPr>
      <w:r>
        <w:t>Complainant Bhatti, now an AT&amp;T customer, “tried to cancel the Net One service.  Net One states that they cannot cancel his service.”</w:t>
      </w:r>
      <w:r>
        <w:rPr>
          <w:rStyle w:val="FootnoteReference"/>
        </w:rPr>
        <w:footnoteReference w:id="18"/>
      </w:r>
      <w:r>
        <w:t xml:space="preserve">  Mr. Bhatti, who no longer uses Net One, repeatedly asked Net One customer service to cancel his account</w:t>
      </w:r>
      <w:r w:rsidR="002659FB">
        <w:t>,</w:t>
      </w:r>
      <w:r>
        <w:t xml:space="preserve"> but they are “still sending [him] bills.”</w:t>
      </w:r>
      <w:r>
        <w:rPr>
          <w:rStyle w:val="FootnoteReference"/>
        </w:rPr>
        <w:footnoteReference w:id="19"/>
      </w:r>
    </w:p>
    <w:p w:rsidR="002E4FAA" w:rsidRDefault="002E4FAA" w:rsidP="002E4FAA">
      <w:pPr>
        <w:pStyle w:val="ListParagraph"/>
      </w:pPr>
    </w:p>
    <w:p w:rsidR="002E4FAA" w:rsidRDefault="00EB626D" w:rsidP="00612811">
      <w:pPr>
        <w:pStyle w:val="ListParagraph"/>
        <w:widowControl/>
        <w:numPr>
          <w:ilvl w:val="0"/>
          <w:numId w:val="5"/>
        </w:numPr>
      </w:pPr>
      <w:r>
        <w:t xml:space="preserve">Complainant Birouty tried numerous times to cancel his </w:t>
      </w:r>
      <w:r w:rsidR="0092392C">
        <w:t xml:space="preserve">parents’ </w:t>
      </w:r>
      <w:r>
        <w:t>account</w:t>
      </w:r>
      <w:r w:rsidR="0014478C">
        <w:t xml:space="preserve"> with Net One</w:t>
      </w:r>
      <w:r>
        <w:t>.</w:t>
      </w:r>
      <w:r>
        <w:rPr>
          <w:rStyle w:val="FootnoteReference"/>
        </w:rPr>
        <w:footnoteReference w:id="20"/>
      </w:r>
      <w:r>
        <w:t xml:space="preserve">  He explains that initially, on September 16, 2013, “I told them to cancel my parents account.  [I] talked to a gentleman who told me there is an outstanding balance of $15.02 that must be paid befor</w:t>
      </w:r>
      <w:r w:rsidR="002C683B">
        <w:t>e</w:t>
      </w:r>
      <w:r>
        <w:t xml:space="preserve"> closing the account</w:t>
      </w:r>
      <w:r w:rsidR="002659FB">
        <w:t xml:space="preserve"> </w:t>
      </w:r>
      <w:r>
        <w:t>.</w:t>
      </w:r>
      <w:r w:rsidR="008A43C1">
        <w:t xml:space="preserve"> . . . I told him I will pay it, but to close the account.  He said . . . as soon as they</w:t>
      </w:r>
      <w:r w:rsidR="0092392C">
        <w:t xml:space="preserve"> receive my payment they will close the account.  I sent in the payment the same day.”</w:t>
      </w:r>
      <w:r w:rsidR="009362A5">
        <w:rPr>
          <w:rStyle w:val="FootnoteReference"/>
        </w:rPr>
        <w:footnoteReference w:id="21"/>
      </w:r>
      <w:r>
        <w:t xml:space="preserve"> </w:t>
      </w:r>
      <w:r w:rsidR="00D53FFF">
        <w:t xml:space="preserve"> One month later </w:t>
      </w:r>
      <w:r w:rsidR="00704D8A">
        <w:t>t</w:t>
      </w:r>
      <w:r w:rsidR="00D53FFF">
        <w:t>he</w:t>
      </w:r>
      <w:r w:rsidR="00704D8A">
        <w:t>y</w:t>
      </w:r>
      <w:r w:rsidR="009362A5">
        <w:t xml:space="preserve"> “received a bill from NetOne that showed </w:t>
      </w:r>
      <w:r w:rsidR="00995B7B">
        <w:t>m</w:t>
      </w:r>
      <w:r w:rsidR="009362A5">
        <w:t>y payment was received in full and they did not close my account, but rather they levied another $10 late fee.</w:t>
      </w:r>
      <w:r w:rsidR="00D53FFF">
        <w:t>”</w:t>
      </w:r>
      <w:r w:rsidR="00704D8A">
        <w:t xml:space="preserve">  He called Net One c</w:t>
      </w:r>
      <w:r w:rsidR="00995B7B">
        <w:t xml:space="preserve">ustomer service </w:t>
      </w:r>
      <w:r w:rsidR="00704D8A">
        <w:t>to ask why the account was not closed</w:t>
      </w:r>
      <w:r w:rsidR="002659FB">
        <w:t>,</w:t>
      </w:r>
      <w:r w:rsidR="00704D8A">
        <w:t xml:space="preserve"> and the customer service </w:t>
      </w:r>
      <w:r w:rsidR="00995B7B">
        <w:t>representative</w:t>
      </w:r>
      <w:r w:rsidR="00704D8A">
        <w:t xml:space="preserve"> “</w:t>
      </w:r>
      <w:r w:rsidR="009362A5">
        <w:t>said that my account cannot be closed because it has an outstanding balance that I have to pay.”</w:t>
      </w:r>
      <w:r w:rsidR="009362A5">
        <w:rPr>
          <w:rStyle w:val="FootnoteReference"/>
        </w:rPr>
        <w:footnoteReference w:id="22"/>
      </w:r>
      <w:r w:rsidR="009362A5">
        <w:t xml:space="preserve">  </w:t>
      </w:r>
      <w:r w:rsidR="00704D8A">
        <w:t>Th</w:t>
      </w:r>
      <w:r w:rsidR="0014478C">
        <w:t xml:space="preserve">e </w:t>
      </w:r>
      <w:r w:rsidR="000A2295">
        <w:t>Net One representative</w:t>
      </w:r>
      <w:r w:rsidR="0014478C">
        <w:t xml:space="preserve"> </w:t>
      </w:r>
      <w:r w:rsidR="009362A5">
        <w:t xml:space="preserve">told </w:t>
      </w:r>
      <w:r w:rsidR="0014478C">
        <w:t xml:space="preserve">him </w:t>
      </w:r>
      <w:r w:rsidR="009362A5">
        <w:t xml:space="preserve">that </w:t>
      </w:r>
      <w:r w:rsidR="00704D8A">
        <w:t xml:space="preserve">she could not close his account because </w:t>
      </w:r>
      <w:r w:rsidR="009362A5">
        <w:t xml:space="preserve">only Mohamed Abdel Ghani is authorized to close accounts.  On October 24, 2013, Mr. Birouty spoke with Mr. Ghani, who “would not close that account </w:t>
      </w:r>
      <w:r w:rsidR="00704D8A">
        <w:t xml:space="preserve">[but] . . . </w:t>
      </w:r>
      <w:r w:rsidR="009362A5">
        <w:t xml:space="preserve">said he would remove all charges and I would receive a $0 </w:t>
      </w:r>
      <w:r w:rsidR="002C683B">
        <w:t xml:space="preserve">[invoice] </w:t>
      </w:r>
      <w:r w:rsidR="009362A5">
        <w:t xml:space="preserve">now and for every month and would only ever get billed if we used the [service].”  </w:t>
      </w:r>
      <w:r w:rsidR="00704D8A">
        <w:t xml:space="preserve">Despite the fact that Mr. Ghani assured Mr. Birouty </w:t>
      </w:r>
      <w:r w:rsidR="00704D8A">
        <w:lastRenderedPageBreak/>
        <w:t xml:space="preserve">that the balance was $0, and they would be charged only if they resumed using the service, </w:t>
      </w:r>
      <w:r w:rsidR="003A4475">
        <w:t xml:space="preserve">Net One billed </w:t>
      </w:r>
      <w:r w:rsidR="00F37530">
        <w:t xml:space="preserve">the </w:t>
      </w:r>
      <w:r w:rsidR="002B0D64">
        <w:t>Birouty</w:t>
      </w:r>
      <w:r w:rsidR="00F37530">
        <w:t>s</w:t>
      </w:r>
      <w:r w:rsidR="009362A5">
        <w:t xml:space="preserve"> </w:t>
      </w:r>
      <w:r w:rsidR="002659FB">
        <w:t xml:space="preserve">an additional </w:t>
      </w:r>
      <w:r w:rsidR="009362A5">
        <w:t>$30.15.</w:t>
      </w:r>
      <w:r w:rsidR="009362A5">
        <w:rPr>
          <w:rStyle w:val="FootnoteReference"/>
        </w:rPr>
        <w:footnoteReference w:id="23"/>
      </w:r>
      <w:r w:rsidR="002E4FAA">
        <w:t xml:space="preserve">  </w:t>
      </w:r>
    </w:p>
    <w:p w:rsidR="002E4FAA" w:rsidRDefault="002E4FAA" w:rsidP="002E4FAA">
      <w:pPr>
        <w:pStyle w:val="ListParagraph"/>
      </w:pPr>
    </w:p>
    <w:p w:rsidR="002E4FAA" w:rsidRDefault="00C05096" w:rsidP="0099704D">
      <w:pPr>
        <w:pStyle w:val="ListParagraph"/>
        <w:numPr>
          <w:ilvl w:val="0"/>
          <w:numId w:val="5"/>
        </w:numPr>
      </w:pPr>
      <w:r>
        <w:t xml:space="preserve">Complainant Chakkala </w:t>
      </w:r>
      <w:r w:rsidR="002B0D64">
        <w:t>had a similar experience</w:t>
      </w:r>
      <w:r w:rsidR="003A4475">
        <w:t xml:space="preserve"> with Net One</w:t>
      </w:r>
      <w:r w:rsidR="002B0D64">
        <w:t xml:space="preserve">.  He </w:t>
      </w:r>
      <w:r>
        <w:t>explains</w:t>
      </w:r>
      <w:r w:rsidR="001E48E3">
        <w:t>,</w:t>
      </w:r>
      <w:r w:rsidR="00796FEB">
        <w:t xml:space="preserve"> </w:t>
      </w:r>
      <w:r>
        <w:t xml:space="preserve">“I have attempted to cancel my account . . . on numerous occasions.  Thus far, there has been no resolution on the matter . . . . </w:t>
      </w:r>
      <w:r w:rsidR="002659FB">
        <w:t>A</w:t>
      </w:r>
      <w:r>
        <w:t xml:space="preserve"> representative for [Net One</w:t>
      </w:r>
      <w:r w:rsidR="003A4475">
        <w:t>,</w:t>
      </w:r>
      <w:r>
        <w:t>] Mr. Mohammed Abdelghany, provided me with a ‘cancellation fee’ of $40.00 in order to terminate my account.  I paid the stated cancellation fee only to continue receiving bills.”</w:t>
      </w:r>
      <w:r>
        <w:rPr>
          <w:rStyle w:val="FootnoteReference"/>
        </w:rPr>
        <w:footnoteReference w:id="24"/>
      </w:r>
      <w:r w:rsidR="00EA3749">
        <w:t xml:space="preserve">  </w:t>
      </w:r>
    </w:p>
    <w:p w:rsidR="003A3E79" w:rsidRDefault="003A3E79" w:rsidP="003A3E79">
      <w:pPr>
        <w:pStyle w:val="ListParagraph"/>
      </w:pPr>
    </w:p>
    <w:p w:rsidR="003A3E79" w:rsidRDefault="003A3E79" w:rsidP="0099704D">
      <w:pPr>
        <w:pStyle w:val="ListParagraph"/>
        <w:numPr>
          <w:ilvl w:val="0"/>
          <w:numId w:val="5"/>
        </w:numPr>
      </w:pPr>
      <w:r>
        <w:t>Complainant Elgowainy explains that Net One called him and offered a calling package for international calls with a “14 day money back guarantee.”</w:t>
      </w:r>
      <w:r>
        <w:rPr>
          <w:rStyle w:val="FootnoteReference"/>
        </w:rPr>
        <w:footnoteReference w:id="25"/>
      </w:r>
      <w:r w:rsidR="003D2395">
        <w:t xml:space="preserve">  </w:t>
      </w:r>
      <w:r w:rsidR="00796FEB">
        <w:t xml:space="preserve">Because the plan turned out to be more expensive than he anticipated, </w:t>
      </w:r>
      <w:r w:rsidR="003D2395">
        <w:t xml:space="preserve">Mr. Elgowainy tried to cancel the Net One plan the following day </w:t>
      </w:r>
      <w:r w:rsidR="00486460">
        <w:t xml:space="preserve">and have his money refunded, </w:t>
      </w:r>
      <w:r w:rsidR="003D2395">
        <w:t>but his request to cancel was refused because, according to Net One, it was “not a good reason to cancel.”</w:t>
      </w:r>
      <w:r w:rsidR="003D2395">
        <w:rPr>
          <w:rStyle w:val="FootnoteReference"/>
        </w:rPr>
        <w:footnoteReference w:id="26"/>
      </w:r>
    </w:p>
    <w:p w:rsidR="002E4FAA" w:rsidRDefault="002E4FAA" w:rsidP="002E4FAA">
      <w:pPr>
        <w:pStyle w:val="ListParagraph"/>
      </w:pPr>
    </w:p>
    <w:p w:rsidR="002E4FAA" w:rsidRDefault="00EA3749" w:rsidP="0099704D">
      <w:pPr>
        <w:pStyle w:val="ListParagraph"/>
        <w:numPr>
          <w:ilvl w:val="0"/>
          <w:numId w:val="5"/>
        </w:numPr>
      </w:pPr>
      <w:r>
        <w:t xml:space="preserve">Complainant El-Nakhal tried to </w:t>
      </w:r>
      <w:r w:rsidR="003A051D">
        <w:t>cancel</w:t>
      </w:r>
      <w:r>
        <w:t xml:space="preserve"> </w:t>
      </w:r>
      <w:r w:rsidR="003A4475">
        <w:t xml:space="preserve">Net One’s service </w:t>
      </w:r>
      <w:r w:rsidR="003755EE">
        <w:t>in September 2012.  He called the Net One customer service representative several times</w:t>
      </w:r>
      <w:r w:rsidR="002659FB">
        <w:t>,</w:t>
      </w:r>
      <w:r w:rsidR="003755EE">
        <w:t xml:space="preserve"> but the </w:t>
      </w:r>
      <w:r w:rsidR="002659FB">
        <w:t>C</w:t>
      </w:r>
      <w:r w:rsidR="003755EE">
        <w:t xml:space="preserve">ompany continued to bill him.  Customer service finally agreed to cancel his account and he </w:t>
      </w:r>
      <w:r>
        <w:t>paid a final bill of $8.21</w:t>
      </w:r>
      <w:r w:rsidR="003755EE">
        <w:t xml:space="preserve">.  Then he </w:t>
      </w:r>
      <w:r>
        <w:t>“received a new bill.</w:t>
      </w:r>
      <w:r w:rsidR="003755EE">
        <w:t>”</w:t>
      </w:r>
      <w:r w:rsidR="003755EE">
        <w:rPr>
          <w:rStyle w:val="FootnoteReference"/>
        </w:rPr>
        <w:footnoteReference w:id="27"/>
      </w:r>
      <w:r w:rsidR="003755EE">
        <w:t xml:space="preserve">  He explains that “</w:t>
      </w:r>
      <w:r>
        <w:t>Netone refuses to cancel the service unless I pay $10.  They threatened me with collection.”</w:t>
      </w:r>
      <w:r w:rsidR="003A051D">
        <w:rPr>
          <w:rStyle w:val="FootnoteReference"/>
        </w:rPr>
        <w:footnoteReference w:id="28"/>
      </w:r>
      <w:r w:rsidR="0058226C">
        <w:t xml:space="preserve">  Mr. El-Nakhal, now an AT&amp;T customer, has been “receiving an increasing monthly bill from NET one.  We try to call every month.  No answer and no return calls.”</w:t>
      </w:r>
      <w:r w:rsidR="003B7EA8">
        <w:rPr>
          <w:rStyle w:val="FootnoteReference"/>
        </w:rPr>
        <w:footnoteReference w:id="29"/>
      </w:r>
      <w:r w:rsidR="005D1035">
        <w:t xml:space="preserve">  </w:t>
      </w:r>
    </w:p>
    <w:p w:rsidR="00CD19CE" w:rsidRDefault="00CD19CE" w:rsidP="00CD19CE">
      <w:pPr>
        <w:pStyle w:val="ListParagraph"/>
      </w:pPr>
    </w:p>
    <w:p w:rsidR="00CD19CE" w:rsidRDefault="00CD19CE" w:rsidP="0099704D">
      <w:pPr>
        <w:pStyle w:val="ListParagraph"/>
        <w:numPr>
          <w:ilvl w:val="0"/>
          <w:numId w:val="5"/>
        </w:numPr>
      </w:pPr>
      <w:r>
        <w:t>Complainant Foster called Net One to cancel her account on February 12, 2013.</w:t>
      </w:r>
      <w:r>
        <w:rPr>
          <w:rStyle w:val="FootnoteReference"/>
        </w:rPr>
        <w:footnoteReference w:id="30"/>
      </w:r>
      <w:r w:rsidR="000E45F8">
        <w:t xml:space="preserve">  She was told that she would not be charged as long as she did not use the service, and she paid her account in full.</w:t>
      </w:r>
      <w:r w:rsidR="000E45F8">
        <w:rPr>
          <w:rStyle w:val="FootnoteReference"/>
        </w:rPr>
        <w:footnoteReference w:id="31"/>
      </w:r>
      <w:r w:rsidR="000E45F8">
        <w:t xml:space="preserve">  She explains, “I kept getting bills &amp; did not use the company’s services.  Wrote 2 letters &amp; sent certified telling them that I canceled in Feb. &amp; that I owe nothing.  I didn’t get a response.  Called on 12/7/13 [and, eventually, was told that] I </w:t>
      </w:r>
      <w:r w:rsidR="00B62467">
        <w:t>was supposed to call every month to reverse the monthly charges.  I stated why do I need to do</w:t>
      </w:r>
      <w:r w:rsidR="000772F6">
        <w:t xml:space="preserve"> that when I canceled in Feb.</w:t>
      </w:r>
      <w:r w:rsidR="00B62467">
        <w:t xml:space="preserve"> . . . He stated that I need to pay my account in full in order to cancel.  I have already done that in Feb. &amp; and that I have sent letters about this.  He said he could do nothing for me. . . .”</w:t>
      </w:r>
      <w:r w:rsidR="00B62467">
        <w:rPr>
          <w:rStyle w:val="FootnoteReference"/>
        </w:rPr>
        <w:footnoteReference w:id="32"/>
      </w:r>
      <w:r w:rsidR="00B62467">
        <w:t xml:space="preserve">  Since then, Net One continued to bill Ms. Foster</w:t>
      </w:r>
      <w:r w:rsidR="002659FB">
        <w:t xml:space="preserve"> for</w:t>
      </w:r>
      <w:r w:rsidR="00B62467">
        <w:t xml:space="preserve"> a total of $167.76.</w:t>
      </w:r>
      <w:r w:rsidR="00B62467" w:rsidRPr="00B62467">
        <w:rPr>
          <w:rStyle w:val="FootnoteReference"/>
        </w:rPr>
        <w:t xml:space="preserve"> </w:t>
      </w:r>
      <w:r w:rsidR="00B62467">
        <w:rPr>
          <w:rStyle w:val="FootnoteReference"/>
        </w:rPr>
        <w:footnoteReference w:id="33"/>
      </w:r>
      <w:r w:rsidR="00B62467">
        <w:t xml:space="preserve">  Subsequently, Ms. Foster explains, “a representative from Net One . . . left me a voicemail informing me that I do not have to pay.  I STILL GOT ANOTHER INVOICE AGAIN. . . . NetOne did credit the account $167.76 BUT are still charging me $3.11 [per month] and will keep sending me invoices to pay.  I WANT THEM TO STOP!</w:t>
      </w:r>
      <w:r w:rsidR="00486460">
        <w:t>”</w:t>
      </w:r>
      <w:r w:rsidR="00B62467">
        <w:rPr>
          <w:rStyle w:val="FootnoteReference"/>
        </w:rPr>
        <w:footnoteReference w:id="34"/>
      </w:r>
    </w:p>
    <w:p w:rsidR="002E4FAA" w:rsidRDefault="002E4FAA" w:rsidP="002E4FAA">
      <w:pPr>
        <w:pStyle w:val="ListParagraph"/>
      </w:pPr>
    </w:p>
    <w:p w:rsidR="002E4FAA" w:rsidRDefault="000934C7" w:rsidP="0099704D">
      <w:pPr>
        <w:pStyle w:val="ListParagraph"/>
        <w:numPr>
          <w:ilvl w:val="0"/>
          <w:numId w:val="5"/>
        </w:numPr>
      </w:pPr>
      <w:r>
        <w:t>Complainant George, now a Comcast customer, explains</w:t>
      </w:r>
      <w:r w:rsidR="006A56DF">
        <w:t xml:space="preserve"> “I called customer service [to inform </w:t>
      </w:r>
      <w:r w:rsidR="00CF19E7">
        <w:t xml:space="preserve">Net One </w:t>
      </w:r>
      <w:r w:rsidR="006A56DF">
        <w:t xml:space="preserve">that I was cancelling </w:t>
      </w:r>
      <w:r w:rsidR="00CF19E7">
        <w:t>its</w:t>
      </w:r>
      <w:r w:rsidR="006A56DF">
        <w:t xml:space="preserve"> service]</w:t>
      </w:r>
      <w:r>
        <w:t xml:space="preserve"> </w:t>
      </w:r>
      <w:r w:rsidR="006A56DF">
        <w:t xml:space="preserve">and they gave me an ‘access number’ to call but that did not work.  They </w:t>
      </w:r>
      <w:r w:rsidR="006A56DF" w:rsidRPr="006A56DF">
        <w:t>assured me that if I didn’t use their access number I would not be charged.  So I have not made any calls but every month they keep piling on taxes and late fees.”</w:t>
      </w:r>
      <w:r w:rsidR="006A56DF" w:rsidRPr="006A56DF">
        <w:rPr>
          <w:rStyle w:val="FootnoteReference"/>
        </w:rPr>
        <w:footnoteReference w:id="35"/>
      </w:r>
      <w:r w:rsidR="006A56DF">
        <w:t xml:space="preserve"> </w:t>
      </w:r>
      <w:r>
        <w:t xml:space="preserve"> </w:t>
      </w:r>
      <w:r w:rsidR="00CF19E7">
        <w:t>N</w:t>
      </w:r>
      <w:r w:rsidR="006A56DF">
        <w:t xml:space="preserve">otwithstanding numerous attempts to cancel the service, </w:t>
      </w:r>
      <w:r>
        <w:t xml:space="preserve">“NetOne keeps billing </w:t>
      </w:r>
      <w:r w:rsidR="001E48E3">
        <w:t xml:space="preserve">. . . </w:t>
      </w:r>
      <w:r>
        <w:t>even though there are ZERO calls</w:t>
      </w:r>
      <w:r w:rsidR="001E48E3">
        <w:t xml:space="preserve"> </w:t>
      </w:r>
      <w:r>
        <w:t>. . .  just taxes and ‘late fees.’</w:t>
      </w:r>
      <w:r w:rsidR="00213D1D">
        <w:t xml:space="preserve">  I have called their customer service a number of times</w:t>
      </w:r>
      <w:r w:rsidR="001E48E3">
        <w:t xml:space="preserve"> </w:t>
      </w:r>
      <w:r w:rsidR="00213D1D">
        <w:t>. . . .</w:t>
      </w:r>
      <w:r w:rsidR="006A56DF">
        <w:t>”</w:t>
      </w:r>
      <w:r>
        <w:t xml:space="preserve"> </w:t>
      </w:r>
      <w:r w:rsidR="00D02DB8">
        <w:t xml:space="preserve">  </w:t>
      </w:r>
    </w:p>
    <w:p w:rsidR="002E4FAA" w:rsidRDefault="002E4FAA" w:rsidP="002E4FAA">
      <w:pPr>
        <w:pStyle w:val="ListParagraph"/>
      </w:pPr>
    </w:p>
    <w:p w:rsidR="0061264D" w:rsidRDefault="00D02DB8" w:rsidP="0099704D">
      <w:pPr>
        <w:pStyle w:val="ListParagraph"/>
        <w:numPr>
          <w:ilvl w:val="0"/>
          <w:numId w:val="5"/>
        </w:numPr>
      </w:pPr>
      <w:r>
        <w:t xml:space="preserve">Complainant Gopalan, a Net One international </w:t>
      </w:r>
      <w:r w:rsidR="00BA1D44">
        <w:t xml:space="preserve">prepaid </w:t>
      </w:r>
      <w:r>
        <w:t xml:space="preserve">calling card customer, discovered that Net One had opened a </w:t>
      </w:r>
      <w:r w:rsidR="00387AA5">
        <w:t xml:space="preserve">separate </w:t>
      </w:r>
      <w:r>
        <w:t xml:space="preserve">long distance account for him without his permission. </w:t>
      </w:r>
      <w:r w:rsidR="00AC2463">
        <w:t xml:space="preserve"> </w:t>
      </w:r>
      <w:r>
        <w:t xml:space="preserve">After </w:t>
      </w:r>
      <w:r w:rsidR="003A4475">
        <w:t xml:space="preserve">Net One sent him several </w:t>
      </w:r>
      <w:r>
        <w:t>bills</w:t>
      </w:r>
      <w:r w:rsidR="003A4475">
        <w:t>,</w:t>
      </w:r>
      <w:r>
        <w:t xml:space="preserve"> </w:t>
      </w:r>
      <w:r w:rsidR="003A4475">
        <w:t>Mr. Gopalan</w:t>
      </w:r>
      <w:r>
        <w:t xml:space="preserve"> repeatedly called to cancel th</w:t>
      </w:r>
      <w:r w:rsidR="003A4475">
        <w:t>e</w:t>
      </w:r>
      <w:r>
        <w:t xml:space="preserve"> </w:t>
      </w:r>
      <w:r w:rsidR="005D2C1D">
        <w:t xml:space="preserve">new </w:t>
      </w:r>
      <w:r>
        <w:t>account.  “The Customer Service person agreed to close the account and credit the balance</w:t>
      </w:r>
      <w:r w:rsidR="001E48E3">
        <w:t xml:space="preserve"> </w:t>
      </w:r>
      <w:r>
        <w:t>. . . . [After calling again] the Customer Service person I spoke to . . . said the account was still open, and agreed to close it and credit the balance shown on the bill</w:t>
      </w:r>
      <w:r w:rsidR="001E48E3">
        <w:t xml:space="preserve"> </w:t>
      </w:r>
      <w:r>
        <w:t>. . . . I received another bill from NetOne</w:t>
      </w:r>
      <w:r w:rsidR="001E48E3">
        <w:t xml:space="preserve"> </w:t>
      </w:r>
      <w:r>
        <w:t xml:space="preserve">. . . </w:t>
      </w:r>
      <w:r w:rsidR="001E48E3">
        <w:t>.</w:t>
      </w:r>
      <w:r>
        <w:t xml:space="preserve"> </w:t>
      </w:r>
      <w:r w:rsidR="001E48E3">
        <w:t xml:space="preserve"> </w:t>
      </w:r>
      <w:r>
        <w:t>I again called . . .  the same customer service person . . . said that he will close the account immediately and give credit</w:t>
      </w:r>
      <w:r w:rsidR="001E48E3">
        <w:t xml:space="preserve"> </w:t>
      </w:r>
      <w:r>
        <w:t xml:space="preserve">. . . </w:t>
      </w:r>
      <w:r w:rsidR="001E48E3">
        <w:t xml:space="preserve">.  </w:t>
      </w:r>
      <w:r>
        <w:t>I have now received another bill from NetOne.”</w:t>
      </w:r>
      <w:r>
        <w:rPr>
          <w:rStyle w:val="FootnoteReference"/>
        </w:rPr>
        <w:footnoteReference w:id="36"/>
      </w:r>
      <w:r w:rsidR="0061264D">
        <w:t xml:space="preserve"> </w:t>
      </w:r>
    </w:p>
    <w:p w:rsidR="00F37530" w:rsidRDefault="00F37530" w:rsidP="00F37530">
      <w:pPr>
        <w:pStyle w:val="ListParagraph"/>
      </w:pPr>
    </w:p>
    <w:p w:rsidR="00F37530" w:rsidRDefault="00F37530" w:rsidP="0099704D">
      <w:pPr>
        <w:pStyle w:val="ListParagraph"/>
        <w:numPr>
          <w:ilvl w:val="0"/>
          <w:numId w:val="5"/>
        </w:numPr>
      </w:pPr>
      <w:r>
        <w:t>Complainant Mattam explain</w:t>
      </w:r>
      <w:r w:rsidR="001E48E3">
        <w:t>s,</w:t>
      </w:r>
      <w:r>
        <w:t xml:space="preserve"> “I have called on various occasions to cancel our services with NetOne . . . </w:t>
      </w:r>
      <w:r w:rsidR="001E48E3">
        <w:t xml:space="preserve">. </w:t>
      </w:r>
      <w:r w:rsidR="00AB3422">
        <w:t xml:space="preserve">After speaking to their [customer service] representative </w:t>
      </w:r>
      <w:r>
        <w:t xml:space="preserve">it would seem as if my service has been ended, </w:t>
      </w:r>
      <w:r w:rsidR="00AB3422">
        <w:t>however, I am still being billed</w:t>
      </w:r>
      <w:r>
        <w:t xml:space="preserve"> by this company every single month.  Not only are we still being charged for a service that we have cancelled, we are still being charged administrative fees including late fees and printing fees.”</w:t>
      </w:r>
      <w:r>
        <w:rPr>
          <w:rStyle w:val="FootnoteReference"/>
        </w:rPr>
        <w:footnoteReference w:id="37"/>
      </w:r>
    </w:p>
    <w:p w:rsidR="003D2395" w:rsidRDefault="003D2395" w:rsidP="003D2395">
      <w:pPr>
        <w:pStyle w:val="ListParagraph"/>
      </w:pPr>
    </w:p>
    <w:p w:rsidR="003D2395" w:rsidRDefault="003D2395" w:rsidP="0099704D">
      <w:pPr>
        <w:pStyle w:val="ListParagraph"/>
        <w:numPr>
          <w:ilvl w:val="0"/>
          <w:numId w:val="5"/>
        </w:numPr>
      </w:pPr>
      <w:r>
        <w:t>Complainant Towfeles explains that after she closed her account and paid her final bill in January 2013, Net One reopened her account and “[t]hey kept charging me about $18 a month for the past 7 months, including taxes and late fees every month until the balance has reached $120.07 as of October 2013</w:t>
      </w:r>
      <w:r w:rsidR="001E48E3">
        <w:t xml:space="preserve"> </w:t>
      </w:r>
      <w:r>
        <w:t xml:space="preserve">. . . . </w:t>
      </w:r>
      <w:r w:rsidR="00761A09">
        <w:t>They do admit . . . that their account show</w:t>
      </w:r>
      <w:r w:rsidR="00486460">
        <w:t>s</w:t>
      </w:r>
      <w:r w:rsidR="00761A09">
        <w:t xml:space="preserve"> that we paid the full balance in January 2013.  </w:t>
      </w:r>
      <w:r>
        <w:t>Despite many calls [to customer service] and despite talking to multiple people, . . . they still insist that we owe this amount and keep threatening to send it to collection.”</w:t>
      </w:r>
      <w:r w:rsidR="00761A09">
        <w:rPr>
          <w:rStyle w:val="FootnoteReference"/>
        </w:rPr>
        <w:footnoteReference w:id="38"/>
      </w:r>
    </w:p>
    <w:p w:rsidR="0061264D" w:rsidRDefault="0061264D" w:rsidP="0061264D">
      <w:pPr>
        <w:pStyle w:val="ListParagraph"/>
      </w:pPr>
    </w:p>
    <w:p w:rsidR="005D1035" w:rsidRDefault="005D1035" w:rsidP="0061264D">
      <w:pPr>
        <w:pStyle w:val="ParaNum"/>
        <w:numPr>
          <w:ilvl w:val="0"/>
          <w:numId w:val="0"/>
        </w:numPr>
      </w:pPr>
      <w:r>
        <w:t>Other complainants</w:t>
      </w:r>
      <w:r w:rsidR="00F31B06">
        <w:t xml:space="preserve"> offer similar experiences </w:t>
      </w:r>
      <w:r w:rsidR="003F22B4">
        <w:t xml:space="preserve">in trying to cancel their </w:t>
      </w:r>
      <w:r w:rsidR="00424D42">
        <w:t xml:space="preserve">Net One </w:t>
      </w:r>
      <w:r w:rsidR="003F22B4">
        <w:t>accounts</w:t>
      </w:r>
      <w:r w:rsidR="003A4475">
        <w:t xml:space="preserve"> and finding that Net One </w:t>
      </w:r>
      <w:r w:rsidR="000A2295">
        <w:t>continued to charge</w:t>
      </w:r>
      <w:r w:rsidR="00366991">
        <w:t xml:space="preserve"> them for service, late fees</w:t>
      </w:r>
      <w:r w:rsidR="00387AA5">
        <w:t>,</w:t>
      </w:r>
      <w:r w:rsidR="00366991">
        <w:t xml:space="preserve"> and other charges</w:t>
      </w:r>
      <w:r w:rsidR="00F31B06">
        <w:t>.</w:t>
      </w:r>
      <w:r>
        <w:rPr>
          <w:rStyle w:val="FootnoteReference"/>
        </w:rPr>
        <w:footnoteReference w:id="39"/>
      </w:r>
    </w:p>
    <w:p w:rsidR="000E7CC6" w:rsidRDefault="000E7CC6" w:rsidP="00387AA5">
      <w:pPr>
        <w:pStyle w:val="ParaNum"/>
        <w:numPr>
          <w:ilvl w:val="0"/>
          <w:numId w:val="3"/>
        </w:numPr>
        <w:tabs>
          <w:tab w:val="clear" w:pos="1080"/>
          <w:tab w:val="num" w:pos="1440"/>
        </w:tabs>
        <w:ind w:left="-90"/>
      </w:pPr>
      <w:r>
        <w:t>Based on</w:t>
      </w:r>
      <w:r w:rsidRPr="000E7CC6">
        <w:t xml:space="preserve"> </w:t>
      </w:r>
      <w:r>
        <w:t xml:space="preserve">the </w:t>
      </w:r>
      <w:r w:rsidR="00CD0EF6">
        <w:t xml:space="preserve">evidence from the investigation, we conclude that </w:t>
      </w:r>
      <w:r>
        <w:t xml:space="preserve">Net One </w:t>
      </w:r>
      <w:r w:rsidR="00CD0EF6">
        <w:t xml:space="preserve">did not have authorization to continue billing </w:t>
      </w:r>
      <w:r w:rsidR="00A7332B">
        <w:t xml:space="preserve">consumers </w:t>
      </w:r>
      <w:r w:rsidR="00CD0EF6">
        <w:t>after they cancelled their service.  After a consumer cancels his or her account and has paid any outstanding charges due and owing, any further charges by a carrier are inherently unjust and unreasonable.  Accordingly, we find that Net One’s practices with respect to these consumers unjust and unreasonable and an apparent violation of Section 201(b) of the Act</w:t>
      </w:r>
      <w:r w:rsidR="00387AA5">
        <w:t>.</w:t>
      </w:r>
      <w:r w:rsidR="007358D8">
        <w:rPr>
          <w:rStyle w:val="FootnoteReference"/>
        </w:rPr>
        <w:footnoteReference w:id="40"/>
      </w:r>
      <w:r w:rsidR="00387AA5">
        <w:t xml:space="preserve">  </w:t>
      </w:r>
      <w:r w:rsidR="00575A19" w:rsidRPr="00575A19">
        <w:t xml:space="preserve"> </w:t>
      </w:r>
      <w:r w:rsidR="00387AA5">
        <w:t xml:space="preserve"> </w:t>
      </w:r>
      <w:r w:rsidR="00575A19">
        <w:t xml:space="preserve">  </w:t>
      </w:r>
    </w:p>
    <w:p w:rsidR="007665F4" w:rsidRPr="00A82102" w:rsidRDefault="009B3C7C" w:rsidP="009B3C7C">
      <w:pPr>
        <w:pStyle w:val="Heading1"/>
      </w:pPr>
      <w:r>
        <w:t>proposed forfeiture</w:t>
      </w:r>
    </w:p>
    <w:p w:rsidR="00E57ECD" w:rsidRDefault="00E57ECD" w:rsidP="00486460">
      <w:pPr>
        <w:pStyle w:val="ParaNum"/>
        <w:numPr>
          <w:ilvl w:val="0"/>
          <w:numId w:val="3"/>
        </w:numPr>
        <w:tabs>
          <w:tab w:val="clear" w:pos="1080"/>
          <w:tab w:val="num" w:pos="1440"/>
        </w:tabs>
      </w:pPr>
      <w:r>
        <w:t>Section</w:t>
      </w:r>
      <w:r w:rsidRPr="002461F8">
        <w:t xml:space="preserve"> 503(b)(1) of the</w:t>
      </w:r>
      <w:r>
        <w:t xml:space="preserve"> Act states that any person who</w:t>
      </w:r>
      <w:r w:rsidRPr="002461F8">
        <w:t xml:space="preserve"> willfully or repeatedly fails to comply with any provision of the Act or any rule, regulation, or order issued by the Commission, shall be liable to the United States for a forfeiture penalty.</w:t>
      </w:r>
      <w:r>
        <w:rPr>
          <w:rStyle w:val="FootnoteReference"/>
          <w:color w:val="000000"/>
          <w:szCs w:val="22"/>
        </w:rPr>
        <w:footnoteReference w:id="41"/>
      </w:r>
      <w:r w:rsidRPr="002461F8">
        <w:t xml:space="preserve"> </w:t>
      </w:r>
      <w:r>
        <w:t xml:space="preserve"> </w:t>
      </w:r>
      <w:r w:rsidR="00B62009" w:rsidRPr="00B62009">
        <w:t>Section 503(b)(2)(B) of the Act empowers the Commission to assess a forfeiture of up to $150,000 for any violation occurring before September 13, 2013, and $160,000 for any violations occurring on or after that date</w:t>
      </w:r>
      <w:r w:rsidR="00B62009">
        <w:t xml:space="preserve">, </w:t>
      </w:r>
      <w:r>
        <w:t>for each willful or repeated violation of the Act or of any rule, regulation, or order issued by the Commission under the Act.</w:t>
      </w:r>
      <w:r>
        <w:rPr>
          <w:rStyle w:val="FootnoteReference"/>
          <w:color w:val="000000"/>
          <w:szCs w:val="22"/>
        </w:rPr>
        <w:footnoteReference w:id="42"/>
      </w:r>
      <w:r>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43"/>
      </w:r>
      <w:r>
        <w:t xml:space="preserve">  In addition, the Commission has established forfeiture guidelines, which set forth base penalties for certain violations and identify criteria that we consider in exercising our discretion in determining the penalties to apply in any given case.</w:t>
      </w:r>
      <w:r>
        <w:rPr>
          <w:rStyle w:val="FootnoteReference"/>
        </w:rPr>
        <w:footnoteReference w:id="44"/>
      </w:r>
      <w:r>
        <w:t xml:space="preserve">  Under the guidelines, we may adjust a forfeiture upward for violations that are egregious, intentional, or repeated, or that cause substantial harm or generate substantial economic gain for the violator.</w:t>
      </w:r>
      <w:r>
        <w:rPr>
          <w:rStyle w:val="FootnoteReference"/>
        </w:rPr>
        <w:footnoteReference w:id="45"/>
      </w:r>
      <w:r>
        <w:t xml:space="preserve">  </w:t>
      </w:r>
    </w:p>
    <w:p w:rsidR="001813E6" w:rsidRPr="00E17906" w:rsidRDefault="00E57ECD" w:rsidP="00387AA5">
      <w:pPr>
        <w:pStyle w:val="ParaNum"/>
        <w:numPr>
          <w:ilvl w:val="0"/>
          <w:numId w:val="3"/>
        </w:numPr>
        <w:tabs>
          <w:tab w:val="clear" w:pos="1080"/>
          <w:tab w:val="num" w:pos="1440"/>
        </w:tabs>
        <w:ind w:left="-90"/>
      </w:pPr>
      <w:r w:rsidRPr="007A6E4B">
        <w:t xml:space="preserve">The Commission’s forfeiture guidelines provide </w:t>
      </w:r>
      <w:r w:rsidR="00BC16E2">
        <w:t>no base forfeiture for cramming; however,</w:t>
      </w:r>
      <w:r w:rsidRPr="007A6E4B">
        <w:t xml:space="preserve"> the Commission has established a $40,000 base forfeiture for cramming violations.</w:t>
      </w:r>
      <w:r w:rsidRPr="007A6E4B">
        <w:rPr>
          <w:rStyle w:val="FootnoteReference"/>
        </w:rPr>
        <w:footnoteReference w:id="46"/>
      </w:r>
      <w:r>
        <w:t xml:space="preserve">  Applying the $40,000 base</w:t>
      </w:r>
      <w:r w:rsidR="00BC16E2">
        <w:t xml:space="preserve"> forfeiture to each of the </w:t>
      </w:r>
      <w:r w:rsidR="00C26261" w:rsidRPr="00215A23">
        <w:t>20</w:t>
      </w:r>
      <w:r>
        <w:t xml:space="preserve"> cramming violations</w:t>
      </w:r>
      <w:r w:rsidRPr="007A6E4B">
        <w:rPr>
          <w:rStyle w:val="FootnoteReference"/>
        </w:rPr>
        <w:footnoteReference w:id="47"/>
      </w:r>
      <w:r>
        <w:t xml:space="preserve"> would </w:t>
      </w:r>
      <w:r w:rsidR="00BC16E2">
        <w:t xml:space="preserve">result in a forfeiture of </w:t>
      </w:r>
      <w:r w:rsidR="00BC16E2" w:rsidRPr="00215A23">
        <w:t>$</w:t>
      </w:r>
      <w:r w:rsidR="00C26261" w:rsidRPr="00215A23">
        <w:t>80</w:t>
      </w:r>
      <w:r w:rsidR="00BC16E2" w:rsidRPr="00215A23">
        <w:t>0,000</w:t>
      </w:r>
      <w:r w:rsidRPr="004141E1">
        <w:rPr>
          <w:b/>
        </w:rPr>
        <w:t>.</w:t>
      </w:r>
      <w:r w:rsidR="003030BD" w:rsidRPr="004141E1">
        <w:rPr>
          <w:b/>
        </w:rPr>
        <w:t xml:space="preserve">  </w:t>
      </w:r>
    </w:p>
    <w:p w:rsidR="00E57ECD" w:rsidRPr="00215A23" w:rsidRDefault="00E57ECD" w:rsidP="00387AA5">
      <w:pPr>
        <w:pStyle w:val="ParaNum"/>
        <w:numPr>
          <w:ilvl w:val="0"/>
          <w:numId w:val="3"/>
        </w:numPr>
        <w:tabs>
          <w:tab w:val="clear" w:pos="1080"/>
          <w:tab w:val="num" w:pos="1440"/>
        </w:tabs>
        <w:ind w:left="-90"/>
      </w:pPr>
      <w:bookmarkStart w:id="1" w:name="_Ref387990558"/>
      <w:r>
        <w:t>Given the facts presented here, we believe that an upward adjustment</w:t>
      </w:r>
      <w:r w:rsidR="00F23EBE">
        <w:t xml:space="preserve"> </w:t>
      </w:r>
      <w:r>
        <w:t>is warranted.</w:t>
      </w:r>
      <w:r w:rsidRPr="007A6E4B">
        <w:t xml:space="preserve">  </w:t>
      </w:r>
      <w:r w:rsidR="00974761">
        <w:t xml:space="preserve">As the Commission reiterated in the </w:t>
      </w:r>
      <w:r w:rsidR="00974761" w:rsidRPr="00D16D94">
        <w:rPr>
          <w:i/>
        </w:rPr>
        <w:t>Central NAL</w:t>
      </w:r>
      <w:r w:rsidR="00974761">
        <w:t>, “we may propose more significant forfeitures in the future as high as necessary, within the range of our statutory authority, to ensure that such companies do not charge consumers for unauthorized services.”</w:t>
      </w:r>
      <w:r w:rsidR="00974761">
        <w:rPr>
          <w:rStyle w:val="FootnoteReference"/>
        </w:rPr>
        <w:footnoteReference w:id="48"/>
      </w:r>
      <w:r w:rsidR="00D16D94">
        <w:t xml:space="preserve">  </w:t>
      </w:r>
      <w:r w:rsidR="00C5151D">
        <w:t>Net One</w:t>
      </w:r>
      <w:r w:rsidRPr="007A6E4B">
        <w:t xml:space="preserve"> apparently engaged in cramming repeatedly, including placing unauthorized charges on consumers’ telephone bills multiple times</w:t>
      </w:r>
      <w:r>
        <w:t xml:space="preserve">—indeed, we have reviewed </w:t>
      </w:r>
      <w:r w:rsidR="00583416">
        <w:t>many</w:t>
      </w:r>
      <w:r>
        <w:t xml:space="preserve"> consumer complaints alleging improper conduct on </w:t>
      </w:r>
      <w:r w:rsidR="00C5151D">
        <w:t>Net One’</w:t>
      </w:r>
      <w:r>
        <w:t>s part</w:t>
      </w:r>
      <w:r w:rsidRPr="007A6E4B">
        <w:t xml:space="preserve">.  </w:t>
      </w:r>
      <w:r w:rsidR="00BA1D44">
        <w:t>We also note that the Bureau began this cramming investigation in 2011</w:t>
      </w:r>
      <w:r w:rsidR="001E48E3">
        <w:t xml:space="preserve"> and previously issued the </w:t>
      </w:r>
      <w:r w:rsidR="001C20ED">
        <w:rPr>
          <w:i/>
        </w:rPr>
        <w:t>2011</w:t>
      </w:r>
      <w:r w:rsidR="001E48E3">
        <w:rPr>
          <w:i/>
        </w:rPr>
        <w:t xml:space="preserve"> Net One NAL </w:t>
      </w:r>
      <w:r w:rsidR="001E48E3">
        <w:t>based on the Company’s failure to respond to the Bureau’s inquiries</w:t>
      </w:r>
      <w:r w:rsidR="00BA1D44">
        <w:t xml:space="preserve">, </w:t>
      </w:r>
      <w:r w:rsidR="001E48E3">
        <w:t>yet</w:t>
      </w:r>
      <w:r w:rsidR="00BA1D44">
        <w:t xml:space="preserve"> Net One has nevertheless continued to </w:t>
      </w:r>
      <w:r w:rsidR="00E47512">
        <w:t xml:space="preserve">engage in the same conduct:  </w:t>
      </w:r>
      <w:r w:rsidR="00BA1D44">
        <w:t>impos</w:t>
      </w:r>
      <w:r w:rsidR="00E47512">
        <w:t>ing</w:t>
      </w:r>
      <w:r w:rsidR="00BA1D44">
        <w:t xml:space="preserve"> unauthorized charges on consumers’ bills</w:t>
      </w:r>
      <w:r w:rsidR="00E47512">
        <w:t xml:space="preserve"> and preventing consumers from closing their accounts</w:t>
      </w:r>
      <w:r w:rsidR="00BA1D44">
        <w:t xml:space="preserve">.  </w:t>
      </w:r>
      <w:r w:rsidRPr="007A6E4B">
        <w:t xml:space="preserve">Under Section 503, we </w:t>
      </w:r>
      <w:r>
        <w:t>may</w:t>
      </w:r>
      <w:r w:rsidRPr="007A6E4B">
        <w:t xml:space="preserve"> </w:t>
      </w:r>
      <w:r>
        <w:t xml:space="preserve">take </w:t>
      </w:r>
      <w:r w:rsidRPr="007A6E4B">
        <w:t>into account the egre</w:t>
      </w:r>
      <w:r>
        <w:t xml:space="preserve">gious and repeated nature of </w:t>
      </w:r>
      <w:r w:rsidR="00C5151D">
        <w:t>Net One</w:t>
      </w:r>
      <w:r w:rsidRPr="007A6E4B">
        <w:t xml:space="preserve">’s actions and, </w:t>
      </w:r>
      <w:r w:rsidR="00086318">
        <w:t xml:space="preserve">consistent with </w:t>
      </w:r>
      <w:r w:rsidR="002A69A0">
        <w:t>our recent enforcement actions</w:t>
      </w:r>
      <w:r w:rsidRPr="007A6E4B">
        <w:t>,</w:t>
      </w:r>
      <w:r w:rsidR="000B53E9">
        <w:rPr>
          <w:rStyle w:val="FootnoteReference"/>
        </w:rPr>
        <w:footnoteReference w:id="49"/>
      </w:r>
      <w:r w:rsidRPr="007A6E4B">
        <w:t xml:space="preserve"> upwardly adjust the </w:t>
      </w:r>
      <w:r w:rsidR="002A562E">
        <w:t xml:space="preserve">proposed </w:t>
      </w:r>
      <w:r w:rsidRPr="007A6E4B">
        <w:t>forfeiture</w:t>
      </w:r>
      <w:r>
        <w:t xml:space="preserve"> for </w:t>
      </w:r>
      <w:r w:rsidR="002A562E">
        <w:t xml:space="preserve">its apparent </w:t>
      </w:r>
      <w:r>
        <w:t>cramming</w:t>
      </w:r>
      <w:r w:rsidR="002A562E">
        <w:t xml:space="preserve"> violations</w:t>
      </w:r>
      <w:r>
        <w:t>.</w:t>
      </w:r>
      <w:r>
        <w:rPr>
          <w:rStyle w:val="FootnoteReference"/>
        </w:rPr>
        <w:footnoteReference w:id="50"/>
      </w:r>
      <w:r>
        <w:t xml:space="preserve">  Given the egregious circumstances here and the extent of </w:t>
      </w:r>
      <w:r w:rsidR="00C5151D">
        <w:t>Net One</w:t>
      </w:r>
      <w:r>
        <w:t xml:space="preserve">’s improper conduct </w:t>
      </w:r>
      <w:r w:rsidR="00BA1D44">
        <w:t>and the longstanding nature of Net One’s cramming practice</w:t>
      </w:r>
      <w:r w:rsidR="002A562E">
        <w:t>s</w:t>
      </w:r>
      <w:r>
        <w:t xml:space="preserve">, all in the face of the repeated warnings of the Commission that </w:t>
      </w:r>
      <w:r w:rsidR="00C5151D">
        <w:t>c</w:t>
      </w:r>
      <w:r>
        <w:t xml:space="preserve">ramming would not be tolerated, we determine that an upward adjustment </w:t>
      </w:r>
      <w:r w:rsidRPr="00215A23">
        <w:t>of $</w:t>
      </w:r>
      <w:r w:rsidR="00C26261" w:rsidRPr="00215A23">
        <w:t>8</w:t>
      </w:r>
      <w:r w:rsidR="00F94C39" w:rsidRPr="00215A23">
        <w:t>0</w:t>
      </w:r>
      <w:r w:rsidRPr="00215A23">
        <w:t>0,000 is appropriate here.</w:t>
      </w:r>
      <w:r w:rsidR="004141E1" w:rsidRPr="00215A23">
        <w:t xml:space="preserve">  </w:t>
      </w:r>
      <w:r w:rsidRPr="00215A23">
        <w:t xml:space="preserve">Accordingly, the total forfeiture we propose for </w:t>
      </w:r>
      <w:r w:rsidR="00C5151D" w:rsidRPr="00215A23">
        <w:t>Net One</w:t>
      </w:r>
      <w:r w:rsidRPr="00215A23">
        <w:t>’s conduct is $</w:t>
      </w:r>
      <w:r w:rsidR="00C5151D" w:rsidRPr="00215A23">
        <w:t>1,</w:t>
      </w:r>
      <w:r w:rsidR="00C26261" w:rsidRPr="00215A23">
        <w:t>60</w:t>
      </w:r>
      <w:r w:rsidR="00C5151D" w:rsidRPr="00215A23">
        <w:t>0</w:t>
      </w:r>
      <w:r w:rsidRPr="00215A23">
        <w:t>,000.</w:t>
      </w:r>
      <w:bookmarkEnd w:id="1"/>
    </w:p>
    <w:p w:rsidR="00E57ECD" w:rsidRPr="00457914" w:rsidRDefault="00E57ECD" w:rsidP="00E57ECD">
      <w:pPr>
        <w:pStyle w:val="Heading1"/>
      </w:pPr>
      <w:r w:rsidRPr="00457914">
        <w:t>CONCLUSION</w:t>
      </w:r>
    </w:p>
    <w:p w:rsidR="00E57ECD" w:rsidRDefault="00E57ECD" w:rsidP="00387AA5">
      <w:pPr>
        <w:pStyle w:val="ParaNum"/>
        <w:numPr>
          <w:ilvl w:val="0"/>
          <w:numId w:val="3"/>
        </w:numPr>
        <w:tabs>
          <w:tab w:val="clear" w:pos="1080"/>
          <w:tab w:val="num" w:pos="1440"/>
        </w:tabs>
        <w:ind w:left="-90"/>
      </w:pPr>
      <w:r>
        <w:t xml:space="preserve">Based on the facts and record before us, we have determined that </w:t>
      </w:r>
      <w:r w:rsidR="00C5151D">
        <w:t>Net One International</w:t>
      </w:r>
      <w:r>
        <w:t xml:space="preserve">, Inc. has apparently willfully and repeatedly violated Section 201(b) </w:t>
      </w:r>
      <w:r w:rsidR="00C5151D">
        <w:t>o</w:t>
      </w:r>
      <w:r>
        <w:t>f the Communications Act o</w:t>
      </w:r>
      <w:r w:rsidR="00C5151D">
        <w:t>f 1934, as amended</w:t>
      </w:r>
      <w:r>
        <w:t>.</w:t>
      </w:r>
    </w:p>
    <w:p w:rsidR="00E57ECD" w:rsidRPr="00457914" w:rsidRDefault="00E57ECD" w:rsidP="00E57ECD">
      <w:pPr>
        <w:pStyle w:val="Heading1"/>
      </w:pPr>
      <w:r w:rsidRPr="00457914">
        <w:t>ORDERING CLAUSES</w:t>
      </w:r>
    </w:p>
    <w:p w:rsidR="00E57ECD" w:rsidRDefault="00E57ECD" w:rsidP="006E13D1">
      <w:pPr>
        <w:pStyle w:val="ParaNum"/>
        <w:numPr>
          <w:ilvl w:val="0"/>
          <w:numId w:val="3"/>
        </w:numPr>
        <w:tabs>
          <w:tab w:val="clear" w:pos="1080"/>
          <w:tab w:val="num" w:pos="1440"/>
        </w:tabs>
        <w:ind w:left="-90"/>
      </w:pPr>
      <w:r>
        <w:t xml:space="preserve">Accordingly, </w:t>
      </w:r>
      <w:r w:rsidRPr="00FE2928">
        <w:rPr>
          <w:b/>
        </w:rPr>
        <w:t>IT IS ORDERED</w:t>
      </w:r>
      <w:r>
        <w:t xml:space="preserve">, pursuant to Section 503(b) of the Communications Act of 1934, as amended, 47 U.S.C. § 503(b), and Section 1.80 of the Commission’s rules, 47 C.F.R. § 1.80, that </w:t>
      </w:r>
      <w:r w:rsidR="00C5151D">
        <w:t>Net One International</w:t>
      </w:r>
      <w:r>
        <w:t xml:space="preserve">, Inc. is </w:t>
      </w:r>
      <w:r w:rsidRPr="00B049B7">
        <w:t>hereby</w:t>
      </w:r>
      <w:r w:rsidRPr="00FE2928">
        <w:rPr>
          <w:b/>
        </w:rPr>
        <w:t xml:space="preserve"> NOTIFIED</w:t>
      </w:r>
      <w:r>
        <w:t xml:space="preserve"> of this </w:t>
      </w:r>
      <w:r w:rsidRPr="00FF7E3F">
        <w:rPr>
          <w:b/>
        </w:rPr>
        <w:t>APPARENT LIABILITY FOR FORFEITURE</w:t>
      </w:r>
      <w:r>
        <w:rPr>
          <w:b/>
        </w:rPr>
        <w:t xml:space="preserve"> </w:t>
      </w:r>
      <w:r>
        <w:t>in the amount of</w:t>
      </w:r>
      <w:r w:rsidRPr="00C5151D">
        <w:rPr>
          <w:b/>
        </w:rPr>
        <w:t xml:space="preserve"> </w:t>
      </w:r>
      <w:r w:rsidR="00C5151D" w:rsidRPr="00215A23">
        <w:t>$1,</w:t>
      </w:r>
      <w:r w:rsidR="004064D8" w:rsidRPr="00215A23">
        <w:t>60</w:t>
      </w:r>
      <w:r w:rsidR="00C5151D" w:rsidRPr="00215A23">
        <w:t>0,000</w:t>
      </w:r>
      <w:r w:rsidRPr="008E0B58">
        <w:rPr>
          <w:b/>
        </w:rPr>
        <w:t xml:space="preserve"> </w:t>
      </w:r>
      <w:r w:rsidRPr="008E0B58">
        <w:t>for willful and repeated violations of Section 201(b) of the Communications Act of 1934, as</w:t>
      </w:r>
      <w:r>
        <w:t xml:space="preserve"> amended, 47 U.S.C. § 201(b).</w:t>
      </w:r>
    </w:p>
    <w:p w:rsidR="00E57ECD" w:rsidRDefault="00E57ECD" w:rsidP="006E13D1">
      <w:pPr>
        <w:pStyle w:val="ParaNum"/>
        <w:numPr>
          <w:ilvl w:val="0"/>
          <w:numId w:val="3"/>
        </w:numPr>
        <w:tabs>
          <w:tab w:val="clear" w:pos="1080"/>
          <w:tab w:val="num" w:pos="1440"/>
        </w:tabs>
        <w:ind w:left="-90"/>
      </w:pPr>
      <w:r w:rsidRPr="00FE2928">
        <w:rPr>
          <w:b/>
        </w:rPr>
        <w:t>IT IS FURTHER ORDERED THAT</w:t>
      </w:r>
      <w:r>
        <w:t>, pursuant to Section 1.80 of the Commission’s rules,</w:t>
      </w:r>
      <w:r w:rsidR="002A562E">
        <w:t xml:space="preserve"> 47 C.F.R. § 1.80,</w:t>
      </w:r>
      <w:r>
        <w:t xml:space="preserve"> within thirty (30) days of the release date of </w:t>
      </w:r>
      <w:r w:rsidRPr="007C03B9">
        <w:t>this Notice of Apparent Liability for Forfeiture</w:t>
      </w:r>
      <w:r>
        <w:t xml:space="preserve">, </w:t>
      </w:r>
      <w:r w:rsidR="00C5151D">
        <w:t>Net One International</w:t>
      </w:r>
      <w:r>
        <w:t xml:space="preserve">, Inc. </w:t>
      </w:r>
      <w:r w:rsidRPr="00343B0C">
        <w:rPr>
          <w:b/>
        </w:rPr>
        <w:t>SHALL PAY</w:t>
      </w:r>
      <w:r>
        <w:t xml:space="preserve"> the full amount of the proposed forfeiture or </w:t>
      </w:r>
      <w:r w:rsidRPr="00FE2928">
        <w:rPr>
          <w:b/>
        </w:rPr>
        <w:t>SHALL FILE</w:t>
      </w:r>
      <w:r>
        <w:t xml:space="preserve"> a written statement seeking reduction or cancellation of the proposed forfeiture.</w:t>
      </w:r>
    </w:p>
    <w:p w:rsidR="00E57ECD" w:rsidRPr="00626BA2" w:rsidRDefault="00E57ECD" w:rsidP="006E13D1">
      <w:pPr>
        <w:pStyle w:val="ParaNum"/>
        <w:numPr>
          <w:ilvl w:val="0"/>
          <w:numId w:val="3"/>
        </w:numPr>
        <w:tabs>
          <w:tab w:val="clear" w:pos="1080"/>
          <w:tab w:val="num" w:pos="1440"/>
        </w:tabs>
        <w:ind w:left="-90"/>
      </w:pPr>
      <w:r>
        <w:t>P</w:t>
      </w:r>
      <w:r w:rsidRPr="00626BA2">
        <w:t xml:space="preserve">ayment </w:t>
      </w:r>
      <w:r>
        <w:t xml:space="preserve">of the forfeiture </w:t>
      </w:r>
      <w:r w:rsidRPr="00626BA2">
        <w:t>must be made by check or similar instrument, wire transfer, or credit card, and must include the NAL/Account number and FRN referenced above.</w:t>
      </w:r>
      <w:r>
        <w:t xml:space="preserve">  </w:t>
      </w:r>
      <w:r w:rsidR="00C5151D">
        <w:t>Net One International</w:t>
      </w:r>
      <w:r>
        <w:t>, Inc.</w:t>
      </w:r>
      <w:r w:rsidRPr="00D72D84">
        <w:t xml:space="preserve"> shall send electronic notification </w:t>
      </w:r>
      <w:r>
        <w:t xml:space="preserve">of payment </w:t>
      </w:r>
      <w:r w:rsidRPr="00D72D84">
        <w:t xml:space="preserve">to </w:t>
      </w:r>
      <w:r>
        <w:t xml:space="preserve">Johnny Drake at johnny.drake@fcc.gov </w:t>
      </w:r>
      <w:r w:rsidRPr="00D72D84">
        <w:t>on the date said payment is made.</w:t>
      </w:r>
      <w:r>
        <w:t xml:space="preserve">  </w:t>
      </w:r>
      <w:r w:rsidRPr="00626BA2">
        <w:t xml:space="preserve">Regardless of the form of payment, a completed FCC Form 159 (Remittance Advice) must </w:t>
      </w:r>
      <w:r>
        <w:t>be submitted.</w:t>
      </w:r>
      <w:r>
        <w:rPr>
          <w:rStyle w:val="FootnoteReference"/>
        </w:rPr>
        <w:footnoteReference w:id="51"/>
      </w:r>
      <w:r>
        <w:t xml:space="preserve">  </w:t>
      </w:r>
      <w:r w:rsidRPr="00626BA2">
        <w:t>When completing the FCC Form 159, enter the Account Number in block number 23A (call sign/other ID) and enter the letters “FORF” in block number 24A (payment type code).  </w:t>
      </w:r>
      <w:r>
        <w:t xml:space="preserve"> </w:t>
      </w:r>
      <w:r>
        <w:rPr>
          <w:color w:val="000000"/>
          <w:szCs w:val="22"/>
        </w:rPr>
        <w:t xml:space="preserve">Below are additional instructions </w:t>
      </w:r>
      <w:r w:rsidR="000E17A4">
        <w:rPr>
          <w:color w:val="000000"/>
          <w:szCs w:val="22"/>
        </w:rPr>
        <w:t>Net One International</w:t>
      </w:r>
      <w:r>
        <w:rPr>
          <w:color w:val="000000"/>
          <w:szCs w:val="22"/>
        </w:rPr>
        <w:t>, Inc. should follow based on the form of payment it selects:</w:t>
      </w:r>
    </w:p>
    <w:p w:rsidR="00E57ECD" w:rsidRPr="00626BA2" w:rsidRDefault="00E57ECD" w:rsidP="00E57ECD">
      <w:pPr>
        <w:pStyle w:val="Bullet1"/>
        <w:ind w:left="1440"/>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w:t>
      </w:r>
      <w:r w:rsidRPr="00F91891">
        <w:t>Communications</w:t>
      </w:r>
      <w:r w:rsidRPr="00626BA2">
        <w:rPr>
          <w:rFonts w:eastAsia="MS Mincho"/>
        </w:rPr>
        <w:t xml:space="preserve"> </w:t>
      </w:r>
      <w:r w:rsidRPr="002D17AB">
        <w:t>Commission</w:t>
      </w:r>
      <w:r w:rsidRPr="00626BA2">
        <w:rPr>
          <w:rFonts w:eastAsia="MS Mincho"/>
        </w:rPr>
        <w:t xml:space="preserve">, P.O. Box 979088, St. Louis, MO 63197-9000, or sent via overnight mail to U.S. Bank – Government Lockbox #979088, SL-MO-C2-GL, 1005 Convention Plaza, St. Louis, MO 63101.  </w:t>
      </w:r>
    </w:p>
    <w:p w:rsidR="00E57ECD" w:rsidRPr="00626BA2" w:rsidRDefault="00E57ECD" w:rsidP="00E57ECD">
      <w:pPr>
        <w:pStyle w:val="Bullet1"/>
        <w:ind w:left="1440"/>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w:t>
      </w:r>
      <w:r w:rsidRPr="00F91891">
        <w:t>complete</w:t>
      </w:r>
      <w:r>
        <w:rPr>
          <w:rFonts w:eastAsia="MS Mincho"/>
        </w:rPr>
        <w:t xml:space="preserve"> the wire transfer and ensure appropriate crediting of the wired </w:t>
      </w:r>
      <w:r w:rsidRPr="002D17AB">
        <w:t>funds</w:t>
      </w:r>
      <w:r>
        <w:rPr>
          <w:rFonts w:eastAsia="MS Mincho"/>
        </w:rPr>
        <w:t xml:space="preserve">,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E57ECD" w:rsidRPr="00626BA2" w:rsidRDefault="00E57ECD" w:rsidP="00E57ECD">
      <w:pPr>
        <w:pStyle w:val="Bullet1"/>
        <w:ind w:left="1440"/>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w:t>
      </w:r>
      <w:r w:rsidRPr="002D17AB">
        <w:t>dating</w:t>
      </w:r>
      <w:r w:rsidRPr="00626BA2">
        <w:rPr>
          <w:rFonts w:eastAsia="MS Mincho"/>
        </w:rPr>
        <w:t xml:space="preserve"> the </w:t>
      </w:r>
      <w:r w:rsidRPr="00F91891">
        <w:t>Form</w:t>
      </w:r>
      <w:r w:rsidRPr="00626BA2">
        <w:rPr>
          <w:rFonts w:eastAsia="MS Mincho"/>
        </w:rPr>
        <w:t xml:space="preserve">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B22D72" w:rsidRDefault="00E57ECD" w:rsidP="006E13D1">
      <w:pPr>
        <w:pStyle w:val="ParaNum"/>
        <w:numPr>
          <w:ilvl w:val="0"/>
          <w:numId w:val="3"/>
        </w:numPr>
        <w:tabs>
          <w:tab w:val="clear" w:pos="1080"/>
          <w:tab w:val="num" w:pos="1440"/>
        </w:tabs>
        <w:ind w:left="-90"/>
      </w:pPr>
      <w:r w:rsidRPr="00860B88">
        <w:t>Any request for</w:t>
      </w:r>
      <w:r>
        <w:t xml:space="preserve"> making </w:t>
      </w:r>
      <w:r w:rsidRPr="00860B88">
        <w:t xml:space="preserve">full payment </w:t>
      </w:r>
      <w:r>
        <w:t xml:space="preserve">over time </w:t>
      </w:r>
      <w:r w:rsidRPr="00860B88">
        <w:t>under an installment plan should be sent to:  Chief Financial Officer</w:t>
      </w:r>
      <w:r>
        <w:t xml:space="preserve"> </w:t>
      </w:r>
      <w:r w:rsidRPr="00860B88">
        <w:t>—</w:t>
      </w:r>
      <w:r>
        <w:t xml:space="preserve"> </w:t>
      </w:r>
      <w:r w:rsidRPr="00860B88">
        <w:t>Financial Operations, Federal Communications Commission, 445 12</w:t>
      </w:r>
      <w:r w:rsidRPr="00B22D72">
        <w:rPr>
          <w:vertAlign w:val="superscript"/>
        </w:rPr>
        <w:t>th</w:t>
      </w:r>
      <w:r>
        <w:t xml:space="preserve"> </w:t>
      </w:r>
      <w:r w:rsidRPr="00860B88">
        <w:t>Street, S</w:t>
      </w:r>
      <w:r>
        <w:t>W, Room 1</w:t>
      </w:r>
      <w:r>
        <w:noBreakHyphen/>
        <w:t>A625, Washington, DC </w:t>
      </w:r>
      <w:r w:rsidRPr="00860B88">
        <w:t>20554.</w:t>
      </w:r>
      <w:r>
        <w:rPr>
          <w:rStyle w:val="FootnoteReference"/>
        </w:rPr>
        <w:footnoteReference w:id="52"/>
      </w:r>
      <w:r w:rsidRPr="00860B88">
        <w:t xml:space="preserve">  If </w:t>
      </w:r>
      <w:r w:rsidR="00C5151D">
        <w:t xml:space="preserve">Net One International, </w:t>
      </w:r>
      <w:r>
        <w:t>Inc. has</w:t>
      </w:r>
      <w:r w:rsidRPr="00860B88">
        <w:t xml:space="preserve"> questions regarding payment procedures, </w:t>
      </w:r>
      <w:r>
        <w:t>it can contact</w:t>
      </w:r>
      <w:r w:rsidRPr="00860B88">
        <w:t xml:space="preserve"> the Financial Operations Group Help Desk by phone, 1-877-480-3201, or by e</w:t>
      </w:r>
      <w:r w:rsidRPr="00860B88">
        <w:noBreakHyphen/>
        <w:t xml:space="preserve">mail, ARINQUIRIES@fcc.gov.  </w:t>
      </w:r>
    </w:p>
    <w:p w:rsidR="00E57ECD" w:rsidRDefault="00E57ECD" w:rsidP="00612811">
      <w:pPr>
        <w:pStyle w:val="ParaNum"/>
        <w:widowControl/>
        <w:numPr>
          <w:ilvl w:val="0"/>
          <w:numId w:val="3"/>
        </w:numPr>
        <w:tabs>
          <w:tab w:val="clear" w:pos="1080"/>
          <w:tab w:val="num" w:pos="1440"/>
        </w:tabs>
        <w:ind w:left="-86"/>
      </w:pPr>
      <w:r>
        <w:t xml:space="preserve">The response, if any, must be mailed both to </w:t>
      </w:r>
      <w:r w:rsidRPr="00B22D72">
        <w:rPr>
          <w:spacing w:val="-2"/>
        </w:rPr>
        <w:t>the</w:t>
      </w:r>
      <w:r>
        <w:t xml:space="preserve"> Office of the Secretary, Federal Communications Commission, 445 12</w:t>
      </w:r>
      <w:r w:rsidRPr="00B22D72">
        <w:rPr>
          <w:vertAlign w:val="superscript"/>
        </w:rPr>
        <w:t>th</w:t>
      </w:r>
      <w:r>
        <w:t xml:space="preserve"> Street, SW, Washington, DC 20554, ATTN:  Enforcement Bureau</w:t>
      </w:r>
      <w:r w:rsidR="00DF20EA">
        <w:t xml:space="preserve">, </w:t>
      </w:r>
      <w:r>
        <w:t>Telecommunications Consumers Division, and to Richard A. Hindman, Chief, Telecommunications Consumers Division, Enforcement Bureau, Federal Communications Commission, 445 12</w:t>
      </w:r>
      <w:r w:rsidRPr="00B22D72">
        <w:rPr>
          <w:vertAlign w:val="superscript"/>
        </w:rPr>
        <w:t>th</w:t>
      </w:r>
      <w:r>
        <w:t xml:space="preserve"> Street, SW, Washington, DC 20554, and must include the NAL/Acct. No. referenced in the caption.</w:t>
      </w:r>
    </w:p>
    <w:p w:rsidR="00E57ECD" w:rsidRDefault="00E57ECD" w:rsidP="006E13D1">
      <w:pPr>
        <w:pStyle w:val="ParaNum"/>
        <w:numPr>
          <w:ilvl w:val="0"/>
          <w:numId w:val="3"/>
        </w:numPr>
        <w:tabs>
          <w:tab w:val="clear" w:pos="1080"/>
          <w:tab w:val="num" w:pos="1440"/>
        </w:tabs>
        <w:ind w:left="-90"/>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E57ECD" w:rsidRDefault="00E57ECD" w:rsidP="006E13D1">
      <w:pPr>
        <w:pStyle w:val="ParaNum"/>
        <w:numPr>
          <w:ilvl w:val="0"/>
          <w:numId w:val="3"/>
        </w:numPr>
        <w:tabs>
          <w:tab w:val="clear" w:pos="1080"/>
          <w:tab w:val="num" w:pos="1440"/>
        </w:tabs>
        <w:ind w:left="-90"/>
        <w:rPr>
          <w:szCs w:val="22"/>
        </w:rPr>
      </w:pPr>
      <w:r w:rsidRPr="00FE2928">
        <w:rPr>
          <w:b/>
        </w:rPr>
        <w:t>IT IS FURTHER ORDERED</w:t>
      </w:r>
      <w:r>
        <w:t xml:space="preserve"> that a copy of this </w:t>
      </w:r>
      <w:r w:rsidRPr="005F36F0">
        <w:t>Notice of Apparent Liability for Forfeiture</w:t>
      </w:r>
      <w:r>
        <w:t xml:space="preserve"> shall be sent by Certified Mail Return Receipt Requested and First Class Mail to</w:t>
      </w:r>
      <w:r w:rsidR="00C5151D">
        <w:t xml:space="preserve"> Net One International, Inc</w:t>
      </w:r>
      <w:r>
        <w:t>.</w:t>
      </w:r>
      <w:r w:rsidR="00552B0A">
        <w:t>’s attorney, Thomas R. Gainor, Law Offices of Moffa, Gainor, and Sutton, P.A., One Financial Plaza, Suite 2202, 100 Southeast Third Avenue, Fort Lauderdale, FL 33394.</w:t>
      </w:r>
    </w:p>
    <w:p w:rsidR="00E57ECD" w:rsidRDefault="00E57ECD" w:rsidP="00E57ECD"/>
    <w:p w:rsidR="00E57ECD" w:rsidRDefault="00E57ECD" w:rsidP="00E57ECD">
      <w:pPr>
        <w:tabs>
          <w:tab w:val="left" w:pos="4320"/>
        </w:tabs>
      </w:pPr>
      <w:r>
        <w:tab/>
        <w:t>FEDERAL COMMUNICATIONS COMMISSION</w:t>
      </w:r>
    </w:p>
    <w:p w:rsidR="00E57ECD" w:rsidRDefault="00E57ECD" w:rsidP="00E57ECD"/>
    <w:p w:rsidR="00E57ECD" w:rsidRDefault="00E57ECD" w:rsidP="00E57ECD"/>
    <w:p w:rsidR="00E57ECD" w:rsidRDefault="00E57ECD" w:rsidP="00E57ECD"/>
    <w:p w:rsidR="00E57ECD" w:rsidRDefault="00E57ECD" w:rsidP="00E57ECD"/>
    <w:p w:rsidR="00E57ECD" w:rsidRDefault="00E57ECD" w:rsidP="00E57ECD">
      <w:pPr>
        <w:tabs>
          <w:tab w:val="left" w:pos="4320"/>
        </w:tabs>
      </w:pPr>
      <w:r>
        <w:tab/>
        <w:t>Marlene H. Dortch</w:t>
      </w:r>
    </w:p>
    <w:p w:rsidR="00E57ECD" w:rsidRDefault="00E57ECD" w:rsidP="00E57ECD">
      <w:pPr>
        <w:tabs>
          <w:tab w:val="left" w:pos="4320"/>
        </w:tabs>
      </w:pPr>
      <w:r>
        <w:tab/>
        <w:t>Secretary</w:t>
      </w:r>
    </w:p>
    <w:p w:rsidR="006E13D1" w:rsidRDefault="006E13D1">
      <w:pPr>
        <w:widowControl/>
      </w:pPr>
      <w:r>
        <w:br w:type="page"/>
      </w:r>
    </w:p>
    <w:p w:rsidR="00E57ECD" w:rsidRDefault="00E57ECD" w:rsidP="00E57ECD">
      <w:pPr>
        <w:pStyle w:val="ParaNum"/>
        <w:numPr>
          <w:ilvl w:val="0"/>
          <w:numId w:val="0"/>
        </w:numPr>
      </w:pPr>
    </w:p>
    <w:p w:rsidR="00E57ECD" w:rsidRDefault="00E57ECD" w:rsidP="00E57ECD">
      <w:pPr>
        <w:jc w:val="center"/>
        <w:rPr>
          <w:b/>
        </w:rPr>
      </w:pPr>
      <w:r w:rsidRPr="003E34D3">
        <w:rPr>
          <w:b/>
        </w:rPr>
        <w:t>APPENDIX</w:t>
      </w:r>
    </w:p>
    <w:p w:rsidR="00E57ECD" w:rsidRPr="003E34D3" w:rsidRDefault="00E57ECD" w:rsidP="006E13D1">
      <w:pPr>
        <w:widowControl/>
        <w:rPr>
          <w:b/>
        </w:rPr>
      </w:pPr>
    </w:p>
    <w:tbl>
      <w:tblPr>
        <w:tblStyle w:val="TableGrid"/>
        <w:tblW w:w="0" w:type="auto"/>
        <w:tblLook w:val="04A0" w:firstRow="1" w:lastRow="0" w:firstColumn="1" w:lastColumn="0" w:noHBand="0" w:noVBand="1"/>
      </w:tblPr>
      <w:tblGrid>
        <w:gridCol w:w="9378"/>
      </w:tblGrid>
      <w:tr w:rsidR="00E57ECD" w:rsidRPr="001E2D61" w:rsidTr="005766A3">
        <w:trPr>
          <w:trHeight w:val="576"/>
        </w:trPr>
        <w:tc>
          <w:tcPr>
            <w:tcW w:w="9378" w:type="dxa"/>
          </w:tcPr>
          <w:p w:rsidR="00E57ECD" w:rsidRPr="0080354B" w:rsidRDefault="00E57ECD" w:rsidP="00552B0A">
            <w:pPr>
              <w:jc w:val="center"/>
              <w:rPr>
                <w:rFonts w:ascii="Times New Roman" w:hAnsi="Times New Roman"/>
                <w:b/>
              </w:rPr>
            </w:pPr>
            <w:r w:rsidRPr="0080354B">
              <w:rPr>
                <w:rFonts w:ascii="Times New Roman" w:hAnsi="Times New Roman"/>
                <w:b/>
              </w:rPr>
              <w:t>Apparent Violations of Section 201(b) of the Act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3966"/>
        <w:gridCol w:w="4770"/>
      </w:tblGrid>
      <w:tr w:rsidR="00552B0A" w:rsidRPr="006523D0" w:rsidTr="00552B0A">
        <w:tc>
          <w:tcPr>
            <w:tcW w:w="642" w:type="dxa"/>
          </w:tcPr>
          <w:p w:rsidR="00552B0A" w:rsidRPr="006523D0" w:rsidRDefault="00552B0A" w:rsidP="00AF72E7">
            <w:pPr>
              <w:rPr>
                <w:b/>
                <w:szCs w:val="22"/>
              </w:rPr>
            </w:pPr>
          </w:p>
        </w:tc>
        <w:tc>
          <w:tcPr>
            <w:tcW w:w="3966" w:type="dxa"/>
          </w:tcPr>
          <w:p w:rsidR="00552B0A" w:rsidRPr="006523D0" w:rsidRDefault="00552B0A" w:rsidP="00AF72E7">
            <w:pPr>
              <w:rPr>
                <w:b/>
                <w:szCs w:val="22"/>
              </w:rPr>
            </w:pPr>
            <w:r w:rsidRPr="006523D0">
              <w:rPr>
                <w:b/>
                <w:szCs w:val="22"/>
              </w:rPr>
              <w:t>Complainant</w:t>
            </w:r>
          </w:p>
        </w:tc>
        <w:tc>
          <w:tcPr>
            <w:tcW w:w="4770" w:type="dxa"/>
          </w:tcPr>
          <w:p w:rsidR="00552B0A" w:rsidRPr="006523D0" w:rsidRDefault="00552B0A" w:rsidP="00AF72E7">
            <w:pPr>
              <w:rPr>
                <w:b/>
                <w:szCs w:val="22"/>
              </w:rPr>
            </w:pPr>
            <w:r>
              <w:rPr>
                <w:b/>
                <w:szCs w:val="22"/>
              </w:rPr>
              <w:t>Billing date</w:t>
            </w:r>
          </w:p>
        </w:tc>
      </w:tr>
      <w:tr w:rsidR="00552B0A" w:rsidRPr="00432232" w:rsidTr="00552B0A">
        <w:tc>
          <w:tcPr>
            <w:tcW w:w="642" w:type="dxa"/>
          </w:tcPr>
          <w:p w:rsidR="00552B0A" w:rsidRPr="00432232" w:rsidRDefault="00F94C39" w:rsidP="00AF72E7">
            <w:pPr>
              <w:rPr>
                <w:szCs w:val="22"/>
              </w:rPr>
            </w:pPr>
            <w:r>
              <w:rPr>
                <w:szCs w:val="22"/>
              </w:rPr>
              <w:t>1</w:t>
            </w:r>
            <w:r w:rsidR="00552B0A" w:rsidRPr="00432232">
              <w:rPr>
                <w:szCs w:val="22"/>
              </w:rPr>
              <w:t>.</w:t>
            </w:r>
          </w:p>
        </w:tc>
        <w:tc>
          <w:tcPr>
            <w:tcW w:w="3966" w:type="dxa"/>
          </w:tcPr>
          <w:p w:rsidR="00552B0A" w:rsidRPr="00432232" w:rsidRDefault="00552B0A" w:rsidP="00AF72E7">
            <w:pPr>
              <w:rPr>
                <w:szCs w:val="22"/>
              </w:rPr>
            </w:pPr>
            <w:r>
              <w:rPr>
                <w:szCs w:val="22"/>
              </w:rPr>
              <w:t>E. Sakkal</w:t>
            </w:r>
          </w:p>
        </w:tc>
        <w:tc>
          <w:tcPr>
            <w:tcW w:w="4770" w:type="dxa"/>
          </w:tcPr>
          <w:p w:rsidR="00552B0A" w:rsidRPr="00432232" w:rsidRDefault="00552B0A" w:rsidP="00AF72E7">
            <w:pPr>
              <w:rPr>
                <w:szCs w:val="22"/>
              </w:rPr>
            </w:pPr>
            <w:r>
              <w:rPr>
                <w:szCs w:val="22"/>
              </w:rPr>
              <w:t>8/16/13</w:t>
            </w:r>
          </w:p>
        </w:tc>
      </w:tr>
      <w:tr w:rsidR="00552B0A" w:rsidRPr="00432232" w:rsidTr="00552B0A">
        <w:tc>
          <w:tcPr>
            <w:tcW w:w="642" w:type="dxa"/>
          </w:tcPr>
          <w:p w:rsidR="00552B0A" w:rsidRPr="00043E7F" w:rsidRDefault="00F94C39" w:rsidP="00AF72E7">
            <w:pPr>
              <w:rPr>
                <w:szCs w:val="22"/>
              </w:rPr>
            </w:pPr>
            <w:r>
              <w:rPr>
                <w:szCs w:val="22"/>
              </w:rPr>
              <w:t>2</w:t>
            </w:r>
            <w:r w:rsidR="00552B0A" w:rsidRPr="00043E7F">
              <w:rPr>
                <w:szCs w:val="22"/>
              </w:rPr>
              <w:t>.</w:t>
            </w:r>
          </w:p>
        </w:tc>
        <w:tc>
          <w:tcPr>
            <w:tcW w:w="3966" w:type="dxa"/>
          </w:tcPr>
          <w:p w:rsidR="00552B0A" w:rsidRPr="00043E7F" w:rsidRDefault="00552B0A" w:rsidP="00AF72E7">
            <w:pPr>
              <w:rPr>
                <w:szCs w:val="22"/>
              </w:rPr>
            </w:pPr>
            <w:r>
              <w:rPr>
                <w:szCs w:val="22"/>
              </w:rPr>
              <w:t>M. Towfeles</w:t>
            </w:r>
          </w:p>
        </w:tc>
        <w:tc>
          <w:tcPr>
            <w:tcW w:w="4770" w:type="dxa"/>
          </w:tcPr>
          <w:p w:rsidR="00552B0A" w:rsidRPr="00043E7F" w:rsidRDefault="00552B0A" w:rsidP="00AF72E7">
            <w:pPr>
              <w:rPr>
                <w:szCs w:val="22"/>
              </w:rPr>
            </w:pPr>
            <w:r>
              <w:rPr>
                <w:szCs w:val="22"/>
              </w:rPr>
              <w:t>10/1/13</w:t>
            </w:r>
          </w:p>
        </w:tc>
      </w:tr>
      <w:tr w:rsidR="00552B0A" w:rsidRPr="00432232" w:rsidTr="00552B0A">
        <w:tc>
          <w:tcPr>
            <w:tcW w:w="642" w:type="dxa"/>
          </w:tcPr>
          <w:p w:rsidR="00552B0A" w:rsidRPr="00432232" w:rsidRDefault="00F94C39" w:rsidP="00AF72E7">
            <w:pPr>
              <w:rPr>
                <w:szCs w:val="22"/>
              </w:rPr>
            </w:pPr>
            <w:r>
              <w:rPr>
                <w:szCs w:val="22"/>
              </w:rPr>
              <w:t>3</w:t>
            </w:r>
            <w:r w:rsidR="00552B0A" w:rsidRPr="00432232">
              <w:rPr>
                <w:szCs w:val="22"/>
              </w:rPr>
              <w:t>.</w:t>
            </w:r>
          </w:p>
        </w:tc>
        <w:tc>
          <w:tcPr>
            <w:tcW w:w="3966" w:type="dxa"/>
          </w:tcPr>
          <w:p w:rsidR="00552B0A" w:rsidRPr="00432232" w:rsidRDefault="00552B0A" w:rsidP="00AF72E7">
            <w:pPr>
              <w:rPr>
                <w:szCs w:val="22"/>
              </w:rPr>
            </w:pPr>
            <w:r>
              <w:rPr>
                <w:szCs w:val="22"/>
              </w:rPr>
              <w:t>A. Elgowainy</w:t>
            </w:r>
          </w:p>
        </w:tc>
        <w:tc>
          <w:tcPr>
            <w:tcW w:w="4770" w:type="dxa"/>
          </w:tcPr>
          <w:p w:rsidR="00552B0A" w:rsidRPr="00432232" w:rsidRDefault="00552B0A" w:rsidP="00AF72E7">
            <w:pPr>
              <w:rPr>
                <w:szCs w:val="22"/>
              </w:rPr>
            </w:pPr>
            <w:r>
              <w:rPr>
                <w:szCs w:val="22"/>
              </w:rPr>
              <w:t>11/4/13</w:t>
            </w:r>
          </w:p>
        </w:tc>
      </w:tr>
      <w:tr w:rsidR="004064D8" w:rsidRPr="00432232" w:rsidTr="00552B0A">
        <w:tc>
          <w:tcPr>
            <w:tcW w:w="642" w:type="dxa"/>
          </w:tcPr>
          <w:p w:rsidR="004064D8" w:rsidRDefault="004064D8" w:rsidP="00AF72E7">
            <w:pPr>
              <w:rPr>
                <w:szCs w:val="22"/>
              </w:rPr>
            </w:pPr>
            <w:r>
              <w:rPr>
                <w:szCs w:val="22"/>
              </w:rPr>
              <w:t>4.</w:t>
            </w:r>
          </w:p>
        </w:tc>
        <w:tc>
          <w:tcPr>
            <w:tcW w:w="3966" w:type="dxa"/>
          </w:tcPr>
          <w:p w:rsidR="004064D8" w:rsidRDefault="004064D8" w:rsidP="00AF72E7">
            <w:pPr>
              <w:rPr>
                <w:szCs w:val="22"/>
              </w:rPr>
            </w:pPr>
            <w:r>
              <w:rPr>
                <w:szCs w:val="22"/>
              </w:rPr>
              <w:t>B. Hadeed</w:t>
            </w:r>
          </w:p>
        </w:tc>
        <w:tc>
          <w:tcPr>
            <w:tcW w:w="4770" w:type="dxa"/>
          </w:tcPr>
          <w:p w:rsidR="004064D8" w:rsidRDefault="004064D8" w:rsidP="00AF72E7">
            <w:pPr>
              <w:rPr>
                <w:szCs w:val="22"/>
              </w:rPr>
            </w:pPr>
            <w:r>
              <w:rPr>
                <w:szCs w:val="22"/>
              </w:rPr>
              <w:t>12/27/13</w:t>
            </w:r>
          </w:p>
        </w:tc>
      </w:tr>
      <w:tr w:rsidR="00552B0A" w:rsidRPr="00432232" w:rsidTr="00552B0A">
        <w:tc>
          <w:tcPr>
            <w:tcW w:w="642" w:type="dxa"/>
          </w:tcPr>
          <w:p w:rsidR="00552B0A" w:rsidRPr="00432232" w:rsidRDefault="004064D8" w:rsidP="00AF72E7">
            <w:pPr>
              <w:rPr>
                <w:szCs w:val="22"/>
              </w:rPr>
            </w:pPr>
            <w:r>
              <w:rPr>
                <w:szCs w:val="22"/>
              </w:rPr>
              <w:t>5</w:t>
            </w:r>
            <w:r w:rsidR="00552B0A" w:rsidRPr="00432232">
              <w:rPr>
                <w:szCs w:val="22"/>
              </w:rPr>
              <w:t>.</w:t>
            </w:r>
          </w:p>
        </w:tc>
        <w:tc>
          <w:tcPr>
            <w:tcW w:w="3966" w:type="dxa"/>
          </w:tcPr>
          <w:p w:rsidR="00552B0A" w:rsidRPr="00432232" w:rsidRDefault="00552B0A" w:rsidP="00AF72E7">
            <w:pPr>
              <w:rPr>
                <w:szCs w:val="22"/>
              </w:rPr>
            </w:pPr>
            <w:r>
              <w:rPr>
                <w:szCs w:val="22"/>
              </w:rPr>
              <w:t>I. Birouty</w:t>
            </w:r>
          </w:p>
        </w:tc>
        <w:tc>
          <w:tcPr>
            <w:tcW w:w="4770" w:type="dxa"/>
          </w:tcPr>
          <w:p w:rsidR="00552B0A" w:rsidRPr="00432232" w:rsidRDefault="00552B0A" w:rsidP="00AF72E7">
            <w:pPr>
              <w:rPr>
                <w:szCs w:val="22"/>
              </w:rPr>
            </w:pPr>
            <w:r>
              <w:rPr>
                <w:szCs w:val="22"/>
              </w:rPr>
              <w:t>1/1/14</w:t>
            </w:r>
          </w:p>
        </w:tc>
      </w:tr>
      <w:tr w:rsidR="00552B0A" w:rsidRPr="00432232" w:rsidTr="00552B0A">
        <w:tc>
          <w:tcPr>
            <w:tcW w:w="642" w:type="dxa"/>
          </w:tcPr>
          <w:p w:rsidR="00552B0A" w:rsidRPr="00432232" w:rsidRDefault="004064D8" w:rsidP="00AF72E7">
            <w:pPr>
              <w:rPr>
                <w:szCs w:val="22"/>
              </w:rPr>
            </w:pPr>
            <w:r>
              <w:rPr>
                <w:szCs w:val="22"/>
              </w:rPr>
              <w:t>6</w:t>
            </w:r>
            <w:r w:rsidR="00552B0A" w:rsidRPr="00432232">
              <w:rPr>
                <w:szCs w:val="22"/>
              </w:rPr>
              <w:t>.</w:t>
            </w:r>
          </w:p>
        </w:tc>
        <w:tc>
          <w:tcPr>
            <w:tcW w:w="3966" w:type="dxa"/>
          </w:tcPr>
          <w:p w:rsidR="00552B0A" w:rsidRPr="00432232" w:rsidRDefault="00552B0A" w:rsidP="00AF72E7">
            <w:pPr>
              <w:rPr>
                <w:szCs w:val="22"/>
              </w:rPr>
            </w:pPr>
            <w:r>
              <w:rPr>
                <w:szCs w:val="22"/>
              </w:rPr>
              <w:t>L. Wilwerding</w:t>
            </w:r>
          </w:p>
        </w:tc>
        <w:tc>
          <w:tcPr>
            <w:tcW w:w="4770" w:type="dxa"/>
          </w:tcPr>
          <w:p w:rsidR="00552B0A" w:rsidRPr="00432232" w:rsidRDefault="00552B0A" w:rsidP="00AF72E7">
            <w:pPr>
              <w:rPr>
                <w:szCs w:val="22"/>
              </w:rPr>
            </w:pPr>
            <w:r>
              <w:rPr>
                <w:szCs w:val="22"/>
              </w:rPr>
              <w:t>1/8/14</w:t>
            </w:r>
          </w:p>
        </w:tc>
      </w:tr>
      <w:tr w:rsidR="00552B0A" w:rsidRPr="00432232" w:rsidTr="00552B0A">
        <w:tc>
          <w:tcPr>
            <w:tcW w:w="642" w:type="dxa"/>
          </w:tcPr>
          <w:p w:rsidR="00552B0A" w:rsidRPr="00432232" w:rsidRDefault="004064D8" w:rsidP="00AF72E7">
            <w:pPr>
              <w:rPr>
                <w:szCs w:val="22"/>
              </w:rPr>
            </w:pPr>
            <w:r>
              <w:rPr>
                <w:szCs w:val="22"/>
              </w:rPr>
              <w:t>7</w:t>
            </w:r>
            <w:r w:rsidR="00552B0A" w:rsidRPr="00432232">
              <w:rPr>
                <w:szCs w:val="22"/>
              </w:rPr>
              <w:t>.</w:t>
            </w:r>
          </w:p>
        </w:tc>
        <w:tc>
          <w:tcPr>
            <w:tcW w:w="3966" w:type="dxa"/>
          </w:tcPr>
          <w:p w:rsidR="00552B0A" w:rsidRPr="00432232" w:rsidRDefault="00552B0A" w:rsidP="00AF72E7">
            <w:pPr>
              <w:rPr>
                <w:szCs w:val="22"/>
              </w:rPr>
            </w:pPr>
            <w:r>
              <w:rPr>
                <w:szCs w:val="22"/>
              </w:rPr>
              <w:t>M. Bhatti</w:t>
            </w:r>
          </w:p>
        </w:tc>
        <w:tc>
          <w:tcPr>
            <w:tcW w:w="4770" w:type="dxa"/>
          </w:tcPr>
          <w:p w:rsidR="00552B0A" w:rsidRPr="00432232" w:rsidRDefault="00552B0A" w:rsidP="00AF72E7">
            <w:pPr>
              <w:rPr>
                <w:szCs w:val="22"/>
              </w:rPr>
            </w:pPr>
            <w:r>
              <w:rPr>
                <w:szCs w:val="22"/>
              </w:rPr>
              <w:t>1/17/14</w:t>
            </w:r>
          </w:p>
        </w:tc>
      </w:tr>
      <w:tr w:rsidR="006E13D1" w:rsidRPr="00432232" w:rsidTr="00552B0A">
        <w:tc>
          <w:tcPr>
            <w:tcW w:w="642" w:type="dxa"/>
          </w:tcPr>
          <w:p w:rsidR="006E13D1" w:rsidRPr="00432232" w:rsidRDefault="004064D8" w:rsidP="008E3ECC">
            <w:pPr>
              <w:rPr>
                <w:szCs w:val="22"/>
              </w:rPr>
            </w:pPr>
            <w:r>
              <w:rPr>
                <w:szCs w:val="22"/>
              </w:rPr>
              <w:t>8</w:t>
            </w:r>
            <w:r w:rsidR="006E13D1" w:rsidRPr="00432232">
              <w:rPr>
                <w:szCs w:val="22"/>
              </w:rPr>
              <w:t>.</w:t>
            </w:r>
          </w:p>
        </w:tc>
        <w:tc>
          <w:tcPr>
            <w:tcW w:w="3966" w:type="dxa"/>
          </w:tcPr>
          <w:p w:rsidR="006E13D1" w:rsidRPr="000C37C2" w:rsidRDefault="006E13D1" w:rsidP="008E3ECC">
            <w:pPr>
              <w:rPr>
                <w:szCs w:val="22"/>
              </w:rPr>
            </w:pPr>
            <w:r w:rsidRPr="000C37C2">
              <w:rPr>
                <w:szCs w:val="22"/>
              </w:rPr>
              <w:t>J. Chakkala</w:t>
            </w:r>
          </w:p>
        </w:tc>
        <w:tc>
          <w:tcPr>
            <w:tcW w:w="4770" w:type="dxa"/>
          </w:tcPr>
          <w:p w:rsidR="006E13D1" w:rsidRPr="000C37C2" w:rsidRDefault="006E13D1" w:rsidP="008E3ECC">
            <w:pPr>
              <w:rPr>
                <w:szCs w:val="22"/>
              </w:rPr>
            </w:pPr>
            <w:r w:rsidRPr="000C37C2">
              <w:rPr>
                <w:szCs w:val="22"/>
              </w:rPr>
              <w:t>1/26/14</w:t>
            </w:r>
          </w:p>
        </w:tc>
      </w:tr>
      <w:tr w:rsidR="00552B0A" w:rsidRPr="00432232" w:rsidTr="00552B0A">
        <w:tc>
          <w:tcPr>
            <w:tcW w:w="642" w:type="dxa"/>
          </w:tcPr>
          <w:p w:rsidR="00552B0A" w:rsidRPr="00432232" w:rsidRDefault="004064D8" w:rsidP="00AF72E7">
            <w:pPr>
              <w:rPr>
                <w:szCs w:val="22"/>
              </w:rPr>
            </w:pPr>
            <w:r>
              <w:rPr>
                <w:szCs w:val="22"/>
              </w:rPr>
              <w:t>9</w:t>
            </w:r>
            <w:r w:rsidR="00552B0A" w:rsidRPr="00432232">
              <w:rPr>
                <w:szCs w:val="22"/>
              </w:rPr>
              <w:t>.</w:t>
            </w:r>
          </w:p>
        </w:tc>
        <w:tc>
          <w:tcPr>
            <w:tcW w:w="3966" w:type="dxa"/>
          </w:tcPr>
          <w:p w:rsidR="00552B0A" w:rsidRPr="00432232" w:rsidRDefault="00552B0A" w:rsidP="00AF72E7">
            <w:pPr>
              <w:rPr>
                <w:szCs w:val="22"/>
              </w:rPr>
            </w:pPr>
            <w:r>
              <w:rPr>
                <w:szCs w:val="22"/>
              </w:rPr>
              <w:t>D. Foster</w:t>
            </w:r>
          </w:p>
        </w:tc>
        <w:tc>
          <w:tcPr>
            <w:tcW w:w="4770" w:type="dxa"/>
          </w:tcPr>
          <w:p w:rsidR="00552B0A" w:rsidRPr="00432232" w:rsidRDefault="00552B0A" w:rsidP="00AF72E7">
            <w:pPr>
              <w:rPr>
                <w:szCs w:val="22"/>
              </w:rPr>
            </w:pPr>
            <w:r>
              <w:rPr>
                <w:szCs w:val="22"/>
              </w:rPr>
              <w:t>2/1/14</w:t>
            </w:r>
          </w:p>
        </w:tc>
      </w:tr>
      <w:tr w:rsidR="00D72A4C" w:rsidRPr="00432232" w:rsidTr="00552B0A">
        <w:tc>
          <w:tcPr>
            <w:tcW w:w="642" w:type="dxa"/>
          </w:tcPr>
          <w:p w:rsidR="00D72A4C" w:rsidRDefault="004064D8" w:rsidP="00FC420C">
            <w:pPr>
              <w:rPr>
                <w:szCs w:val="22"/>
              </w:rPr>
            </w:pPr>
            <w:r>
              <w:rPr>
                <w:szCs w:val="22"/>
              </w:rPr>
              <w:t>1</w:t>
            </w:r>
            <w:r w:rsidR="00FC420C">
              <w:rPr>
                <w:szCs w:val="22"/>
              </w:rPr>
              <w:t>0</w:t>
            </w:r>
            <w:r w:rsidR="00D72A4C">
              <w:rPr>
                <w:szCs w:val="22"/>
              </w:rPr>
              <w:t>.</w:t>
            </w:r>
          </w:p>
        </w:tc>
        <w:tc>
          <w:tcPr>
            <w:tcW w:w="3966" w:type="dxa"/>
          </w:tcPr>
          <w:p w:rsidR="00D72A4C" w:rsidRDefault="00D72A4C" w:rsidP="00D72A4C">
            <w:pPr>
              <w:rPr>
                <w:szCs w:val="22"/>
              </w:rPr>
            </w:pPr>
            <w:r>
              <w:rPr>
                <w:szCs w:val="22"/>
              </w:rPr>
              <w:t>M. Karam</w:t>
            </w:r>
          </w:p>
        </w:tc>
        <w:tc>
          <w:tcPr>
            <w:tcW w:w="4770" w:type="dxa"/>
          </w:tcPr>
          <w:p w:rsidR="00D72A4C" w:rsidRDefault="00D72A4C" w:rsidP="00AF72E7">
            <w:pPr>
              <w:rPr>
                <w:szCs w:val="22"/>
              </w:rPr>
            </w:pPr>
            <w:r>
              <w:rPr>
                <w:szCs w:val="22"/>
              </w:rPr>
              <w:t>2/1/14</w:t>
            </w:r>
          </w:p>
        </w:tc>
      </w:tr>
      <w:tr w:rsidR="00BD5515" w:rsidRPr="00432232" w:rsidTr="00552B0A">
        <w:tc>
          <w:tcPr>
            <w:tcW w:w="642" w:type="dxa"/>
          </w:tcPr>
          <w:p w:rsidR="00BD5515" w:rsidRPr="00043E7F" w:rsidRDefault="00BD5515" w:rsidP="00FC420C">
            <w:pPr>
              <w:rPr>
                <w:szCs w:val="22"/>
              </w:rPr>
            </w:pPr>
            <w:r>
              <w:rPr>
                <w:szCs w:val="22"/>
              </w:rPr>
              <w:t>1</w:t>
            </w:r>
            <w:r w:rsidR="00FC420C">
              <w:rPr>
                <w:szCs w:val="22"/>
              </w:rPr>
              <w:t>1</w:t>
            </w:r>
            <w:r w:rsidRPr="00043E7F">
              <w:rPr>
                <w:szCs w:val="22"/>
              </w:rPr>
              <w:t>.</w:t>
            </w:r>
          </w:p>
        </w:tc>
        <w:tc>
          <w:tcPr>
            <w:tcW w:w="3966" w:type="dxa"/>
          </w:tcPr>
          <w:p w:rsidR="00BD5515" w:rsidRPr="00043E7F" w:rsidRDefault="00BD5515" w:rsidP="008E3ECC">
            <w:pPr>
              <w:rPr>
                <w:szCs w:val="22"/>
              </w:rPr>
            </w:pPr>
            <w:r>
              <w:rPr>
                <w:szCs w:val="22"/>
              </w:rPr>
              <w:t>S. Tantawy</w:t>
            </w:r>
          </w:p>
        </w:tc>
        <w:tc>
          <w:tcPr>
            <w:tcW w:w="4770" w:type="dxa"/>
          </w:tcPr>
          <w:p w:rsidR="00BD5515" w:rsidRPr="00043E7F" w:rsidRDefault="00BD5515" w:rsidP="008E3ECC">
            <w:pPr>
              <w:rPr>
                <w:szCs w:val="22"/>
              </w:rPr>
            </w:pPr>
            <w:r>
              <w:rPr>
                <w:szCs w:val="22"/>
              </w:rPr>
              <w:t>2/1/14</w:t>
            </w:r>
          </w:p>
        </w:tc>
      </w:tr>
      <w:tr w:rsidR="00375547" w:rsidRPr="00432232" w:rsidTr="00552B0A">
        <w:tc>
          <w:tcPr>
            <w:tcW w:w="642" w:type="dxa"/>
          </w:tcPr>
          <w:p w:rsidR="00375547" w:rsidRPr="00432232" w:rsidRDefault="004064D8" w:rsidP="00FC420C">
            <w:pPr>
              <w:rPr>
                <w:szCs w:val="22"/>
              </w:rPr>
            </w:pPr>
            <w:r>
              <w:rPr>
                <w:szCs w:val="22"/>
              </w:rPr>
              <w:t>1</w:t>
            </w:r>
            <w:r w:rsidR="00FC420C">
              <w:rPr>
                <w:szCs w:val="22"/>
              </w:rPr>
              <w:t>2</w:t>
            </w:r>
            <w:r w:rsidR="00375547" w:rsidRPr="00432232">
              <w:rPr>
                <w:szCs w:val="22"/>
              </w:rPr>
              <w:t>.</w:t>
            </w:r>
          </w:p>
        </w:tc>
        <w:tc>
          <w:tcPr>
            <w:tcW w:w="3966" w:type="dxa"/>
          </w:tcPr>
          <w:p w:rsidR="00375547" w:rsidRPr="00432232" w:rsidRDefault="00375547" w:rsidP="008E3ECC">
            <w:pPr>
              <w:rPr>
                <w:szCs w:val="22"/>
              </w:rPr>
            </w:pPr>
            <w:r>
              <w:rPr>
                <w:szCs w:val="22"/>
              </w:rPr>
              <w:t>B. Gopalan</w:t>
            </w:r>
          </w:p>
        </w:tc>
        <w:tc>
          <w:tcPr>
            <w:tcW w:w="4770" w:type="dxa"/>
          </w:tcPr>
          <w:p w:rsidR="00375547" w:rsidRPr="00432232" w:rsidRDefault="00375547" w:rsidP="008E3ECC">
            <w:pPr>
              <w:rPr>
                <w:szCs w:val="22"/>
              </w:rPr>
            </w:pPr>
            <w:r>
              <w:rPr>
                <w:szCs w:val="22"/>
              </w:rPr>
              <w:t>2/7/14</w:t>
            </w:r>
          </w:p>
        </w:tc>
      </w:tr>
      <w:tr w:rsidR="00375547" w:rsidRPr="00432232" w:rsidTr="00552B0A">
        <w:tc>
          <w:tcPr>
            <w:tcW w:w="642" w:type="dxa"/>
          </w:tcPr>
          <w:p w:rsidR="00375547" w:rsidRDefault="00375547" w:rsidP="00FC420C">
            <w:pPr>
              <w:rPr>
                <w:szCs w:val="22"/>
              </w:rPr>
            </w:pPr>
            <w:r>
              <w:rPr>
                <w:szCs w:val="22"/>
              </w:rPr>
              <w:t>1</w:t>
            </w:r>
            <w:r w:rsidR="00FC420C">
              <w:rPr>
                <w:szCs w:val="22"/>
              </w:rPr>
              <w:t>3</w:t>
            </w:r>
            <w:r>
              <w:rPr>
                <w:szCs w:val="22"/>
              </w:rPr>
              <w:t>.</w:t>
            </w:r>
          </w:p>
        </w:tc>
        <w:tc>
          <w:tcPr>
            <w:tcW w:w="3966" w:type="dxa"/>
          </w:tcPr>
          <w:p w:rsidR="00375547" w:rsidRPr="00432232" w:rsidRDefault="00375547" w:rsidP="008E3ECC">
            <w:pPr>
              <w:rPr>
                <w:szCs w:val="22"/>
              </w:rPr>
            </w:pPr>
            <w:r>
              <w:rPr>
                <w:szCs w:val="22"/>
              </w:rPr>
              <w:t>M. Ahmed</w:t>
            </w:r>
          </w:p>
        </w:tc>
        <w:tc>
          <w:tcPr>
            <w:tcW w:w="4770" w:type="dxa"/>
          </w:tcPr>
          <w:p w:rsidR="00375547" w:rsidRPr="00432232" w:rsidRDefault="00375547" w:rsidP="008E3ECC">
            <w:pPr>
              <w:rPr>
                <w:szCs w:val="22"/>
              </w:rPr>
            </w:pPr>
            <w:r>
              <w:rPr>
                <w:szCs w:val="22"/>
              </w:rPr>
              <w:t>3/1/14</w:t>
            </w:r>
          </w:p>
        </w:tc>
      </w:tr>
      <w:tr w:rsidR="00BD5515" w:rsidRPr="00432232" w:rsidTr="00552B0A">
        <w:tc>
          <w:tcPr>
            <w:tcW w:w="642" w:type="dxa"/>
          </w:tcPr>
          <w:p w:rsidR="00BD5515" w:rsidRDefault="004064D8" w:rsidP="00FC420C">
            <w:pPr>
              <w:rPr>
                <w:szCs w:val="22"/>
              </w:rPr>
            </w:pPr>
            <w:r>
              <w:rPr>
                <w:szCs w:val="22"/>
              </w:rPr>
              <w:t>1</w:t>
            </w:r>
            <w:r w:rsidR="00FC420C">
              <w:rPr>
                <w:szCs w:val="22"/>
              </w:rPr>
              <w:t>4</w:t>
            </w:r>
            <w:r w:rsidR="00BD5515">
              <w:rPr>
                <w:szCs w:val="22"/>
              </w:rPr>
              <w:t>.</w:t>
            </w:r>
          </w:p>
        </w:tc>
        <w:tc>
          <w:tcPr>
            <w:tcW w:w="3966" w:type="dxa"/>
          </w:tcPr>
          <w:p w:rsidR="00BD5515" w:rsidRPr="000255F3" w:rsidRDefault="00BD5515" w:rsidP="00AF72E7">
            <w:pPr>
              <w:rPr>
                <w:szCs w:val="22"/>
              </w:rPr>
            </w:pPr>
            <w:r w:rsidRPr="000255F3">
              <w:rPr>
                <w:szCs w:val="22"/>
              </w:rPr>
              <w:t>J. Geevarghese</w:t>
            </w:r>
          </w:p>
        </w:tc>
        <w:tc>
          <w:tcPr>
            <w:tcW w:w="4770" w:type="dxa"/>
          </w:tcPr>
          <w:p w:rsidR="00BD5515" w:rsidRPr="000255F3" w:rsidRDefault="000255F3" w:rsidP="000255F3">
            <w:pPr>
              <w:rPr>
                <w:szCs w:val="22"/>
              </w:rPr>
            </w:pPr>
            <w:r w:rsidRPr="000255F3">
              <w:rPr>
                <w:szCs w:val="22"/>
              </w:rPr>
              <w:t>3/1/14</w:t>
            </w:r>
          </w:p>
        </w:tc>
      </w:tr>
      <w:tr w:rsidR="0066279F" w:rsidRPr="00432232" w:rsidTr="00552B0A">
        <w:tc>
          <w:tcPr>
            <w:tcW w:w="642" w:type="dxa"/>
          </w:tcPr>
          <w:p w:rsidR="0066279F" w:rsidRDefault="00F94C39" w:rsidP="00FC420C">
            <w:pPr>
              <w:rPr>
                <w:szCs w:val="22"/>
              </w:rPr>
            </w:pPr>
            <w:r>
              <w:rPr>
                <w:szCs w:val="22"/>
              </w:rPr>
              <w:t>1</w:t>
            </w:r>
            <w:r w:rsidR="00FC420C">
              <w:rPr>
                <w:szCs w:val="22"/>
              </w:rPr>
              <w:t>5</w:t>
            </w:r>
            <w:r w:rsidR="0066279F">
              <w:rPr>
                <w:szCs w:val="22"/>
              </w:rPr>
              <w:t>.</w:t>
            </w:r>
          </w:p>
        </w:tc>
        <w:tc>
          <w:tcPr>
            <w:tcW w:w="3966" w:type="dxa"/>
          </w:tcPr>
          <w:p w:rsidR="0066279F" w:rsidRPr="000255F3" w:rsidRDefault="0066279F" w:rsidP="00AF72E7">
            <w:pPr>
              <w:rPr>
                <w:szCs w:val="22"/>
              </w:rPr>
            </w:pPr>
            <w:r>
              <w:rPr>
                <w:szCs w:val="22"/>
              </w:rPr>
              <w:t>T. Mattam</w:t>
            </w:r>
          </w:p>
        </w:tc>
        <w:tc>
          <w:tcPr>
            <w:tcW w:w="4770" w:type="dxa"/>
          </w:tcPr>
          <w:p w:rsidR="0066279F" w:rsidRPr="000255F3" w:rsidRDefault="0066279F" w:rsidP="000255F3">
            <w:pPr>
              <w:rPr>
                <w:szCs w:val="22"/>
              </w:rPr>
            </w:pPr>
            <w:r>
              <w:rPr>
                <w:szCs w:val="22"/>
              </w:rPr>
              <w:t>3/1/14</w:t>
            </w:r>
          </w:p>
        </w:tc>
      </w:tr>
      <w:tr w:rsidR="005909A8" w:rsidRPr="00432232" w:rsidTr="00552B0A">
        <w:tc>
          <w:tcPr>
            <w:tcW w:w="642" w:type="dxa"/>
          </w:tcPr>
          <w:p w:rsidR="005909A8" w:rsidRDefault="004064D8" w:rsidP="00FC420C">
            <w:pPr>
              <w:rPr>
                <w:szCs w:val="22"/>
              </w:rPr>
            </w:pPr>
            <w:r>
              <w:rPr>
                <w:szCs w:val="22"/>
              </w:rPr>
              <w:t>1</w:t>
            </w:r>
            <w:r w:rsidR="00FC420C">
              <w:rPr>
                <w:szCs w:val="22"/>
              </w:rPr>
              <w:t>6</w:t>
            </w:r>
            <w:r w:rsidR="005909A8">
              <w:rPr>
                <w:szCs w:val="22"/>
              </w:rPr>
              <w:t>.</w:t>
            </w:r>
          </w:p>
        </w:tc>
        <w:tc>
          <w:tcPr>
            <w:tcW w:w="3966" w:type="dxa"/>
          </w:tcPr>
          <w:p w:rsidR="005909A8" w:rsidRDefault="00C64E67" w:rsidP="00AF72E7">
            <w:pPr>
              <w:rPr>
                <w:szCs w:val="22"/>
              </w:rPr>
            </w:pPr>
            <w:r>
              <w:rPr>
                <w:szCs w:val="22"/>
              </w:rPr>
              <w:t>S. Batarseh</w:t>
            </w:r>
          </w:p>
        </w:tc>
        <w:tc>
          <w:tcPr>
            <w:tcW w:w="4770" w:type="dxa"/>
          </w:tcPr>
          <w:p w:rsidR="005909A8" w:rsidRDefault="002D7091" w:rsidP="000255F3">
            <w:pPr>
              <w:rPr>
                <w:szCs w:val="22"/>
              </w:rPr>
            </w:pPr>
            <w:r>
              <w:rPr>
                <w:szCs w:val="22"/>
              </w:rPr>
              <w:t>4/1</w:t>
            </w:r>
            <w:r w:rsidR="005909A8">
              <w:rPr>
                <w:szCs w:val="22"/>
              </w:rPr>
              <w:t>/14</w:t>
            </w:r>
          </w:p>
        </w:tc>
      </w:tr>
      <w:tr w:rsidR="00FC420C" w:rsidRPr="00432232" w:rsidTr="00552B0A">
        <w:tc>
          <w:tcPr>
            <w:tcW w:w="642" w:type="dxa"/>
          </w:tcPr>
          <w:p w:rsidR="00FC420C" w:rsidRDefault="00FC420C" w:rsidP="00FC420C">
            <w:pPr>
              <w:rPr>
                <w:szCs w:val="22"/>
              </w:rPr>
            </w:pPr>
            <w:r>
              <w:rPr>
                <w:szCs w:val="22"/>
              </w:rPr>
              <w:t>17.</w:t>
            </w:r>
          </w:p>
        </w:tc>
        <w:tc>
          <w:tcPr>
            <w:tcW w:w="3966" w:type="dxa"/>
          </w:tcPr>
          <w:p w:rsidR="00FC420C" w:rsidRDefault="00FC420C" w:rsidP="00AF72E7">
            <w:pPr>
              <w:rPr>
                <w:szCs w:val="22"/>
              </w:rPr>
            </w:pPr>
            <w:r>
              <w:rPr>
                <w:szCs w:val="22"/>
              </w:rPr>
              <w:t>H. El-Nakhal</w:t>
            </w:r>
          </w:p>
        </w:tc>
        <w:tc>
          <w:tcPr>
            <w:tcW w:w="4770" w:type="dxa"/>
          </w:tcPr>
          <w:p w:rsidR="00FC420C" w:rsidRDefault="00FC420C" w:rsidP="000255F3">
            <w:pPr>
              <w:rPr>
                <w:szCs w:val="22"/>
              </w:rPr>
            </w:pPr>
            <w:r>
              <w:rPr>
                <w:szCs w:val="22"/>
              </w:rPr>
              <w:t>4/1/14</w:t>
            </w:r>
          </w:p>
        </w:tc>
      </w:tr>
      <w:tr w:rsidR="004064D8" w:rsidRPr="00432232" w:rsidTr="00552B0A">
        <w:tc>
          <w:tcPr>
            <w:tcW w:w="642" w:type="dxa"/>
          </w:tcPr>
          <w:p w:rsidR="004064D8" w:rsidRDefault="004064D8" w:rsidP="00D72A4C">
            <w:pPr>
              <w:rPr>
                <w:szCs w:val="22"/>
              </w:rPr>
            </w:pPr>
            <w:r>
              <w:rPr>
                <w:szCs w:val="22"/>
              </w:rPr>
              <w:t>18.</w:t>
            </w:r>
          </w:p>
        </w:tc>
        <w:tc>
          <w:tcPr>
            <w:tcW w:w="3966" w:type="dxa"/>
          </w:tcPr>
          <w:p w:rsidR="004064D8" w:rsidRDefault="004064D8" w:rsidP="00AF72E7">
            <w:pPr>
              <w:rPr>
                <w:szCs w:val="22"/>
              </w:rPr>
            </w:pPr>
            <w:r>
              <w:rPr>
                <w:szCs w:val="22"/>
              </w:rPr>
              <w:t>M. Haughton</w:t>
            </w:r>
          </w:p>
        </w:tc>
        <w:tc>
          <w:tcPr>
            <w:tcW w:w="4770" w:type="dxa"/>
          </w:tcPr>
          <w:p w:rsidR="004064D8" w:rsidRDefault="004064D8" w:rsidP="000255F3">
            <w:pPr>
              <w:rPr>
                <w:szCs w:val="22"/>
              </w:rPr>
            </w:pPr>
            <w:r>
              <w:rPr>
                <w:szCs w:val="22"/>
              </w:rPr>
              <w:t>5/1/14</w:t>
            </w:r>
          </w:p>
        </w:tc>
      </w:tr>
      <w:tr w:rsidR="004064D8" w:rsidRPr="00432232" w:rsidTr="00552B0A">
        <w:tc>
          <w:tcPr>
            <w:tcW w:w="642" w:type="dxa"/>
          </w:tcPr>
          <w:p w:rsidR="004064D8" w:rsidRDefault="004064D8" w:rsidP="00D72A4C">
            <w:pPr>
              <w:rPr>
                <w:szCs w:val="22"/>
              </w:rPr>
            </w:pPr>
            <w:r>
              <w:rPr>
                <w:szCs w:val="22"/>
              </w:rPr>
              <w:t>19.</w:t>
            </w:r>
          </w:p>
        </w:tc>
        <w:tc>
          <w:tcPr>
            <w:tcW w:w="3966" w:type="dxa"/>
          </w:tcPr>
          <w:p w:rsidR="004064D8" w:rsidRDefault="004064D8" w:rsidP="00AF72E7">
            <w:pPr>
              <w:rPr>
                <w:szCs w:val="22"/>
              </w:rPr>
            </w:pPr>
            <w:r>
              <w:rPr>
                <w:szCs w:val="22"/>
              </w:rPr>
              <w:t>D. Panapitiya</w:t>
            </w:r>
          </w:p>
        </w:tc>
        <w:tc>
          <w:tcPr>
            <w:tcW w:w="4770" w:type="dxa"/>
          </w:tcPr>
          <w:p w:rsidR="004064D8" w:rsidRDefault="004064D8" w:rsidP="000255F3">
            <w:pPr>
              <w:rPr>
                <w:szCs w:val="22"/>
              </w:rPr>
            </w:pPr>
            <w:r>
              <w:rPr>
                <w:szCs w:val="22"/>
              </w:rPr>
              <w:t>5/1/14</w:t>
            </w:r>
          </w:p>
        </w:tc>
      </w:tr>
      <w:tr w:rsidR="005909A8" w:rsidRPr="00432232" w:rsidTr="00552B0A">
        <w:tc>
          <w:tcPr>
            <w:tcW w:w="642" w:type="dxa"/>
          </w:tcPr>
          <w:p w:rsidR="005909A8" w:rsidRDefault="004064D8" w:rsidP="00D72A4C">
            <w:pPr>
              <w:rPr>
                <w:szCs w:val="22"/>
              </w:rPr>
            </w:pPr>
            <w:r>
              <w:rPr>
                <w:szCs w:val="22"/>
              </w:rPr>
              <w:t>20</w:t>
            </w:r>
            <w:r w:rsidR="005909A8">
              <w:rPr>
                <w:szCs w:val="22"/>
              </w:rPr>
              <w:t>.</w:t>
            </w:r>
          </w:p>
        </w:tc>
        <w:tc>
          <w:tcPr>
            <w:tcW w:w="3966" w:type="dxa"/>
          </w:tcPr>
          <w:p w:rsidR="005909A8" w:rsidRDefault="005909A8" w:rsidP="00AF72E7">
            <w:pPr>
              <w:rPr>
                <w:szCs w:val="22"/>
              </w:rPr>
            </w:pPr>
            <w:r>
              <w:rPr>
                <w:szCs w:val="22"/>
              </w:rPr>
              <w:t>M. Sibay</w:t>
            </w:r>
          </w:p>
        </w:tc>
        <w:tc>
          <w:tcPr>
            <w:tcW w:w="4770" w:type="dxa"/>
          </w:tcPr>
          <w:p w:rsidR="005909A8" w:rsidRDefault="005909A8" w:rsidP="000255F3">
            <w:pPr>
              <w:rPr>
                <w:szCs w:val="22"/>
              </w:rPr>
            </w:pPr>
            <w:r>
              <w:rPr>
                <w:szCs w:val="22"/>
              </w:rPr>
              <w:t>5/15/14</w:t>
            </w:r>
          </w:p>
        </w:tc>
      </w:tr>
    </w:tbl>
    <w:p w:rsidR="00E6528E" w:rsidRPr="00E6528E" w:rsidRDefault="00E6528E" w:rsidP="00552B0A">
      <w:pPr>
        <w:pStyle w:val="ParaNum"/>
        <w:numPr>
          <w:ilvl w:val="0"/>
          <w:numId w:val="0"/>
        </w:numPr>
        <w:ind w:left="1440"/>
      </w:pPr>
      <w:r>
        <w:t xml:space="preserve"> </w:t>
      </w:r>
    </w:p>
    <w:sectPr w:rsidR="00E6528E" w:rsidRPr="00E6528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5640D" w15:done="0"/>
  <w15:commentEx w15:paraId="7ADC25CE" w15:done="0"/>
  <w15:commentEx w15:paraId="7E61AAB7" w15:paraIdParent="7ADC25CE" w15:done="0"/>
  <w15:commentEx w15:paraId="6AA33CEE" w15:done="0"/>
  <w15:commentEx w15:paraId="13656249" w15:done="0"/>
  <w15:commentEx w15:paraId="0E2FAC12" w15:paraIdParent="13656249" w15:done="0"/>
  <w15:commentEx w15:paraId="33784C9B" w15:done="0"/>
  <w15:commentEx w15:paraId="65FA936C" w15:paraIdParent="33784C9B" w15:done="0"/>
  <w15:commentEx w15:paraId="291FB817" w15:done="0"/>
  <w15:commentEx w15:paraId="6F3ACF55" w15:paraIdParent="291FB8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6" w:rsidRDefault="003B6BE6">
      <w:pPr>
        <w:spacing w:line="20" w:lineRule="exact"/>
      </w:pPr>
    </w:p>
  </w:endnote>
  <w:endnote w:type="continuationSeparator" w:id="0">
    <w:p w:rsidR="003B6BE6" w:rsidRDefault="003B6BE6">
      <w:r>
        <w:t xml:space="preserve"> </w:t>
      </w:r>
    </w:p>
  </w:endnote>
  <w:endnote w:type="continuationNotice" w:id="1">
    <w:p w:rsidR="003B6BE6" w:rsidRDefault="003B6B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6" w:rsidRDefault="000772F6" w:rsidP="0055614C">
    <w:pPr>
      <w:pStyle w:val="Footer"/>
      <w:framePr w:wrap="around" w:vAnchor="text" w:hAnchor="margin" w:xAlign="center" w:y="1"/>
    </w:pPr>
    <w:r>
      <w:fldChar w:fldCharType="begin"/>
    </w:r>
    <w:r>
      <w:instrText xml:space="preserve">PAGE  </w:instrText>
    </w:r>
    <w:r>
      <w:fldChar w:fldCharType="end"/>
    </w:r>
  </w:p>
  <w:p w:rsidR="000772F6" w:rsidRDefault="00077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6" w:rsidRDefault="000772F6" w:rsidP="0055614C">
    <w:pPr>
      <w:pStyle w:val="Footer"/>
      <w:framePr w:wrap="around" w:vAnchor="text" w:hAnchor="margin" w:xAlign="center" w:y="1"/>
    </w:pPr>
    <w:r>
      <w:fldChar w:fldCharType="begin"/>
    </w:r>
    <w:r>
      <w:instrText xml:space="preserve">PAGE  </w:instrText>
    </w:r>
    <w:r>
      <w:fldChar w:fldCharType="separate"/>
    </w:r>
    <w:r w:rsidR="00DC4061">
      <w:rPr>
        <w:noProof/>
      </w:rPr>
      <w:t>4</w:t>
    </w:r>
    <w:r>
      <w:fldChar w:fldCharType="end"/>
    </w:r>
  </w:p>
  <w:p w:rsidR="000772F6" w:rsidRDefault="000772F6">
    <w:pPr>
      <w:spacing w:before="140" w:line="100" w:lineRule="exact"/>
      <w:rPr>
        <w:sz w:val="10"/>
      </w:rPr>
    </w:pPr>
  </w:p>
  <w:p w:rsidR="000D32C2" w:rsidRPr="003818B3" w:rsidRDefault="00215A23" w:rsidP="000D32C2">
    <w:pPr>
      <w:spacing w:before="140" w:line="100" w:lineRule="exact"/>
      <w:ind w:left="3600"/>
      <w:rPr>
        <w:szCs w:val="22"/>
      </w:rPr>
    </w:pPr>
    <w:r>
      <w:rPr>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9D" w:rsidRDefault="0094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6" w:rsidRDefault="003B6BE6">
      <w:r>
        <w:separator/>
      </w:r>
    </w:p>
  </w:footnote>
  <w:footnote w:type="continuationSeparator" w:id="0">
    <w:p w:rsidR="003B6BE6" w:rsidRDefault="003B6BE6">
      <w:pPr>
        <w:rPr>
          <w:sz w:val="20"/>
        </w:rPr>
      </w:pPr>
      <w:r>
        <w:rPr>
          <w:sz w:val="20"/>
        </w:rPr>
        <w:t xml:space="preserve">(Continued from previous page)  </w:t>
      </w:r>
      <w:r>
        <w:rPr>
          <w:sz w:val="20"/>
        </w:rPr>
        <w:separator/>
      </w:r>
    </w:p>
  </w:footnote>
  <w:footnote w:type="continuationNotice" w:id="1">
    <w:p w:rsidR="003B6BE6" w:rsidRDefault="003B6BE6" w:rsidP="00612811">
      <w:pPr>
        <w:jc w:val="right"/>
        <w:rPr>
          <w:sz w:val="20"/>
        </w:rPr>
      </w:pPr>
      <w:r>
        <w:rPr>
          <w:sz w:val="20"/>
        </w:rPr>
        <w:t>(continued….)</w:t>
      </w:r>
    </w:p>
  </w:footnote>
  <w:footnote w:id="2">
    <w:p w:rsidR="000772F6" w:rsidRDefault="000772F6">
      <w:pPr>
        <w:pStyle w:val="FootnoteText"/>
      </w:pPr>
      <w:r>
        <w:rPr>
          <w:rStyle w:val="FootnoteReference"/>
        </w:rPr>
        <w:footnoteRef/>
      </w:r>
      <w:r>
        <w:t xml:space="preserve"> This case was formerly assigned the file number EB-11-TC-063.  In January 2012, the </w:t>
      </w:r>
      <w:r w:rsidR="002A562E">
        <w:t xml:space="preserve">Enforcement Bureau’s </w:t>
      </w:r>
      <w:r>
        <w:t>Telecommunications Consumers Division assigned the case a new file number.</w:t>
      </w:r>
    </w:p>
  </w:footnote>
  <w:footnote w:id="3">
    <w:p w:rsidR="000772F6" w:rsidRDefault="000772F6" w:rsidP="009E49B4">
      <w:pPr>
        <w:pStyle w:val="FootnoteText"/>
      </w:pPr>
      <w:r>
        <w:rPr>
          <w:rStyle w:val="FootnoteReference"/>
        </w:rPr>
        <w:footnoteRef/>
      </w:r>
      <w:r>
        <w:t xml:space="preserve"> This carrier’s name is at times spelled “NetOne” in consumer complaints, and elsewhere, due to the way it appears on the Company’s letterhead.</w:t>
      </w:r>
    </w:p>
  </w:footnote>
  <w:footnote w:id="4">
    <w:p w:rsidR="000772F6" w:rsidRDefault="000772F6">
      <w:pPr>
        <w:pStyle w:val="FootnoteText"/>
      </w:pPr>
      <w:r>
        <w:rPr>
          <w:rStyle w:val="FootnoteReference"/>
        </w:rPr>
        <w:footnoteRef/>
      </w:r>
      <w:r>
        <w:t xml:space="preserve"> Net One is a common carrier providing telecommunications services.  The Company was granted international Section 214 authority on July 3, 1997.  </w:t>
      </w:r>
      <w:r w:rsidRPr="00B62116">
        <w:rPr>
          <w:i/>
        </w:rPr>
        <w:t>See</w:t>
      </w:r>
      <w:r>
        <w:t xml:space="preserve"> ITC-214-19970516-00273.</w:t>
      </w:r>
    </w:p>
  </w:footnote>
  <w:footnote w:id="5">
    <w:p w:rsidR="000772F6" w:rsidRDefault="000772F6">
      <w:pPr>
        <w:pStyle w:val="FootnoteText"/>
      </w:pPr>
      <w:r>
        <w:rPr>
          <w:rStyle w:val="FootnoteReference"/>
        </w:rPr>
        <w:footnoteRef/>
      </w:r>
      <w:r>
        <w:t xml:space="preserve"> Net One also uses the</w:t>
      </w:r>
      <w:r w:rsidR="006C7D8E">
        <w:t xml:space="preserve"> following</w:t>
      </w:r>
      <w:r>
        <w:t xml:space="preserve"> addresses:  P.O. Box 4970, Winter Park, FL 32793 (on the FCC Form 499-A) and P.O. Box 863511, Orlando, FL 32886-3511 (on invoices).  Samer Charani is the President and Chief Executive Officer of Net One, </w:t>
      </w:r>
      <w:r>
        <w:rPr>
          <w:szCs w:val="22"/>
        </w:rPr>
        <w:t xml:space="preserve">Mahmoud </w:t>
      </w:r>
      <w:r>
        <w:t>Amir Elmasri is the Vice President, and El Bashir Alaoui Hichami is the Treasurer.</w:t>
      </w:r>
    </w:p>
  </w:footnote>
  <w:footnote w:id="6">
    <w:p w:rsidR="002659FB" w:rsidRPr="002659FB" w:rsidRDefault="002659FB">
      <w:pPr>
        <w:pStyle w:val="FootnoteText"/>
      </w:pPr>
      <w:r>
        <w:rPr>
          <w:rStyle w:val="FootnoteReference"/>
        </w:rPr>
        <w:footnoteRef/>
      </w:r>
      <w:r>
        <w:t xml:space="preserve"> </w:t>
      </w:r>
      <w:r>
        <w:rPr>
          <w:i/>
        </w:rPr>
        <w:t xml:space="preserve">See </w:t>
      </w:r>
      <w:r>
        <w:t>consumer complaints on file in EB-TCD-12-0000418.</w:t>
      </w:r>
    </w:p>
  </w:footnote>
  <w:footnote w:id="7">
    <w:p w:rsidR="000772F6" w:rsidRDefault="000772F6">
      <w:pPr>
        <w:pStyle w:val="FootnoteText"/>
      </w:pPr>
      <w:r>
        <w:rPr>
          <w:rStyle w:val="FootnoteReference"/>
        </w:rPr>
        <w:footnoteRef/>
      </w:r>
      <w:r>
        <w:t xml:space="preserve"> Net One’s invoices provide a customer service toll-free number and a website address, </w:t>
      </w:r>
      <w:r w:rsidR="001C20ED" w:rsidRPr="00796FEB">
        <w:t>www.mynetone.com</w:t>
      </w:r>
      <w:r>
        <w:t xml:space="preserve">.  The website, which </w:t>
      </w:r>
      <w:r w:rsidR="003E0250">
        <w:t>contains</w:t>
      </w:r>
      <w:r w:rsidR="00CA5B7C">
        <w:t xml:space="preserve"> almost no information other than a message indicating it is </w:t>
      </w:r>
      <w:r>
        <w:t xml:space="preserve">in the process of “being reworked,” </w:t>
      </w:r>
      <w:r w:rsidR="003E0250">
        <w:t>lists</w:t>
      </w:r>
      <w:r>
        <w:t xml:space="preserve"> a</w:t>
      </w:r>
      <w:r w:rsidR="00CA5B7C">
        <w:t xml:space="preserve"> different</w:t>
      </w:r>
      <w:r>
        <w:t xml:space="preserve"> toll-free number for customer service.</w:t>
      </w:r>
      <w:r w:rsidR="006B71E7">
        <w:t xml:space="preserve">  </w:t>
      </w:r>
      <w:r w:rsidR="006B71E7" w:rsidRPr="006B71E7">
        <w:rPr>
          <w:i/>
        </w:rPr>
        <w:t>See</w:t>
      </w:r>
      <w:r w:rsidR="006B71E7">
        <w:t xml:space="preserve"> </w:t>
      </w:r>
      <w:hyperlink r:id="rId1" w:history="1">
        <w:r w:rsidR="006B71E7" w:rsidRPr="006B71E7">
          <w:rPr>
            <w:rStyle w:val="Hyperlink"/>
          </w:rPr>
          <w:t>http://netoneinternational.com/</w:t>
        </w:r>
      </w:hyperlink>
      <w:r w:rsidR="006B71E7">
        <w:t xml:space="preserve"> (last visited Jun</w:t>
      </w:r>
      <w:r w:rsidR="00905304">
        <w:t>e 30, 2014</w:t>
      </w:r>
      <w:r w:rsidR="006B71E7">
        <w:t>).</w:t>
      </w:r>
    </w:p>
  </w:footnote>
  <w:footnote w:id="8">
    <w:p w:rsidR="000772F6" w:rsidRDefault="000772F6">
      <w:pPr>
        <w:pStyle w:val="FootnoteText"/>
      </w:pPr>
      <w:r>
        <w:rPr>
          <w:rStyle w:val="FootnoteReference"/>
        </w:rPr>
        <w:footnoteRef/>
      </w:r>
      <w:r>
        <w:t xml:space="preserve"> Approximately 80 consumer complaints against Net One for unauthorized charges were filed with the Commission in 2010, which led to our initial investigation of the Company.  Additional consumer complaints</w:t>
      </w:r>
      <w:r w:rsidR="001C20ED">
        <w:t xml:space="preserve"> about the Company</w:t>
      </w:r>
      <w:r>
        <w:t xml:space="preserve"> have been filed intermittently.  This NAL is based on </w:t>
      </w:r>
      <w:r w:rsidRPr="00796FEB">
        <w:t>20</w:t>
      </w:r>
      <w:r>
        <w:t xml:space="preserve"> complaints filed recently with the Commission and the Better Business Bureau.  Many complaints allege multiple instances of unauthorized charges.</w:t>
      </w:r>
    </w:p>
  </w:footnote>
  <w:footnote w:id="9">
    <w:p w:rsidR="000772F6" w:rsidRDefault="000772F6">
      <w:pPr>
        <w:pStyle w:val="FootnoteText"/>
      </w:pPr>
      <w:r>
        <w:rPr>
          <w:rStyle w:val="FootnoteReference"/>
        </w:rPr>
        <w:footnoteRef/>
      </w:r>
      <w:r>
        <w:t xml:space="preserve"> </w:t>
      </w:r>
      <w:r>
        <w:rPr>
          <w:i/>
        </w:rPr>
        <w:t>See</w:t>
      </w:r>
      <w:r>
        <w:t xml:space="preserve"> Letter from Richard A. Hindman, Chief, Telecommunications Consumers Division, Enforcement Bureau, FCC, to Samer Charani, </w:t>
      </w:r>
      <w:r w:rsidR="001C20ED">
        <w:t xml:space="preserve">President and Chief Executive Officer, </w:t>
      </w:r>
      <w:r>
        <w:t>Net One (July 15, 2011) (on file in EB-TCD-12-00000418).</w:t>
      </w:r>
    </w:p>
  </w:footnote>
  <w:footnote w:id="10">
    <w:p w:rsidR="000772F6" w:rsidRDefault="000772F6" w:rsidP="009118C1">
      <w:pPr>
        <w:pStyle w:val="FootnoteText"/>
      </w:pPr>
      <w:r>
        <w:rPr>
          <w:rStyle w:val="FootnoteReference"/>
        </w:rPr>
        <w:footnoteRef/>
      </w:r>
      <w:r>
        <w:t xml:space="preserve"> </w:t>
      </w:r>
      <w:r w:rsidRPr="001D6C10">
        <w:rPr>
          <w:i/>
        </w:rPr>
        <w:t>Net One International, et al</w:t>
      </w:r>
      <w:r>
        <w:t>., Notice of Apparent Liability for Forfeiture</w:t>
      </w:r>
      <w:r w:rsidR="001C20ED">
        <w:t xml:space="preserve"> and Order</w:t>
      </w:r>
      <w:r>
        <w:t>, 26 FCC Rcd 16493 (Enf. Bur. 2011) (</w:t>
      </w:r>
      <w:r w:rsidR="001C20ED">
        <w:rPr>
          <w:i/>
        </w:rPr>
        <w:t>2011</w:t>
      </w:r>
      <w:r w:rsidR="001C20ED" w:rsidRPr="001D6C10">
        <w:rPr>
          <w:i/>
        </w:rPr>
        <w:t xml:space="preserve"> </w:t>
      </w:r>
      <w:r w:rsidRPr="001D6C10">
        <w:rPr>
          <w:i/>
        </w:rPr>
        <w:t>Net One NAL</w:t>
      </w:r>
      <w:r>
        <w:t xml:space="preserve">).  Following the issuance of the </w:t>
      </w:r>
      <w:r w:rsidR="001C20ED">
        <w:rPr>
          <w:i/>
        </w:rPr>
        <w:t>2011</w:t>
      </w:r>
      <w:r w:rsidR="001C20ED" w:rsidRPr="00EB550C">
        <w:rPr>
          <w:i/>
        </w:rPr>
        <w:t xml:space="preserve"> </w:t>
      </w:r>
      <w:r w:rsidRPr="00236387">
        <w:rPr>
          <w:i/>
        </w:rPr>
        <w:t>Net One NAL</w:t>
      </w:r>
      <w:r>
        <w:t xml:space="preserve">, Net One submitted an incomplete LOI response to the Bureau. </w:t>
      </w:r>
    </w:p>
  </w:footnote>
  <w:footnote w:id="11">
    <w:p w:rsidR="000772F6" w:rsidRDefault="000772F6" w:rsidP="00E55734">
      <w:pPr>
        <w:pStyle w:val="FootnoteText"/>
      </w:pPr>
      <w:r>
        <w:rPr>
          <w:rStyle w:val="FootnoteReference"/>
        </w:rPr>
        <w:footnoteRef/>
      </w:r>
      <w:r>
        <w:t xml:space="preserve"> </w:t>
      </w:r>
      <w:r w:rsidRPr="001D6C10">
        <w:rPr>
          <w:i/>
        </w:rPr>
        <w:t>Net One International, et al</w:t>
      </w:r>
      <w:r>
        <w:t xml:space="preserve">., </w:t>
      </w:r>
      <w:r w:rsidRPr="00796FEB">
        <w:rPr>
          <w:i/>
        </w:rPr>
        <w:t>Apparent Liability for Forfeiture</w:t>
      </w:r>
      <w:r>
        <w:t>, Order of Forfeiture, 29 FCC Rcd 264 (Enf. Bur. 2014) (</w:t>
      </w:r>
      <w:r w:rsidRPr="001D6C10">
        <w:rPr>
          <w:i/>
        </w:rPr>
        <w:t xml:space="preserve">Net One </w:t>
      </w:r>
      <w:r>
        <w:rPr>
          <w:i/>
        </w:rPr>
        <w:t>Forfeiture Order</w:t>
      </w:r>
      <w:r>
        <w:t>).</w:t>
      </w:r>
      <w:r w:rsidRPr="00174B01">
        <w:rPr>
          <w:szCs w:val="22"/>
        </w:rPr>
        <w:t xml:space="preserve"> </w:t>
      </w:r>
      <w:r>
        <w:rPr>
          <w:szCs w:val="22"/>
        </w:rPr>
        <w:t xml:space="preserve"> On February 13, 2014,</w:t>
      </w:r>
      <w:r w:rsidRPr="00174B01">
        <w:rPr>
          <w:szCs w:val="22"/>
        </w:rPr>
        <w:t xml:space="preserve"> </w:t>
      </w:r>
      <w:r>
        <w:rPr>
          <w:szCs w:val="22"/>
        </w:rPr>
        <w:t xml:space="preserve">Net One filed a petition for reconsideration.  </w:t>
      </w:r>
      <w:r w:rsidRPr="00174B01">
        <w:rPr>
          <w:i/>
          <w:szCs w:val="22"/>
        </w:rPr>
        <w:t>See</w:t>
      </w:r>
      <w:r>
        <w:rPr>
          <w:szCs w:val="22"/>
        </w:rPr>
        <w:t xml:space="preserve"> </w:t>
      </w:r>
      <w:r w:rsidR="001C20ED">
        <w:rPr>
          <w:szCs w:val="22"/>
        </w:rPr>
        <w:t>E</w:t>
      </w:r>
      <w:r>
        <w:rPr>
          <w:szCs w:val="22"/>
        </w:rPr>
        <w:t xml:space="preserve">-mail from Thomas Gainor, Moffa, Gainor &amp; Sutton PA, to Mika Savir, </w:t>
      </w:r>
      <w:r w:rsidR="001C20ED">
        <w:rPr>
          <w:szCs w:val="22"/>
        </w:rPr>
        <w:t xml:space="preserve">Attorney Advisor, </w:t>
      </w:r>
      <w:r>
        <w:rPr>
          <w:szCs w:val="22"/>
        </w:rPr>
        <w:t xml:space="preserve">Telecommunications Consumers Division, </w:t>
      </w:r>
      <w:r w:rsidR="001C20ED">
        <w:rPr>
          <w:szCs w:val="22"/>
        </w:rPr>
        <w:t xml:space="preserve">FCC </w:t>
      </w:r>
      <w:r>
        <w:rPr>
          <w:szCs w:val="22"/>
        </w:rPr>
        <w:t>Enforcement Bureau</w:t>
      </w:r>
      <w:r w:rsidR="001C20ED">
        <w:rPr>
          <w:szCs w:val="22"/>
        </w:rPr>
        <w:t xml:space="preserve"> </w:t>
      </w:r>
      <w:r>
        <w:rPr>
          <w:szCs w:val="22"/>
        </w:rPr>
        <w:t xml:space="preserve">(Feb. 13, 2014, </w:t>
      </w:r>
      <w:r w:rsidR="001C20ED">
        <w:rPr>
          <w:szCs w:val="22"/>
        </w:rPr>
        <w:t>18</w:t>
      </w:r>
      <w:r>
        <w:rPr>
          <w:szCs w:val="22"/>
        </w:rPr>
        <w:t xml:space="preserve">:56 </w:t>
      </w:r>
      <w:r w:rsidR="001C20ED">
        <w:rPr>
          <w:szCs w:val="22"/>
        </w:rPr>
        <w:t>EDT</w:t>
      </w:r>
      <w:r>
        <w:rPr>
          <w:szCs w:val="22"/>
        </w:rPr>
        <w:t>). The petition remains pending.</w:t>
      </w:r>
    </w:p>
  </w:footnote>
  <w:footnote w:id="12">
    <w:p w:rsidR="005D401A" w:rsidRDefault="005D401A">
      <w:pPr>
        <w:pStyle w:val="FootnoteText"/>
      </w:pPr>
      <w:r>
        <w:rPr>
          <w:rStyle w:val="FootnoteReference"/>
        </w:rPr>
        <w:footnoteRef/>
      </w:r>
      <w:r>
        <w:t xml:space="preserve"> 47 U.S.C. § 201(b).</w:t>
      </w:r>
    </w:p>
  </w:footnote>
  <w:footnote w:id="13">
    <w:p w:rsidR="000772F6" w:rsidRDefault="000772F6" w:rsidP="002606EA">
      <w:pPr>
        <w:pStyle w:val="FootnoteText"/>
      </w:pPr>
      <w:r>
        <w:rPr>
          <w:rStyle w:val="FootnoteReference"/>
        </w:rPr>
        <w:footnoteRef/>
      </w:r>
      <w:r>
        <w:t xml:space="preserve"> </w:t>
      </w:r>
      <w:r w:rsidRPr="007D2353">
        <w:t xml:space="preserve"> </w:t>
      </w:r>
      <w:r w:rsidR="005D401A">
        <w:rPr>
          <w:i/>
        </w:rPr>
        <w:t>Id</w:t>
      </w:r>
      <w:r>
        <w:t>.</w:t>
      </w:r>
      <w:r w:rsidRPr="007543A0">
        <w:rPr>
          <w:i/>
        </w:rPr>
        <w:t xml:space="preserve"> </w:t>
      </w:r>
    </w:p>
  </w:footnote>
  <w:footnote w:id="14">
    <w:p w:rsidR="005D401A" w:rsidRPr="00796FEB" w:rsidRDefault="005D401A" w:rsidP="005D401A">
      <w:pPr>
        <w:pStyle w:val="FootnoteText"/>
        <w:rPr>
          <w:i/>
        </w:rPr>
      </w:pPr>
      <w:r>
        <w:rPr>
          <w:rStyle w:val="FootnoteReference"/>
        </w:rPr>
        <w:footnoteRef/>
      </w:r>
      <w:r>
        <w:t xml:space="preserve"> </w:t>
      </w:r>
      <w:r w:rsidRPr="00214F38">
        <w:rPr>
          <w:i/>
        </w:rPr>
        <w:t>See</w:t>
      </w:r>
      <w:r w:rsidR="004F023F">
        <w:rPr>
          <w:i/>
        </w:rPr>
        <w:t>, e.g.,</w:t>
      </w:r>
      <w:r>
        <w:rPr>
          <w:i/>
        </w:rPr>
        <w:t xml:space="preserve"> </w:t>
      </w:r>
      <w:r w:rsidRPr="00C46D93">
        <w:rPr>
          <w:i/>
        </w:rPr>
        <w:t>Central Telecom Long Distance, Inc</w:t>
      </w:r>
      <w:r>
        <w:t xml:space="preserve">., Notice of Apparent Liability for Forfeiture, </w:t>
      </w:r>
      <w:r w:rsidR="004F023F">
        <w:t>FCC 14-58, 2014 WL 1778549, at *5, para. 14 (</w:t>
      </w:r>
      <w:r>
        <w:t>May 5, 2014) (</w:t>
      </w:r>
      <w:r w:rsidRPr="00414B83">
        <w:rPr>
          <w:i/>
        </w:rPr>
        <w:t>Central NAL</w:t>
      </w:r>
      <w:r>
        <w:t xml:space="preserve">); </w:t>
      </w:r>
      <w:r w:rsidRPr="00B53B72">
        <w:rPr>
          <w:i/>
        </w:rPr>
        <w:t>U.S. Telecom Long Distance, Inc</w:t>
      </w:r>
      <w:r>
        <w:t>., Notice of Apparent Liability for Forfeiture, 29 FCC Rcd 823, 829, para. 14 (2014) (</w:t>
      </w:r>
      <w:r w:rsidRPr="00414B83">
        <w:rPr>
          <w:i/>
        </w:rPr>
        <w:t>USTLD NAL</w:t>
      </w:r>
      <w:r>
        <w:t xml:space="preserve">); </w:t>
      </w:r>
      <w:r w:rsidRPr="00C46D93">
        <w:rPr>
          <w:i/>
        </w:rPr>
        <w:t>Consumer Telcom, Inc</w:t>
      </w:r>
      <w:r>
        <w:t>., Notice of Apparent Liability for Forfeiture, 28 FCC Rcd 17196, 17202, para. 15 (2013) (</w:t>
      </w:r>
      <w:r w:rsidRPr="00414B83">
        <w:rPr>
          <w:i/>
        </w:rPr>
        <w:t>CTI NAL</w:t>
      </w:r>
      <w:r>
        <w:t xml:space="preserve">); </w:t>
      </w:r>
      <w:r w:rsidRPr="008C39D3">
        <w:rPr>
          <w:i/>
        </w:rPr>
        <w:t>Advantage</w:t>
      </w:r>
      <w:r>
        <w:rPr>
          <w:i/>
        </w:rPr>
        <w:t xml:space="preserve"> Telecomms., Corp., </w:t>
      </w:r>
      <w:r>
        <w:t>Notice of Apparent Liability for Forfeiture, 28 FCC Rcd 6843, 6849, para. 16 (2013) (</w:t>
      </w:r>
      <w:r>
        <w:rPr>
          <w:i/>
        </w:rPr>
        <w:t>Advantage NAL</w:t>
      </w:r>
      <w:r>
        <w:t>)</w:t>
      </w:r>
      <w:r w:rsidR="004F023F">
        <w:t xml:space="preserve">; </w:t>
      </w:r>
      <w:r w:rsidR="004F023F">
        <w:rPr>
          <w:i/>
        </w:rPr>
        <w:t xml:space="preserve">see also Long Distance Direct, Inc., Apparent Liability for Forfeiture, </w:t>
      </w:r>
      <w:r w:rsidR="004F023F">
        <w:t xml:space="preserve">Memorandum Opinion and Order, </w:t>
      </w:r>
      <w:r w:rsidR="004F023F" w:rsidRPr="007263D5">
        <w:t>15</w:t>
      </w:r>
      <w:r w:rsidR="004F023F">
        <w:t xml:space="preserve"> FCC Rcd 3297, 3302, para. 14 (2000) (</w:t>
      </w:r>
      <w:r w:rsidR="004F023F" w:rsidRPr="007263D5">
        <w:rPr>
          <w:i/>
        </w:rPr>
        <w:t>LDDI MO&amp;O</w:t>
      </w:r>
      <w:r w:rsidR="004F023F">
        <w:t>) (finding that the company’s practice of cramming membership and other unauthorized fees on consumer telephone bills was an unjust and unreasonable practice in connection with communications services).</w:t>
      </w:r>
    </w:p>
  </w:footnote>
  <w:footnote w:id="15">
    <w:p w:rsidR="000772F6" w:rsidRDefault="000772F6" w:rsidP="0066043A">
      <w:pPr>
        <w:pStyle w:val="FootnoteText"/>
      </w:pPr>
      <w:r>
        <w:rPr>
          <w:rStyle w:val="FootnoteReference"/>
        </w:rPr>
        <w:footnoteRef/>
      </w:r>
      <w:r>
        <w:t xml:space="preserve"> </w:t>
      </w:r>
      <w:r w:rsidRPr="00214F38">
        <w:rPr>
          <w:i/>
        </w:rPr>
        <w:t>See</w:t>
      </w:r>
      <w:r>
        <w:rPr>
          <w:i/>
        </w:rPr>
        <w:t xml:space="preserve"> </w:t>
      </w:r>
      <w:r w:rsidRPr="008C39D3">
        <w:rPr>
          <w:i/>
        </w:rPr>
        <w:t>Advantage</w:t>
      </w:r>
      <w:r>
        <w:rPr>
          <w:i/>
        </w:rPr>
        <w:t xml:space="preserve"> </w:t>
      </w:r>
      <w:r w:rsidR="005D401A">
        <w:rPr>
          <w:i/>
        </w:rPr>
        <w:t xml:space="preserve">NAL </w:t>
      </w:r>
      <w:r w:rsidR="005D401A">
        <w:t xml:space="preserve">at </w:t>
      </w:r>
      <w:r>
        <w:t>6850, para. 17.</w:t>
      </w:r>
    </w:p>
  </w:footnote>
  <w:footnote w:id="16">
    <w:p w:rsidR="000772F6" w:rsidRDefault="000772F6">
      <w:pPr>
        <w:pStyle w:val="FootnoteText"/>
      </w:pPr>
      <w:r>
        <w:rPr>
          <w:rStyle w:val="FootnoteReference"/>
        </w:rPr>
        <w:footnoteRef/>
      </w:r>
      <w:r>
        <w:t xml:space="preserve"> Complaint from M. Ahmed.</w:t>
      </w:r>
    </w:p>
  </w:footnote>
  <w:footnote w:id="17">
    <w:p w:rsidR="000772F6" w:rsidRPr="00714419" w:rsidRDefault="000772F6">
      <w:pPr>
        <w:pStyle w:val="FootnoteText"/>
      </w:pPr>
      <w:r>
        <w:rPr>
          <w:rStyle w:val="FootnoteReference"/>
        </w:rPr>
        <w:footnoteRef/>
      </w:r>
      <w:r>
        <w:t xml:space="preserve"> </w:t>
      </w:r>
      <w:r w:rsidRPr="00AB2368">
        <w:rPr>
          <w:i/>
        </w:rPr>
        <w:t>Id.</w:t>
      </w:r>
      <w:r>
        <w:rPr>
          <w:i/>
        </w:rPr>
        <w:t xml:space="preserve">  </w:t>
      </w:r>
    </w:p>
  </w:footnote>
  <w:footnote w:id="18">
    <w:p w:rsidR="000772F6" w:rsidRDefault="000772F6">
      <w:pPr>
        <w:pStyle w:val="FootnoteText"/>
      </w:pPr>
      <w:r>
        <w:rPr>
          <w:rStyle w:val="FootnoteReference"/>
        </w:rPr>
        <w:footnoteRef/>
      </w:r>
      <w:r>
        <w:t xml:space="preserve"> Complaint from M. Bhatti.</w:t>
      </w:r>
    </w:p>
  </w:footnote>
  <w:footnote w:id="19">
    <w:p w:rsidR="000772F6" w:rsidRPr="00304907" w:rsidRDefault="000772F6">
      <w:pPr>
        <w:pStyle w:val="FootnoteText"/>
      </w:pPr>
      <w:r>
        <w:rPr>
          <w:rStyle w:val="FootnoteReference"/>
        </w:rPr>
        <w:footnoteRef/>
      </w:r>
      <w:r>
        <w:t xml:space="preserve"> </w:t>
      </w:r>
      <w:r w:rsidRPr="00304907">
        <w:rPr>
          <w:i/>
        </w:rPr>
        <w:t>Id.</w:t>
      </w:r>
      <w:r>
        <w:rPr>
          <w:i/>
        </w:rPr>
        <w:t xml:space="preserve">  </w:t>
      </w:r>
      <w:r>
        <w:t xml:space="preserve">These bills have no charges for long distance calls; they are just late fees and other fees.  The most recent bill was for over $200.  </w:t>
      </w:r>
      <w:r w:rsidRPr="00304907">
        <w:rPr>
          <w:i/>
        </w:rPr>
        <w:t>Id.</w:t>
      </w:r>
    </w:p>
  </w:footnote>
  <w:footnote w:id="20">
    <w:p w:rsidR="000772F6" w:rsidRDefault="000772F6">
      <w:pPr>
        <w:pStyle w:val="FootnoteText"/>
      </w:pPr>
      <w:r>
        <w:rPr>
          <w:rStyle w:val="FootnoteReference"/>
        </w:rPr>
        <w:footnoteRef/>
      </w:r>
      <w:r>
        <w:t xml:space="preserve"> Complaint from I. Birouty.</w:t>
      </w:r>
    </w:p>
  </w:footnote>
  <w:footnote w:id="21">
    <w:p w:rsidR="000772F6" w:rsidRDefault="000772F6">
      <w:pPr>
        <w:pStyle w:val="FootnoteText"/>
      </w:pPr>
      <w:r>
        <w:rPr>
          <w:rStyle w:val="FootnoteReference"/>
        </w:rPr>
        <w:footnoteRef/>
      </w:r>
      <w:r>
        <w:t xml:space="preserve"> </w:t>
      </w:r>
      <w:r w:rsidRPr="009362A5">
        <w:rPr>
          <w:i/>
        </w:rPr>
        <w:t>Id.</w:t>
      </w:r>
    </w:p>
  </w:footnote>
  <w:footnote w:id="22">
    <w:p w:rsidR="000772F6" w:rsidRDefault="000772F6" w:rsidP="009362A5">
      <w:pPr>
        <w:pStyle w:val="FootnoteText"/>
      </w:pPr>
      <w:r>
        <w:rPr>
          <w:rStyle w:val="FootnoteReference"/>
        </w:rPr>
        <w:footnoteRef/>
      </w:r>
      <w:r>
        <w:t xml:space="preserve"> </w:t>
      </w:r>
      <w:r w:rsidRPr="009362A5">
        <w:rPr>
          <w:i/>
        </w:rPr>
        <w:t>Id.</w:t>
      </w:r>
    </w:p>
  </w:footnote>
  <w:footnote w:id="23">
    <w:p w:rsidR="000772F6" w:rsidRPr="009362A5" w:rsidRDefault="000772F6" w:rsidP="009362A5">
      <w:pPr>
        <w:pStyle w:val="FootnoteText"/>
      </w:pPr>
      <w:r>
        <w:rPr>
          <w:rStyle w:val="FootnoteReference"/>
        </w:rPr>
        <w:footnoteRef/>
      </w:r>
      <w:r>
        <w:t xml:space="preserve"> </w:t>
      </w:r>
      <w:r w:rsidRPr="009362A5">
        <w:rPr>
          <w:i/>
        </w:rPr>
        <w:t>Id.</w:t>
      </w:r>
      <w:r>
        <w:rPr>
          <w:i/>
        </w:rPr>
        <w:t xml:space="preserve">  </w:t>
      </w:r>
      <w:r>
        <w:t>Net One eventually charged the Biroutys $75.23</w:t>
      </w:r>
      <w:r w:rsidR="004F023F">
        <w:t>,</w:t>
      </w:r>
      <w:r>
        <w:t xml:space="preserve"> and they settled for the sum of $37.61 after Net One finally agreed to cancel the account on Feb</w:t>
      </w:r>
      <w:r w:rsidR="004F023F">
        <w:t>ruary</w:t>
      </w:r>
      <w:r>
        <w:t xml:space="preserve"> 7, 2014.</w:t>
      </w:r>
    </w:p>
  </w:footnote>
  <w:footnote w:id="24">
    <w:p w:rsidR="000772F6" w:rsidRDefault="000772F6">
      <w:pPr>
        <w:pStyle w:val="FootnoteText"/>
      </w:pPr>
      <w:r>
        <w:rPr>
          <w:rStyle w:val="FootnoteReference"/>
        </w:rPr>
        <w:footnoteRef/>
      </w:r>
      <w:r>
        <w:t xml:space="preserve"> Complaint from J. Chakkala.</w:t>
      </w:r>
    </w:p>
  </w:footnote>
  <w:footnote w:id="25">
    <w:p w:rsidR="000772F6" w:rsidRDefault="000772F6">
      <w:pPr>
        <w:pStyle w:val="FootnoteText"/>
      </w:pPr>
      <w:r>
        <w:rPr>
          <w:rStyle w:val="FootnoteReference"/>
        </w:rPr>
        <w:footnoteRef/>
      </w:r>
      <w:r>
        <w:t xml:space="preserve"> Complaint from A. Elgowainy.</w:t>
      </w:r>
    </w:p>
  </w:footnote>
  <w:footnote w:id="26">
    <w:p w:rsidR="000772F6" w:rsidRDefault="000772F6">
      <w:pPr>
        <w:pStyle w:val="FootnoteText"/>
      </w:pPr>
      <w:r>
        <w:rPr>
          <w:rStyle w:val="FootnoteReference"/>
        </w:rPr>
        <w:footnoteRef/>
      </w:r>
      <w:r>
        <w:t xml:space="preserve"> </w:t>
      </w:r>
      <w:r w:rsidRPr="003D2395">
        <w:rPr>
          <w:i/>
        </w:rPr>
        <w:t>Id.</w:t>
      </w:r>
    </w:p>
  </w:footnote>
  <w:footnote w:id="27">
    <w:p w:rsidR="000772F6" w:rsidRDefault="000772F6" w:rsidP="003755EE">
      <w:pPr>
        <w:pStyle w:val="FootnoteText"/>
      </w:pPr>
      <w:r>
        <w:rPr>
          <w:rStyle w:val="FootnoteReference"/>
        </w:rPr>
        <w:footnoteRef/>
      </w:r>
      <w:r>
        <w:t xml:space="preserve"> Complaint from H. El-Nakhal.</w:t>
      </w:r>
    </w:p>
  </w:footnote>
  <w:footnote w:id="28">
    <w:p w:rsidR="000772F6" w:rsidRDefault="000772F6">
      <w:pPr>
        <w:pStyle w:val="FootnoteText"/>
      </w:pPr>
      <w:r>
        <w:rPr>
          <w:rStyle w:val="FootnoteReference"/>
        </w:rPr>
        <w:footnoteRef/>
      </w:r>
      <w:r>
        <w:t xml:space="preserve"> </w:t>
      </w:r>
      <w:r w:rsidRPr="003755EE">
        <w:rPr>
          <w:i/>
        </w:rPr>
        <w:t>Id.</w:t>
      </w:r>
    </w:p>
  </w:footnote>
  <w:footnote w:id="29">
    <w:p w:rsidR="000772F6" w:rsidRDefault="000772F6">
      <w:pPr>
        <w:pStyle w:val="FootnoteText"/>
      </w:pPr>
      <w:r>
        <w:rPr>
          <w:rStyle w:val="FootnoteReference"/>
        </w:rPr>
        <w:footnoteRef/>
      </w:r>
      <w:r>
        <w:t xml:space="preserve"> </w:t>
      </w:r>
      <w:r w:rsidRPr="003B7EA8">
        <w:rPr>
          <w:i/>
        </w:rPr>
        <w:t>Id.</w:t>
      </w:r>
    </w:p>
  </w:footnote>
  <w:footnote w:id="30">
    <w:p w:rsidR="000772F6" w:rsidRDefault="000772F6">
      <w:pPr>
        <w:pStyle w:val="FootnoteText"/>
      </w:pPr>
      <w:r>
        <w:rPr>
          <w:rStyle w:val="FootnoteReference"/>
        </w:rPr>
        <w:footnoteRef/>
      </w:r>
      <w:r>
        <w:t xml:space="preserve"> Complaint from D. Foster.</w:t>
      </w:r>
    </w:p>
  </w:footnote>
  <w:footnote w:id="31">
    <w:p w:rsidR="000772F6" w:rsidRDefault="000772F6">
      <w:pPr>
        <w:pStyle w:val="FootnoteText"/>
      </w:pPr>
      <w:r>
        <w:rPr>
          <w:rStyle w:val="FootnoteReference"/>
        </w:rPr>
        <w:footnoteRef/>
      </w:r>
      <w:r>
        <w:t xml:space="preserve"> </w:t>
      </w:r>
      <w:r w:rsidRPr="000E45F8">
        <w:rPr>
          <w:i/>
        </w:rPr>
        <w:t>Id.</w:t>
      </w:r>
    </w:p>
  </w:footnote>
  <w:footnote w:id="32">
    <w:p w:rsidR="000772F6" w:rsidRDefault="000772F6">
      <w:pPr>
        <w:pStyle w:val="FootnoteText"/>
      </w:pPr>
      <w:r>
        <w:rPr>
          <w:rStyle w:val="FootnoteReference"/>
        </w:rPr>
        <w:footnoteRef/>
      </w:r>
      <w:r>
        <w:t xml:space="preserve"> </w:t>
      </w:r>
      <w:r w:rsidRPr="00B62467">
        <w:rPr>
          <w:i/>
        </w:rPr>
        <w:t>Id.</w:t>
      </w:r>
    </w:p>
  </w:footnote>
  <w:footnote w:id="33">
    <w:p w:rsidR="000772F6" w:rsidRDefault="000772F6" w:rsidP="00B62467">
      <w:pPr>
        <w:pStyle w:val="FootnoteText"/>
      </w:pPr>
      <w:r>
        <w:rPr>
          <w:rStyle w:val="FootnoteReference"/>
        </w:rPr>
        <w:footnoteRef/>
      </w:r>
      <w:r>
        <w:t xml:space="preserve"> </w:t>
      </w:r>
      <w:r w:rsidRPr="00B62467">
        <w:rPr>
          <w:i/>
        </w:rPr>
        <w:t>Id.</w:t>
      </w:r>
    </w:p>
  </w:footnote>
  <w:footnote w:id="34">
    <w:p w:rsidR="000772F6" w:rsidRDefault="000772F6">
      <w:pPr>
        <w:pStyle w:val="FootnoteText"/>
      </w:pPr>
      <w:r>
        <w:rPr>
          <w:rStyle w:val="FootnoteReference"/>
        </w:rPr>
        <w:footnoteRef/>
      </w:r>
      <w:r>
        <w:t xml:space="preserve"> </w:t>
      </w:r>
      <w:r w:rsidRPr="00B62467">
        <w:rPr>
          <w:i/>
        </w:rPr>
        <w:t>Id.</w:t>
      </w:r>
    </w:p>
  </w:footnote>
  <w:footnote w:id="35">
    <w:p w:rsidR="000772F6" w:rsidRDefault="000772F6" w:rsidP="006A56DF">
      <w:pPr>
        <w:pStyle w:val="FootnoteText"/>
      </w:pPr>
      <w:r>
        <w:rPr>
          <w:rStyle w:val="FootnoteReference"/>
        </w:rPr>
        <w:footnoteRef/>
      </w:r>
      <w:r>
        <w:t xml:space="preserve"> Complaint from S. George.</w:t>
      </w:r>
    </w:p>
  </w:footnote>
  <w:footnote w:id="36">
    <w:p w:rsidR="000772F6" w:rsidRDefault="000772F6">
      <w:pPr>
        <w:pStyle w:val="FootnoteText"/>
      </w:pPr>
      <w:r>
        <w:rPr>
          <w:rStyle w:val="FootnoteReference"/>
        </w:rPr>
        <w:footnoteRef/>
      </w:r>
      <w:r>
        <w:t xml:space="preserve"> Complaint from B. Gopalan.</w:t>
      </w:r>
    </w:p>
  </w:footnote>
  <w:footnote w:id="37">
    <w:p w:rsidR="000772F6" w:rsidRDefault="000772F6">
      <w:pPr>
        <w:pStyle w:val="FootnoteText"/>
      </w:pPr>
      <w:r>
        <w:rPr>
          <w:rStyle w:val="FootnoteReference"/>
        </w:rPr>
        <w:footnoteRef/>
      </w:r>
      <w:r>
        <w:t xml:space="preserve"> Complaint from T. Mattam.</w:t>
      </w:r>
    </w:p>
  </w:footnote>
  <w:footnote w:id="38">
    <w:p w:rsidR="000772F6" w:rsidRDefault="000772F6">
      <w:pPr>
        <w:pStyle w:val="FootnoteText"/>
      </w:pPr>
      <w:r>
        <w:rPr>
          <w:rStyle w:val="FootnoteReference"/>
        </w:rPr>
        <w:footnoteRef/>
      </w:r>
      <w:r>
        <w:t xml:space="preserve"> Complaint from M. Towfeles.</w:t>
      </w:r>
    </w:p>
  </w:footnote>
  <w:footnote w:id="39">
    <w:p w:rsidR="000772F6" w:rsidRDefault="000772F6">
      <w:pPr>
        <w:pStyle w:val="FootnoteText"/>
      </w:pPr>
      <w:r>
        <w:rPr>
          <w:rStyle w:val="FootnoteReference"/>
        </w:rPr>
        <w:footnoteRef/>
      </w:r>
      <w:r>
        <w:t xml:space="preserve"> </w:t>
      </w:r>
      <w:r w:rsidRPr="00F31B06">
        <w:rPr>
          <w:i/>
        </w:rPr>
        <w:t>See, e.g</w:t>
      </w:r>
      <w:r>
        <w:t>., Complaint from S. Batarseh (“This has been going on for months now [after I cancelled service last year] they are still charging me monthly service fees.”); Complaint from J. Geevarghese (“Net One . . . keeps billing me and refuses to stop billing me</w:t>
      </w:r>
      <w:r w:rsidR="004F023F">
        <w:t xml:space="preserve"> </w:t>
      </w:r>
      <w:r>
        <w:t>. . . . I do not want to pay for service that was not provided to me.”); Complaint from B. Hadeed (“This company has been billing me and adding late charges falsely</w:t>
      </w:r>
      <w:r w:rsidR="004F023F">
        <w:t xml:space="preserve"> </w:t>
      </w:r>
      <w:r>
        <w:t>.</w:t>
      </w:r>
      <w:r w:rsidR="002F5FA9">
        <w:t xml:space="preserve"> . . .We called customer service [to cancel and resolve this issue] and each time it was a very unprofessional rep. that provides no help</w:t>
      </w:r>
      <w:r w:rsidR="004F023F">
        <w:t xml:space="preserve"> </w:t>
      </w:r>
      <w:r w:rsidR="002F5FA9">
        <w:t>. . . . I want this company to stop sending us their false bills with charges we never had in the first place.</w:t>
      </w:r>
      <w:r>
        <w:t>”); Complaint from M. Haughton (“</w:t>
      </w:r>
      <w:r w:rsidR="002F5FA9">
        <w:t xml:space="preserve">I was with Netone International for over 5 years </w:t>
      </w:r>
      <w:r w:rsidR="004F023F">
        <w:t xml:space="preserve">. </w:t>
      </w:r>
      <w:r w:rsidR="002F5FA9">
        <w:t xml:space="preserve">. . . I have been calling and requesting [cancellation because] I don’t have the number I registered my phone with them any longer . . . and I made about 8 calls [asking] why they are still billing me . . . . </w:t>
      </w:r>
      <w:r w:rsidR="004F023F">
        <w:t>[E]</w:t>
      </w:r>
      <w:r>
        <w:t>very month they add 10.00 to 12.00 on the bill for the service I don’t even have</w:t>
      </w:r>
      <w:r w:rsidR="002F5FA9">
        <w:t>.</w:t>
      </w:r>
      <w:r>
        <w:t>”); Complaint from M. Karam ( “continued to receive a bill with late fees”</w:t>
      </w:r>
      <w:r w:rsidR="004F023F">
        <w:t xml:space="preserve"> months after cancelling and paying the final bill</w:t>
      </w:r>
      <w:r>
        <w:t xml:space="preserve">); Complaint from H. Nakhoul (not included in the Appendix) (“cancelled </w:t>
      </w:r>
      <w:r w:rsidR="004F023F">
        <w:t>[</w:t>
      </w:r>
      <w:r>
        <w:t>her</w:t>
      </w:r>
      <w:r w:rsidR="004F023F">
        <w:t>]</w:t>
      </w:r>
      <w:r>
        <w:t xml:space="preserve"> service with Net One almost two years ago . . . [and she] was told this bill will likely climb to $500 if she doesn’t pay it.”); Complaint from D. Papapitiya (“I have called them and asked repeatedly to cancel my account, and they send bills . . . for monthly fee[s] and followed by additional fees.”); Complaint from E. Sakkal (not included in the Appendix) (“They charged me for services after I wrote to them to discontinue my service.</w:t>
      </w:r>
      <w:r w:rsidR="004F023F">
        <w:t>”</w:t>
      </w:r>
      <w:r>
        <w:t>); Complaint from M. Sibay (“</w:t>
      </w:r>
      <w:r w:rsidR="00261E5C">
        <w:t>[Net One] continue[s] adding more amounts to a bill for services I did not ask for and I have asked [them] to stop or cancel whatever service they think they are offering me.  We had a prepaid service and then [Net One] inexplicably started billing me monthly charges which are not explained</w:t>
      </w:r>
      <w:r w:rsidR="004F023F">
        <w:t xml:space="preserve"> </w:t>
      </w:r>
      <w:r w:rsidR="00261E5C">
        <w:t>. . . . [W]e spoke with multiple reps who promised to resolve this issue</w:t>
      </w:r>
      <w:r w:rsidR="004F023F">
        <w:t xml:space="preserve"> </w:t>
      </w:r>
      <w:r w:rsidR="00261E5C">
        <w:t>. . . . I officially requested [cancellation of this service which I had not authorized.]”</w:t>
      </w:r>
      <w:r>
        <w:t>); Complaint from S. Tantawy (“I ended my contract with the company a year ago</w:t>
      </w:r>
      <w:r w:rsidR="004F023F">
        <w:t xml:space="preserve"> </w:t>
      </w:r>
      <w:r>
        <w:t>. . . .  They did not stop sending me bills [with] late fees and accumulated charges . . . which they claim is $29.”); Complaint from L. Wilwerding (“I cancelled this service months ago</w:t>
      </w:r>
      <w:r w:rsidR="004F023F">
        <w:t xml:space="preserve"> </w:t>
      </w:r>
      <w:r>
        <w:t>. . .</w:t>
      </w:r>
      <w:r w:rsidR="004F023F">
        <w:t xml:space="preserve"> [but] </w:t>
      </w:r>
      <w:r>
        <w:t>they have been sending me bills, adding on late fees and demanding payment.”).</w:t>
      </w:r>
    </w:p>
  </w:footnote>
  <w:footnote w:id="40">
    <w:p w:rsidR="000772F6" w:rsidRPr="0082337E" w:rsidRDefault="000772F6" w:rsidP="007358D8">
      <w:pPr>
        <w:pStyle w:val="FootnoteText"/>
      </w:pPr>
      <w:r w:rsidRPr="0082337E">
        <w:rPr>
          <w:rStyle w:val="FootnoteReference"/>
        </w:rPr>
        <w:footnoteRef/>
      </w:r>
      <w:r>
        <w:t xml:space="preserve"> The Appendix identifies the </w:t>
      </w:r>
      <w:r w:rsidRPr="00215A23">
        <w:t>20</w:t>
      </w:r>
      <w:r>
        <w:t xml:space="preserve"> complaints, evidencing apparent violations of </w:t>
      </w:r>
      <w:r w:rsidR="004F023F">
        <w:t xml:space="preserve">Section 201(b) of the </w:t>
      </w:r>
      <w:r>
        <w:t>Act occurring in the past 12 months that form the basis of the proposed forfeiture.</w:t>
      </w:r>
      <w:r w:rsidRPr="0082337E">
        <w:t xml:space="preserve"> </w:t>
      </w:r>
      <w:r>
        <w:t xml:space="preserve"> Most of the consumer complaints describe several instances of cramming; however, we are assessing a forfeiture for one instance per complaint.</w:t>
      </w:r>
    </w:p>
  </w:footnote>
  <w:footnote w:id="41">
    <w:p w:rsidR="000772F6" w:rsidRPr="0082337E" w:rsidRDefault="000772F6" w:rsidP="00E57ECD">
      <w:pPr>
        <w:pStyle w:val="FootnoteText"/>
      </w:pPr>
      <w:r w:rsidRPr="0082337E">
        <w:rPr>
          <w:rStyle w:val="FootnoteReference"/>
          <w:color w:val="000000"/>
        </w:rPr>
        <w:footnoteRef/>
      </w:r>
      <w:r w:rsidRPr="0082337E">
        <w:rPr>
          <w:color w:val="000000"/>
        </w:rPr>
        <w:t xml:space="preserve"> </w:t>
      </w:r>
      <w:r w:rsidRPr="0082337E">
        <w:rPr>
          <w:i/>
          <w:color w:val="000000" w:themeColor="text1"/>
        </w:rPr>
        <w:t xml:space="preserve">See </w:t>
      </w:r>
      <w:r w:rsidRPr="0082337E">
        <w:rPr>
          <w:color w:val="000000" w:themeColor="text1"/>
        </w:rPr>
        <w:t xml:space="preserve">47 U.S.C. § 503(b)(1).  </w:t>
      </w:r>
    </w:p>
  </w:footnote>
  <w:footnote w:id="42">
    <w:p w:rsidR="000772F6" w:rsidRPr="0082337E" w:rsidRDefault="000772F6" w:rsidP="00E57ECD">
      <w:pPr>
        <w:pStyle w:val="FootnoteText"/>
      </w:pPr>
      <w:r w:rsidRPr="0082337E">
        <w:rPr>
          <w:rStyle w:val="FootnoteReference"/>
          <w:color w:val="000000"/>
        </w:rPr>
        <w:footnoteRef/>
      </w:r>
      <w:r w:rsidRPr="0082337E">
        <w:rPr>
          <w:color w:val="000000"/>
        </w:rPr>
        <w:t xml:space="preserve"> </w:t>
      </w:r>
      <w:hyperlink r:id="rId2" w:tgtFrame="_top" w:history="1">
        <w:r w:rsidRPr="0082337E">
          <w:rPr>
            <w:rStyle w:val="Hyperlink"/>
            <w:color w:val="000000"/>
            <w:u w:val="none"/>
          </w:rPr>
          <w:t>47 U.S.C. § 503(b)(2)(B)</w:t>
        </w:r>
      </w:hyperlink>
      <w:r w:rsidRPr="0082337E">
        <w:rPr>
          <w:color w:val="000000"/>
        </w:rPr>
        <w:t xml:space="preserve">; </w:t>
      </w:r>
      <w:r w:rsidRPr="0082337E">
        <w:rPr>
          <w:i/>
          <w:color w:val="000000"/>
        </w:rPr>
        <w:t>see also</w:t>
      </w:r>
      <w:r w:rsidRPr="0082337E">
        <w:rPr>
          <w:color w:val="000000"/>
        </w:rPr>
        <w:t xml:space="preserve"> </w:t>
      </w:r>
      <w:hyperlink r:id="rId3" w:tgtFrame="_top" w:history="1">
        <w:r w:rsidRPr="0082337E">
          <w:rPr>
            <w:rStyle w:val="Hyperlink"/>
            <w:color w:val="000000"/>
            <w:u w:val="none"/>
          </w:rPr>
          <w:t>47 C.F.R. § 1.80(b)(2)</w:t>
        </w:r>
      </w:hyperlink>
      <w:r w:rsidRPr="0082337E">
        <w:rPr>
          <w:color w:val="000000"/>
        </w:rPr>
        <w:t>.</w:t>
      </w:r>
      <w:r w:rsidRPr="0082337E">
        <w:rPr>
          <w:color w:val="000000" w:themeColor="text1"/>
        </w:rPr>
        <w:t xml:space="preserve">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82337E">
        <w:rPr>
          <w:i/>
          <w:color w:val="000000" w:themeColor="text1"/>
        </w:rPr>
        <w:t>See</w:t>
      </w:r>
      <w:r w:rsidRPr="0082337E">
        <w:rPr>
          <w:color w:val="000000" w:themeColor="text1"/>
        </w:rPr>
        <w:t xml:space="preserve"> 28 U.S.C. § 2461 note (4).  The</w:t>
      </w:r>
      <w:r w:rsidRPr="00DD057E">
        <w:rPr>
          <w:color w:val="000000" w:themeColor="text1"/>
        </w:rPr>
        <w:t xml:space="preserve"> </w:t>
      </w:r>
      <w:r w:rsidRPr="0082337E">
        <w:rPr>
          <w:color w:val="000000" w:themeColor="text1"/>
        </w:rPr>
        <w:t xml:space="preserve">Commission most recently adjusted its penalties to account for inflation in 2013.  </w:t>
      </w:r>
      <w:r w:rsidRPr="0082337E">
        <w:rPr>
          <w:i/>
          <w:color w:val="000000" w:themeColor="text1"/>
        </w:rPr>
        <w:t>See Amendment of Section 1.80(b) of the Commission’s Rules, Adjustment of Civil Monetary Penalties to Reflect Inflation</w:t>
      </w:r>
      <w:r>
        <w:rPr>
          <w:color w:val="000000" w:themeColor="text1"/>
        </w:rPr>
        <w:t>, 28 FCC Rcd 10785</w:t>
      </w:r>
      <w:r w:rsidRPr="0082337E">
        <w:rPr>
          <w:color w:val="000000" w:themeColor="text1"/>
        </w:rPr>
        <w:t xml:space="preserve"> (Enf. Bur. 2013); </w:t>
      </w:r>
      <w:r w:rsidRPr="0082337E">
        <w:rPr>
          <w:i/>
          <w:color w:val="000000" w:themeColor="text1"/>
        </w:rPr>
        <w:t>see also</w:t>
      </w:r>
      <w:r w:rsidRPr="0082337E">
        <w:rPr>
          <w:color w:val="000000" w:themeColor="text1"/>
        </w:rPr>
        <w:t xml:space="preserve"> Inflation Adjustment of Monetary Penalties, 78 Fed. Reg. 49,370–01 (Aug. 14, 2013) (setting Sept</w:t>
      </w:r>
      <w:r w:rsidR="006872A8">
        <w:rPr>
          <w:color w:val="000000" w:themeColor="text1"/>
        </w:rPr>
        <w:t>ember</w:t>
      </w:r>
      <w:r w:rsidRPr="0082337E">
        <w:rPr>
          <w:color w:val="000000" w:themeColor="text1"/>
        </w:rPr>
        <w:t xml:space="preserve"> 13, 2013, as the effective date for the increases).  </w:t>
      </w:r>
      <w:r>
        <w:rPr>
          <w:color w:val="000000" w:themeColor="text1"/>
        </w:rPr>
        <w:t>The base forfeiture amount for cramming is still $40,000.</w:t>
      </w:r>
      <w:r w:rsidRPr="0082337E">
        <w:rPr>
          <w:color w:val="000000"/>
        </w:rPr>
        <w:t xml:space="preserve"> </w:t>
      </w:r>
    </w:p>
  </w:footnote>
  <w:footnote w:id="43">
    <w:p w:rsidR="000772F6" w:rsidRPr="0082337E" w:rsidRDefault="000772F6" w:rsidP="00E57ECD">
      <w:pPr>
        <w:pStyle w:val="FootnoteText"/>
        <w:tabs>
          <w:tab w:val="left" w:pos="-720"/>
        </w:tabs>
        <w:suppressAutoHyphens/>
        <w:spacing w:after="0"/>
      </w:pPr>
      <w:r w:rsidRPr="0082337E">
        <w:rPr>
          <w:rStyle w:val="FootnoteReference"/>
        </w:rPr>
        <w:footnoteRef/>
      </w:r>
      <w:r w:rsidRPr="0082337E">
        <w:rPr>
          <w:i/>
        </w:rPr>
        <w:t xml:space="preserve"> See</w:t>
      </w:r>
      <w:r w:rsidRPr="0082337E">
        <w:t xml:space="preserve"> 47 U.S.C. § 503(b)(2)(E); </w:t>
      </w:r>
      <w:r w:rsidRPr="0082337E">
        <w:rPr>
          <w:i/>
        </w:rPr>
        <w:t>see also The Commission’s Forfeiture Policy Statement and Amendment of Section 1.80 of the Commission’s Rules</w:t>
      </w:r>
      <w:r w:rsidRPr="0082337E">
        <w:t>, Report and Order, 12 FCC Rcd 17087, 17100–01, para. 27 (1997) (</w:t>
      </w:r>
      <w:r w:rsidRPr="0082337E">
        <w:rPr>
          <w:i/>
        </w:rPr>
        <w:t>Forfeiture Policy Statement</w:t>
      </w:r>
      <w:r w:rsidRPr="0082337E">
        <w:t>).</w:t>
      </w:r>
    </w:p>
    <w:p w:rsidR="000772F6" w:rsidRPr="0082337E" w:rsidRDefault="000772F6" w:rsidP="00E57ECD">
      <w:pPr>
        <w:pStyle w:val="FootnoteText"/>
        <w:tabs>
          <w:tab w:val="left" w:pos="-720"/>
        </w:tabs>
        <w:suppressAutoHyphens/>
        <w:spacing w:after="0"/>
      </w:pPr>
    </w:p>
  </w:footnote>
  <w:footnote w:id="44">
    <w:p w:rsidR="000772F6" w:rsidRPr="0082337E" w:rsidRDefault="000772F6" w:rsidP="00E57ECD">
      <w:pPr>
        <w:pStyle w:val="FootnoteText"/>
      </w:pPr>
      <w:r w:rsidRPr="0082337E">
        <w:rPr>
          <w:rStyle w:val="FootnoteReference"/>
        </w:rPr>
        <w:footnoteRef/>
      </w:r>
      <w:r w:rsidRPr="0082337E">
        <w:t xml:space="preserve"> 47 C.F.R. § 1.80(b)(8), Note to paragraph (b)(8). </w:t>
      </w:r>
    </w:p>
  </w:footnote>
  <w:footnote w:id="45">
    <w:p w:rsidR="000772F6" w:rsidRPr="0082337E" w:rsidRDefault="000772F6" w:rsidP="00E57ECD">
      <w:pPr>
        <w:pStyle w:val="FootnoteText"/>
      </w:pPr>
      <w:r w:rsidRPr="0082337E">
        <w:rPr>
          <w:rStyle w:val="FootnoteReference"/>
        </w:rPr>
        <w:footnoteRef/>
      </w:r>
      <w:r w:rsidRPr="0082337E">
        <w:t xml:space="preserve"> </w:t>
      </w:r>
      <w:r w:rsidRPr="0082337E">
        <w:rPr>
          <w:i/>
        </w:rPr>
        <w:t>Id</w:t>
      </w:r>
      <w:r w:rsidRPr="0082337E">
        <w:t>.</w:t>
      </w:r>
    </w:p>
  </w:footnote>
  <w:footnote w:id="46">
    <w:p w:rsidR="000772F6" w:rsidRPr="0082337E" w:rsidRDefault="000772F6" w:rsidP="00E57ECD">
      <w:pPr>
        <w:pStyle w:val="FootnoteText"/>
      </w:pPr>
      <w:r w:rsidRPr="0082337E">
        <w:rPr>
          <w:rStyle w:val="FootnoteReference"/>
        </w:rPr>
        <w:footnoteRef/>
      </w:r>
      <w:r w:rsidRPr="0082337E">
        <w:t xml:space="preserve"> </w:t>
      </w:r>
      <w:r w:rsidRPr="0082337E">
        <w:rPr>
          <w:i/>
        </w:rPr>
        <w:t xml:space="preserve">See LDDI </w:t>
      </w:r>
      <w:r>
        <w:rPr>
          <w:i/>
        </w:rPr>
        <w:t>MO&amp;O</w:t>
      </w:r>
      <w:r w:rsidRPr="0082337E">
        <w:t>, 15 FCC Rcd at 3304, para. 19 (affirming the $40,000 penalty for cramming imposed by the Comm</w:t>
      </w:r>
      <w:r>
        <w:t xml:space="preserve">ission in the forfeiture order); </w:t>
      </w:r>
      <w:r>
        <w:rPr>
          <w:i/>
        </w:rPr>
        <w:t>Central NAL</w:t>
      </w:r>
      <w:r w:rsidR="006872A8">
        <w:t>.</w:t>
      </w:r>
      <w:r>
        <w:t xml:space="preserve"> </w:t>
      </w:r>
      <w:r w:rsidR="006872A8">
        <w:t>2014 WL 1778549, at *10,</w:t>
      </w:r>
      <w:r>
        <w:t xml:space="preserve"> para. 25;</w:t>
      </w:r>
      <w:r w:rsidRPr="00440F5A">
        <w:rPr>
          <w:i/>
        </w:rPr>
        <w:t xml:space="preserve"> USTLD NAL</w:t>
      </w:r>
      <w:r>
        <w:t xml:space="preserve">, 29 FCC Rcd at 835, para. 24; </w:t>
      </w:r>
      <w:r w:rsidRPr="00440F5A">
        <w:rPr>
          <w:i/>
        </w:rPr>
        <w:t>CTI NAL</w:t>
      </w:r>
      <w:r>
        <w:t>, 28 FCC Rcd at 17207, para. 26.</w:t>
      </w:r>
    </w:p>
  </w:footnote>
  <w:footnote w:id="47">
    <w:p w:rsidR="000772F6" w:rsidRPr="002354BC" w:rsidRDefault="000772F6" w:rsidP="00E57ECD">
      <w:pPr>
        <w:pStyle w:val="FootnoteText"/>
      </w:pPr>
      <w:r w:rsidRPr="0082337E">
        <w:rPr>
          <w:rStyle w:val="FootnoteReference"/>
        </w:rPr>
        <w:footnoteRef/>
      </w:r>
      <w:r w:rsidRPr="0082337E">
        <w:t xml:space="preserve"> The Commission has made clear that each unauthorized charge a carrier places on a consumer’s bill—or “cram”—constitutes a separate and distinct violation of Section 201(b).  </w:t>
      </w:r>
      <w:r w:rsidRPr="007944F5">
        <w:rPr>
          <w:i/>
        </w:rPr>
        <w:t>See CTI NAL</w:t>
      </w:r>
      <w:r>
        <w:t>, 28 FCC Rcd at 17208, n</w:t>
      </w:r>
      <w:r w:rsidR="006872A8">
        <w:t>.</w:t>
      </w:r>
      <w:r>
        <w:t xml:space="preserve">79 (citing </w:t>
      </w:r>
      <w:r>
        <w:rPr>
          <w:i/>
        </w:rPr>
        <w:t>NOS Commc’n</w:t>
      </w:r>
      <w:r w:rsidRPr="0082337E">
        <w:rPr>
          <w:i/>
        </w:rPr>
        <w:t>s, Inc.</w:t>
      </w:r>
      <w:r w:rsidRPr="0082337E">
        <w:t>, Notice of Apparent Liability for For</w:t>
      </w:r>
      <w:r>
        <w:t>feiture, 16 FCC Rcd 1833 (2001)</w:t>
      </w:r>
      <w:r w:rsidR="006872A8">
        <w:t>)</w:t>
      </w:r>
      <w:r>
        <w:t xml:space="preserve">; </w:t>
      </w:r>
      <w:r w:rsidRPr="00174669">
        <w:rPr>
          <w:i/>
        </w:rPr>
        <w:t>Central NAL</w:t>
      </w:r>
      <w:r w:rsidR="006872A8">
        <w:t xml:space="preserve">, 2014 WL 1778549, </w:t>
      </w:r>
      <w:r>
        <w:t>at n</w:t>
      </w:r>
      <w:r w:rsidR="006872A8">
        <w:t>.</w:t>
      </w:r>
      <w:r>
        <w:t xml:space="preserve">84 (same); </w:t>
      </w:r>
      <w:r w:rsidRPr="00174669">
        <w:rPr>
          <w:i/>
        </w:rPr>
        <w:t>USTLD NAL</w:t>
      </w:r>
      <w:r>
        <w:t>, 29 FCC Rcd at 836, n</w:t>
      </w:r>
      <w:r w:rsidR="006872A8">
        <w:t>.</w:t>
      </w:r>
      <w:r>
        <w:t>94 (same).  Based on the record in the instant case, w</w:t>
      </w:r>
      <w:r w:rsidRPr="0082337E">
        <w:t xml:space="preserve">e decline to exercise our discretion </w:t>
      </w:r>
      <w:r>
        <w:t>in that way</w:t>
      </w:r>
      <w:r w:rsidRPr="0082337E">
        <w:t xml:space="preserve"> at this time</w:t>
      </w:r>
      <w:r>
        <w:t xml:space="preserve">.  Rather, we apply an upward adjustment to the proposed forfeiture amount to take into account these additional violations.  </w:t>
      </w:r>
    </w:p>
  </w:footnote>
  <w:footnote w:id="48">
    <w:p w:rsidR="000772F6" w:rsidRDefault="000772F6">
      <w:pPr>
        <w:pStyle w:val="FootnoteText"/>
      </w:pPr>
      <w:r>
        <w:rPr>
          <w:rStyle w:val="FootnoteReference"/>
        </w:rPr>
        <w:footnoteRef/>
      </w:r>
      <w:r>
        <w:t xml:space="preserve"> </w:t>
      </w:r>
      <w:r w:rsidRPr="00974761">
        <w:rPr>
          <w:i/>
        </w:rPr>
        <w:t>Central NAL</w:t>
      </w:r>
      <w:r w:rsidR="006872A8">
        <w:t>, 2014 WL 1778549,  at</w:t>
      </w:r>
      <w:r>
        <w:t xml:space="preserve"> </w:t>
      </w:r>
      <w:r w:rsidR="006872A8">
        <w:t>*11,</w:t>
      </w:r>
      <w:r>
        <w:t xml:space="preserve"> para. 28</w:t>
      </w:r>
      <w:r w:rsidR="006872A8">
        <w:t xml:space="preserve"> (</w:t>
      </w:r>
      <w:r>
        <w:t xml:space="preserve">citing </w:t>
      </w:r>
      <w:r w:rsidRPr="00841CFD">
        <w:rPr>
          <w:i/>
        </w:rPr>
        <w:t>Main Street Telephone Co</w:t>
      </w:r>
      <w:r>
        <w:rPr>
          <w:i/>
        </w:rPr>
        <w:t>.</w:t>
      </w:r>
      <w:r>
        <w:t>, Notice of Apparent Liability for Forfeiture, 26 FCC Rcd 8853, 8861, para. 24 (2011)</w:t>
      </w:r>
      <w:r w:rsidR="006872A8">
        <w:t>)</w:t>
      </w:r>
      <w:r>
        <w:t xml:space="preserve">.  </w:t>
      </w:r>
      <w:r w:rsidRPr="00974761">
        <w:rPr>
          <w:i/>
        </w:rPr>
        <w:t xml:space="preserve">See also </w:t>
      </w:r>
      <w:r w:rsidRPr="00400259">
        <w:rPr>
          <w:i/>
        </w:rPr>
        <w:t>USTLD NAL</w:t>
      </w:r>
      <w:r>
        <w:t xml:space="preserve">, 29 FCC Rcd at 837, para. 27 (same); </w:t>
      </w:r>
      <w:r w:rsidRPr="00400259">
        <w:rPr>
          <w:i/>
        </w:rPr>
        <w:t>CTI NAL</w:t>
      </w:r>
      <w:r>
        <w:t>, 28 FCC Rcd at 17207, para. 29 (same).</w:t>
      </w:r>
    </w:p>
  </w:footnote>
  <w:footnote w:id="49">
    <w:p w:rsidR="000772F6" w:rsidRDefault="000772F6">
      <w:pPr>
        <w:pStyle w:val="FootnoteText"/>
      </w:pPr>
      <w:r>
        <w:rPr>
          <w:rStyle w:val="FootnoteReference"/>
        </w:rPr>
        <w:footnoteRef/>
      </w:r>
      <w:r>
        <w:t xml:space="preserve"> </w:t>
      </w:r>
      <w:r w:rsidRPr="002A69A0">
        <w:rPr>
          <w:i/>
        </w:rPr>
        <w:t>See, e.g., Central NAL</w:t>
      </w:r>
      <w:r w:rsidR="006872A8">
        <w:t>.</w:t>
      </w:r>
      <w:r>
        <w:t xml:space="preserve"> </w:t>
      </w:r>
      <w:r w:rsidR="006872A8">
        <w:t>2014 WL 1778549,  at *11,</w:t>
      </w:r>
      <w:r>
        <w:t xml:space="preserve"> para. 28; </w:t>
      </w:r>
      <w:r w:rsidRPr="00400259">
        <w:rPr>
          <w:i/>
        </w:rPr>
        <w:t>USTLD NAL</w:t>
      </w:r>
      <w:r>
        <w:t xml:space="preserve">, 29 FCC Rcd at 837, para. 27; </w:t>
      </w:r>
      <w:r w:rsidRPr="00400259">
        <w:rPr>
          <w:i/>
        </w:rPr>
        <w:t>CTI NAL</w:t>
      </w:r>
      <w:r>
        <w:t xml:space="preserve">, 28 FCC Rcd at 17207, para. 29; </w:t>
      </w:r>
      <w:r w:rsidRPr="00841CFD">
        <w:rPr>
          <w:i/>
        </w:rPr>
        <w:t>Main Street Telephone Co</w:t>
      </w:r>
      <w:r>
        <w:rPr>
          <w:i/>
        </w:rPr>
        <w:t>.</w:t>
      </w:r>
      <w:r>
        <w:t xml:space="preserve">, Notice of Apparent Liability for Forfeiture, 26 FCC Rcd 8853, 8861, para. 24 (2011); </w:t>
      </w:r>
      <w:r>
        <w:rPr>
          <w:i/>
        </w:rPr>
        <w:t>VoiceNet Telephone, LLC</w:t>
      </w:r>
      <w:r>
        <w:t xml:space="preserve">, Notice of Apparent Liability for Forfeiture, 26 FCC Rcd 8874, 8882, para. 24 (2011); </w:t>
      </w:r>
      <w:r>
        <w:rPr>
          <w:i/>
        </w:rPr>
        <w:t>Cheap2Dial Telephone Co.</w:t>
      </w:r>
      <w:r>
        <w:t xml:space="preserve">, Notice of Apparent Liability for Forfeiture, 26 FCC Rcd 8863, 8872, para. 25 (2011); </w:t>
      </w:r>
      <w:r>
        <w:rPr>
          <w:i/>
        </w:rPr>
        <w:t>Norristown Telephone Co., LLC</w:t>
      </w:r>
      <w:r>
        <w:t>, Notice of Apparent Liability for Forfeiture, 26 FCC Rcd 8844, 8851, para. 23 (2011).</w:t>
      </w:r>
    </w:p>
  </w:footnote>
  <w:footnote w:id="50">
    <w:p w:rsidR="000772F6" w:rsidRPr="007A6E4B" w:rsidRDefault="000772F6" w:rsidP="00E57ECD">
      <w:pPr>
        <w:pStyle w:val="FootnoteText"/>
        <w:rPr>
          <w:i/>
        </w:rPr>
      </w:pPr>
      <w:r>
        <w:rPr>
          <w:rStyle w:val="FootnoteReference"/>
        </w:rPr>
        <w:footnoteRef/>
      </w:r>
      <w:r>
        <w:t xml:space="preserve"> </w:t>
      </w:r>
      <w:r w:rsidRPr="007A6E4B">
        <w:t>In the future we may also seek to revoke a carrier’s authorization</w:t>
      </w:r>
      <w:r>
        <w:t>.</w:t>
      </w:r>
      <w:r w:rsidRPr="007A6E4B">
        <w:t xml:space="preserve"> </w:t>
      </w:r>
      <w:r>
        <w:rPr>
          <w:i/>
        </w:rPr>
        <w:t>See C</w:t>
      </w:r>
      <w:r w:rsidR="006872A8">
        <w:rPr>
          <w:i/>
        </w:rPr>
        <w:t>C</w:t>
      </w:r>
      <w:r>
        <w:rPr>
          <w:i/>
        </w:rPr>
        <w:t>N Revocation Order</w:t>
      </w:r>
      <w:r w:rsidRPr="007A6E4B">
        <w:t>, 13 FCC Rcd</w:t>
      </w:r>
      <w:r>
        <w:t xml:space="preserve"> 13599 (1998) (revoking a company’s operating authority under Section 214 for repeatedly slamming consumers).</w:t>
      </w:r>
    </w:p>
  </w:footnote>
  <w:footnote w:id="51">
    <w:p w:rsidR="000772F6" w:rsidRPr="00F07BA5" w:rsidRDefault="000772F6" w:rsidP="00E57ECD">
      <w:pPr>
        <w:pStyle w:val="FootnoteText"/>
      </w:pPr>
      <w:r w:rsidRPr="00F07BA5">
        <w:rPr>
          <w:rStyle w:val="FootnoteReference"/>
        </w:rPr>
        <w:footnoteRef/>
      </w:r>
      <w:r w:rsidRPr="00F07BA5">
        <w:t xml:space="preserve"> </w:t>
      </w:r>
      <w:r w:rsidRPr="00F07BA5">
        <w:rPr>
          <w:rFonts w:eastAsia="MS Mincho"/>
        </w:rPr>
        <w:t>An FCC Form 159 and detailed instructions for completing the form may be obtained at http://www.fcc.gov/Forms/Form159/159.pdf.</w:t>
      </w:r>
    </w:p>
  </w:footnote>
  <w:footnote w:id="52">
    <w:p w:rsidR="000772F6" w:rsidRPr="00F07BA5" w:rsidRDefault="000772F6" w:rsidP="00E57ECD">
      <w:pPr>
        <w:pStyle w:val="FootnoteText"/>
      </w:pPr>
      <w:r w:rsidRPr="00F07BA5">
        <w:rPr>
          <w:rStyle w:val="FootnoteReference"/>
        </w:rPr>
        <w:footnoteRef/>
      </w:r>
      <w:r w:rsidRPr="00F07BA5">
        <w:t xml:space="preserve"> </w:t>
      </w:r>
      <w:r w:rsidRPr="00F07BA5">
        <w:rPr>
          <w:i/>
        </w:rPr>
        <w:t>See</w:t>
      </w:r>
      <w:r w:rsidRPr="00F07BA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9D" w:rsidRDefault="00940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6" w:rsidRDefault="000772F6">
    <w:pPr>
      <w:pStyle w:val="Header"/>
      <w:pBdr>
        <w:bottom w:val="single" w:sz="12" w:space="1" w:color="auto"/>
      </w:pBdr>
      <w:rPr>
        <w:b w:val="0"/>
      </w:rPr>
    </w:pPr>
    <w:r>
      <w:tab/>
      <w:t>Federal Communications Commission</w:t>
    </w:r>
    <w:r>
      <w:tab/>
    </w:r>
    <w:r w:rsidR="000D32C2">
      <w:t>FCC 14-100</w:t>
    </w:r>
  </w:p>
  <w:p w:rsidR="000772F6" w:rsidRDefault="000772F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45DD21DA" wp14:editId="4F68893A">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0772F6" w:rsidRDefault="000772F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6" w:rsidRDefault="000772F6">
    <w:pPr>
      <w:pStyle w:val="Header"/>
      <w:pBdr>
        <w:bottom w:val="single" w:sz="12" w:space="1" w:color="auto"/>
      </w:pBdr>
      <w:rPr>
        <w:b w:val="0"/>
      </w:rPr>
    </w:pPr>
    <w:r>
      <w:tab/>
      <w:t>Federal Communications Commission</w:t>
    </w:r>
    <w:r>
      <w:tab/>
    </w:r>
    <w:r w:rsidR="000D32C2">
      <w:t>FCC 14-100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F2304F7"/>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08904B5"/>
    <w:multiLevelType w:val="hybridMultilevel"/>
    <w:tmpl w:val="7D26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9"/>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
  </w:num>
  <w:num w:numId="24">
    <w:abstractNumId w:val="5"/>
  </w:num>
  <w:num w:numId="25">
    <w:abstractNumId w:val="2"/>
  </w:num>
  <w:num w:numId="26">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a Savir">
    <w15:presenceInfo w15:providerId="Windows Live" w15:userId="771a5602873cf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68"/>
    <w:rsid w:val="00007227"/>
    <w:rsid w:val="000255F3"/>
    <w:rsid w:val="0002608E"/>
    <w:rsid w:val="000277BB"/>
    <w:rsid w:val="000277EC"/>
    <w:rsid w:val="00030FD0"/>
    <w:rsid w:val="00036039"/>
    <w:rsid w:val="00037F90"/>
    <w:rsid w:val="00047598"/>
    <w:rsid w:val="000550CE"/>
    <w:rsid w:val="000558CC"/>
    <w:rsid w:val="000709A2"/>
    <w:rsid w:val="000712E4"/>
    <w:rsid w:val="00072DC7"/>
    <w:rsid w:val="00072F3D"/>
    <w:rsid w:val="00074718"/>
    <w:rsid w:val="0007628F"/>
    <w:rsid w:val="000772F6"/>
    <w:rsid w:val="00086318"/>
    <w:rsid w:val="00086586"/>
    <w:rsid w:val="00086E33"/>
    <w:rsid w:val="000875BF"/>
    <w:rsid w:val="00090C6D"/>
    <w:rsid w:val="00092015"/>
    <w:rsid w:val="000934C7"/>
    <w:rsid w:val="00096D8C"/>
    <w:rsid w:val="000A1124"/>
    <w:rsid w:val="000A2295"/>
    <w:rsid w:val="000A306C"/>
    <w:rsid w:val="000A55BD"/>
    <w:rsid w:val="000A56E7"/>
    <w:rsid w:val="000A7CC1"/>
    <w:rsid w:val="000B53E9"/>
    <w:rsid w:val="000B5CD5"/>
    <w:rsid w:val="000B77DE"/>
    <w:rsid w:val="000B7940"/>
    <w:rsid w:val="000C0B65"/>
    <w:rsid w:val="000C1A7E"/>
    <w:rsid w:val="000C37C2"/>
    <w:rsid w:val="000D32C2"/>
    <w:rsid w:val="000D38E6"/>
    <w:rsid w:val="000E17A4"/>
    <w:rsid w:val="000E301E"/>
    <w:rsid w:val="000E3D42"/>
    <w:rsid w:val="000E45F8"/>
    <w:rsid w:val="000E7912"/>
    <w:rsid w:val="000E7CC6"/>
    <w:rsid w:val="000E7D8A"/>
    <w:rsid w:val="000F5980"/>
    <w:rsid w:val="000F602D"/>
    <w:rsid w:val="001001E7"/>
    <w:rsid w:val="00103B65"/>
    <w:rsid w:val="00105010"/>
    <w:rsid w:val="00107B1C"/>
    <w:rsid w:val="00110FB6"/>
    <w:rsid w:val="00112619"/>
    <w:rsid w:val="0011384D"/>
    <w:rsid w:val="00113F2F"/>
    <w:rsid w:val="001143A3"/>
    <w:rsid w:val="00116D61"/>
    <w:rsid w:val="00117E33"/>
    <w:rsid w:val="00122BD5"/>
    <w:rsid w:val="00124E47"/>
    <w:rsid w:val="00126843"/>
    <w:rsid w:val="00127FEC"/>
    <w:rsid w:val="00131A02"/>
    <w:rsid w:val="00131A86"/>
    <w:rsid w:val="00131D35"/>
    <w:rsid w:val="00133228"/>
    <w:rsid w:val="00136FA7"/>
    <w:rsid w:val="00140F4F"/>
    <w:rsid w:val="00142360"/>
    <w:rsid w:val="0014396F"/>
    <w:rsid w:val="0014478C"/>
    <w:rsid w:val="001511C9"/>
    <w:rsid w:val="00152085"/>
    <w:rsid w:val="001620BE"/>
    <w:rsid w:val="00164F8B"/>
    <w:rsid w:val="00171F0D"/>
    <w:rsid w:val="00174669"/>
    <w:rsid w:val="00174B01"/>
    <w:rsid w:val="00176828"/>
    <w:rsid w:val="001813E6"/>
    <w:rsid w:val="00181C50"/>
    <w:rsid w:val="00181F6E"/>
    <w:rsid w:val="001875EB"/>
    <w:rsid w:val="0018780D"/>
    <w:rsid w:val="0019295B"/>
    <w:rsid w:val="00192DE3"/>
    <w:rsid w:val="00197B51"/>
    <w:rsid w:val="001A4632"/>
    <w:rsid w:val="001A70B8"/>
    <w:rsid w:val="001B2F75"/>
    <w:rsid w:val="001B5A5D"/>
    <w:rsid w:val="001B61BC"/>
    <w:rsid w:val="001C20ED"/>
    <w:rsid w:val="001C2B56"/>
    <w:rsid w:val="001D24A4"/>
    <w:rsid w:val="001D6BCF"/>
    <w:rsid w:val="001D6C10"/>
    <w:rsid w:val="001E01CA"/>
    <w:rsid w:val="001E0BFE"/>
    <w:rsid w:val="001E3567"/>
    <w:rsid w:val="001E3D4E"/>
    <w:rsid w:val="001E48E3"/>
    <w:rsid w:val="001F402E"/>
    <w:rsid w:val="0020455E"/>
    <w:rsid w:val="0021251B"/>
    <w:rsid w:val="00213D1D"/>
    <w:rsid w:val="00214610"/>
    <w:rsid w:val="00214A14"/>
    <w:rsid w:val="00215470"/>
    <w:rsid w:val="00215A23"/>
    <w:rsid w:val="00216251"/>
    <w:rsid w:val="0022202A"/>
    <w:rsid w:val="002224C1"/>
    <w:rsid w:val="002243DD"/>
    <w:rsid w:val="00227520"/>
    <w:rsid w:val="002277F5"/>
    <w:rsid w:val="002354BC"/>
    <w:rsid w:val="00236387"/>
    <w:rsid w:val="00242D2B"/>
    <w:rsid w:val="00246F56"/>
    <w:rsid w:val="002562A0"/>
    <w:rsid w:val="00257B12"/>
    <w:rsid w:val="002606EA"/>
    <w:rsid w:val="00261D58"/>
    <w:rsid w:val="00261E5C"/>
    <w:rsid w:val="0026208E"/>
    <w:rsid w:val="00262A89"/>
    <w:rsid w:val="00265269"/>
    <w:rsid w:val="002659FB"/>
    <w:rsid w:val="00266BC8"/>
    <w:rsid w:val="00270C29"/>
    <w:rsid w:val="00273148"/>
    <w:rsid w:val="0028066F"/>
    <w:rsid w:val="0028443D"/>
    <w:rsid w:val="00285017"/>
    <w:rsid w:val="00287F23"/>
    <w:rsid w:val="00296977"/>
    <w:rsid w:val="002A1E87"/>
    <w:rsid w:val="002A2D2E"/>
    <w:rsid w:val="002A562E"/>
    <w:rsid w:val="002A577E"/>
    <w:rsid w:val="002A663B"/>
    <w:rsid w:val="002A69A0"/>
    <w:rsid w:val="002B0D64"/>
    <w:rsid w:val="002B1C24"/>
    <w:rsid w:val="002C1A82"/>
    <w:rsid w:val="002C1E3D"/>
    <w:rsid w:val="002C20FC"/>
    <w:rsid w:val="002C683B"/>
    <w:rsid w:val="002D03FA"/>
    <w:rsid w:val="002D18B6"/>
    <w:rsid w:val="002D2D8E"/>
    <w:rsid w:val="002D7091"/>
    <w:rsid w:val="002D7442"/>
    <w:rsid w:val="002E31DA"/>
    <w:rsid w:val="002E4FAA"/>
    <w:rsid w:val="002E5C6B"/>
    <w:rsid w:val="002F1681"/>
    <w:rsid w:val="002F5FA9"/>
    <w:rsid w:val="002F6315"/>
    <w:rsid w:val="003030BD"/>
    <w:rsid w:val="00304907"/>
    <w:rsid w:val="00305A76"/>
    <w:rsid w:val="003141E3"/>
    <w:rsid w:val="00324411"/>
    <w:rsid w:val="003250AB"/>
    <w:rsid w:val="0033119A"/>
    <w:rsid w:val="003350E0"/>
    <w:rsid w:val="003357D9"/>
    <w:rsid w:val="00335F21"/>
    <w:rsid w:val="00337A3D"/>
    <w:rsid w:val="00343191"/>
    <w:rsid w:val="00343749"/>
    <w:rsid w:val="00345219"/>
    <w:rsid w:val="00347CCD"/>
    <w:rsid w:val="003556D4"/>
    <w:rsid w:val="00361691"/>
    <w:rsid w:val="00366991"/>
    <w:rsid w:val="00367004"/>
    <w:rsid w:val="0036717D"/>
    <w:rsid w:val="003676FA"/>
    <w:rsid w:val="00375547"/>
    <w:rsid w:val="003755EE"/>
    <w:rsid w:val="003775C9"/>
    <w:rsid w:val="003818B3"/>
    <w:rsid w:val="003818DB"/>
    <w:rsid w:val="00383D1B"/>
    <w:rsid w:val="00386007"/>
    <w:rsid w:val="00386BE8"/>
    <w:rsid w:val="00387AA5"/>
    <w:rsid w:val="00396766"/>
    <w:rsid w:val="0039726E"/>
    <w:rsid w:val="003A051D"/>
    <w:rsid w:val="003A3E79"/>
    <w:rsid w:val="003A4475"/>
    <w:rsid w:val="003B0550"/>
    <w:rsid w:val="003B07A5"/>
    <w:rsid w:val="003B159E"/>
    <w:rsid w:val="003B3720"/>
    <w:rsid w:val="003B59F5"/>
    <w:rsid w:val="003B619E"/>
    <w:rsid w:val="003B6640"/>
    <w:rsid w:val="003B694F"/>
    <w:rsid w:val="003B6BE6"/>
    <w:rsid w:val="003B7CA2"/>
    <w:rsid w:val="003B7EA8"/>
    <w:rsid w:val="003C3A91"/>
    <w:rsid w:val="003D0317"/>
    <w:rsid w:val="003D0A3E"/>
    <w:rsid w:val="003D1806"/>
    <w:rsid w:val="003D2395"/>
    <w:rsid w:val="003D4D97"/>
    <w:rsid w:val="003E0250"/>
    <w:rsid w:val="003E45A0"/>
    <w:rsid w:val="003F083A"/>
    <w:rsid w:val="003F171C"/>
    <w:rsid w:val="003F22B4"/>
    <w:rsid w:val="003F3777"/>
    <w:rsid w:val="00400259"/>
    <w:rsid w:val="00405FBC"/>
    <w:rsid w:val="004064D8"/>
    <w:rsid w:val="004126B1"/>
    <w:rsid w:val="00412FC5"/>
    <w:rsid w:val="00412FE3"/>
    <w:rsid w:val="004141E1"/>
    <w:rsid w:val="00414B83"/>
    <w:rsid w:val="00415C72"/>
    <w:rsid w:val="00420DFE"/>
    <w:rsid w:val="00422276"/>
    <w:rsid w:val="004230BA"/>
    <w:rsid w:val="004242F1"/>
    <w:rsid w:val="00424D42"/>
    <w:rsid w:val="004372A1"/>
    <w:rsid w:val="00440F5A"/>
    <w:rsid w:val="00443F8F"/>
    <w:rsid w:val="00445A00"/>
    <w:rsid w:val="00451B0F"/>
    <w:rsid w:val="00453F80"/>
    <w:rsid w:val="00457CE4"/>
    <w:rsid w:val="00486460"/>
    <w:rsid w:val="004925EC"/>
    <w:rsid w:val="004A3D57"/>
    <w:rsid w:val="004A3FC5"/>
    <w:rsid w:val="004A4D89"/>
    <w:rsid w:val="004B695C"/>
    <w:rsid w:val="004C2EE3"/>
    <w:rsid w:val="004C3912"/>
    <w:rsid w:val="004C67CF"/>
    <w:rsid w:val="004C6B19"/>
    <w:rsid w:val="004E4A22"/>
    <w:rsid w:val="004F023F"/>
    <w:rsid w:val="004F7BA5"/>
    <w:rsid w:val="00503BD8"/>
    <w:rsid w:val="005062D3"/>
    <w:rsid w:val="00511968"/>
    <w:rsid w:val="0051668B"/>
    <w:rsid w:val="005170A6"/>
    <w:rsid w:val="005251DE"/>
    <w:rsid w:val="00530716"/>
    <w:rsid w:val="005366B7"/>
    <w:rsid w:val="00541AF7"/>
    <w:rsid w:val="00544AAB"/>
    <w:rsid w:val="005450E6"/>
    <w:rsid w:val="00552B0A"/>
    <w:rsid w:val="0055614C"/>
    <w:rsid w:val="00565028"/>
    <w:rsid w:val="005707C7"/>
    <w:rsid w:val="00575A19"/>
    <w:rsid w:val="005766A3"/>
    <w:rsid w:val="0057765D"/>
    <w:rsid w:val="005814E0"/>
    <w:rsid w:val="0058226C"/>
    <w:rsid w:val="00583416"/>
    <w:rsid w:val="0058671C"/>
    <w:rsid w:val="00587EAB"/>
    <w:rsid w:val="005909A8"/>
    <w:rsid w:val="0059563F"/>
    <w:rsid w:val="00595C96"/>
    <w:rsid w:val="005A2B3E"/>
    <w:rsid w:val="005B677C"/>
    <w:rsid w:val="005B73F5"/>
    <w:rsid w:val="005C1E69"/>
    <w:rsid w:val="005D1035"/>
    <w:rsid w:val="005D2C1D"/>
    <w:rsid w:val="005D401A"/>
    <w:rsid w:val="005D5D51"/>
    <w:rsid w:val="005E1E97"/>
    <w:rsid w:val="005E4214"/>
    <w:rsid w:val="005E4D20"/>
    <w:rsid w:val="00607BA5"/>
    <w:rsid w:val="006100FD"/>
    <w:rsid w:val="006109F5"/>
    <w:rsid w:val="006110C0"/>
    <w:rsid w:val="0061264D"/>
    <w:rsid w:val="00612811"/>
    <w:rsid w:val="006153DD"/>
    <w:rsid w:val="0061791D"/>
    <w:rsid w:val="00622EA0"/>
    <w:rsid w:val="00626EB6"/>
    <w:rsid w:val="0063081A"/>
    <w:rsid w:val="006323E6"/>
    <w:rsid w:val="00633CF2"/>
    <w:rsid w:val="00634549"/>
    <w:rsid w:val="006352F1"/>
    <w:rsid w:val="00643E4E"/>
    <w:rsid w:val="00651D0A"/>
    <w:rsid w:val="00653738"/>
    <w:rsid w:val="00654F46"/>
    <w:rsid w:val="0065527A"/>
    <w:rsid w:val="006559B9"/>
    <w:rsid w:val="00655D03"/>
    <w:rsid w:val="0066043A"/>
    <w:rsid w:val="0066279F"/>
    <w:rsid w:val="006664FC"/>
    <w:rsid w:val="006724B5"/>
    <w:rsid w:val="00680039"/>
    <w:rsid w:val="00683051"/>
    <w:rsid w:val="00683F84"/>
    <w:rsid w:val="006872A8"/>
    <w:rsid w:val="006905A5"/>
    <w:rsid w:val="00690DE6"/>
    <w:rsid w:val="006910B9"/>
    <w:rsid w:val="0069199E"/>
    <w:rsid w:val="006960ED"/>
    <w:rsid w:val="006A5012"/>
    <w:rsid w:val="006A56DF"/>
    <w:rsid w:val="006A6A81"/>
    <w:rsid w:val="006B2E40"/>
    <w:rsid w:val="006B71E7"/>
    <w:rsid w:val="006B76FA"/>
    <w:rsid w:val="006C0E98"/>
    <w:rsid w:val="006C0F09"/>
    <w:rsid w:val="006C1C8F"/>
    <w:rsid w:val="006C719F"/>
    <w:rsid w:val="006C7D8E"/>
    <w:rsid w:val="006D3AB9"/>
    <w:rsid w:val="006D4949"/>
    <w:rsid w:val="006D5369"/>
    <w:rsid w:val="006E13D1"/>
    <w:rsid w:val="006E583C"/>
    <w:rsid w:val="006F03F9"/>
    <w:rsid w:val="006F4B53"/>
    <w:rsid w:val="006F7393"/>
    <w:rsid w:val="006F7458"/>
    <w:rsid w:val="0070224F"/>
    <w:rsid w:val="00704D8A"/>
    <w:rsid w:val="007059DD"/>
    <w:rsid w:val="00705AD2"/>
    <w:rsid w:val="007063EC"/>
    <w:rsid w:val="0070720E"/>
    <w:rsid w:val="00710F4E"/>
    <w:rsid w:val="007115F7"/>
    <w:rsid w:val="00711B8D"/>
    <w:rsid w:val="00711D02"/>
    <w:rsid w:val="00714419"/>
    <w:rsid w:val="00714FF0"/>
    <w:rsid w:val="007228BE"/>
    <w:rsid w:val="007263D5"/>
    <w:rsid w:val="007269FE"/>
    <w:rsid w:val="00731665"/>
    <w:rsid w:val="0073441A"/>
    <w:rsid w:val="007358D8"/>
    <w:rsid w:val="0074041C"/>
    <w:rsid w:val="00742541"/>
    <w:rsid w:val="007428BC"/>
    <w:rsid w:val="00742FB2"/>
    <w:rsid w:val="007433CF"/>
    <w:rsid w:val="007504E1"/>
    <w:rsid w:val="007508EE"/>
    <w:rsid w:val="00754E33"/>
    <w:rsid w:val="0076081A"/>
    <w:rsid w:val="00761A09"/>
    <w:rsid w:val="007665F4"/>
    <w:rsid w:val="0077008E"/>
    <w:rsid w:val="00775A78"/>
    <w:rsid w:val="007811E4"/>
    <w:rsid w:val="00785689"/>
    <w:rsid w:val="00793106"/>
    <w:rsid w:val="007933C5"/>
    <w:rsid w:val="007944F5"/>
    <w:rsid w:val="00796FEB"/>
    <w:rsid w:val="0079754B"/>
    <w:rsid w:val="007A1330"/>
    <w:rsid w:val="007A1E6D"/>
    <w:rsid w:val="007A41EA"/>
    <w:rsid w:val="007A48E6"/>
    <w:rsid w:val="007B427D"/>
    <w:rsid w:val="007C4672"/>
    <w:rsid w:val="007E0260"/>
    <w:rsid w:val="007E3B21"/>
    <w:rsid w:val="007E5703"/>
    <w:rsid w:val="007E6502"/>
    <w:rsid w:val="007E69FF"/>
    <w:rsid w:val="007F392E"/>
    <w:rsid w:val="007F59AC"/>
    <w:rsid w:val="00801E42"/>
    <w:rsid w:val="0080440B"/>
    <w:rsid w:val="00804F34"/>
    <w:rsid w:val="00805F43"/>
    <w:rsid w:val="008064DD"/>
    <w:rsid w:val="00811BC9"/>
    <w:rsid w:val="00816181"/>
    <w:rsid w:val="008172A2"/>
    <w:rsid w:val="00822CE0"/>
    <w:rsid w:val="00822D2E"/>
    <w:rsid w:val="00825879"/>
    <w:rsid w:val="008273B0"/>
    <w:rsid w:val="00834513"/>
    <w:rsid w:val="00836603"/>
    <w:rsid w:val="00841AB1"/>
    <w:rsid w:val="0084376C"/>
    <w:rsid w:val="00857D3C"/>
    <w:rsid w:val="00863998"/>
    <w:rsid w:val="00867717"/>
    <w:rsid w:val="00871994"/>
    <w:rsid w:val="00872D6C"/>
    <w:rsid w:val="00874E80"/>
    <w:rsid w:val="00874F63"/>
    <w:rsid w:val="008824D9"/>
    <w:rsid w:val="00882C9D"/>
    <w:rsid w:val="008866F6"/>
    <w:rsid w:val="00886D64"/>
    <w:rsid w:val="00891A39"/>
    <w:rsid w:val="00894940"/>
    <w:rsid w:val="008A43C1"/>
    <w:rsid w:val="008A51FD"/>
    <w:rsid w:val="008A67D3"/>
    <w:rsid w:val="008A7659"/>
    <w:rsid w:val="008B0360"/>
    <w:rsid w:val="008B6CD6"/>
    <w:rsid w:val="008C2B8A"/>
    <w:rsid w:val="008C52F3"/>
    <w:rsid w:val="008D310B"/>
    <w:rsid w:val="008E0521"/>
    <w:rsid w:val="008E3ECC"/>
    <w:rsid w:val="008F02F5"/>
    <w:rsid w:val="008F07E2"/>
    <w:rsid w:val="008F54C7"/>
    <w:rsid w:val="0090177D"/>
    <w:rsid w:val="00905304"/>
    <w:rsid w:val="00910C35"/>
    <w:rsid w:val="009118C1"/>
    <w:rsid w:val="00917397"/>
    <w:rsid w:val="00921803"/>
    <w:rsid w:val="0092344D"/>
    <w:rsid w:val="0092392C"/>
    <w:rsid w:val="00926503"/>
    <w:rsid w:val="00932FE8"/>
    <w:rsid w:val="009362A5"/>
    <w:rsid w:val="009405B8"/>
    <w:rsid w:val="0094089D"/>
    <w:rsid w:val="0094095C"/>
    <w:rsid w:val="00940D88"/>
    <w:rsid w:val="00941343"/>
    <w:rsid w:val="009473D9"/>
    <w:rsid w:val="009551EE"/>
    <w:rsid w:val="00957F6C"/>
    <w:rsid w:val="0096114E"/>
    <w:rsid w:val="00963152"/>
    <w:rsid w:val="00966B86"/>
    <w:rsid w:val="009704B4"/>
    <w:rsid w:val="00974761"/>
    <w:rsid w:val="009836B0"/>
    <w:rsid w:val="00990864"/>
    <w:rsid w:val="00990ECB"/>
    <w:rsid w:val="00992C7E"/>
    <w:rsid w:val="00993072"/>
    <w:rsid w:val="00995B7B"/>
    <w:rsid w:val="0099704D"/>
    <w:rsid w:val="009A3F1B"/>
    <w:rsid w:val="009B2AC6"/>
    <w:rsid w:val="009B3C7C"/>
    <w:rsid w:val="009C156A"/>
    <w:rsid w:val="009C4DD8"/>
    <w:rsid w:val="009D0412"/>
    <w:rsid w:val="009D1F98"/>
    <w:rsid w:val="009D6BA2"/>
    <w:rsid w:val="009D7905"/>
    <w:rsid w:val="009D7EE5"/>
    <w:rsid w:val="009E2A14"/>
    <w:rsid w:val="009E49B4"/>
    <w:rsid w:val="009E57F6"/>
    <w:rsid w:val="009E607D"/>
    <w:rsid w:val="009F006C"/>
    <w:rsid w:val="009F1473"/>
    <w:rsid w:val="009F15E8"/>
    <w:rsid w:val="00A0091D"/>
    <w:rsid w:val="00A11117"/>
    <w:rsid w:val="00A117A4"/>
    <w:rsid w:val="00A153D1"/>
    <w:rsid w:val="00A23C39"/>
    <w:rsid w:val="00A25B96"/>
    <w:rsid w:val="00A27F4E"/>
    <w:rsid w:val="00A34D5B"/>
    <w:rsid w:val="00A35115"/>
    <w:rsid w:val="00A36DB4"/>
    <w:rsid w:val="00A433BC"/>
    <w:rsid w:val="00A45F4F"/>
    <w:rsid w:val="00A53CFB"/>
    <w:rsid w:val="00A543AA"/>
    <w:rsid w:val="00A600A9"/>
    <w:rsid w:val="00A602CB"/>
    <w:rsid w:val="00A6393D"/>
    <w:rsid w:val="00A67163"/>
    <w:rsid w:val="00A700F7"/>
    <w:rsid w:val="00A72939"/>
    <w:rsid w:val="00A7332B"/>
    <w:rsid w:val="00A80272"/>
    <w:rsid w:val="00A83BFB"/>
    <w:rsid w:val="00A90A97"/>
    <w:rsid w:val="00A90EAC"/>
    <w:rsid w:val="00A96D03"/>
    <w:rsid w:val="00AA00F2"/>
    <w:rsid w:val="00AA16C4"/>
    <w:rsid w:val="00AA2AE2"/>
    <w:rsid w:val="00AA4FCD"/>
    <w:rsid w:val="00AA527B"/>
    <w:rsid w:val="00AA55B7"/>
    <w:rsid w:val="00AA5B9E"/>
    <w:rsid w:val="00AB1DF1"/>
    <w:rsid w:val="00AB2368"/>
    <w:rsid w:val="00AB2407"/>
    <w:rsid w:val="00AB3422"/>
    <w:rsid w:val="00AB53DF"/>
    <w:rsid w:val="00AC1272"/>
    <w:rsid w:val="00AC2463"/>
    <w:rsid w:val="00AE630B"/>
    <w:rsid w:val="00AE72DA"/>
    <w:rsid w:val="00AF04AC"/>
    <w:rsid w:val="00AF38CF"/>
    <w:rsid w:val="00AF5B33"/>
    <w:rsid w:val="00AF61BE"/>
    <w:rsid w:val="00AF72E7"/>
    <w:rsid w:val="00B014E6"/>
    <w:rsid w:val="00B07E5C"/>
    <w:rsid w:val="00B1101D"/>
    <w:rsid w:val="00B12639"/>
    <w:rsid w:val="00B13804"/>
    <w:rsid w:val="00B1467B"/>
    <w:rsid w:val="00B2024B"/>
    <w:rsid w:val="00B20D01"/>
    <w:rsid w:val="00B20F9D"/>
    <w:rsid w:val="00B22D72"/>
    <w:rsid w:val="00B53B72"/>
    <w:rsid w:val="00B55263"/>
    <w:rsid w:val="00B56E35"/>
    <w:rsid w:val="00B62009"/>
    <w:rsid w:val="00B62116"/>
    <w:rsid w:val="00B62467"/>
    <w:rsid w:val="00B70189"/>
    <w:rsid w:val="00B72399"/>
    <w:rsid w:val="00B7298D"/>
    <w:rsid w:val="00B811F7"/>
    <w:rsid w:val="00B815AB"/>
    <w:rsid w:val="00B825EB"/>
    <w:rsid w:val="00B85E89"/>
    <w:rsid w:val="00B9035F"/>
    <w:rsid w:val="00B90E92"/>
    <w:rsid w:val="00B95E25"/>
    <w:rsid w:val="00B97C04"/>
    <w:rsid w:val="00BA0FC6"/>
    <w:rsid w:val="00BA1D44"/>
    <w:rsid w:val="00BA2C55"/>
    <w:rsid w:val="00BA5DC6"/>
    <w:rsid w:val="00BA6196"/>
    <w:rsid w:val="00BA7B9F"/>
    <w:rsid w:val="00BB7F21"/>
    <w:rsid w:val="00BC16E2"/>
    <w:rsid w:val="00BC6D8C"/>
    <w:rsid w:val="00BD5515"/>
    <w:rsid w:val="00BD6002"/>
    <w:rsid w:val="00BE06E4"/>
    <w:rsid w:val="00BE13FA"/>
    <w:rsid w:val="00BF4378"/>
    <w:rsid w:val="00BF455A"/>
    <w:rsid w:val="00C0417B"/>
    <w:rsid w:val="00C0482B"/>
    <w:rsid w:val="00C05096"/>
    <w:rsid w:val="00C108F7"/>
    <w:rsid w:val="00C13026"/>
    <w:rsid w:val="00C1633C"/>
    <w:rsid w:val="00C17171"/>
    <w:rsid w:val="00C26261"/>
    <w:rsid w:val="00C31740"/>
    <w:rsid w:val="00C33286"/>
    <w:rsid w:val="00C34006"/>
    <w:rsid w:val="00C375A0"/>
    <w:rsid w:val="00C426B1"/>
    <w:rsid w:val="00C44726"/>
    <w:rsid w:val="00C46D93"/>
    <w:rsid w:val="00C5151D"/>
    <w:rsid w:val="00C52EB1"/>
    <w:rsid w:val="00C54D47"/>
    <w:rsid w:val="00C60142"/>
    <w:rsid w:val="00C64E67"/>
    <w:rsid w:val="00C66AAF"/>
    <w:rsid w:val="00C67AE4"/>
    <w:rsid w:val="00C76797"/>
    <w:rsid w:val="00C77D20"/>
    <w:rsid w:val="00C8078C"/>
    <w:rsid w:val="00C82469"/>
    <w:rsid w:val="00C826FD"/>
    <w:rsid w:val="00C8492F"/>
    <w:rsid w:val="00C90D6A"/>
    <w:rsid w:val="00C928E6"/>
    <w:rsid w:val="00CA247E"/>
    <w:rsid w:val="00CA5B7C"/>
    <w:rsid w:val="00CC2B9C"/>
    <w:rsid w:val="00CC2F94"/>
    <w:rsid w:val="00CC72B6"/>
    <w:rsid w:val="00CD0EF6"/>
    <w:rsid w:val="00CD19CE"/>
    <w:rsid w:val="00CD1D73"/>
    <w:rsid w:val="00CE6E4A"/>
    <w:rsid w:val="00CE7640"/>
    <w:rsid w:val="00CE7A77"/>
    <w:rsid w:val="00CF19E7"/>
    <w:rsid w:val="00CF3DAB"/>
    <w:rsid w:val="00D00DC8"/>
    <w:rsid w:val="00D0218D"/>
    <w:rsid w:val="00D02DB8"/>
    <w:rsid w:val="00D05774"/>
    <w:rsid w:val="00D0750F"/>
    <w:rsid w:val="00D14BCB"/>
    <w:rsid w:val="00D16D94"/>
    <w:rsid w:val="00D20037"/>
    <w:rsid w:val="00D21C0A"/>
    <w:rsid w:val="00D223F9"/>
    <w:rsid w:val="00D31D7F"/>
    <w:rsid w:val="00D327E3"/>
    <w:rsid w:val="00D404D4"/>
    <w:rsid w:val="00D51AE5"/>
    <w:rsid w:val="00D53FFF"/>
    <w:rsid w:val="00D54BC9"/>
    <w:rsid w:val="00D61551"/>
    <w:rsid w:val="00D6459E"/>
    <w:rsid w:val="00D72A4C"/>
    <w:rsid w:val="00D74475"/>
    <w:rsid w:val="00D76A82"/>
    <w:rsid w:val="00D83513"/>
    <w:rsid w:val="00D846F1"/>
    <w:rsid w:val="00D866C5"/>
    <w:rsid w:val="00D93DF0"/>
    <w:rsid w:val="00DA2529"/>
    <w:rsid w:val="00DA4A06"/>
    <w:rsid w:val="00DB130A"/>
    <w:rsid w:val="00DC000B"/>
    <w:rsid w:val="00DC10A1"/>
    <w:rsid w:val="00DC222F"/>
    <w:rsid w:val="00DC4061"/>
    <w:rsid w:val="00DC655F"/>
    <w:rsid w:val="00DD0330"/>
    <w:rsid w:val="00DD0B59"/>
    <w:rsid w:val="00DD0D1C"/>
    <w:rsid w:val="00DD6D02"/>
    <w:rsid w:val="00DD7EBD"/>
    <w:rsid w:val="00DE169B"/>
    <w:rsid w:val="00DE584E"/>
    <w:rsid w:val="00DE7346"/>
    <w:rsid w:val="00DE750C"/>
    <w:rsid w:val="00DF20EA"/>
    <w:rsid w:val="00DF62B6"/>
    <w:rsid w:val="00DF6C81"/>
    <w:rsid w:val="00E06457"/>
    <w:rsid w:val="00E07225"/>
    <w:rsid w:val="00E101E7"/>
    <w:rsid w:val="00E11937"/>
    <w:rsid w:val="00E17906"/>
    <w:rsid w:val="00E2098A"/>
    <w:rsid w:val="00E264AF"/>
    <w:rsid w:val="00E30CCF"/>
    <w:rsid w:val="00E31051"/>
    <w:rsid w:val="00E362C9"/>
    <w:rsid w:val="00E36C32"/>
    <w:rsid w:val="00E41712"/>
    <w:rsid w:val="00E43560"/>
    <w:rsid w:val="00E44F19"/>
    <w:rsid w:val="00E47512"/>
    <w:rsid w:val="00E5409F"/>
    <w:rsid w:val="00E55734"/>
    <w:rsid w:val="00E57ECD"/>
    <w:rsid w:val="00E627FF"/>
    <w:rsid w:val="00E64615"/>
    <w:rsid w:val="00E6528E"/>
    <w:rsid w:val="00E734D2"/>
    <w:rsid w:val="00E744A2"/>
    <w:rsid w:val="00E74F6C"/>
    <w:rsid w:val="00E7704F"/>
    <w:rsid w:val="00E801B3"/>
    <w:rsid w:val="00E81C4B"/>
    <w:rsid w:val="00E827AD"/>
    <w:rsid w:val="00E839C5"/>
    <w:rsid w:val="00E86D1F"/>
    <w:rsid w:val="00E87898"/>
    <w:rsid w:val="00E87AD9"/>
    <w:rsid w:val="00E90568"/>
    <w:rsid w:val="00E91DEA"/>
    <w:rsid w:val="00E95133"/>
    <w:rsid w:val="00E951CD"/>
    <w:rsid w:val="00E96C66"/>
    <w:rsid w:val="00E97557"/>
    <w:rsid w:val="00EA3749"/>
    <w:rsid w:val="00EA3BBF"/>
    <w:rsid w:val="00EA5A46"/>
    <w:rsid w:val="00EA7CB2"/>
    <w:rsid w:val="00EB0479"/>
    <w:rsid w:val="00EB176F"/>
    <w:rsid w:val="00EB3E8F"/>
    <w:rsid w:val="00EB550C"/>
    <w:rsid w:val="00EB626D"/>
    <w:rsid w:val="00EC4780"/>
    <w:rsid w:val="00EC6501"/>
    <w:rsid w:val="00EE298A"/>
    <w:rsid w:val="00EE2AF8"/>
    <w:rsid w:val="00EE6488"/>
    <w:rsid w:val="00EF3D90"/>
    <w:rsid w:val="00EF3F35"/>
    <w:rsid w:val="00EF5CC2"/>
    <w:rsid w:val="00EF6D81"/>
    <w:rsid w:val="00EF7D88"/>
    <w:rsid w:val="00EF7F89"/>
    <w:rsid w:val="00F0022B"/>
    <w:rsid w:val="00F021FA"/>
    <w:rsid w:val="00F068CC"/>
    <w:rsid w:val="00F12149"/>
    <w:rsid w:val="00F121FD"/>
    <w:rsid w:val="00F1745F"/>
    <w:rsid w:val="00F20786"/>
    <w:rsid w:val="00F20E33"/>
    <w:rsid w:val="00F23EBE"/>
    <w:rsid w:val="00F26AC9"/>
    <w:rsid w:val="00F31529"/>
    <w:rsid w:val="00F31B06"/>
    <w:rsid w:val="00F324F9"/>
    <w:rsid w:val="00F33F0C"/>
    <w:rsid w:val="00F34B3A"/>
    <w:rsid w:val="00F34ED0"/>
    <w:rsid w:val="00F372E0"/>
    <w:rsid w:val="00F37530"/>
    <w:rsid w:val="00F407AB"/>
    <w:rsid w:val="00F40A85"/>
    <w:rsid w:val="00F4311B"/>
    <w:rsid w:val="00F43E28"/>
    <w:rsid w:val="00F459AD"/>
    <w:rsid w:val="00F45FD6"/>
    <w:rsid w:val="00F466DD"/>
    <w:rsid w:val="00F50077"/>
    <w:rsid w:val="00F520B2"/>
    <w:rsid w:val="00F52261"/>
    <w:rsid w:val="00F55A7E"/>
    <w:rsid w:val="00F61AB8"/>
    <w:rsid w:val="00F62E97"/>
    <w:rsid w:val="00F64209"/>
    <w:rsid w:val="00F654E2"/>
    <w:rsid w:val="00F70FBD"/>
    <w:rsid w:val="00F72F6B"/>
    <w:rsid w:val="00F75576"/>
    <w:rsid w:val="00F75C04"/>
    <w:rsid w:val="00F81D0F"/>
    <w:rsid w:val="00F842F5"/>
    <w:rsid w:val="00F85E16"/>
    <w:rsid w:val="00F918C7"/>
    <w:rsid w:val="00F93BF5"/>
    <w:rsid w:val="00F94C39"/>
    <w:rsid w:val="00FA6850"/>
    <w:rsid w:val="00FB1D6D"/>
    <w:rsid w:val="00FB4B3C"/>
    <w:rsid w:val="00FB7155"/>
    <w:rsid w:val="00FC3418"/>
    <w:rsid w:val="00FC420C"/>
    <w:rsid w:val="00FC5343"/>
    <w:rsid w:val="00FC67D9"/>
    <w:rsid w:val="00FD63A9"/>
    <w:rsid w:val="00FE1B4E"/>
    <w:rsid w:val="00FF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61"/>
    <w:pPr>
      <w:widowControl w:val="0"/>
    </w:pPr>
    <w:rPr>
      <w:snapToGrid w:val="0"/>
      <w:kern w:val="28"/>
      <w:sz w:val="22"/>
    </w:rPr>
  </w:style>
  <w:style w:type="paragraph" w:styleId="Heading1">
    <w:name w:val="heading 1"/>
    <w:basedOn w:val="Normal"/>
    <w:next w:val="ParaNum"/>
    <w:link w:val="Heading1Char"/>
    <w:qFormat/>
    <w:rsid w:val="00DC406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4061"/>
    <w:pPr>
      <w:keepNext/>
      <w:numPr>
        <w:ilvl w:val="1"/>
        <w:numId w:val="2"/>
      </w:numPr>
      <w:spacing w:after="120"/>
      <w:outlineLvl w:val="1"/>
    </w:pPr>
    <w:rPr>
      <w:b/>
    </w:rPr>
  </w:style>
  <w:style w:type="paragraph" w:styleId="Heading3">
    <w:name w:val="heading 3"/>
    <w:basedOn w:val="Normal"/>
    <w:next w:val="ParaNum"/>
    <w:qFormat/>
    <w:rsid w:val="00DC4061"/>
    <w:pPr>
      <w:keepNext/>
      <w:numPr>
        <w:ilvl w:val="2"/>
        <w:numId w:val="2"/>
      </w:numPr>
      <w:tabs>
        <w:tab w:val="left" w:pos="2160"/>
      </w:tabs>
      <w:spacing w:after="120"/>
      <w:outlineLvl w:val="2"/>
    </w:pPr>
    <w:rPr>
      <w:b/>
    </w:rPr>
  </w:style>
  <w:style w:type="paragraph" w:styleId="Heading4">
    <w:name w:val="heading 4"/>
    <w:basedOn w:val="Normal"/>
    <w:next w:val="ParaNum"/>
    <w:qFormat/>
    <w:rsid w:val="00DC4061"/>
    <w:pPr>
      <w:keepNext/>
      <w:numPr>
        <w:ilvl w:val="3"/>
        <w:numId w:val="2"/>
      </w:numPr>
      <w:tabs>
        <w:tab w:val="left" w:pos="2880"/>
      </w:tabs>
      <w:spacing w:after="120"/>
      <w:outlineLvl w:val="3"/>
    </w:pPr>
    <w:rPr>
      <w:b/>
    </w:rPr>
  </w:style>
  <w:style w:type="paragraph" w:styleId="Heading5">
    <w:name w:val="heading 5"/>
    <w:basedOn w:val="Normal"/>
    <w:next w:val="ParaNum"/>
    <w:qFormat/>
    <w:rsid w:val="00DC406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C4061"/>
    <w:pPr>
      <w:numPr>
        <w:ilvl w:val="5"/>
        <w:numId w:val="2"/>
      </w:numPr>
      <w:tabs>
        <w:tab w:val="left" w:pos="4320"/>
      </w:tabs>
      <w:spacing w:after="120"/>
      <w:outlineLvl w:val="5"/>
    </w:pPr>
    <w:rPr>
      <w:b/>
    </w:rPr>
  </w:style>
  <w:style w:type="paragraph" w:styleId="Heading7">
    <w:name w:val="heading 7"/>
    <w:basedOn w:val="Normal"/>
    <w:next w:val="ParaNum"/>
    <w:qFormat/>
    <w:rsid w:val="00DC406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C406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C406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061"/>
  </w:style>
  <w:style w:type="paragraph" w:customStyle="1" w:styleId="ParaNum">
    <w:name w:val="ParaNum"/>
    <w:basedOn w:val="Normal"/>
    <w:link w:val="ParaNumChar1"/>
    <w:rsid w:val="00DC4061"/>
    <w:pPr>
      <w:numPr>
        <w:numId w:val="1"/>
      </w:numPr>
      <w:tabs>
        <w:tab w:val="clear" w:pos="1080"/>
        <w:tab w:val="num" w:pos="1440"/>
      </w:tabs>
      <w:spacing w:after="120"/>
    </w:pPr>
  </w:style>
  <w:style w:type="paragraph" w:styleId="EndnoteText">
    <w:name w:val="endnote text"/>
    <w:basedOn w:val="Normal"/>
    <w:semiHidden/>
    <w:rsid w:val="00DC4061"/>
    <w:rPr>
      <w:sz w:val="20"/>
    </w:rPr>
  </w:style>
  <w:style w:type="character" w:styleId="EndnoteReference">
    <w:name w:val="endnote reference"/>
    <w:semiHidden/>
    <w:rsid w:val="00DC4061"/>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DC4061"/>
    <w:pPr>
      <w:spacing w:after="120"/>
    </w:pPr>
  </w:style>
  <w:style w:type="character" w:styleId="FootnoteReference">
    <w:name w:val="footnote reference"/>
    <w:aliases w:val="Style 4,Appel note de bas de p,Style 12,(NECG) Footnote Reference,Style 124,Style 13,o,fr,Style 3"/>
    <w:rsid w:val="00DC4061"/>
    <w:rPr>
      <w:rFonts w:ascii="Times New Roman" w:hAnsi="Times New Roman"/>
      <w:dstrike w:val="0"/>
      <w:color w:val="auto"/>
      <w:sz w:val="20"/>
      <w:vertAlign w:val="superscript"/>
    </w:rPr>
  </w:style>
  <w:style w:type="paragraph" w:styleId="TOC1">
    <w:name w:val="toc 1"/>
    <w:basedOn w:val="Normal"/>
    <w:next w:val="Normal"/>
    <w:semiHidden/>
    <w:rsid w:val="00DC40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4061"/>
    <w:pPr>
      <w:tabs>
        <w:tab w:val="left" w:pos="720"/>
        <w:tab w:val="right" w:leader="dot" w:pos="9360"/>
      </w:tabs>
      <w:suppressAutoHyphens/>
      <w:ind w:left="720" w:right="720" w:hanging="360"/>
    </w:pPr>
    <w:rPr>
      <w:noProof/>
    </w:rPr>
  </w:style>
  <w:style w:type="paragraph" w:styleId="TOC3">
    <w:name w:val="toc 3"/>
    <w:basedOn w:val="Normal"/>
    <w:next w:val="Normal"/>
    <w:semiHidden/>
    <w:rsid w:val="00DC40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40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40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40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40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40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40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4061"/>
    <w:pPr>
      <w:tabs>
        <w:tab w:val="right" w:pos="9360"/>
      </w:tabs>
      <w:suppressAutoHyphens/>
    </w:pPr>
  </w:style>
  <w:style w:type="character" w:customStyle="1" w:styleId="EquationCaption">
    <w:name w:val="_Equation Caption"/>
    <w:rsid w:val="00DC4061"/>
  </w:style>
  <w:style w:type="paragraph" w:styleId="Header">
    <w:name w:val="header"/>
    <w:basedOn w:val="Normal"/>
    <w:link w:val="HeaderChar"/>
    <w:autoRedefine/>
    <w:rsid w:val="00DC4061"/>
    <w:pPr>
      <w:tabs>
        <w:tab w:val="center" w:pos="4680"/>
        <w:tab w:val="right" w:pos="9360"/>
      </w:tabs>
    </w:pPr>
    <w:rPr>
      <w:b/>
    </w:rPr>
  </w:style>
  <w:style w:type="paragraph" w:styleId="Footer">
    <w:name w:val="footer"/>
    <w:basedOn w:val="Normal"/>
    <w:link w:val="FooterChar"/>
    <w:rsid w:val="00DC4061"/>
    <w:pPr>
      <w:tabs>
        <w:tab w:val="center" w:pos="4320"/>
        <w:tab w:val="right" w:pos="8640"/>
      </w:tabs>
    </w:pPr>
  </w:style>
  <w:style w:type="character" w:styleId="PageNumber">
    <w:name w:val="page number"/>
    <w:basedOn w:val="DefaultParagraphFont"/>
    <w:rsid w:val="00DC4061"/>
  </w:style>
  <w:style w:type="paragraph" w:styleId="BlockText">
    <w:name w:val="Block Text"/>
    <w:basedOn w:val="Normal"/>
    <w:rsid w:val="00DC4061"/>
    <w:pPr>
      <w:spacing w:after="240"/>
      <w:ind w:left="1440" w:right="1440"/>
    </w:pPr>
  </w:style>
  <w:style w:type="paragraph" w:customStyle="1" w:styleId="Paratitle">
    <w:name w:val="Para title"/>
    <w:basedOn w:val="Normal"/>
    <w:rsid w:val="00DC4061"/>
    <w:pPr>
      <w:tabs>
        <w:tab w:val="center" w:pos="9270"/>
      </w:tabs>
      <w:spacing w:after="240"/>
    </w:pPr>
    <w:rPr>
      <w:spacing w:val="-2"/>
    </w:rPr>
  </w:style>
  <w:style w:type="paragraph" w:customStyle="1" w:styleId="Bullet">
    <w:name w:val="Bullet"/>
    <w:basedOn w:val="Normal"/>
    <w:rsid w:val="00DC4061"/>
    <w:pPr>
      <w:tabs>
        <w:tab w:val="left" w:pos="2160"/>
      </w:tabs>
      <w:spacing w:after="220"/>
      <w:ind w:left="2160" w:hanging="720"/>
    </w:pPr>
  </w:style>
  <w:style w:type="paragraph" w:customStyle="1" w:styleId="TableFormat">
    <w:name w:val="TableFormat"/>
    <w:basedOn w:val="Bullet"/>
    <w:rsid w:val="00DC4061"/>
    <w:pPr>
      <w:tabs>
        <w:tab w:val="clear" w:pos="2160"/>
        <w:tab w:val="left" w:pos="5040"/>
      </w:tabs>
      <w:ind w:left="5040" w:hanging="3600"/>
    </w:pPr>
  </w:style>
  <w:style w:type="paragraph" w:customStyle="1" w:styleId="TOCTitle">
    <w:name w:val="TOC Title"/>
    <w:basedOn w:val="Normal"/>
    <w:rsid w:val="00DC40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061"/>
    <w:pPr>
      <w:jc w:val="center"/>
    </w:pPr>
    <w:rPr>
      <w:rFonts w:ascii="Times New Roman Bold" w:hAnsi="Times New Roman Bold"/>
      <w:b/>
      <w:bCs/>
      <w:caps/>
      <w:szCs w:val="22"/>
    </w:rPr>
  </w:style>
  <w:style w:type="character" w:styleId="Hyperlink">
    <w:name w:val="Hyperlink"/>
    <w:rsid w:val="00DC4061"/>
    <w:rPr>
      <w:color w:val="0000FF"/>
      <w:u w:val="single"/>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locked/>
    <w:rsid w:val="00E31051"/>
  </w:style>
  <w:style w:type="paragraph" w:styleId="ListParagraph">
    <w:name w:val="List Paragraph"/>
    <w:basedOn w:val="Normal"/>
    <w:uiPriority w:val="34"/>
    <w:qFormat/>
    <w:rsid w:val="002D18B6"/>
    <w:pPr>
      <w:ind w:left="720"/>
      <w:contextualSpacing/>
    </w:pPr>
  </w:style>
  <w:style w:type="paragraph" w:styleId="BodyText">
    <w:name w:val="Body Text"/>
    <w:basedOn w:val="Normal"/>
    <w:link w:val="BodyTextChar"/>
    <w:rsid w:val="007665F4"/>
    <w:pPr>
      <w:widowControl/>
    </w:pPr>
    <w:rPr>
      <w:snapToGrid/>
      <w:kern w:val="0"/>
      <w:sz w:val="24"/>
    </w:rPr>
  </w:style>
  <w:style w:type="character" w:customStyle="1" w:styleId="BodyTextChar">
    <w:name w:val="Body Text Char"/>
    <w:basedOn w:val="DefaultParagraphFont"/>
    <w:link w:val="BodyText"/>
    <w:rsid w:val="007665F4"/>
    <w:rPr>
      <w:sz w:val="24"/>
    </w:rPr>
  </w:style>
  <w:style w:type="character" w:customStyle="1" w:styleId="ALTSFOOTNOTECharChar">
    <w:name w:val="ALTS FOOTNOTE Char Char"/>
    <w:aliases w:val="fn Char Char,rrfootnote Char1 Char,Footnote Text Char1 Char Char Char,Footnote Text Char Char Char Char Char,rrfootnote Char Char Char Char Char,f Char,fn Char1"/>
    <w:basedOn w:val="DefaultParagraphFont"/>
    <w:rsid w:val="00D14BCB"/>
  </w:style>
  <w:style w:type="paragraph" w:styleId="BalloonText">
    <w:name w:val="Balloon Text"/>
    <w:basedOn w:val="Normal"/>
    <w:link w:val="BalloonTextChar"/>
    <w:rsid w:val="000F602D"/>
    <w:rPr>
      <w:rFonts w:ascii="Tahoma" w:hAnsi="Tahoma" w:cs="Tahoma"/>
      <w:sz w:val="16"/>
      <w:szCs w:val="16"/>
    </w:rPr>
  </w:style>
  <w:style w:type="character" w:customStyle="1" w:styleId="BalloonTextChar">
    <w:name w:val="Balloon Text Char"/>
    <w:basedOn w:val="DefaultParagraphFont"/>
    <w:link w:val="BalloonText"/>
    <w:rsid w:val="000F602D"/>
    <w:rPr>
      <w:rFonts w:ascii="Tahoma" w:hAnsi="Tahoma" w:cs="Tahoma"/>
      <w:snapToGrid w:val="0"/>
      <w:kern w:val="28"/>
      <w:sz w:val="16"/>
      <w:szCs w:val="16"/>
    </w:rPr>
  </w:style>
  <w:style w:type="character" w:customStyle="1" w:styleId="ParaNumChar1">
    <w:name w:val="ParaNum Char1"/>
    <w:link w:val="ParaNum"/>
    <w:locked/>
    <w:rsid w:val="00EA7CB2"/>
    <w:rPr>
      <w:snapToGrid w:val="0"/>
      <w:kern w:val="28"/>
      <w:sz w:val="22"/>
    </w:rPr>
  </w:style>
  <w:style w:type="character" w:customStyle="1" w:styleId="documentbody1">
    <w:name w:val="documentbody1"/>
    <w:rsid w:val="0022202A"/>
    <w:rPr>
      <w:rFonts w:ascii="Verdana" w:hAnsi="Verdana"/>
      <w:sz w:val="19"/>
    </w:rPr>
  </w:style>
  <w:style w:type="character" w:styleId="CommentReference">
    <w:name w:val="annotation reference"/>
    <w:basedOn w:val="DefaultParagraphFont"/>
    <w:rsid w:val="00990ECB"/>
    <w:rPr>
      <w:sz w:val="18"/>
      <w:szCs w:val="18"/>
    </w:rPr>
  </w:style>
  <w:style w:type="paragraph" w:styleId="CommentText">
    <w:name w:val="annotation text"/>
    <w:basedOn w:val="Normal"/>
    <w:link w:val="CommentTextChar"/>
    <w:rsid w:val="00990ECB"/>
    <w:rPr>
      <w:sz w:val="24"/>
      <w:szCs w:val="24"/>
    </w:rPr>
  </w:style>
  <w:style w:type="character" w:customStyle="1" w:styleId="CommentTextChar">
    <w:name w:val="Comment Text Char"/>
    <w:basedOn w:val="DefaultParagraphFont"/>
    <w:link w:val="CommentText"/>
    <w:rsid w:val="00990ECB"/>
    <w:rPr>
      <w:snapToGrid w:val="0"/>
      <w:kern w:val="28"/>
      <w:sz w:val="24"/>
      <w:szCs w:val="24"/>
    </w:rPr>
  </w:style>
  <w:style w:type="paragraph" w:styleId="CommentSubject">
    <w:name w:val="annotation subject"/>
    <w:basedOn w:val="CommentText"/>
    <w:next w:val="CommentText"/>
    <w:link w:val="CommentSubjectChar"/>
    <w:rsid w:val="00990ECB"/>
    <w:rPr>
      <w:b/>
      <w:bCs/>
      <w:sz w:val="20"/>
      <w:szCs w:val="20"/>
    </w:rPr>
  </w:style>
  <w:style w:type="character" w:customStyle="1" w:styleId="CommentSubjectChar">
    <w:name w:val="Comment Subject Char"/>
    <w:basedOn w:val="CommentTextChar"/>
    <w:link w:val="CommentSubject"/>
    <w:rsid w:val="00990ECB"/>
    <w:rPr>
      <w:b/>
      <w:bCs/>
      <w:snapToGrid w:val="0"/>
      <w:kern w:val="28"/>
      <w:sz w:val="24"/>
      <w:szCs w:val="24"/>
    </w:rPr>
  </w:style>
  <w:style w:type="character" w:customStyle="1" w:styleId="ParaNumChar">
    <w:name w:val="ParaNum Char"/>
    <w:locked/>
    <w:rsid w:val="0057765D"/>
    <w:rPr>
      <w:snapToGrid w:val="0"/>
      <w:kern w:val="28"/>
      <w:sz w:val="22"/>
    </w:rPr>
  </w:style>
  <w:style w:type="character" w:customStyle="1" w:styleId="Heading1Char">
    <w:name w:val="Heading 1 Char"/>
    <w:basedOn w:val="DefaultParagraphFont"/>
    <w:link w:val="Heading1"/>
    <w:rsid w:val="00E57ECD"/>
    <w:rPr>
      <w:rFonts w:ascii="Times New Roman Bold" w:hAnsi="Times New Roman Bold"/>
      <w:b/>
      <w:caps/>
      <w:snapToGrid w:val="0"/>
      <w:kern w:val="28"/>
      <w:sz w:val="22"/>
    </w:rPr>
  </w:style>
  <w:style w:type="character" w:customStyle="1" w:styleId="HeaderChar">
    <w:name w:val="Header Char"/>
    <w:basedOn w:val="DefaultParagraphFont"/>
    <w:link w:val="Header"/>
    <w:rsid w:val="00E57ECD"/>
    <w:rPr>
      <w:b/>
      <w:snapToGrid w:val="0"/>
      <w:kern w:val="28"/>
      <w:sz w:val="22"/>
    </w:rPr>
  </w:style>
  <w:style w:type="character" w:customStyle="1" w:styleId="FooterChar">
    <w:name w:val="Footer Char"/>
    <w:basedOn w:val="DefaultParagraphFont"/>
    <w:link w:val="Footer"/>
    <w:rsid w:val="00E57ECD"/>
    <w:rPr>
      <w:snapToGrid w:val="0"/>
      <w:kern w:val="28"/>
      <w:sz w:val="22"/>
    </w:rPr>
  </w:style>
  <w:style w:type="table" w:styleId="TableGrid">
    <w:name w:val="Table Grid"/>
    <w:basedOn w:val="TableNormal"/>
    <w:uiPriority w:val="99"/>
    <w:rsid w:val="00E57E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E57ECD"/>
    <w:pPr>
      <w:numPr>
        <w:numId w:val="4"/>
      </w:numPr>
      <w:spacing w:after="220"/>
      <w:ind w:right="720"/>
    </w:pPr>
  </w:style>
  <w:style w:type="paragraph" w:styleId="Revision">
    <w:name w:val="Revision"/>
    <w:hidden/>
    <w:uiPriority w:val="99"/>
    <w:semiHidden/>
    <w:rsid w:val="00405FB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61"/>
    <w:pPr>
      <w:widowControl w:val="0"/>
    </w:pPr>
    <w:rPr>
      <w:snapToGrid w:val="0"/>
      <w:kern w:val="28"/>
      <w:sz w:val="22"/>
    </w:rPr>
  </w:style>
  <w:style w:type="paragraph" w:styleId="Heading1">
    <w:name w:val="heading 1"/>
    <w:basedOn w:val="Normal"/>
    <w:next w:val="ParaNum"/>
    <w:link w:val="Heading1Char"/>
    <w:qFormat/>
    <w:rsid w:val="00DC406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4061"/>
    <w:pPr>
      <w:keepNext/>
      <w:numPr>
        <w:ilvl w:val="1"/>
        <w:numId w:val="2"/>
      </w:numPr>
      <w:spacing w:after="120"/>
      <w:outlineLvl w:val="1"/>
    </w:pPr>
    <w:rPr>
      <w:b/>
    </w:rPr>
  </w:style>
  <w:style w:type="paragraph" w:styleId="Heading3">
    <w:name w:val="heading 3"/>
    <w:basedOn w:val="Normal"/>
    <w:next w:val="ParaNum"/>
    <w:qFormat/>
    <w:rsid w:val="00DC4061"/>
    <w:pPr>
      <w:keepNext/>
      <w:numPr>
        <w:ilvl w:val="2"/>
        <w:numId w:val="2"/>
      </w:numPr>
      <w:tabs>
        <w:tab w:val="left" w:pos="2160"/>
      </w:tabs>
      <w:spacing w:after="120"/>
      <w:outlineLvl w:val="2"/>
    </w:pPr>
    <w:rPr>
      <w:b/>
    </w:rPr>
  </w:style>
  <w:style w:type="paragraph" w:styleId="Heading4">
    <w:name w:val="heading 4"/>
    <w:basedOn w:val="Normal"/>
    <w:next w:val="ParaNum"/>
    <w:qFormat/>
    <w:rsid w:val="00DC4061"/>
    <w:pPr>
      <w:keepNext/>
      <w:numPr>
        <w:ilvl w:val="3"/>
        <w:numId w:val="2"/>
      </w:numPr>
      <w:tabs>
        <w:tab w:val="left" w:pos="2880"/>
      </w:tabs>
      <w:spacing w:after="120"/>
      <w:outlineLvl w:val="3"/>
    </w:pPr>
    <w:rPr>
      <w:b/>
    </w:rPr>
  </w:style>
  <w:style w:type="paragraph" w:styleId="Heading5">
    <w:name w:val="heading 5"/>
    <w:basedOn w:val="Normal"/>
    <w:next w:val="ParaNum"/>
    <w:qFormat/>
    <w:rsid w:val="00DC406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C4061"/>
    <w:pPr>
      <w:numPr>
        <w:ilvl w:val="5"/>
        <w:numId w:val="2"/>
      </w:numPr>
      <w:tabs>
        <w:tab w:val="left" w:pos="4320"/>
      </w:tabs>
      <w:spacing w:after="120"/>
      <w:outlineLvl w:val="5"/>
    </w:pPr>
    <w:rPr>
      <w:b/>
    </w:rPr>
  </w:style>
  <w:style w:type="paragraph" w:styleId="Heading7">
    <w:name w:val="heading 7"/>
    <w:basedOn w:val="Normal"/>
    <w:next w:val="ParaNum"/>
    <w:qFormat/>
    <w:rsid w:val="00DC406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C406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C406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4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061"/>
  </w:style>
  <w:style w:type="paragraph" w:customStyle="1" w:styleId="ParaNum">
    <w:name w:val="ParaNum"/>
    <w:basedOn w:val="Normal"/>
    <w:link w:val="ParaNumChar1"/>
    <w:rsid w:val="00DC4061"/>
    <w:pPr>
      <w:numPr>
        <w:numId w:val="1"/>
      </w:numPr>
      <w:tabs>
        <w:tab w:val="clear" w:pos="1080"/>
        <w:tab w:val="num" w:pos="1440"/>
      </w:tabs>
      <w:spacing w:after="120"/>
    </w:pPr>
  </w:style>
  <w:style w:type="paragraph" w:styleId="EndnoteText">
    <w:name w:val="endnote text"/>
    <w:basedOn w:val="Normal"/>
    <w:semiHidden/>
    <w:rsid w:val="00DC4061"/>
    <w:rPr>
      <w:sz w:val="20"/>
    </w:rPr>
  </w:style>
  <w:style w:type="character" w:styleId="EndnoteReference">
    <w:name w:val="endnote reference"/>
    <w:semiHidden/>
    <w:rsid w:val="00DC4061"/>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DC4061"/>
    <w:pPr>
      <w:spacing w:after="120"/>
    </w:pPr>
  </w:style>
  <w:style w:type="character" w:styleId="FootnoteReference">
    <w:name w:val="footnote reference"/>
    <w:aliases w:val="Style 4,Appel note de bas de p,Style 12,(NECG) Footnote Reference,Style 124,Style 13,o,fr,Style 3"/>
    <w:rsid w:val="00DC4061"/>
    <w:rPr>
      <w:rFonts w:ascii="Times New Roman" w:hAnsi="Times New Roman"/>
      <w:dstrike w:val="0"/>
      <w:color w:val="auto"/>
      <w:sz w:val="20"/>
      <w:vertAlign w:val="superscript"/>
    </w:rPr>
  </w:style>
  <w:style w:type="paragraph" w:styleId="TOC1">
    <w:name w:val="toc 1"/>
    <w:basedOn w:val="Normal"/>
    <w:next w:val="Normal"/>
    <w:semiHidden/>
    <w:rsid w:val="00DC40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4061"/>
    <w:pPr>
      <w:tabs>
        <w:tab w:val="left" w:pos="720"/>
        <w:tab w:val="right" w:leader="dot" w:pos="9360"/>
      </w:tabs>
      <w:suppressAutoHyphens/>
      <w:ind w:left="720" w:right="720" w:hanging="360"/>
    </w:pPr>
    <w:rPr>
      <w:noProof/>
    </w:rPr>
  </w:style>
  <w:style w:type="paragraph" w:styleId="TOC3">
    <w:name w:val="toc 3"/>
    <w:basedOn w:val="Normal"/>
    <w:next w:val="Normal"/>
    <w:semiHidden/>
    <w:rsid w:val="00DC40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40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40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40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40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40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40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4061"/>
    <w:pPr>
      <w:tabs>
        <w:tab w:val="right" w:pos="9360"/>
      </w:tabs>
      <w:suppressAutoHyphens/>
    </w:pPr>
  </w:style>
  <w:style w:type="character" w:customStyle="1" w:styleId="EquationCaption">
    <w:name w:val="_Equation Caption"/>
    <w:rsid w:val="00DC4061"/>
  </w:style>
  <w:style w:type="paragraph" w:styleId="Header">
    <w:name w:val="header"/>
    <w:basedOn w:val="Normal"/>
    <w:link w:val="HeaderChar"/>
    <w:autoRedefine/>
    <w:rsid w:val="00DC4061"/>
    <w:pPr>
      <w:tabs>
        <w:tab w:val="center" w:pos="4680"/>
        <w:tab w:val="right" w:pos="9360"/>
      </w:tabs>
    </w:pPr>
    <w:rPr>
      <w:b/>
    </w:rPr>
  </w:style>
  <w:style w:type="paragraph" w:styleId="Footer">
    <w:name w:val="footer"/>
    <w:basedOn w:val="Normal"/>
    <w:link w:val="FooterChar"/>
    <w:rsid w:val="00DC4061"/>
    <w:pPr>
      <w:tabs>
        <w:tab w:val="center" w:pos="4320"/>
        <w:tab w:val="right" w:pos="8640"/>
      </w:tabs>
    </w:pPr>
  </w:style>
  <w:style w:type="character" w:styleId="PageNumber">
    <w:name w:val="page number"/>
    <w:basedOn w:val="DefaultParagraphFont"/>
    <w:rsid w:val="00DC4061"/>
  </w:style>
  <w:style w:type="paragraph" w:styleId="BlockText">
    <w:name w:val="Block Text"/>
    <w:basedOn w:val="Normal"/>
    <w:rsid w:val="00DC4061"/>
    <w:pPr>
      <w:spacing w:after="240"/>
      <w:ind w:left="1440" w:right="1440"/>
    </w:pPr>
  </w:style>
  <w:style w:type="paragraph" w:customStyle="1" w:styleId="Paratitle">
    <w:name w:val="Para title"/>
    <w:basedOn w:val="Normal"/>
    <w:rsid w:val="00DC4061"/>
    <w:pPr>
      <w:tabs>
        <w:tab w:val="center" w:pos="9270"/>
      </w:tabs>
      <w:spacing w:after="240"/>
    </w:pPr>
    <w:rPr>
      <w:spacing w:val="-2"/>
    </w:rPr>
  </w:style>
  <w:style w:type="paragraph" w:customStyle="1" w:styleId="Bullet">
    <w:name w:val="Bullet"/>
    <w:basedOn w:val="Normal"/>
    <w:rsid w:val="00DC4061"/>
    <w:pPr>
      <w:tabs>
        <w:tab w:val="left" w:pos="2160"/>
      </w:tabs>
      <w:spacing w:after="220"/>
      <w:ind w:left="2160" w:hanging="720"/>
    </w:pPr>
  </w:style>
  <w:style w:type="paragraph" w:customStyle="1" w:styleId="TableFormat">
    <w:name w:val="TableFormat"/>
    <w:basedOn w:val="Bullet"/>
    <w:rsid w:val="00DC4061"/>
    <w:pPr>
      <w:tabs>
        <w:tab w:val="clear" w:pos="2160"/>
        <w:tab w:val="left" w:pos="5040"/>
      </w:tabs>
      <w:ind w:left="5040" w:hanging="3600"/>
    </w:pPr>
  </w:style>
  <w:style w:type="paragraph" w:customStyle="1" w:styleId="TOCTitle">
    <w:name w:val="TOC Title"/>
    <w:basedOn w:val="Normal"/>
    <w:rsid w:val="00DC40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4061"/>
    <w:pPr>
      <w:jc w:val="center"/>
    </w:pPr>
    <w:rPr>
      <w:rFonts w:ascii="Times New Roman Bold" w:hAnsi="Times New Roman Bold"/>
      <w:b/>
      <w:bCs/>
      <w:caps/>
      <w:szCs w:val="22"/>
    </w:rPr>
  </w:style>
  <w:style w:type="character" w:styleId="Hyperlink">
    <w:name w:val="Hyperlink"/>
    <w:rsid w:val="00DC4061"/>
    <w:rPr>
      <w:color w:val="0000FF"/>
      <w:u w:val="single"/>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locked/>
    <w:rsid w:val="00E31051"/>
  </w:style>
  <w:style w:type="paragraph" w:styleId="ListParagraph">
    <w:name w:val="List Paragraph"/>
    <w:basedOn w:val="Normal"/>
    <w:uiPriority w:val="34"/>
    <w:qFormat/>
    <w:rsid w:val="002D18B6"/>
    <w:pPr>
      <w:ind w:left="720"/>
      <w:contextualSpacing/>
    </w:pPr>
  </w:style>
  <w:style w:type="paragraph" w:styleId="BodyText">
    <w:name w:val="Body Text"/>
    <w:basedOn w:val="Normal"/>
    <w:link w:val="BodyTextChar"/>
    <w:rsid w:val="007665F4"/>
    <w:pPr>
      <w:widowControl/>
    </w:pPr>
    <w:rPr>
      <w:snapToGrid/>
      <w:kern w:val="0"/>
      <w:sz w:val="24"/>
    </w:rPr>
  </w:style>
  <w:style w:type="character" w:customStyle="1" w:styleId="BodyTextChar">
    <w:name w:val="Body Text Char"/>
    <w:basedOn w:val="DefaultParagraphFont"/>
    <w:link w:val="BodyText"/>
    <w:rsid w:val="007665F4"/>
    <w:rPr>
      <w:sz w:val="24"/>
    </w:rPr>
  </w:style>
  <w:style w:type="character" w:customStyle="1" w:styleId="ALTSFOOTNOTECharChar">
    <w:name w:val="ALTS FOOTNOTE Char Char"/>
    <w:aliases w:val="fn Char Char,rrfootnote Char1 Char,Footnote Text Char1 Char Char Char,Footnote Text Char Char Char Char Char,rrfootnote Char Char Char Char Char,f Char,fn Char1"/>
    <w:basedOn w:val="DefaultParagraphFont"/>
    <w:rsid w:val="00D14BCB"/>
  </w:style>
  <w:style w:type="paragraph" w:styleId="BalloonText">
    <w:name w:val="Balloon Text"/>
    <w:basedOn w:val="Normal"/>
    <w:link w:val="BalloonTextChar"/>
    <w:rsid w:val="000F602D"/>
    <w:rPr>
      <w:rFonts w:ascii="Tahoma" w:hAnsi="Tahoma" w:cs="Tahoma"/>
      <w:sz w:val="16"/>
      <w:szCs w:val="16"/>
    </w:rPr>
  </w:style>
  <w:style w:type="character" w:customStyle="1" w:styleId="BalloonTextChar">
    <w:name w:val="Balloon Text Char"/>
    <w:basedOn w:val="DefaultParagraphFont"/>
    <w:link w:val="BalloonText"/>
    <w:rsid w:val="000F602D"/>
    <w:rPr>
      <w:rFonts w:ascii="Tahoma" w:hAnsi="Tahoma" w:cs="Tahoma"/>
      <w:snapToGrid w:val="0"/>
      <w:kern w:val="28"/>
      <w:sz w:val="16"/>
      <w:szCs w:val="16"/>
    </w:rPr>
  </w:style>
  <w:style w:type="character" w:customStyle="1" w:styleId="ParaNumChar1">
    <w:name w:val="ParaNum Char1"/>
    <w:link w:val="ParaNum"/>
    <w:locked/>
    <w:rsid w:val="00EA7CB2"/>
    <w:rPr>
      <w:snapToGrid w:val="0"/>
      <w:kern w:val="28"/>
      <w:sz w:val="22"/>
    </w:rPr>
  </w:style>
  <w:style w:type="character" w:customStyle="1" w:styleId="documentbody1">
    <w:name w:val="documentbody1"/>
    <w:rsid w:val="0022202A"/>
    <w:rPr>
      <w:rFonts w:ascii="Verdana" w:hAnsi="Verdana"/>
      <w:sz w:val="19"/>
    </w:rPr>
  </w:style>
  <w:style w:type="character" w:styleId="CommentReference">
    <w:name w:val="annotation reference"/>
    <w:basedOn w:val="DefaultParagraphFont"/>
    <w:rsid w:val="00990ECB"/>
    <w:rPr>
      <w:sz w:val="18"/>
      <w:szCs w:val="18"/>
    </w:rPr>
  </w:style>
  <w:style w:type="paragraph" w:styleId="CommentText">
    <w:name w:val="annotation text"/>
    <w:basedOn w:val="Normal"/>
    <w:link w:val="CommentTextChar"/>
    <w:rsid w:val="00990ECB"/>
    <w:rPr>
      <w:sz w:val="24"/>
      <w:szCs w:val="24"/>
    </w:rPr>
  </w:style>
  <w:style w:type="character" w:customStyle="1" w:styleId="CommentTextChar">
    <w:name w:val="Comment Text Char"/>
    <w:basedOn w:val="DefaultParagraphFont"/>
    <w:link w:val="CommentText"/>
    <w:rsid w:val="00990ECB"/>
    <w:rPr>
      <w:snapToGrid w:val="0"/>
      <w:kern w:val="28"/>
      <w:sz w:val="24"/>
      <w:szCs w:val="24"/>
    </w:rPr>
  </w:style>
  <w:style w:type="paragraph" w:styleId="CommentSubject">
    <w:name w:val="annotation subject"/>
    <w:basedOn w:val="CommentText"/>
    <w:next w:val="CommentText"/>
    <w:link w:val="CommentSubjectChar"/>
    <w:rsid w:val="00990ECB"/>
    <w:rPr>
      <w:b/>
      <w:bCs/>
      <w:sz w:val="20"/>
      <w:szCs w:val="20"/>
    </w:rPr>
  </w:style>
  <w:style w:type="character" w:customStyle="1" w:styleId="CommentSubjectChar">
    <w:name w:val="Comment Subject Char"/>
    <w:basedOn w:val="CommentTextChar"/>
    <w:link w:val="CommentSubject"/>
    <w:rsid w:val="00990ECB"/>
    <w:rPr>
      <w:b/>
      <w:bCs/>
      <w:snapToGrid w:val="0"/>
      <w:kern w:val="28"/>
      <w:sz w:val="24"/>
      <w:szCs w:val="24"/>
    </w:rPr>
  </w:style>
  <w:style w:type="character" w:customStyle="1" w:styleId="ParaNumChar">
    <w:name w:val="ParaNum Char"/>
    <w:locked/>
    <w:rsid w:val="0057765D"/>
    <w:rPr>
      <w:snapToGrid w:val="0"/>
      <w:kern w:val="28"/>
      <w:sz w:val="22"/>
    </w:rPr>
  </w:style>
  <w:style w:type="character" w:customStyle="1" w:styleId="Heading1Char">
    <w:name w:val="Heading 1 Char"/>
    <w:basedOn w:val="DefaultParagraphFont"/>
    <w:link w:val="Heading1"/>
    <w:rsid w:val="00E57ECD"/>
    <w:rPr>
      <w:rFonts w:ascii="Times New Roman Bold" w:hAnsi="Times New Roman Bold"/>
      <w:b/>
      <w:caps/>
      <w:snapToGrid w:val="0"/>
      <w:kern w:val="28"/>
      <w:sz w:val="22"/>
    </w:rPr>
  </w:style>
  <w:style w:type="character" w:customStyle="1" w:styleId="HeaderChar">
    <w:name w:val="Header Char"/>
    <w:basedOn w:val="DefaultParagraphFont"/>
    <w:link w:val="Header"/>
    <w:rsid w:val="00E57ECD"/>
    <w:rPr>
      <w:b/>
      <w:snapToGrid w:val="0"/>
      <w:kern w:val="28"/>
      <w:sz w:val="22"/>
    </w:rPr>
  </w:style>
  <w:style w:type="character" w:customStyle="1" w:styleId="FooterChar">
    <w:name w:val="Footer Char"/>
    <w:basedOn w:val="DefaultParagraphFont"/>
    <w:link w:val="Footer"/>
    <w:rsid w:val="00E57ECD"/>
    <w:rPr>
      <w:snapToGrid w:val="0"/>
      <w:kern w:val="28"/>
      <w:sz w:val="22"/>
    </w:rPr>
  </w:style>
  <w:style w:type="table" w:styleId="TableGrid">
    <w:name w:val="Table Grid"/>
    <w:basedOn w:val="TableNormal"/>
    <w:uiPriority w:val="99"/>
    <w:rsid w:val="00E57EC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E57ECD"/>
    <w:pPr>
      <w:numPr>
        <w:numId w:val="4"/>
      </w:numPr>
      <w:spacing w:after="220"/>
      <w:ind w:right="720"/>
    </w:pPr>
  </w:style>
  <w:style w:type="paragraph" w:styleId="Revision">
    <w:name w:val="Revision"/>
    <w:hidden/>
    <w:uiPriority w:val="99"/>
    <w:semiHidden/>
    <w:rsid w:val="00405F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2"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1" Type="http://schemas.openxmlformats.org/officeDocument/2006/relationships/hyperlink" Target="http://netoneinternatio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3392</Words>
  <Characters>17303</Characters>
  <Application>Microsoft Office Word</Application>
  <DocSecurity>0</DocSecurity>
  <Lines>343</Lines>
  <Paragraphs>123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2014-06-30T12:38:00Z</cp:lastPrinted>
  <dcterms:created xsi:type="dcterms:W3CDTF">2014-07-14T19:36:00Z</dcterms:created>
  <dcterms:modified xsi:type="dcterms:W3CDTF">2014-07-14T19:36:00Z</dcterms:modified>
  <cp:category> </cp:category>
  <cp:contentStatus> </cp:contentStatus>
</cp:coreProperties>
</file>