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84" w:rsidRPr="00C25322" w:rsidRDefault="00041184" w:rsidP="00677B54">
      <w:pPr>
        <w:widowControl/>
        <w:jc w:val="center"/>
        <w:rPr>
          <w:b/>
          <w:szCs w:val="22"/>
        </w:rPr>
      </w:pPr>
      <w:bookmarkStart w:id="0" w:name="_GoBack"/>
      <w:bookmarkEnd w:id="0"/>
      <w:r w:rsidRPr="00C25322">
        <w:rPr>
          <w:rFonts w:ascii="Times New Roman Bold" w:hAnsi="Times New Roman Bold"/>
          <w:b/>
          <w:szCs w:val="22"/>
        </w:rPr>
        <w:t>Before</w:t>
      </w:r>
      <w:r w:rsidRPr="00C25322">
        <w:rPr>
          <w:b/>
          <w:szCs w:val="22"/>
        </w:rPr>
        <w:t xml:space="preserve"> the</w:t>
      </w:r>
    </w:p>
    <w:p w:rsidR="00041184" w:rsidRPr="00C25322" w:rsidRDefault="00041184" w:rsidP="00677B54">
      <w:pPr>
        <w:pStyle w:val="StyleBoldCentered"/>
        <w:widowControl/>
      </w:pPr>
      <w:r w:rsidRPr="00C25322">
        <w:t>F</w:t>
      </w:r>
      <w:r w:rsidRPr="00C25322">
        <w:rPr>
          <w:caps w:val="0"/>
        </w:rPr>
        <w:t>ederal Communications Commission</w:t>
      </w:r>
    </w:p>
    <w:p w:rsidR="00041184" w:rsidRPr="00C25322" w:rsidRDefault="00041184" w:rsidP="00677B54">
      <w:pPr>
        <w:pStyle w:val="StyleBoldCentered"/>
        <w:widowControl/>
      </w:pPr>
      <w:r w:rsidRPr="00C25322">
        <w:rPr>
          <w:caps w:val="0"/>
        </w:rPr>
        <w:t>Washington</w:t>
      </w:r>
      <w:r w:rsidRPr="00C25322">
        <w:t>, D.C. 20554</w:t>
      </w:r>
    </w:p>
    <w:p w:rsidR="00041184" w:rsidRPr="00C25322" w:rsidRDefault="00041184" w:rsidP="00677B54">
      <w:pPr>
        <w:widowControl/>
        <w:rPr>
          <w:szCs w:val="22"/>
        </w:rPr>
      </w:pPr>
    </w:p>
    <w:p w:rsidR="00041184" w:rsidRPr="00C25322" w:rsidRDefault="00041184" w:rsidP="00677B54">
      <w:pPr>
        <w:widowControl/>
        <w:rPr>
          <w:szCs w:val="22"/>
        </w:rPr>
      </w:pPr>
    </w:p>
    <w:tbl>
      <w:tblPr>
        <w:tblW w:w="9576" w:type="dxa"/>
        <w:tblLayout w:type="fixed"/>
        <w:tblLook w:val="0000" w:firstRow="0" w:lastRow="0" w:firstColumn="0" w:lastColumn="0" w:noHBand="0" w:noVBand="0"/>
      </w:tblPr>
      <w:tblGrid>
        <w:gridCol w:w="4698"/>
        <w:gridCol w:w="630"/>
        <w:gridCol w:w="4248"/>
      </w:tblGrid>
      <w:tr w:rsidR="00F4061F" w:rsidRPr="00C25322" w:rsidTr="00BE2FFA">
        <w:trPr>
          <w:trHeight w:val="2799"/>
        </w:trPr>
        <w:tc>
          <w:tcPr>
            <w:tcW w:w="4698" w:type="dxa"/>
          </w:tcPr>
          <w:p w:rsidR="00F4061F" w:rsidRPr="00C25322" w:rsidRDefault="00F4061F" w:rsidP="00677B54">
            <w:pPr>
              <w:widowControl/>
              <w:tabs>
                <w:tab w:val="center" w:pos="4680"/>
              </w:tabs>
              <w:suppressAutoHyphens/>
              <w:rPr>
                <w:spacing w:val="-2"/>
                <w:szCs w:val="22"/>
              </w:rPr>
            </w:pPr>
            <w:r w:rsidRPr="00C25322">
              <w:rPr>
                <w:spacing w:val="-2"/>
                <w:szCs w:val="22"/>
              </w:rPr>
              <w:t>In the Matter of</w:t>
            </w:r>
          </w:p>
          <w:p w:rsidR="00F4061F" w:rsidRPr="00C25322" w:rsidRDefault="00F4061F" w:rsidP="00677B54">
            <w:pPr>
              <w:widowControl/>
              <w:tabs>
                <w:tab w:val="center" w:pos="4680"/>
              </w:tabs>
              <w:suppressAutoHyphens/>
              <w:rPr>
                <w:spacing w:val="-2"/>
                <w:szCs w:val="22"/>
              </w:rPr>
            </w:pPr>
          </w:p>
          <w:p w:rsidR="00F4061F" w:rsidRDefault="00F4061F" w:rsidP="00677B54">
            <w:pPr>
              <w:widowControl/>
              <w:rPr>
                <w:spacing w:val="-2"/>
                <w:szCs w:val="22"/>
              </w:rPr>
            </w:pPr>
            <w:r>
              <w:rPr>
                <w:spacing w:val="-2"/>
                <w:szCs w:val="22"/>
              </w:rPr>
              <w:t>Amendment of Parts 1 and 17 of the</w:t>
            </w:r>
          </w:p>
          <w:p w:rsidR="00F4061F" w:rsidRDefault="00F4061F" w:rsidP="00677B54">
            <w:pPr>
              <w:widowControl/>
              <w:rPr>
                <w:spacing w:val="-2"/>
                <w:szCs w:val="22"/>
              </w:rPr>
            </w:pPr>
            <w:r>
              <w:rPr>
                <w:spacing w:val="-2"/>
                <w:szCs w:val="22"/>
              </w:rPr>
              <w:t>Commission’s Rules Regarding Public</w:t>
            </w:r>
          </w:p>
          <w:p w:rsidR="00F4061F" w:rsidRDefault="00F4061F" w:rsidP="00677B54">
            <w:pPr>
              <w:widowControl/>
              <w:rPr>
                <w:spacing w:val="-2"/>
                <w:szCs w:val="22"/>
              </w:rPr>
            </w:pPr>
            <w:r>
              <w:rPr>
                <w:spacing w:val="-2"/>
                <w:szCs w:val="22"/>
              </w:rPr>
              <w:t>Notice Procedures for Processing Antenna</w:t>
            </w:r>
          </w:p>
          <w:p w:rsidR="00F4061F" w:rsidRDefault="00F4061F" w:rsidP="00677B54">
            <w:pPr>
              <w:widowControl/>
              <w:rPr>
                <w:spacing w:val="-2"/>
                <w:szCs w:val="22"/>
              </w:rPr>
            </w:pPr>
            <w:r>
              <w:rPr>
                <w:spacing w:val="-2"/>
                <w:szCs w:val="22"/>
              </w:rPr>
              <w:t>Structure Registration Applications for</w:t>
            </w:r>
          </w:p>
          <w:p w:rsidR="00F4061F" w:rsidRDefault="00F4061F" w:rsidP="00677B54">
            <w:pPr>
              <w:widowControl/>
              <w:rPr>
                <w:spacing w:val="-2"/>
                <w:szCs w:val="22"/>
              </w:rPr>
            </w:pPr>
            <w:r>
              <w:rPr>
                <w:spacing w:val="-2"/>
                <w:szCs w:val="22"/>
              </w:rPr>
              <w:t>Certain Temporary Towers</w:t>
            </w:r>
          </w:p>
          <w:p w:rsidR="00F4061F" w:rsidRPr="00F4061F" w:rsidRDefault="00F4061F" w:rsidP="00F4061F">
            <w:pPr>
              <w:widowControl/>
              <w:rPr>
                <w:spacing w:val="-2"/>
                <w:szCs w:val="22"/>
              </w:rPr>
            </w:pPr>
          </w:p>
          <w:p w:rsidR="00F4061F" w:rsidRDefault="00F4061F" w:rsidP="00F4061F">
            <w:pPr>
              <w:widowControl/>
              <w:rPr>
                <w:spacing w:val="-2"/>
                <w:szCs w:val="22"/>
              </w:rPr>
            </w:pPr>
            <w:r>
              <w:rPr>
                <w:spacing w:val="-2"/>
                <w:szCs w:val="22"/>
              </w:rPr>
              <w:t>2012 Biennial Review of</w:t>
            </w:r>
          </w:p>
          <w:p w:rsidR="00F4061F" w:rsidRPr="00C25322" w:rsidRDefault="00F4061F" w:rsidP="00F4061F">
            <w:pPr>
              <w:widowControl/>
              <w:rPr>
                <w:spacing w:val="-2"/>
                <w:szCs w:val="22"/>
              </w:rPr>
            </w:pPr>
            <w:r>
              <w:rPr>
                <w:spacing w:val="-2"/>
                <w:szCs w:val="22"/>
              </w:rPr>
              <w:t>Telecommunications Regulations</w:t>
            </w:r>
          </w:p>
        </w:tc>
        <w:tc>
          <w:tcPr>
            <w:tcW w:w="630" w:type="dxa"/>
          </w:tcPr>
          <w:p w:rsidR="00F4061F" w:rsidRPr="00C25322" w:rsidRDefault="00F4061F" w:rsidP="00677B54">
            <w:pPr>
              <w:widowControl/>
              <w:tabs>
                <w:tab w:val="center" w:pos="4680"/>
              </w:tabs>
              <w:suppressAutoHyphens/>
              <w:rPr>
                <w:spacing w:val="-2"/>
                <w:szCs w:val="22"/>
              </w:rPr>
            </w:pPr>
            <w:r w:rsidRPr="00C25322">
              <w:rPr>
                <w:spacing w:val="-2"/>
                <w:szCs w:val="22"/>
              </w:rPr>
              <w:t>)</w:t>
            </w:r>
          </w:p>
          <w:p w:rsidR="00F4061F" w:rsidRPr="00C25322" w:rsidRDefault="00F4061F" w:rsidP="00677B54">
            <w:pPr>
              <w:widowControl/>
              <w:tabs>
                <w:tab w:val="center" w:pos="4680"/>
              </w:tabs>
              <w:suppressAutoHyphens/>
              <w:rPr>
                <w:spacing w:val="-2"/>
                <w:szCs w:val="22"/>
              </w:rPr>
            </w:pPr>
            <w:r w:rsidRPr="00C25322">
              <w:rPr>
                <w:spacing w:val="-2"/>
                <w:szCs w:val="22"/>
              </w:rPr>
              <w:t>)</w:t>
            </w:r>
          </w:p>
          <w:p w:rsidR="00F4061F" w:rsidRPr="00C25322" w:rsidRDefault="00F4061F" w:rsidP="00677B54">
            <w:pPr>
              <w:widowControl/>
              <w:tabs>
                <w:tab w:val="center" w:pos="4680"/>
              </w:tabs>
              <w:suppressAutoHyphens/>
              <w:rPr>
                <w:spacing w:val="-2"/>
                <w:szCs w:val="22"/>
              </w:rPr>
            </w:pPr>
            <w:r w:rsidRPr="00C25322">
              <w:rPr>
                <w:spacing w:val="-2"/>
                <w:szCs w:val="22"/>
              </w:rPr>
              <w:t>)</w:t>
            </w:r>
          </w:p>
          <w:p w:rsidR="00F4061F" w:rsidRPr="00C25322" w:rsidRDefault="00F4061F" w:rsidP="00677B54">
            <w:pPr>
              <w:widowControl/>
              <w:tabs>
                <w:tab w:val="center" w:pos="4680"/>
              </w:tabs>
              <w:suppressAutoHyphens/>
              <w:rPr>
                <w:spacing w:val="-2"/>
                <w:szCs w:val="22"/>
              </w:rPr>
            </w:pPr>
            <w:r w:rsidRPr="00C25322">
              <w:rPr>
                <w:spacing w:val="-2"/>
                <w:szCs w:val="22"/>
              </w:rPr>
              <w:t>)</w:t>
            </w:r>
          </w:p>
          <w:p w:rsidR="00F4061F" w:rsidRPr="00C25322" w:rsidRDefault="00F4061F" w:rsidP="00677B54">
            <w:pPr>
              <w:widowControl/>
              <w:tabs>
                <w:tab w:val="center" w:pos="4680"/>
              </w:tabs>
              <w:suppressAutoHyphens/>
              <w:rPr>
                <w:spacing w:val="-2"/>
                <w:szCs w:val="22"/>
              </w:rPr>
            </w:pPr>
            <w:r w:rsidRPr="00C25322">
              <w:rPr>
                <w:spacing w:val="-2"/>
                <w:szCs w:val="22"/>
              </w:rPr>
              <w:t>)</w:t>
            </w:r>
          </w:p>
          <w:p w:rsidR="00F4061F" w:rsidRPr="00C25322" w:rsidRDefault="00F4061F" w:rsidP="00677B54">
            <w:pPr>
              <w:widowControl/>
              <w:tabs>
                <w:tab w:val="center" w:pos="4680"/>
              </w:tabs>
              <w:suppressAutoHyphens/>
              <w:rPr>
                <w:spacing w:val="-2"/>
                <w:szCs w:val="22"/>
              </w:rPr>
            </w:pPr>
            <w:r w:rsidRPr="00C25322">
              <w:rPr>
                <w:spacing w:val="-2"/>
                <w:szCs w:val="22"/>
              </w:rPr>
              <w:t>)</w:t>
            </w:r>
          </w:p>
          <w:p w:rsidR="00F4061F" w:rsidRPr="00C25322" w:rsidRDefault="00F4061F" w:rsidP="00677B54">
            <w:pPr>
              <w:widowControl/>
              <w:tabs>
                <w:tab w:val="center" w:pos="4680"/>
              </w:tabs>
              <w:suppressAutoHyphens/>
              <w:rPr>
                <w:spacing w:val="-2"/>
                <w:szCs w:val="22"/>
              </w:rPr>
            </w:pPr>
            <w:r w:rsidRPr="00C25322">
              <w:rPr>
                <w:spacing w:val="-2"/>
                <w:szCs w:val="22"/>
              </w:rPr>
              <w:t>)</w:t>
            </w:r>
          </w:p>
          <w:p w:rsidR="00F4061F" w:rsidRDefault="00F4061F" w:rsidP="00677B54">
            <w:pPr>
              <w:widowControl/>
              <w:tabs>
                <w:tab w:val="center" w:pos="4680"/>
              </w:tabs>
              <w:suppressAutoHyphens/>
              <w:rPr>
                <w:spacing w:val="-2"/>
                <w:szCs w:val="22"/>
              </w:rPr>
            </w:pPr>
            <w:r w:rsidRPr="00C25322">
              <w:rPr>
                <w:spacing w:val="-2"/>
                <w:szCs w:val="22"/>
              </w:rPr>
              <w:t>)</w:t>
            </w:r>
          </w:p>
          <w:p w:rsidR="00F4061F" w:rsidRDefault="00F4061F" w:rsidP="00677B54">
            <w:pPr>
              <w:widowControl/>
              <w:tabs>
                <w:tab w:val="center" w:pos="4680"/>
              </w:tabs>
              <w:suppressAutoHyphens/>
              <w:rPr>
                <w:spacing w:val="-2"/>
                <w:szCs w:val="22"/>
              </w:rPr>
            </w:pPr>
            <w:r>
              <w:rPr>
                <w:spacing w:val="-2"/>
                <w:szCs w:val="22"/>
              </w:rPr>
              <w:t>)</w:t>
            </w:r>
          </w:p>
          <w:p w:rsidR="00F4061F" w:rsidRDefault="00F4061F" w:rsidP="00677B54">
            <w:pPr>
              <w:widowControl/>
              <w:tabs>
                <w:tab w:val="center" w:pos="4680"/>
              </w:tabs>
              <w:suppressAutoHyphens/>
              <w:rPr>
                <w:spacing w:val="-2"/>
                <w:szCs w:val="22"/>
              </w:rPr>
            </w:pPr>
            <w:r>
              <w:rPr>
                <w:spacing w:val="-2"/>
                <w:szCs w:val="22"/>
              </w:rPr>
              <w:t>)</w:t>
            </w:r>
          </w:p>
          <w:p w:rsidR="00F4061F" w:rsidRPr="00C25322" w:rsidRDefault="00F4061F" w:rsidP="00677B54">
            <w:pPr>
              <w:widowControl/>
              <w:tabs>
                <w:tab w:val="center" w:pos="4680"/>
              </w:tabs>
              <w:suppressAutoHyphens/>
              <w:rPr>
                <w:spacing w:val="-2"/>
                <w:szCs w:val="22"/>
              </w:rPr>
            </w:pPr>
          </w:p>
        </w:tc>
        <w:tc>
          <w:tcPr>
            <w:tcW w:w="4248" w:type="dxa"/>
          </w:tcPr>
          <w:p w:rsidR="00F4061F" w:rsidRPr="00C25322" w:rsidRDefault="00F4061F" w:rsidP="00677B54">
            <w:pPr>
              <w:widowControl/>
              <w:tabs>
                <w:tab w:val="center" w:pos="4680"/>
              </w:tabs>
              <w:suppressAutoHyphens/>
              <w:rPr>
                <w:spacing w:val="-2"/>
                <w:szCs w:val="22"/>
              </w:rPr>
            </w:pPr>
          </w:p>
          <w:p w:rsidR="00F4061F" w:rsidRPr="00C25322" w:rsidRDefault="00F4061F" w:rsidP="00677B54">
            <w:pPr>
              <w:pStyle w:val="TOAHeading"/>
              <w:widowControl/>
              <w:tabs>
                <w:tab w:val="clear" w:pos="9360"/>
                <w:tab w:val="center" w:pos="4680"/>
              </w:tabs>
              <w:rPr>
                <w:spacing w:val="-2"/>
                <w:szCs w:val="22"/>
              </w:rPr>
            </w:pPr>
          </w:p>
          <w:p w:rsidR="00F4061F" w:rsidRPr="00C25322" w:rsidRDefault="00F4061F" w:rsidP="00677B54">
            <w:pPr>
              <w:widowControl/>
              <w:tabs>
                <w:tab w:val="center" w:pos="4680"/>
              </w:tabs>
              <w:suppressAutoHyphens/>
              <w:rPr>
                <w:spacing w:val="-2"/>
                <w:szCs w:val="22"/>
              </w:rPr>
            </w:pPr>
          </w:p>
          <w:p w:rsidR="00F4061F" w:rsidRPr="00C25322" w:rsidRDefault="00F4061F" w:rsidP="00677B54">
            <w:pPr>
              <w:widowControl/>
              <w:tabs>
                <w:tab w:val="center" w:pos="4680"/>
              </w:tabs>
              <w:suppressAutoHyphens/>
              <w:rPr>
                <w:spacing w:val="-2"/>
                <w:szCs w:val="22"/>
              </w:rPr>
            </w:pPr>
            <w:r>
              <w:rPr>
                <w:spacing w:val="-2"/>
                <w:szCs w:val="22"/>
              </w:rPr>
              <w:t xml:space="preserve">RM No. </w:t>
            </w:r>
            <w:r w:rsidRPr="005766C8">
              <w:rPr>
                <w:spacing w:val="-2"/>
                <w:szCs w:val="22"/>
              </w:rPr>
              <w:t>11688</w:t>
            </w:r>
          </w:p>
          <w:p w:rsidR="00F4061F" w:rsidRDefault="00F4061F" w:rsidP="00677B54">
            <w:pPr>
              <w:widowControl/>
              <w:tabs>
                <w:tab w:val="center" w:pos="4680"/>
              </w:tabs>
              <w:suppressAutoHyphens/>
              <w:rPr>
                <w:spacing w:val="-2"/>
                <w:szCs w:val="22"/>
              </w:rPr>
            </w:pPr>
          </w:p>
          <w:p w:rsidR="00F4061F" w:rsidRDefault="00F4061F" w:rsidP="00677B54">
            <w:pPr>
              <w:widowControl/>
              <w:tabs>
                <w:tab w:val="center" w:pos="4680"/>
              </w:tabs>
              <w:suppressAutoHyphens/>
              <w:rPr>
                <w:spacing w:val="-2"/>
                <w:szCs w:val="22"/>
              </w:rPr>
            </w:pPr>
          </w:p>
          <w:p w:rsidR="00F4061F" w:rsidRDefault="00F4061F" w:rsidP="00677B54">
            <w:pPr>
              <w:widowControl/>
              <w:tabs>
                <w:tab w:val="center" w:pos="4680"/>
              </w:tabs>
              <w:suppressAutoHyphens/>
              <w:rPr>
                <w:spacing w:val="-2"/>
                <w:szCs w:val="22"/>
              </w:rPr>
            </w:pPr>
          </w:p>
          <w:p w:rsidR="00F4061F" w:rsidRDefault="00F4061F" w:rsidP="00677B54">
            <w:pPr>
              <w:widowControl/>
              <w:tabs>
                <w:tab w:val="center" w:pos="4680"/>
              </w:tabs>
              <w:suppressAutoHyphens/>
              <w:rPr>
                <w:spacing w:val="-2"/>
                <w:szCs w:val="22"/>
              </w:rPr>
            </w:pPr>
          </w:p>
          <w:p w:rsidR="00F4061F" w:rsidRPr="00F4061F" w:rsidRDefault="00F4061F" w:rsidP="00677B54">
            <w:pPr>
              <w:widowControl/>
              <w:tabs>
                <w:tab w:val="center" w:pos="4680"/>
              </w:tabs>
              <w:suppressAutoHyphens/>
              <w:rPr>
                <w:spacing w:val="-2"/>
                <w:szCs w:val="22"/>
              </w:rPr>
            </w:pPr>
            <w:r w:rsidRPr="00F4061F">
              <w:rPr>
                <w:spacing w:val="-2"/>
                <w:szCs w:val="22"/>
              </w:rPr>
              <w:t>WT Docket No. 13-32</w:t>
            </w:r>
          </w:p>
        </w:tc>
      </w:tr>
    </w:tbl>
    <w:p w:rsidR="00041184" w:rsidRPr="00C25322" w:rsidRDefault="00041184" w:rsidP="00677B54">
      <w:pPr>
        <w:widowControl/>
        <w:rPr>
          <w:szCs w:val="22"/>
        </w:rPr>
      </w:pPr>
    </w:p>
    <w:p w:rsidR="00041184" w:rsidRPr="00C25322" w:rsidRDefault="00041184" w:rsidP="00677B54">
      <w:pPr>
        <w:pStyle w:val="StyleBoldCentered"/>
        <w:widowControl/>
      </w:pPr>
      <w:r>
        <w:t>order</w:t>
      </w:r>
    </w:p>
    <w:p w:rsidR="00041184" w:rsidRPr="00C25322" w:rsidRDefault="00041184" w:rsidP="00677B54">
      <w:pPr>
        <w:widowControl/>
        <w:tabs>
          <w:tab w:val="left" w:pos="-720"/>
        </w:tabs>
        <w:suppressAutoHyphens/>
        <w:spacing w:line="227" w:lineRule="auto"/>
        <w:rPr>
          <w:spacing w:val="-2"/>
          <w:szCs w:val="22"/>
        </w:rPr>
      </w:pPr>
    </w:p>
    <w:p w:rsidR="00041184" w:rsidRPr="00C25322" w:rsidRDefault="00041184" w:rsidP="00677B54">
      <w:pPr>
        <w:widowControl/>
        <w:tabs>
          <w:tab w:val="left" w:pos="720"/>
          <w:tab w:val="left" w:pos="5760"/>
        </w:tabs>
        <w:suppressAutoHyphens/>
        <w:spacing w:line="227" w:lineRule="auto"/>
        <w:rPr>
          <w:spacing w:val="-2"/>
          <w:szCs w:val="22"/>
        </w:rPr>
      </w:pPr>
      <w:r w:rsidRPr="00C25322">
        <w:rPr>
          <w:b/>
          <w:spacing w:val="-2"/>
          <w:szCs w:val="22"/>
        </w:rPr>
        <w:t xml:space="preserve">Adopted:  </w:t>
      </w:r>
      <w:r>
        <w:rPr>
          <w:b/>
          <w:spacing w:val="-2"/>
          <w:szCs w:val="22"/>
        </w:rPr>
        <w:t xml:space="preserve"> </w:t>
      </w:r>
      <w:r w:rsidR="00E97B83">
        <w:rPr>
          <w:b/>
          <w:spacing w:val="-2"/>
          <w:szCs w:val="22"/>
        </w:rPr>
        <w:t>May 15</w:t>
      </w:r>
      <w:r w:rsidR="005766C8">
        <w:rPr>
          <w:b/>
          <w:spacing w:val="-2"/>
          <w:szCs w:val="22"/>
        </w:rPr>
        <w:t>, 2013</w:t>
      </w:r>
      <w:r w:rsidRPr="00C25322">
        <w:rPr>
          <w:b/>
          <w:spacing w:val="-2"/>
          <w:szCs w:val="22"/>
        </w:rPr>
        <w:tab/>
        <w:t xml:space="preserve">Released:   </w:t>
      </w:r>
      <w:r w:rsidR="00E97B83">
        <w:rPr>
          <w:b/>
          <w:spacing w:val="-2"/>
          <w:szCs w:val="22"/>
        </w:rPr>
        <w:t>May 16</w:t>
      </w:r>
      <w:r w:rsidRPr="00C25322">
        <w:rPr>
          <w:b/>
          <w:spacing w:val="-2"/>
          <w:szCs w:val="22"/>
        </w:rPr>
        <w:t>, 20</w:t>
      </w:r>
      <w:r>
        <w:rPr>
          <w:b/>
          <w:spacing w:val="-2"/>
          <w:szCs w:val="22"/>
        </w:rPr>
        <w:t>1</w:t>
      </w:r>
      <w:r w:rsidR="005766C8">
        <w:rPr>
          <w:b/>
          <w:spacing w:val="-2"/>
          <w:szCs w:val="22"/>
        </w:rPr>
        <w:t>3</w:t>
      </w:r>
    </w:p>
    <w:p w:rsidR="00041184" w:rsidRPr="00C25322" w:rsidRDefault="00041184" w:rsidP="00677B54">
      <w:pPr>
        <w:widowControl/>
        <w:rPr>
          <w:szCs w:val="22"/>
        </w:rPr>
      </w:pPr>
    </w:p>
    <w:p w:rsidR="00041184" w:rsidRPr="00C25322" w:rsidRDefault="00041184" w:rsidP="00677B54">
      <w:pPr>
        <w:widowControl/>
        <w:rPr>
          <w:spacing w:val="-2"/>
          <w:szCs w:val="22"/>
        </w:rPr>
      </w:pPr>
      <w:r w:rsidRPr="00C25322">
        <w:rPr>
          <w:szCs w:val="22"/>
        </w:rPr>
        <w:t>By the Commission</w:t>
      </w:r>
      <w:r>
        <w:rPr>
          <w:szCs w:val="22"/>
        </w:rPr>
        <w:t>:</w:t>
      </w:r>
      <w:r w:rsidR="00445120">
        <w:rPr>
          <w:szCs w:val="22"/>
        </w:rPr>
        <w:t xml:space="preserve">  </w:t>
      </w:r>
      <w:r w:rsidR="002B638C">
        <w:t>Commissioner McDowell not participating.</w:t>
      </w:r>
    </w:p>
    <w:p w:rsidR="00041184" w:rsidRDefault="00041184" w:rsidP="00677B54">
      <w:pPr>
        <w:widowControl/>
        <w:rPr>
          <w:szCs w:val="22"/>
        </w:rPr>
      </w:pPr>
    </w:p>
    <w:p w:rsidR="00041184" w:rsidRPr="00C25322" w:rsidRDefault="00041184" w:rsidP="00047438">
      <w:pPr>
        <w:pStyle w:val="Heading1"/>
      </w:pPr>
      <w:bookmarkStart w:id="1" w:name="_Toc170903258"/>
      <w:bookmarkStart w:id="2" w:name="_Toc171518751"/>
      <w:bookmarkStart w:id="3" w:name="_Toc171686361"/>
      <w:bookmarkStart w:id="4" w:name="_Toc171791778"/>
      <w:bookmarkStart w:id="5" w:name="_Toc171858562"/>
      <w:bookmarkStart w:id="6" w:name="_Toc171858966"/>
      <w:bookmarkStart w:id="7" w:name="_Toc171861402"/>
      <w:bookmarkStart w:id="8" w:name="_Toc171861969"/>
      <w:bookmarkStart w:id="9" w:name="_Toc171862827"/>
      <w:bookmarkStart w:id="10" w:name="_Toc171872379"/>
      <w:bookmarkStart w:id="11" w:name="_Toc171873639"/>
      <w:bookmarkStart w:id="12" w:name="_Toc171916040"/>
      <w:bookmarkStart w:id="13" w:name="_Toc172375042"/>
      <w:bookmarkStart w:id="14" w:name="_Toc172459860"/>
      <w:bookmarkStart w:id="15" w:name="_Toc172520957"/>
      <w:bookmarkStart w:id="16" w:name="_Toc173406319"/>
      <w:bookmarkStart w:id="17" w:name="_Toc173408124"/>
      <w:bookmarkStart w:id="18" w:name="_Toc173556137"/>
      <w:bookmarkStart w:id="19" w:name="_Toc173556194"/>
      <w:bookmarkStart w:id="20" w:name="_Toc173561003"/>
      <w:bookmarkStart w:id="21" w:name="_Toc173610666"/>
      <w:bookmarkStart w:id="22" w:name="_Toc173646008"/>
      <w:bookmarkStart w:id="23" w:name="_Toc173646093"/>
      <w:bookmarkStart w:id="24" w:name="_Toc173815152"/>
      <w:bookmarkStart w:id="25" w:name="_Toc173830806"/>
      <w:bookmarkStart w:id="26" w:name="_Toc173840207"/>
      <w:bookmarkStart w:id="27" w:name="_Toc173861134"/>
      <w:bookmarkStart w:id="28" w:name="_Toc173861455"/>
      <w:bookmarkStart w:id="29" w:name="_Toc174369771"/>
      <w:bookmarkStart w:id="30" w:name="_Toc194241029"/>
      <w:bookmarkStart w:id="31" w:name="_Toc194325046"/>
      <w:bookmarkStart w:id="32" w:name="_Toc194329567"/>
      <w:bookmarkStart w:id="33" w:name="_Toc194729637"/>
      <w:bookmarkStart w:id="34" w:name="_Toc194815516"/>
      <w:bookmarkStart w:id="35" w:name="_Toc194836819"/>
      <w:bookmarkStart w:id="36" w:name="_Toc194920610"/>
      <w:bookmarkStart w:id="37" w:name="_Toc194921818"/>
      <w:bookmarkStart w:id="38" w:name="_Toc194927706"/>
      <w:bookmarkStart w:id="39" w:name="_Toc195496584"/>
      <w:bookmarkStart w:id="40" w:name="_Toc196131814"/>
      <w:bookmarkStart w:id="41" w:name="_Toc196732541"/>
      <w:bookmarkStart w:id="42" w:name="_Toc196740793"/>
      <w:bookmarkStart w:id="43" w:name="_Toc198032860"/>
      <w:bookmarkStart w:id="44" w:name="_Toc198033762"/>
      <w:bookmarkStart w:id="45" w:name="_Toc198466329"/>
      <w:bookmarkStart w:id="46" w:name="_Toc198521341"/>
      <w:bookmarkStart w:id="47" w:name="_Toc212545801"/>
      <w:bookmarkStart w:id="48" w:name="_Toc212614844"/>
      <w:bookmarkStart w:id="49" w:name="_Toc260821071"/>
      <w:bookmarkStart w:id="50" w:name="_Toc262463233"/>
      <w:bookmarkStart w:id="51" w:name="_Toc263318943"/>
      <w:bookmarkStart w:id="52" w:name="_Toc264360953"/>
      <w:bookmarkStart w:id="53" w:name="_Toc264361273"/>
      <w:bookmarkStart w:id="54" w:name="_Toc264647505"/>
      <w:bookmarkStart w:id="55" w:name="_Toc273961787"/>
      <w:bookmarkStart w:id="56" w:name="_Toc273962764"/>
      <w:bookmarkStart w:id="57" w:name="_Toc274826425"/>
      <w:bookmarkStart w:id="58" w:name="_Toc275345221"/>
      <w:bookmarkStart w:id="59" w:name="_Toc275351469"/>
      <w:bookmarkStart w:id="60" w:name="_Toc275936886"/>
      <w:bookmarkStart w:id="61" w:name="_Toc276146598"/>
      <w:bookmarkStart w:id="62" w:name="_Toc277916229"/>
      <w:bookmarkStart w:id="63" w:name="_Toc277940594"/>
      <w:bookmarkStart w:id="64" w:name="_Toc277942143"/>
      <w:bookmarkStart w:id="65" w:name="_Toc277948139"/>
      <w:bookmarkStart w:id="66" w:name="_Toc278782248"/>
      <w:bookmarkStart w:id="67" w:name="_Toc279991056"/>
      <w:bookmarkStart w:id="68" w:name="_Toc280782243"/>
      <w:bookmarkStart w:id="69" w:name="_Toc294000178"/>
      <w:bookmarkStart w:id="70" w:name="_Toc298766319"/>
      <w:bookmarkStart w:id="71" w:name="_Toc300048476"/>
      <w:bookmarkStart w:id="72" w:name="_Toc305681992"/>
      <w:bookmarkStart w:id="73" w:name="_Toc309197699"/>
      <w:r w:rsidRPr="00C25322">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252A6" w:rsidRPr="006252A6" w:rsidRDefault="00041184" w:rsidP="006252A6">
      <w:pPr>
        <w:pStyle w:val="ParaNum"/>
        <w:widowControl/>
        <w:rPr>
          <w:szCs w:val="22"/>
        </w:rPr>
      </w:pPr>
      <w:r w:rsidRPr="0032096D">
        <w:t xml:space="preserve">In this Order, we </w:t>
      </w:r>
      <w:r w:rsidR="00EF5F06">
        <w:t xml:space="preserve">take initial action to remove an administrative obstacle to the availability of broadband and other wireless services during major events and unanticipated periods of localized high demand.  Specifically, we grant </w:t>
      </w:r>
      <w:r w:rsidR="002A1756">
        <w:t xml:space="preserve">an interim </w:t>
      </w:r>
      <w:r w:rsidR="00EF5F06">
        <w:t xml:space="preserve">waiver, </w:t>
      </w:r>
      <w:r w:rsidR="00807BCD">
        <w:t>pending completion of an upcoming rulemaking proceeding, of our pre-construction environmental notice requirements for certain temporary towers that require antenna structure registration.</w:t>
      </w:r>
      <w:r w:rsidR="00807BCD">
        <w:rPr>
          <w:rStyle w:val="FootnoteReference"/>
        </w:rPr>
        <w:footnoteReference w:id="2"/>
      </w:r>
      <w:r w:rsidR="00DE544E">
        <w:t xml:space="preserve">  By </w:t>
      </w:r>
      <w:r w:rsidR="00662381">
        <w:t xml:space="preserve">so </w:t>
      </w:r>
      <w:r w:rsidR="00DE544E">
        <w:t>doing, we create an efficient mechanism for the timely erection of temporary towers in response to unanticipated needs without creating a significant risk of environmental harm.</w:t>
      </w:r>
      <w:r w:rsidR="00491BA2">
        <w:t xml:space="preserve"> </w:t>
      </w:r>
      <w:bookmarkStart w:id="74" w:name="_Toc212545802"/>
      <w:bookmarkStart w:id="75" w:name="_Toc212614845"/>
      <w:bookmarkStart w:id="76" w:name="_Toc260821072"/>
      <w:bookmarkStart w:id="77" w:name="_Toc262463234"/>
      <w:bookmarkStart w:id="78" w:name="_Toc263318944"/>
      <w:bookmarkStart w:id="79" w:name="_Toc264360954"/>
      <w:bookmarkStart w:id="80" w:name="_Toc264361274"/>
      <w:bookmarkStart w:id="81" w:name="_Toc264647506"/>
      <w:bookmarkStart w:id="82" w:name="_Toc273961788"/>
      <w:bookmarkStart w:id="83" w:name="_Toc273962765"/>
      <w:bookmarkStart w:id="84" w:name="_Toc274826426"/>
      <w:bookmarkStart w:id="85" w:name="_Toc275345222"/>
      <w:bookmarkStart w:id="86" w:name="_Toc275351470"/>
      <w:bookmarkStart w:id="87" w:name="_Toc275936887"/>
      <w:bookmarkStart w:id="88" w:name="_Toc276146599"/>
      <w:bookmarkStart w:id="89" w:name="_Toc277916230"/>
      <w:bookmarkStart w:id="90" w:name="_Toc277940595"/>
      <w:bookmarkStart w:id="91" w:name="_Toc277942144"/>
      <w:bookmarkStart w:id="92" w:name="_Toc277948140"/>
      <w:bookmarkStart w:id="93" w:name="_Toc278782249"/>
      <w:bookmarkStart w:id="94" w:name="_Toc279991057"/>
      <w:bookmarkStart w:id="95" w:name="_Toc280782244"/>
      <w:bookmarkStart w:id="96" w:name="_Toc294000179"/>
      <w:bookmarkStart w:id="97" w:name="_Toc298766320"/>
      <w:bookmarkStart w:id="98" w:name="_Toc300048477"/>
      <w:bookmarkStart w:id="99" w:name="_Toc305681993"/>
      <w:bookmarkStart w:id="100" w:name="_Toc309197700"/>
    </w:p>
    <w:p w:rsidR="00BE2FFA" w:rsidRPr="00C25322" w:rsidRDefault="00BE2FFA" w:rsidP="00047438">
      <w:pPr>
        <w:pStyle w:val="Heading1"/>
      </w:pPr>
      <w:r>
        <w:t>bACKGROUND</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rsidR="00041184" w:rsidRPr="00B701EA" w:rsidRDefault="0015202C" w:rsidP="00047438">
      <w:pPr>
        <w:pStyle w:val="Heading2"/>
      </w:pPr>
      <w:r>
        <w:t>T</w:t>
      </w:r>
      <w:r w:rsidR="00270F20" w:rsidRPr="00B701EA">
        <w:t xml:space="preserve">he </w:t>
      </w:r>
      <w:r w:rsidR="0062694B" w:rsidRPr="00B701EA">
        <w:t xml:space="preserve">Environmental Notification </w:t>
      </w:r>
      <w:r w:rsidR="00270F20" w:rsidRPr="00B701EA">
        <w:t>Process</w:t>
      </w:r>
      <w:r w:rsidR="00F4061F" w:rsidRPr="00B701EA">
        <w:t xml:space="preserve"> for Antenna Structure Registrations</w:t>
      </w:r>
    </w:p>
    <w:p w:rsidR="00FE3CF6" w:rsidRPr="00FE3CF6" w:rsidRDefault="0063195D" w:rsidP="00677B54">
      <w:pPr>
        <w:pStyle w:val="ParaNum"/>
        <w:keepNext/>
        <w:widowControl/>
        <w:rPr>
          <w:szCs w:val="22"/>
        </w:rPr>
      </w:pPr>
      <w:r w:rsidRPr="00294271">
        <w:t xml:space="preserve">Under the </w:t>
      </w:r>
      <w:r>
        <w:t>Antenna Structure Registration (ASR)</w:t>
      </w:r>
      <w:r w:rsidRPr="00294271">
        <w:t xml:space="preserve"> program, owners of antenna structures that are taller than 200 feet above ground level or that may interfere with the flight path of a nearby airport must register those structures with the </w:t>
      </w:r>
      <w:r>
        <w:t>Commission</w:t>
      </w:r>
      <w:r w:rsidRPr="00294271">
        <w:t>.</w:t>
      </w:r>
      <w:r>
        <w:rPr>
          <w:rStyle w:val="FootnoteReference"/>
        </w:rPr>
        <w:footnoteReference w:id="3"/>
      </w:r>
      <w:r w:rsidRPr="00294271">
        <w:t xml:space="preserve">  The antenna structure owner must obtain painting and lighting specifications from the Federal Aviation Administration</w:t>
      </w:r>
      <w:r>
        <w:t xml:space="preserve"> (FAA)</w:t>
      </w:r>
      <w:r w:rsidRPr="00294271">
        <w:t xml:space="preserve"> and include those specifications in its registration prior to construction.  The ASR program allows the </w:t>
      </w:r>
      <w:r>
        <w:t>Commission</w:t>
      </w:r>
      <w:r w:rsidRPr="00294271">
        <w:t xml:space="preserve"> to fulfill its statutory responsibility to require painting and lighting of antenna structures that may pose a hazard to air navigation.</w:t>
      </w:r>
      <w:r>
        <w:rPr>
          <w:rStyle w:val="FootnoteReference"/>
          <w:szCs w:val="22"/>
        </w:rPr>
        <w:footnoteReference w:id="4"/>
      </w:r>
    </w:p>
    <w:p w:rsidR="002C5414" w:rsidRPr="00FE3CF6" w:rsidRDefault="007852FB" w:rsidP="00677B54">
      <w:pPr>
        <w:pStyle w:val="ParaNum"/>
        <w:keepNext/>
        <w:widowControl/>
        <w:rPr>
          <w:szCs w:val="22"/>
        </w:rPr>
      </w:pPr>
      <w:r w:rsidRPr="00FE3CF6">
        <w:rPr>
          <w:szCs w:val="22"/>
        </w:rPr>
        <w:t>The N</w:t>
      </w:r>
      <w:r w:rsidR="00FF1C62" w:rsidRPr="00FE3CF6">
        <w:rPr>
          <w:szCs w:val="22"/>
        </w:rPr>
        <w:t xml:space="preserve">ational </w:t>
      </w:r>
      <w:r w:rsidRPr="00FE3CF6">
        <w:rPr>
          <w:szCs w:val="22"/>
        </w:rPr>
        <w:t>E</w:t>
      </w:r>
      <w:r w:rsidR="00FF1C62" w:rsidRPr="00FE3CF6">
        <w:rPr>
          <w:szCs w:val="22"/>
        </w:rPr>
        <w:t xml:space="preserve">nvironmental </w:t>
      </w:r>
      <w:r w:rsidRPr="00FE3CF6">
        <w:rPr>
          <w:szCs w:val="22"/>
        </w:rPr>
        <w:t>P</w:t>
      </w:r>
      <w:r w:rsidR="00FF1C62" w:rsidRPr="00FE3CF6">
        <w:rPr>
          <w:szCs w:val="22"/>
        </w:rPr>
        <w:t xml:space="preserve">olicy </w:t>
      </w:r>
      <w:r w:rsidRPr="00FE3CF6">
        <w:rPr>
          <w:szCs w:val="22"/>
        </w:rPr>
        <w:t>A</w:t>
      </w:r>
      <w:r w:rsidR="00FF1C62" w:rsidRPr="00FE3CF6">
        <w:rPr>
          <w:szCs w:val="22"/>
        </w:rPr>
        <w:t>ct</w:t>
      </w:r>
      <w:r w:rsidR="00C0352D" w:rsidRPr="00FE3CF6">
        <w:rPr>
          <w:szCs w:val="22"/>
        </w:rPr>
        <w:t xml:space="preserve"> (NEPA)</w:t>
      </w:r>
      <w:r w:rsidR="00E51EB4" w:rsidRPr="00FE3CF6">
        <w:rPr>
          <w:szCs w:val="22"/>
        </w:rPr>
        <w:t xml:space="preserve"> requires all federal agencies, including the FCC, to identify and take into account environmental effects when deciding whether to authorize or </w:t>
      </w:r>
      <w:r w:rsidR="00E51EB4" w:rsidRPr="00FE3CF6">
        <w:rPr>
          <w:szCs w:val="22"/>
        </w:rPr>
        <w:lastRenderedPageBreak/>
        <w:t>undertake a major federal action</w:t>
      </w:r>
      <w:r w:rsidR="00BD06C9" w:rsidRPr="00FE3CF6">
        <w:rPr>
          <w:szCs w:val="22"/>
        </w:rPr>
        <w:t>.</w:t>
      </w:r>
      <w:r w:rsidR="00FF1C62">
        <w:rPr>
          <w:rStyle w:val="FootnoteReference"/>
          <w:szCs w:val="22"/>
        </w:rPr>
        <w:footnoteReference w:id="5"/>
      </w:r>
      <w:r w:rsidRPr="00FE3CF6">
        <w:rPr>
          <w:szCs w:val="22"/>
        </w:rPr>
        <w:t xml:space="preserve">  </w:t>
      </w:r>
      <w:r w:rsidR="002C5414" w:rsidRPr="00FE3CF6">
        <w:rPr>
          <w:szCs w:val="22"/>
        </w:rPr>
        <w:t>The Commission has deemed processing of antenna structure registration applications to be a major federal action.</w:t>
      </w:r>
      <w:r w:rsidR="002C5414">
        <w:rPr>
          <w:rStyle w:val="FootnoteReference"/>
          <w:szCs w:val="22"/>
        </w:rPr>
        <w:footnoteReference w:id="6"/>
      </w:r>
      <w:r w:rsidR="002C5414" w:rsidRPr="00FE3CF6">
        <w:rPr>
          <w:szCs w:val="22"/>
        </w:rPr>
        <w:t xml:space="preserve">  </w:t>
      </w:r>
      <w:r w:rsidR="00DB4380" w:rsidRPr="00FE3CF6">
        <w:rPr>
          <w:szCs w:val="22"/>
        </w:rPr>
        <w:t>T</w:t>
      </w:r>
      <w:r w:rsidR="002C5414" w:rsidRPr="00FE3CF6">
        <w:rPr>
          <w:szCs w:val="22"/>
        </w:rPr>
        <w:t>he Commission’s NEPA rules</w:t>
      </w:r>
      <w:r w:rsidR="00DB4380" w:rsidRPr="00FE3CF6">
        <w:rPr>
          <w:szCs w:val="22"/>
        </w:rPr>
        <w:t xml:space="preserve"> and procedures</w:t>
      </w:r>
      <w:r w:rsidR="002C5414" w:rsidRPr="00FE3CF6">
        <w:rPr>
          <w:szCs w:val="22"/>
        </w:rPr>
        <w:t xml:space="preserve">, </w:t>
      </w:r>
      <w:r w:rsidR="00DB4380" w:rsidRPr="00FE3CF6">
        <w:rPr>
          <w:szCs w:val="22"/>
        </w:rPr>
        <w:t>which have been approved by the Council on Environmental Quality, require preparation of an Environmental Assessment (EA) for any proposed action that may have a significant environmental effect under the criteria set out in Section 1.1307 of the Commission’s rules.</w:t>
      </w:r>
      <w:r w:rsidR="00DB4380">
        <w:rPr>
          <w:rStyle w:val="FootnoteReference"/>
          <w:szCs w:val="22"/>
        </w:rPr>
        <w:footnoteReference w:id="7"/>
      </w:r>
      <w:r w:rsidR="00DB4380" w:rsidRPr="00FE3CF6">
        <w:rPr>
          <w:szCs w:val="22"/>
        </w:rPr>
        <w:t xml:space="preserve">  Proposed actions that are deemed individually and collectively to have no significant environmental effects and that are not covered by the environmental criteria set out in Section 1.1307 of the rules are categorically excluded from environmental processing.</w:t>
      </w:r>
      <w:r w:rsidR="00DB4380">
        <w:rPr>
          <w:rStyle w:val="FootnoteReference"/>
          <w:szCs w:val="22"/>
        </w:rPr>
        <w:footnoteReference w:id="8"/>
      </w:r>
      <w:r w:rsidR="00FE3CF6" w:rsidRPr="00FE3CF6">
        <w:rPr>
          <w:szCs w:val="22"/>
        </w:rPr>
        <w:t xml:space="preserve">  </w:t>
      </w:r>
      <w:r w:rsidR="007A5EB4">
        <w:rPr>
          <w:szCs w:val="22"/>
        </w:rPr>
        <w:t>I</w:t>
      </w:r>
      <w:r w:rsidR="00FE3CF6" w:rsidRPr="00FE3CF6">
        <w:rPr>
          <w:szCs w:val="22"/>
        </w:rPr>
        <w:t xml:space="preserve">n such cases, the Bureau </w:t>
      </w:r>
      <w:r w:rsidR="00D921A5">
        <w:rPr>
          <w:szCs w:val="22"/>
        </w:rPr>
        <w:t xml:space="preserve">shall </w:t>
      </w:r>
      <w:r w:rsidR="00FE3CF6" w:rsidRPr="00FE3CF6">
        <w:rPr>
          <w:szCs w:val="22"/>
        </w:rPr>
        <w:t xml:space="preserve">order preparation of an EA </w:t>
      </w:r>
      <w:r w:rsidR="002D0EC5" w:rsidRPr="00FE3CF6">
        <w:rPr>
          <w:szCs w:val="22"/>
        </w:rPr>
        <w:t>if it determines</w:t>
      </w:r>
      <w:r w:rsidR="007A5EB4">
        <w:rPr>
          <w:szCs w:val="22"/>
        </w:rPr>
        <w:t>,</w:t>
      </w:r>
      <w:r w:rsidR="00FE3CF6" w:rsidRPr="00FE3CF6">
        <w:rPr>
          <w:szCs w:val="22"/>
        </w:rPr>
        <w:t xml:space="preserve"> </w:t>
      </w:r>
      <w:r w:rsidR="002D0EC5">
        <w:rPr>
          <w:szCs w:val="22"/>
        </w:rPr>
        <w:t xml:space="preserve">based on its review of </w:t>
      </w:r>
      <w:r w:rsidR="00FE3CF6" w:rsidRPr="00FE3CF6">
        <w:rPr>
          <w:szCs w:val="22"/>
        </w:rPr>
        <w:t>a petition from an interested person</w:t>
      </w:r>
      <w:r w:rsidR="002D0EC5">
        <w:rPr>
          <w:szCs w:val="22"/>
        </w:rPr>
        <w:t xml:space="preserve"> or </w:t>
      </w:r>
      <w:r w:rsidR="002D0EC5" w:rsidRPr="00FE3CF6">
        <w:rPr>
          <w:szCs w:val="22"/>
        </w:rPr>
        <w:t>on its own motion</w:t>
      </w:r>
      <w:r w:rsidR="007A5EB4">
        <w:rPr>
          <w:szCs w:val="22"/>
        </w:rPr>
        <w:t>,</w:t>
      </w:r>
      <w:r w:rsidR="00FE3CF6" w:rsidRPr="00FE3CF6">
        <w:rPr>
          <w:szCs w:val="22"/>
        </w:rPr>
        <w:t xml:space="preserve"> that </w:t>
      </w:r>
      <w:r w:rsidR="002D0EC5">
        <w:rPr>
          <w:szCs w:val="22"/>
        </w:rPr>
        <w:t>a</w:t>
      </w:r>
      <w:r w:rsidR="00447EEC">
        <w:rPr>
          <w:szCs w:val="22"/>
        </w:rPr>
        <w:t>n otherwise</w:t>
      </w:r>
      <w:r w:rsidR="002D0EC5">
        <w:rPr>
          <w:szCs w:val="22"/>
        </w:rPr>
        <w:t xml:space="preserve"> categorically excluded action </w:t>
      </w:r>
      <w:r w:rsidR="00FE3CF6" w:rsidRPr="00FE3CF6">
        <w:rPr>
          <w:szCs w:val="22"/>
        </w:rPr>
        <w:t>may have a significant environmental impact.</w:t>
      </w:r>
      <w:r w:rsidR="008D2ED3">
        <w:rPr>
          <w:rStyle w:val="FootnoteReference"/>
          <w:szCs w:val="22"/>
        </w:rPr>
        <w:footnoteReference w:id="9"/>
      </w:r>
    </w:p>
    <w:p w:rsidR="0022150C" w:rsidRPr="00662381" w:rsidRDefault="006357E0" w:rsidP="00677B54">
      <w:pPr>
        <w:pStyle w:val="ParaNum"/>
        <w:keepNext/>
        <w:widowControl/>
        <w:rPr>
          <w:szCs w:val="22"/>
        </w:rPr>
      </w:pPr>
      <w:r w:rsidRPr="00662381">
        <w:rPr>
          <w:szCs w:val="22"/>
        </w:rPr>
        <w:t xml:space="preserve">One of NEPA’s central goals is to facilitate public involvement in </w:t>
      </w:r>
      <w:r w:rsidR="00F4061F" w:rsidRPr="00662381">
        <w:rPr>
          <w:szCs w:val="22"/>
        </w:rPr>
        <w:t>a</w:t>
      </w:r>
      <w:r w:rsidR="0063195D" w:rsidRPr="00662381">
        <w:rPr>
          <w:szCs w:val="22"/>
        </w:rPr>
        <w:t>g</w:t>
      </w:r>
      <w:r w:rsidRPr="00662381">
        <w:rPr>
          <w:szCs w:val="22"/>
        </w:rPr>
        <w:t>ency decisions that may affect the environment.</w:t>
      </w:r>
      <w:r w:rsidRPr="00270F20">
        <w:rPr>
          <w:szCs w:val="22"/>
          <w:vertAlign w:val="superscript"/>
        </w:rPr>
        <w:footnoteReference w:id="10"/>
      </w:r>
      <w:r w:rsidRPr="00662381">
        <w:rPr>
          <w:szCs w:val="22"/>
        </w:rPr>
        <w:t xml:space="preserve">  </w:t>
      </w:r>
      <w:r w:rsidR="00E51EB4" w:rsidRPr="00662381">
        <w:rPr>
          <w:szCs w:val="22"/>
        </w:rPr>
        <w:t xml:space="preserve">The Commission’s environmental notification process </w:t>
      </w:r>
      <w:r w:rsidRPr="00662381">
        <w:rPr>
          <w:szCs w:val="22"/>
        </w:rPr>
        <w:t>is intended to fulfill this goal</w:t>
      </w:r>
      <w:r w:rsidR="00721B81" w:rsidRPr="00662381">
        <w:rPr>
          <w:szCs w:val="22"/>
        </w:rPr>
        <w:t xml:space="preserve"> with respect</w:t>
      </w:r>
      <w:r w:rsidR="00E51EB4" w:rsidRPr="00662381">
        <w:rPr>
          <w:szCs w:val="22"/>
        </w:rPr>
        <w:t xml:space="preserve"> to ASR</w:t>
      </w:r>
      <w:r w:rsidRPr="00662381">
        <w:rPr>
          <w:szCs w:val="22"/>
        </w:rPr>
        <w:t xml:space="preserve"> applications</w:t>
      </w:r>
      <w:r w:rsidR="00E51EB4" w:rsidRPr="00662381">
        <w:rPr>
          <w:szCs w:val="22"/>
        </w:rPr>
        <w:t>.</w:t>
      </w:r>
      <w:r w:rsidR="00E51EB4" w:rsidRPr="00BB490A">
        <w:rPr>
          <w:rStyle w:val="FootnoteReference"/>
          <w:szCs w:val="22"/>
        </w:rPr>
        <w:footnoteReference w:id="11"/>
      </w:r>
      <w:r w:rsidR="00E51EB4" w:rsidRPr="00662381">
        <w:rPr>
          <w:szCs w:val="22"/>
        </w:rPr>
        <w:t xml:space="preserve"> </w:t>
      </w:r>
      <w:r w:rsidR="00662381" w:rsidRPr="00662381">
        <w:rPr>
          <w:szCs w:val="22"/>
        </w:rPr>
        <w:t xml:space="preserve"> </w:t>
      </w:r>
      <w:r w:rsidR="00FF1C62" w:rsidRPr="00662381">
        <w:rPr>
          <w:szCs w:val="22"/>
        </w:rPr>
        <w:t>Under the environmental notification rules, prior to filing a completed ASR application for a new antenna structure</w:t>
      </w:r>
      <w:r w:rsidR="00186BEC" w:rsidRPr="00662381">
        <w:rPr>
          <w:szCs w:val="22"/>
        </w:rPr>
        <w:t xml:space="preserve"> or a</w:t>
      </w:r>
      <w:r w:rsidR="00EC603B" w:rsidRPr="00662381">
        <w:rPr>
          <w:szCs w:val="22"/>
        </w:rPr>
        <w:t>n antenna structure</w:t>
      </w:r>
      <w:r w:rsidR="00186BEC" w:rsidRPr="00662381">
        <w:rPr>
          <w:szCs w:val="22"/>
        </w:rPr>
        <w:t xml:space="preserve"> modification that involves </w:t>
      </w:r>
      <w:r w:rsidR="00186BEC" w:rsidRPr="00662381">
        <w:rPr>
          <w:szCs w:val="22"/>
        </w:rPr>
        <w:lastRenderedPageBreak/>
        <w:t>a substantial increase in size</w:t>
      </w:r>
      <w:r w:rsidR="0012203A">
        <w:rPr>
          <w:rStyle w:val="FootnoteReference"/>
          <w:szCs w:val="22"/>
        </w:rPr>
        <w:footnoteReference w:id="12"/>
      </w:r>
      <w:r w:rsidR="002C38CC" w:rsidRPr="00662381">
        <w:rPr>
          <w:szCs w:val="22"/>
        </w:rPr>
        <w:t xml:space="preserve"> or a change to a less preferred lighting style,</w:t>
      </w:r>
      <w:r w:rsidR="002C38CC">
        <w:rPr>
          <w:rStyle w:val="FootnoteReference"/>
          <w:szCs w:val="22"/>
        </w:rPr>
        <w:footnoteReference w:id="13"/>
      </w:r>
      <w:r w:rsidR="002C38CC" w:rsidRPr="00662381">
        <w:rPr>
          <w:szCs w:val="22"/>
        </w:rPr>
        <w:t xml:space="preserve"> </w:t>
      </w:r>
      <w:r w:rsidR="0012203A" w:rsidRPr="00662381">
        <w:rPr>
          <w:vertAlign w:val="superscript"/>
        </w:rPr>
        <w:t xml:space="preserve"> </w:t>
      </w:r>
      <w:r w:rsidR="00FF1C62" w:rsidRPr="00662381">
        <w:rPr>
          <w:szCs w:val="22"/>
        </w:rPr>
        <w:t xml:space="preserve">the ASR applicant must provide local and national notice of the application so that members of the public </w:t>
      </w:r>
      <w:r w:rsidR="00A3618F" w:rsidRPr="00662381">
        <w:rPr>
          <w:szCs w:val="22"/>
        </w:rPr>
        <w:t>have</w:t>
      </w:r>
      <w:r w:rsidR="00FF1C62" w:rsidRPr="00662381">
        <w:rPr>
          <w:szCs w:val="22"/>
        </w:rPr>
        <w:t xml:space="preserve"> an opportunity to comment on the environmental effects of the proposal.  </w:t>
      </w:r>
      <w:r w:rsidR="007A5EB4">
        <w:rPr>
          <w:szCs w:val="22"/>
        </w:rPr>
        <w:t>Specifically, t</w:t>
      </w:r>
      <w:r w:rsidR="00FF1C62" w:rsidRPr="00662381">
        <w:rPr>
          <w:szCs w:val="22"/>
        </w:rPr>
        <w:t xml:space="preserve">he applicant </w:t>
      </w:r>
      <w:r w:rsidR="00A3618F" w:rsidRPr="00662381">
        <w:rPr>
          <w:szCs w:val="22"/>
        </w:rPr>
        <w:t>must p</w:t>
      </w:r>
      <w:r w:rsidR="00FF1C62" w:rsidRPr="00662381">
        <w:rPr>
          <w:szCs w:val="22"/>
        </w:rPr>
        <w:t>rovide notice of the proposal to the community</w:t>
      </w:r>
      <w:r w:rsidR="00A3618F" w:rsidRPr="00662381">
        <w:rPr>
          <w:szCs w:val="22"/>
        </w:rPr>
        <w:t xml:space="preserve"> by publication in a local newspaper of general circulation or other appropriate means</w:t>
      </w:r>
      <w:r w:rsidR="00186BEC" w:rsidRPr="00662381">
        <w:rPr>
          <w:szCs w:val="22"/>
        </w:rPr>
        <w:t>,</w:t>
      </w:r>
      <w:r w:rsidR="00FF1C62" w:rsidRPr="00662381">
        <w:rPr>
          <w:szCs w:val="22"/>
        </w:rPr>
        <w:t xml:space="preserve"> and the Commission </w:t>
      </w:r>
      <w:r w:rsidR="00A3618F" w:rsidRPr="00662381">
        <w:rPr>
          <w:szCs w:val="22"/>
        </w:rPr>
        <w:t xml:space="preserve">then </w:t>
      </w:r>
      <w:r w:rsidR="00FF1C62" w:rsidRPr="00662381">
        <w:rPr>
          <w:szCs w:val="22"/>
        </w:rPr>
        <w:t>post</w:t>
      </w:r>
      <w:r w:rsidR="00186BEC" w:rsidRPr="00662381">
        <w:rPr>
          <w:szCs w:val="22"/>
        </w:rPr>
        <w:t>s</w:t>
      </w:r>
      <w:r w:rsidR="00FF1C62" w:rsidRPr="00662381">
        <w:rPr>
          <w:szCs w:val="22"/>
        </w:rPr>
        <w:t xml:space="preserve"> information about the proposal on its website</w:t>
      </w:r>
      <w:r w:rsidR="00186BEC" w:rsidRPr="00662381">
        <w:rPr>
          <w:szCs w:val="22"/>
        </w:rPr>
        <w:t xml:space="preserve"> for thirty days</w:t>
      </w:r>
      <w:r w:rsidR="00FF1C62" w:rsidRPr="00662381">
        <w:rPr>
          <w:szCs w:val="22"/>
        </w:rPr>
        <w:t>.</w:t>
      </w:r>
      <w:r w:rsidR="00186BEC">
        <w:rPr>
          <w:rStyle w:val="FootnoteReference"/>
          <w:szCs w:val="22"/>
        </w:rPr>
        <w:footnoteReference w:id="14"/>
      </w:r>
      <w:r w:rsidR="00FF1C62" w:rsidRPr="00662381">
        <w:rPr>
          <w:szCs w:val="22"/>
        </w:rPr>
        <w:t xml:space="preserve">  Commission staff</w:t>
      </w:r>
      <w:r w:rsidR="004704F9">
        <w:rPr>
          <w:szCs w:val="22"/>
        </w:rPr>
        <w:t xml:space="preserve"> then</w:t>
      </w:r>
      <w:r w:rsidR="00FF1C62" w:rsidRPr="00662381">
        <w:rPr>
          <w:szCs w:val="22"/>
        </w:rPr>
        <w:t xml:space="preserve"> </w:t>
      </w:r>
      <w:r w:rsidR="00D874A3" w:rsidRPr="00662381">
        <w:rPr>
          <w:szCs w:val="22"/>
        </w:rPr>
        <w:t>reviews the</w:t>
      </w:r>
      <w:r w:rsidR="004704F9">
        <w:rPr>
          <w:szCs w:val="22"/>
        </w:rPr>
        <w:t xml:space="preserve"> partially completed</w:t>
      </w:r>
      <w:r w:rsidR="00D874A3" w:rsidRPr="00662381">
        <w:rPr>
          <w:szCs w:val="22"/>
        </w:rPr>
        <w:t xml:space="preserve"> application and </w:t>
      </w:r>
      <w:r w:rsidR="00FF1C62" w:rsidRPr="00662381">
        <w:rPr>
          <w:szCs w:val="22"/>
        </w:rPr>
        <w:t>consider</w:t>
      </w:r>
      <w:r w:rsidR="00186BEC" w:rsidRPr="00662381">
        <w:rPr>
          <w:szCs w:val="22"/>
        </w:rPr>
        <w:t>s</w:t>
      </w:r>
      <w:r w:rsidR="00FF1C62" w:rsidRPr="00662381">
        <w:rPr>
          <w:szCs w:val="22"/>
        </w:rPr>
        <w:t xml:space="preserve"> any </w:t>
      </w:r>
      <w:r w:rsidR="002D0EC5">
        <w:rPr>
          <w:szCs w:val="22"/>
        </w:rPr>
        <w:t>timely</w:t>
      </w:r>
      <w:r w:rsidR="004704F9">
        <w:rPr>
          <w:szCs w:val="22"/>
        </w:rPr>
        <w:t xml:space="preserve"> </w:t>
      </w:r>
      <w:r w:rsidR="002D0EC5">
        <w:rPr>
          <w:szCs w:val="22"/>
        </w:rPr>
        <w:t xml:space="preserve">filed </w:t>
      </w:r>
      <w:r w:rsidR="00FF1C62" w:rsidRPr="00662381">
        <w:rPr>
          <w:szCs w:val="22"/>
        </w:rPr>
        <w:t>comments received from the public to determine whether an Environmental Assessment</w:t>
      </w:r>
      <w:r w:rsidR="00D874A3" w:rsidRPr="00662381">
        <w:rPr>
          <w:szCs w:val="22"/>
        </w:rPr>
        <w:t xml:space="preserve"> (EA)</w:t>
      </w:r>
      <w:r w:rsidR="00FF1C62" w:rsidRPr="00662381">
        <w:rPr>
          <w:szCs w:val="22"/>
        </w:rPr>
        <w:t xml:space="preserve"> is required for the tower.  </w:t>
      </w:r>
      <w:r w:rsidR="0022150C" w:rsidRPr="00662381">
        <w:rPr>
          <w:szCs w:val="22"/>
        </w:rPr>
        <w:t xml:space="preserve">If </w:t>
      </w:r>
      <w:r w:rsidR="00D874A3" w:rsidRPr="00662381">
        <w:rPr>
          <w:szCs w:val="22"/>
        </w:rPr>
        <w:t xml:space="preserve">staff determines that </w:t>
      </w:r>
      <w:r w:rsidR="0022150C" w:rsidRPr="00662381">
        <w:rPr>
          <w:szCs w:val="22"/>
        </w:rPr>
        <w:t xml:space="preserve">no EA is required, and if the applicant has determined that no EA is otherwise required under Section 1.1307(a) or (b), </w:t>
      </w:r>
      <w:r w:rsidR="00C0352D" w:rsidRPr="00662381">
        <w:rPr>
          <w:szCs w:val="22"/>
        </w:rPr>
        <w:t>the applicant</w:t>
      </w:r>
      <w:r w:rsidR="0022150C" w:rsidRPr="00662381">
        <w:rPr>
          <w:szCs w:val="22"/>
        </w:rPr>
        <w:t xml:space="preserve"> may then certify that the tower will have no significant environmental impact</w:t>
      </w:r>
      <w:r w:rsidR="00A303FE" w:rsidRPr="00662381">
        <w:rPr>
          <w:szCs w:val="22"/>
        </w:rPr>
        <w:t xml:space="preserve"> </w:t>
      </w:r>
      <w:r w:rsidR="004704F9">
        <w:rPr>
          <w:szCs w:val="22"/>
        </w:rPr>
        <w:t>when it submits its</w:t>
      </w:r>
      <w:r w:rsidR="00A303FE" w:rsidRPr="00662381">
        <w:rPr>
          <w:szCs w:val="22"/>
        </w:rPr>
        <w:t xml:space="preserve"> completed</w:t>
      </w:r>
      <w:r w:rsidR="004704F9">
        <w:rPr>
          <w:szCs w:val="22"/>
        </w:rPr>
        <w:t xml:space="preserve"> application on</w:t>
      </w:r>
      <w:r w:rsidR="00A303FE" w:rsidRPr="00662381">
        <w:rPr>
          <w:szCs w:val="22"/>
        </w:rPr>
        <w:t xml:space="preserve"> FCC Form 854</w:t>
      </w:r>
      <w:r w:rsidR="0022150C" w:rsidRPr="00662381">
        <w:rPr>
          <w:szCs w:val="22"/>
        </w:rPr>
        <w:t xml:space="preserve">.  At this point, if all other required information has been provided, the </w:t>
      </w:r>
      <w:r w:rsidR="00A303FE" w:rsidRPr="00662381">
        <w:rPr>
          <w:szCs w:val="22"/>
        </w:rPr>
        <w:t>application will be granted and the applicant will be issued a Registration Number</w:t>
      </w:r>
      <w:r w:rsidR="0022150C" w:rsidRPr="00662381">
        <w:rPr>
          <w:szCs w:val="22"/>
        </w:rPr>
        <w:t>.</w:t>
      </w:r>
    </w:p>
    <w:p w:rsidR="00041184" w:rsidRPr="00E46E05" w:rsidRDefault="00A73A33" w:rsidP="00677B54">
      <w:pPr>
        <w:pStyle w:val="ParaNum"/>
        <w:widowControl/>
        <w:tabs>
          <w:tab w:val="left" w:pos="1440"/>
        </w:tabs>
        <w:rPr>
          <w:szCs w:val="22"/>
          <w:u w:val="single"/>
        </w:rPr>
      </w:pPr>
      <w:r>
        <w:rPr>
          <w:szCs w:val="22"/>
        </w:rPr>
        <w:t>The following types of ASR applications are not subject to the environmental notification process:</w:t>
      </w:r>
      <w:r w:rsidR="00781513">
        <w:rPr>
          <w:szCs w:val="22"/>
        </w:rPr>
        <w:t xml:space="preserve"> modification </w:t>
      </w:r>
      <w:r w:rsidR="002A1756">
        <w:rPr>
          <w:szCs w:val="22"/>
        </w:rPr>
        <w:t>of a</w:t>
      </w:r>
      <w:r w:rsidR="00F60180">
        <w:rPr>
          <w:szCs w:val="22"/>
        </w:rPr>
        <w:t xml:space="preserve">n existing </w:t>
      </w:r>
      <w:r w:rsidR="002A1756">
        <w:rPr>
          <w:szCs w:val="22"/>
        </w:rPr>
        <w:t xml:space="preserve">tower </w:t>
      </w:r>
      <w:r w:rsidR="00781513">
        <w:rPr>
          <w:szCs w:val="22"/>
        </w:rPr>
        <w:t>that</w:t>
      </w:r>
      <w:r w:rsidR="005E4BD2">
        <w:rPr>
          <w:szCs w:val="22"/>
        </w:rPr>
        <w:t xml:space="preserve"> </w:t>
      </w:r>
      <w:r w:rsidR="00C92A03">
        <w:rPr>
          <w:szCs w:val="22"/>
        </w:rPr>
        <w:t>do</w:t>
      </w:r>
      <w:r w:rsidR="00721B81">
        <w:rPr>
          <w:szCs w:val="22"/>
        </w:rPr>
        <w:t>es</w:t>
      </w:r>
      <w:r w:rsidR="00C92A03">
        <w:rPr>
          <w:szCs w:val="22"/>
        </w:rPr>
        <w:t xml:space="preserve"> not involve</w:t>
      </w:r>
      <w:r w:rsidR="00781513">
        <w:rPr>
          <w:szCs w:val="22"/>
        </w:rPr>
        <w:t xml:space="preserve"> a substantial increase in size or</w:t>
      </w:r>
      <w:r w:rsidR="00C92A03">
        <w:rPr>
          <w:szCs w:val="22"/>
        </w:rPr>
        <w:t xml:space="preserve"> change</w:t>
      </w:r>
      <w:r w:rsidR="00781513">
        <w:rPr>
          <w:szCs w:val="22"/>
        </w:rPr>
        <w:t xml:space="preserve"> in</w:t>
      </w:r>
      <w:r w:rsidR="00C92A03">
        <w:rPr>
          <w:szCs w:val="22"/>
        </w:rPr>
        <w:t xml:space="preserve"> lighting to a </w:t>
      </w:r>
      <w:r w:rsidR="00781513">
        <w:rPr>
          <w:szCs w:val="22"/>
        </w:rPr>
        <w:t>less</w:t>
      </w:r>
      <w:r w:rsidR="00C92A03">
        <w:rPr>
          <w:szCs w:val="22"/>
        </w:rPr>
        <w:t xml:space="preserve"> preferred lighting style</w:t>
      </w:r>
      <w:r w:rsidR="00662381">
        <w:rPr>
          <w:szCs w:val="22"/>
        </w:rPr>
        <w:t>;</w:t>
      </w:r>
      <w:r w:rsidR="005E4BD2">
        <w:rPr>
          <w:szCs w:val="22"/>
        </w:rPr>
        <w:t xml:space="preserve"> </w:t>
      </w:r>
      <w:r w:rsidR="00781513">
        <w:rPr>
          <w:szCs w:val="22"/>
        </w:rPr>
        <w:t xml:space="preserve">a </w:t>
      </w:r>
      <w:r w:rsidR="00C92A03">
        <w:rPr>
          <w:szCs w:val="22"/>
        </w:rPr>
        <w:t>collocation where the placement of the antenna does not involve a substantial increase in size or excavation more than 30 feet beyond the property</w:t>
      </w:r>
      <w:r w:rsidR="002A1756">
        <w:rPr>
          <w:szCs w:val="22"/>
        </w:rPr>
        <w:t>;</w:t>
      </w:r>
      <w:r>
        <w:rPr>
          <w:szCs w:val="22"/>
        </w:rPr>
        <w:t xml:space="preserve"> </w:t>
      </w:r>
      <w:r w:rsidR="00C92A03">
        <w:rPr>
          <w:szCs w:val="22"/>
        </w:rPr>
        <w:t>dismantlement of a registered tower</w:t>
      </w:r>
      <w:r w:rsidR="00662381">
        <w:rPr>
          <w:szCs w:val="22"/>
        </w:rPr>
        <w:t>;</w:t>
      </w:r>
      <w:r w:rsidR="00781513">
        <w:rPr>
          <w:szCs w:val="22"/>
        </w:rPr>
        <w:t xml:space="preserve"> or</w:t>
      </w:r>
      <w:r w:rsidR="00C92A03">
        <w:rPr>
          <w:szCs w:val="22"/>
        </w:rPr>
        <w:t xml:space="preserve"> </w:t>
      </w:r>
      <w:r w:rsidR="002A1756">
        <w:rPr>
          <w:szCs w:val="22"/>
        </w:rPr>
        <w:t xml:space="preserve">construction of </w:t>
      </w:r>
      <w:r w:rsidR="00CA500E">
        <w:rPr>
          <w:szCs w:val="22"/>
        </w:rPr>
        <w:t xml:space="preserve">a </w:t>
      </w:r>
      <w:r w:rsidR="00721B81">
        <w:t>replacement towe</w:t>
      </w:r>
      <w:r w:rsidR="00CA500E">
        <w:t>r</w:t>
      </w:r>
      <w:r w:rsidR="00662381">
        <w:t xml:space="preserve"> within the definition set forth in our rules</w:t>
      </w:r>
      <w:r w:rsidR="00721B81">
        <w:rPr>
          <w:szCs w:val="22"/>
        </w:rPr>
        <w:t>.</w:t>
      </w:r>
      <w:r w:rsidR="00721B81">
        <w:rPr>
          <w:rStyle w:val="FootnoteReference"/>
          <w:szCs w:val="22"/>
        </w:rPr>
        <w:footnoteReference w:id="15"/>
      </w:r>
      <w:r w:rsidR="00C92A03">
        <w:rPr>
          <w:szCs w:val="22"/>
        </w:rPr>
        <w:t xml:space="preserve"> </w:t>
      </w:r>
      <w:r>
        <w:rPr>
          <w:szCs w:val="22"/>
        </w:rPr>
        <w:t xml:space="preserve">Additionally, the Commission’s ASR public notice procedures provide </w:t>
      </w:r>
      <w:r w:rsidR="00662381">
        <w:rPr>
          <w:szCs w:val="22"/>
        </w:rPr>
        <w:t xml:space="preserve">for </w:t>
      </w:r>
      <w:r w:rsidR="002C38CC">
        <w:rPr>
          <w:szCs w:val="22"/>
        </w:rPr>
        <w:t>case-by-case waiver</w:t>
      </w:r>
      <w:r w:rsidR="00662381">
        <w:rPr>
          <w:szCs w:val="22"/>
        </w:rPr>
        <w:t>s</w:t>
      </w:r>
      <w:r w:rsidR="002C38CC">
        <w:rPr>
          <w:szCs w:val="22"/>
        </w:rPr>
        <w:t xml:space="preserve"> </w:t>
      </w:r>
      <w:r w:rsidR="00662381">
        <w:rPr>
          <w:szCs w:val="22"/>
        </w:rPr>
        <w:t>in</w:t>
      </w:r>
      <w:r w:rsidR="00C92A03">
        <w:rPr>
          <w:szCs w:val="22"/>
        </w:rPr>
        <w:t xml:space="preserve"> “emergency situations, such as where temporary towers need to be built quickly to restore lost communications.”</w:t>
      </w:r>
      <w:r w:rsidR="00C92A03">
        <w:rPr>
          <w:rStyle w:val="FootnoteReference"/>
          <w:szCs w:val="22"/>
        </w:rPr>
        <w:footnoteReference w:id="16"/>
      </w:r>
    </w:p>
    <w:p w:rsidR="00B701EA" w:rsidRPr="00B701EA" w:rsidRDefault="00B701EA" w:rsidP="00047438">
      <w:pPr>
        <w:pStyle w:val="Heading2"/>
      </w:pPr>
      <w:r w:rsidRPr="00B701EA">
        <w:t xml:space="preserve">CTIA’s </w:t>
      </w:r>
      <w:r w:rsidR="00873E9F">
        <w:t>Petition</w:t>
      </w:r>
    </w:p>
    <w:p w:rsidR="00825539" w:rsidRPr="00491BA2" w:rsidRDefault="00825539" w:rsidP="00825539">
      <w:pPr>
        <w:pStyle w:val="ParaNum"/>
        <w:widowControl/>
        <w:rPr>
          <w:szCs w:val="22"/>
        </w:rPr>
      </w:pPr>
      <w:r>
        <w:t>On December 21, 2012, CTIA—The Wireless Association (CTIA) filed a Petition for Expedited Rulemaking (Petition) asking the Commission to revise Section 17.4</w:t>
      </w:r>
      <w:r w:rsidR="004704F9">
        <w:t>(c)</w:t>
      </w:r>
      <w:r>
        <w:t>(3)-(4) of its rules</w:t>
      </w:r>
      <w:r w:rsidR="003A5118" w:rsidRPr="003A5118">
        <w:rPr>
          <w:vertAlign w:val="superscript"/>
        </w:rPr>
        <w:footnoteReference w:id="17"/>
      </w:r>
      <w:r>
        <w:t xml:space="preserve"> to relieve the burden of going through the environmental notification process for certain categories of temporary towers as defined in its Petition.</w:t>
      </w:r>
      <w:r w:rsidR="004704F9">
        <w:rPr>
          <w:rStyle w:val="FootnoteReference"/>
        </w:rPr>
        <w:footnoteReference w:id="18"/>
      </w:r>
      <w:r>
        <w:t xml:space="preserve">  CTIA asks that we </w:t>
      </w:r>
      <w:r w:rsidR="003A5118">
        <w:t xml:space="preserve">exempt from environmental notification </w:t>
      </w:r>
      <w:r w:rsidRPr="005766C8">
        <w:t xml:space="preserve"> temporary towers that: (1) will be in use for 60 days or less; (2) require the filing of Form 7460-1</w:t>
      </w:r>
      <w:r w:rsidR="00BA13B4">
        <w:rPr>
          <w:rStyle w:val="FootnoteReference"/>
        </w:rPr>
        <w:footnoteReference w:id="19"/>
      </w:r>
      <w:r w:rsidRPr="005766C8">
        <w:t xml:space="preserve"> with the FAA; (3) do not require marking or lighting pursuant to FAA regulations; and (4) will be less than 200 feet in height</w:t>
      </w:r>
      <w:r>
        <w:t xml:space="preserve"> (Two Month Towers)</w:t>
      </w:r>
      <w:r w:rsidRPr="005766C8">
        <w:t>.</w:t>
      </w:r>
      <w:r w:rsidR="00DE434A">
        <w:rPr>
          <w:rStyle w:val="FootnoteReference"/>
        </w:rPr>
        <w:footnoteReference w:id="20"/>
      </w:r>
      <w:r w:rsidRPr="005766C8">
        <w:t xml:space="preserve"> </w:t>
      </w:r>
      <w:r w:rsidR="004704F9">
        <w:t xml:space="preserve"> </w:t>
      </w:r>
      <w:r w:rsidRPr="005766C8">
        <w:t>CTIA also requests a waiver</w:t>
      </w:r>
      <w:r>
        <w:t>,</w:t>
      </w:r>
      <w:r w:rsidRPr="005766C8">
        <w:t xml:space="preserve"> </w:t>
      </w:r>
      <w:r>
        <w:t>pursuant to</w:t>
      </w:r>
      <w:r w:rsidRPr="005766C8">
        <w:t xml:space="preserve"> Sections 1.3 and 1.925 of the Commission’s rules</w:t>
      </w:r>
      <w:r>
        <w:t>,</w:t>
      </w:r>
      <w:r>
        <w:rPr>
          <w:rStyle w:val="FootnoteReference"/>
        </w:rPr>
        <w:footnoteReference w:id="21"/>
      </w:r>
      <w:r w:rsidRPr="005766C8">
        <w:t xml:space="preserve"> under which towers that fall under the foregoing criteria would be exempt from the </w:t>
      </w:r>
      <w:r>
        <w:t>ASR</w:t>
      </w:r>
      <w:r w:rsidRPr="005766C8">
        <w:t xml:space="preserve"> public notice requirements during the pendency of </w:t>
      </w:r>
      <w:r>
        <w:t xml:space="preserve">the Petition and any </w:t>
      </w:r>
      <w:r w:rsidRPr="005766C8">
        <w:t>rulemaking initiated pursuant to its Petition.</w:t>
      </w:r>
      <w:r w:rsidRPr="00BA1FE3">
        <w:rPr>
          <w:vertAlign w:val="superscript"/>
        </w:rPr>
        <w:t xml:space="preserve"> </w:t>
      </w:r>
      <w:r w:rsidRPr="00BA1FE3">
        <w:rPr>
          <w:vertAlign w:val="superscript"/>
        </w:rPr>
        <w:footnoteReference w:id="22"/>
      </w:r>
      <w:r>
        <w:t xml:space="preserve">  </w:t>
      </w:r>
    </w:p>
    <w:p w:rsidR="00825539" w:rsidRDefault="00064655" w:rsidP="00064655">
      <w:pPr>
        <w:pStyle w:val="ParaNum"/>
        <w:widowControl/>
      </w:pPr>
      <w:r>
        <w:t xml:space="preserve">According to CTIA, </w:t>
      </w:r>
      <w:r w:rsidRPr="00BA1FE3">
        <w:t xml:space="preserve">although the Commission has provided for waivers of notice in emergency situations, many non-emergency situations arise in which carriers need temporary towers to address short-term capacity constraints but have insufficient advance notice to complete the public notice process. </w:t>
      </w:r>
      <w:r>
        <w:t xml:space="preserve"> These events, such as major news events, may occur with little or no advance warning; do not fall squarely within the “emergency” category; and would cause significant disruption if temporary facilities could not be rapidly deployed.  CTIA asserts that in other cases, even when the timing and location of an event are well known, carriers may be unable to obtain specific locations for temporary sites until shortly before the event, with insufficient time to complete local notice.  A temporary tower also may be necessary </w:t>
      </w:r>
      <w:r w:rsidR="00313C20">
        <w:t xml:space="preserve">in non-emergency situations in which </w:t>
      </w:r>
      <w:r>
        <w:t xml:space="preserve">a permanent tower </w:t>
      </w:r>
      <w:r w:rsidR="00313C20">
        <w:t xml:space="preserve">must </w:t>
      </w:r>
      <w:r>
        <w:t>be repaired.</w:t>
      </w:r>
      <w:r>
        <w:rPr>
          <w:rStyle w:val="FootnoteReference"/>
        </w:rPr>
        <w:footnoteReference w:id="23"/>
      </w:r>
      <w:r w:rsidR="0020428A">
        <w:t xml:space="preserve"> CTIA asserts that over the past year there have been </w:t>
      </w:r>
      <w:r w:rsidR="00A22B49">
        <w:t xml:space="preserve">multiple race events, state fairs, and air shows at which temporary facilities could not be deployed due to the new ASR </w:t>
      </w:r>
      <w:r w:rsidR="004704F9">
        <w:t>notice requirements</w:t>
      </w:r>
      <w:r w:rsidR="00A22B49">
        <w:t>.</w:t>
      </w:r>
      <w:r w:rsidR="00A22B49">
        <w:rPr>
          <w:rStyle w:val="FootnoteReference"/>
        </w:rPr>
        <w:footnoteReference w:id="24"/>
      </w:r>
      <w:r>
        <w:t xml:space="preserve"> </w:t>
      </w:r>
      <w:r w:rsidR="00A24AC8">
        <w:t xml:space="preserve"> It notes </w:t>
      </w:r>
      <w:r w:rsidR="001C0AC7">
        <w:t>that a variety of newsworthy events, such as a presidential campaign stop</w:t>
      </w:r>
      <w:r w:rsidR="005F61AF">
        <w:t xml:space="preserve"> or a forest fire</w:t>
      </w:r>
      <w:r w:rsidR="001C0AC7">
        <w:t>, can occur with less than 30 days’</w:t>
      </w:r>
      <w:r w:rsidR="005F61AF">
        <w:t xml:space="preserve"> notice and trigger</w:t>
      </w:r>
      <w:r w:rsidR="001C0AC7">
        <w:t xml:space="preserve"> significant short-term capacity demands</w:t>
      </w:r>
      <w:r w:rsidR="005F61AF">
        <w:t xml:space="preserve"> on local wireless networks </w:t>
      </w:r>
      <w:r w:rsidR="004704F9">
        <w:t>that can only be met using</w:t>
      </w:r>
      <w:r w:rsidR="001C0AC7">
        <w:t xml:space="preserve"> temporary </w:t>
      </w:r>
      <w:r w:rsidR="005F61AF">
        <w:t>towers.</w:t>
      </w:r>
      <w:r w:rsidR="005F61AF">
        <w:rPr>
          <w:rStyle w:val="FootnoteReference"/>
        </w:rPr>
        <w:footnoteReference w:id="25"/>
      </w:r>
      <w:r>
        <w:t xml:space="preserve"> </w:t>
      </w:r>
      <w:r w:rsidR="004704F9">
        <w:t xml:space="preserve"> </w:t>
      </w:r>
      <w:r>
        <w:t xml:space="preserve">CTIA </w:t>
      </w:r>
      <w:r w:rsidRPr="00F241A9">
        <w:t>states that an exemption from environmental notice</w:t>
      </w:r>
      <w:r w:rsidR="004704F9">
        <w:t xml:space="preserve"> and an interim waiver of notice</w:t>
      </w:r>
      <w:r w:rsidRPr="00F241A9">
        <w:t xml:space="preserve"> for Two Month Towers would address the foregoing situations without undermining meaningful e</w:t>
      </w:r>
      <w:r w:rsidR="003924FA">
        <w:t xml:space="preserve">nvironmental or air safety </w:t>
      </w:r>
      <w:r w:rsidR="004704F9">
        <w:t>review</w:t>
      </w:r>
      <w:r w:rsidR="003924FA">
        <w:t xml:space="preserve"> or</w:t>
      </w:r>
      <w:r w:rsidR="004704F9">
        <w:t xml:space="preserve"> </w:t>
      </w:r>
      <w:r w:rsidRPr="00F241A9">
        <w:t>significantly affecting avian mortality</w:t>
      </w:r>
      <w:r w:rsidR="00EE2411">
        <w:t>,</w:t>
      </w:r>
      <w:r w:rsidR="001D1D71">
        <w:t xml:space="preserve"> and would therefore serve the public interest</w:t>
      </w:r>
      <w:r w:rsidRPr="00F241A9">
        <w:t>.</w:t>
      </w:r>
      <w:r w:rsidRPr="00F241A9">
        <w:rPr>
          <w:vertAlign w:val="superscript"/>
        </w:rPr>
        <w:footnoteReference w:id="26"/>
      </w:r>
    </w:p>
    <w:p w:rsidR="00907ABD" w:rsidRDefault="00907ABD" w:rsidP="00064655">
      <w:pPr>
        <w:pStyle w:val="ParaNum"/>
        <w:widowControl/>
      </w:pPr>
      <w:r>
        <w:t>On January 25, 2013, the Wireless Telecommunications Bureau invited comment on CTIA’s Petition and waiver request.</w:t>
      </w:r>
      <w:r>
        <w:rPr>
          <w:rStyle w:val="FootnoteReference"/>
        </w:rPr>
        <w:footnoteReference w:id="27"/>
      </w:r>
      <w:r w:rsidR="00732642">
        <w:t xml:space="preserve">  </w:t>
      </w:r>
      <w:r w:rsidR="00732642" w:rsidRPr="00732642">
        <w:t xml:space="preserve">AT&amp;T Services, Inc. (AT&amp;T), Verizon Wireless (Verizon), </w:t>
      </w:r>
      <w:r w:rsidR="00732642">
        <w:t xml:space="preserve">NTCH, Inc. (NTCH), </w:t>
      </w:r>
      <w:r w:rsidR="00732642" w:rsidRPr="00732642">
        <w:t xml:space="preserve">and PCIA—The Wireless Infrastructure Association (PCIA) </w:t>
      </w:r>
      <w:r w:rsidR="00732642">
        <w:t xml:space="preserve">filed comments </w:t>
      </w:r>
      <w:r w:rsidR="00732642" w:rsidRPr="00732642">
        <w:t>support</w:t>
      </w:r>
      <w:r w:rsidR="00732642">
        <w:t>ing both</w:t>
      </w:r>
      <w:r w:rsidR="00732642" w:rsidRPr="00732642">
        <w:t xml:space="preserve"> </w:t>
      </w:r>
      <w:r w:rsidR="00732642">
        <w:t>the Petition and the request for an interim waiver.</w:t>
      </w:r>
      <w:r w:rsidR="00732642">
        <w:rPr>
          <w:rStyle w:val="FootnoteReference"/>
        </w:rPr>
        <w:footnoteReference w:id="28"/>
      </w:r>
      <w:r w:rsidR="00B57661">
        <w:t xml:space="preserve">  CTIA and PCIA filed reply comments.</w:t>
      </w:r>
      <w:r w:rsidR="00C826A1">
        <w:t xml:space="preserve">  No commenting party opposed either the Petition or the waiver request.</w:t>
      </w:r>
    </w:p>
    <w:p w:rsidR="00077641" w:rsidRPr="00C25322" w:rsidRDefault="00077641" w:rsidP="00047438">
      <w:pPr>
        <w:pStyle w:val="Heading1"/>
      </w:pPr>
      <w:r>
        <w:t>discussion</w:t>
      </w:r>
    </w:p>
    <w:p w:rsidR="002D4A6F" w:rsidRPr="00BD5871" w:rsidRDefault="00C826A1" w:rsidP="00E56904">
      <w:pPr>
        <w:pStyle w:val="ParaNum"/>
        <w:widowControl/>
      </w:pPr>
      <w:r>
        <w:t>For the reasons set forth below</w:t>
      </w:r>
      <w:r w:rsidR="002D4A6F">
        <w:t xml:space="preserve">, we </w:t>
      </w:r>
      <w:r w:rsidR="00281ED2">
        <w:t xml:space="preserve">grant an interim </w:t>
      </w:r>
      <w:r w:rsidR="002D4A6F">
        <w:t>waive</w:t>
      </w:r>
      <w:r w:rsidR="00281ED2">
        <w:t>r from</w:t>
      </w:r>
      <w:r w:rsidR="002D4A6F">
        <w:t xml:space="preserve"> the environmental notice requirements</w:t>
      </w:r>
      <w:r w:rsidR="00E97B83">
        <w:t xml:space="preserve"> </w:t>
      </w:r>
      <w:r w:rsidR="002D4A6F">
        <w:t xml:space="preserve">for </w:t>
      </w:r>
      <w:r w:rsidR="00CD287F">
        <w:t xml:space="preserve">substantially all of the class of </w:t>
      </w:r>
      <w:r w:rsidR="002D4A6F">
        <w:t>temporary towers that</w:t>
      </w:r>
      <w:r w:rsidR="00CD287F">
        <w:t xml:space="preserve"> CTIA requests. </w:t>
      </w:r>
      <w:r w:rsidR="00E37410">
        <w:t>We will not apply t</w:t>
      </w:r>
      <w:r w:rsidR="00946B8B">
        <w:t xml:space="preserve">he interim </w:t>
      </w:r>
      <w:r w:rsidR="002D4A6F">
        <w:t>waiver to a temporary tower that requires excavation unless the ground is already previously disturbed to a d</w:t>
      </w:r>
      <w:r w:rsidR="002D4A6F" w:rsidRPr="002D4A6F">
        <w:rPr>
          <w:color w:val="000000"/>
        </w:rPr>
        <w:t xml:space="preserve">epth </w:t>
      </w:r>
      <w:r w:rsidR="002D4A6F">
        <w:rPr>
          <w:color w:val="000000"/>
        </w:rPr>
        <w:t>that</w:t>
      </w:r>
      <w:r w:rsidR="002D4A6F" w:rsidRPr="002D4A6F">
        <w:rPr>
          <w:color w:val="000000"/>
        </w:rPr>
        <w:t xml:space="preserve"> exceeds the proposed construction depth by at least 2 feet.</w:t>
      </w:r>
      <w:r w:rsidR="0008492A">
        <w:rPr>
          <w:rStyle w:val="FootnoteReference"/>
        </w:rPr>
        <w:footnoteReference w:id="29"/>
      </w:r>
      <w:r w:rsidR="002D4A6F" w:rsidRPr="002D4A6F">
        <w:rPr>
          <w:color w:val="000000"/>
        </w:rPr>
        <w:t xml:space="preserve">  </w:t>
      </w:r>
      <w:r w:rsidR="00E37410">
        <w:rPr>
          <w:color w:val="000000"/>
        </w:rPr>
        <w:t xml:space="preserve">Thus, the interim waiver adopted herein will cover temporary towers that </w:t>
      </w:r>
      <w:r w:rsidR="00E37410">
        <w:t>(1) will be in use for no more than 60 days; (2) require notice of construction to the FAA; (3) do not require marking or lighting under FAA regulations; (4) will be less than 200 feet in height; and (</w:t>
      </w:r>
      <w:r w:rsidR="00B57661">
        <w:t>5</w:t>
      </w:r>
      <w:r w:rsidR="00E37410">
        <w:t xml:space="preserve">) involve no or only minimal ground disturbance.  </w:t>
      </w:r>
      <w:r w:rsidR="004F5F17">
        <w:rPr>
          <w:color w:val="000000"/>
        </w:rPr>
        <w:t xml:space="preserve">We intend in the near future to issue a Notice of Proposed Rulemaking </w:t>
      </w:r>
      <w:r w:rsidR="00946B8B">
        <w:rPr>
          <w:color w:val="000000"/>
        </w:rPr>
        <w:t xml:space="preserve">that </w:t>
      </w:r>
      <w:r w:rsidR="00B57661">
        <w:rPr>
          <w:color w:val="000000"/>
        </w:rPr>
        <w:t>will</w:t>
      </w:r>
      <w:r w:rsidR="00946B8B">
        <w:rPr>
          <w:color w:val="000000"/>
        </w:rPr>
        <w:t xml:space="preserve"> consider </w:t>
      </w:r>
      <w:r w:rsidR="00046E3C">
        <w:rPr>
          <w:color w:val="000000"/>
        </w:rPr>
        <w:t xml:space="preserve">CTIA’s request for a permanent exemption </w:t>
      </w:r>
      <w:r w:rsidR="004F5F17">
        <w:rPr>
          <w:color w:val="000000"/>
        </w:rPr>
        <w:t xml:space="preserve">from environmental notification procedures </w:t>
      </w:r>
      <w:r w:rsidR="00734FF3">
        <w:rPr>
          <w:color w:val="000000"/>
        </w:rPr>
        <w:t xml:space="preserve">for </w:t>
      </w:r>
      <w:r w:rsidR="009B7B3D">
        <w:rPr>
          <w:color w:val="000000"/>
        </w:rPr>
        <w:t xml:space="preserve">the </w:t>
      </w:r>
      <w:r w:rsidR="00046E3C">
        <w:rPr>
          <w:color w:val="000000"/>
        </w:rPr>
        <w:t xml:space="preserve">Two Month </w:t>
      </w:r>
      <w:r w:rsidR="00734FF3">
        <w:rPr>
          <w:color w:val="000000"/>
        </w:rPr>
        <w:t>T</w:t>
      </w:r>
      <w:r w:rsidR="00046E3C">
        <w:rPr>
          <w:color w:val="000000"/>
        </w:rPr>
        <w:t>owers.  The</w:t>
      </w:r>
      <w:r w:rsidR="00734FF3">
        <w:rPr>
          <w:color w:val="000000"/>
        </w:rPr>
        <w:t xml:space="preserve"> interim</w:t>
      </w:r>
      <w:r w:rsidR="00046E3C">
        <w:rPr>
          <w:color w:val="000000"/>
        </w:rPr>
        <w:t xml:space="preserve"> waiver that we adopt in this order will</w:t>
      </w:r>
      <w:r w:rsidR="00734FF3">
        <w:rPr>
          <w:color w:val="000000"/>
        </w:rPr>
        <w:t xml:space="preserve"> remain in effect pending completion of that</w:t>
      </w:r>
      <w:r w:rsidR="000E249E">
        <w:rPr>
          <w:color w:val="000000"/>
        </w:rPr>
        <w:t xml:space="preserve"> </w:t>
      </w:r>
      <w:r w:rsidR="00046E3C">
        <w:rPr>
          <w:color w:val="000000"/>
        </w:rPr>
        <w:t>rulemaking proceeding.</w:t>
      </w:r>
    </w:p>
    <w:p w:rsidR="00C826A1" w:rsidRDefault="00321E90" w:rsidP="00873200">
      <w:pPr>
        <w:pStyle w:val="ParaNum"/>
      </w:pPr>
      <w:r w:rsidRPr="00321E90">
        <w:t>We may grant a waiver when: (i) the underlying purpose of the rule(s)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873200" w:rsidRPr="00873200">
        <w:rPr>
          <w:vertAlign w:val="superscript"/>
        </w:rPr>
        <w:footnoteReference w:id="30"/>
      </w:r>
      <w:r w:rsidR="00873200" w:rsidRPr="00873200">
        <w:t xml:space="preserve"> </w:t>
      </w:r>
    </w:p>
    <w:p w:rsidR="00443CAE" w:rsidRDefault="00053739" w:rsidP="000D55B2">
      <w:pPr>
        <w:pStyle w:val="ParaNum"/>
        <w:widowControl/>
      </w:pPr>
      <w:r>
        <w:t>We find that</w:t>
      </w:r>
      <w:r w:rsidR="007952B8">
        <w:t>,</w:t>
      </w:r>
      <w:r w:rsidR="00B57661">
        <w:t xml:space="preserve"> during the interim period</w:t>
      </w:r>
      <w:r w:rsidR="00093920">
        <w:t xml:space="preserve"> pending the initiation and completion of a rulemaking proceeding to consider CTIA’s r</w:t>
      </w:r>
      <w:r w:rsidR="00734FF3">
        <w:t xml:space="preserve">equest </w:t>
      </w:r>
      <w:r w:rsidR="00B57661">
        <w:t>to</w:t>
      </w:r>
      <w:r w:rsidR="00B01CAE">
        <w:t xml:space="preserve"> </w:t>
      </w:r>
      <w:r w:rsidR="00734FF3">
        <w:t>permanent</w:t>
      </w:r>
      <w:r w:rsidR="00B57661">
        <w:t>ly</w:t>
      </w:r>
      <w:r w:rsidR="00734FF3">
        <w:t xml:space="preserve"> exempt</w:t>
      </w:r>
      <w:r w:rsidR="00B01CAE">
        <w:t xml:space="preserve"> </w:t>
      </w:r>
      <w:r w:rsidR="00093920">
        <w:t>Two Month Towers</w:t>
      </w:r>
      <w:r w:rsidR="00B57661">
        <w:t xml:space="preserve"> from the ASR public notice procedures</w:t>
      </w:r>
      <w:r w:rsidR="007952B8">
        <w:t>,</w:t>
      </w:r>
      <w:r>
        <w:t xml:space="preserve"> requiring</w:t>
      </w:r>
      <w:r w:rsidR="00093920">
        <w:t xml:space="preserve"> such notice </w:t>
      </w:r>
      <w:r w:rsidR="003812DF">
        <w:t>do</w:t>
      </w:r>
      <w:r>
        <w:t>es not serve the purpose of the rule and that a</w:t>
      </w:r>
      <w:r w:rsidR="00093920">
        <w:t>n</w:t>
      </w:r>
      <w:r>
        <w:t xml:space="preserve"> </w:t>
      </w:r>
      <w:r w:rsidR="00093920">
        <w:t xml:space="preserve">interim </w:t>
      </w:r>
      <w:r>
        <w:t>waiver is in the public interest.</w:t>
      </w:r>
      <w:r w:rsidR="00443CAE" w:rsidRPr="00443CAE">
        <w:rPr>
          <w:vertAlign w:val="superscript"/>
        </w:rPr>
        <w:t xml:space="preserve"> </w:t>
      </w:r>
      <w:r w:rsidR="00443CAE" w:rsidRPr="00443CAE">
        <w:rPr>
          <w:vertAlign w:val="superscript"/>
        </w:rPr>
        <w:footnoteReference w:id="31"/>
      </w:r>
      <w:r>
        <w:t xml:space="preserve">  The purpose of environmental notice is to facilitate public input on towers that may have a significant environmental impact.  </w:t>
      </w:r>
      <w:r w:rsidR="00946B8B">
        <w:t>Towers eligible for the interim waiver will</w:t>
      </w:r>
      <w:r w:rsidR="00E06F9C">
        <w:t xml:space="preserve"> be</w:t>
      </w:r>
      <w:r w:rsidR="00946B8B">
        <w:t xml:space="preserve"> in place for</w:t>
      </w:r>
      <w:r w:rsidR="00F00FD3">
        <w:t xml:space="preserve"> a mere </w:t>
      </w:r>
      <w:r w:rsidR="00946B8B">
        <w:t>two months or less</w:t>
      </w:r>
      <w:r w:rsidR="005C33DE">
        <w:t xml:space="preserve">, unlit and </w:t>
      </w:r>
      <w:r w:rsidR="0081269A">
        <w:t>less than</w:t>
      </w:r>
      <w:r w:rsidR="005C33DE">
        <w:t xml:space="preserve"> 200 feet in height.  Our experience in administering the ASR public notice process is that antenna structures with these attributes rarely </w:t>
      </w:r>
      <w:r w:rsidR="00B57661">
        <w:t>generate</w:t>
      </w:r>
      <w:r w:rsidR="005C33DE">
        <w:t xml:space="preserve"> public comment regarding potentially significant environmental effect</w:t>
      </w:r>
      <w:r w:rsidR="00F00FD3">
        <w:t>s</w:t>
      </w:r>
      <w:r w:rsidR="005C33DE">
        <w:t xml:space="preserve"> and rarely are determined to require further environmental processing</w:t>
      </w:r>
      <w:r w:rsidR="00946B8B">
        <w:t>.</w:t>
      </w:r>
      <w:r w:rsidR="00B57661">
        <w:rPr>
          <w:rStyle w:val="FootnoteReference"/>
        </w:rPr>
        <w:footnoteReference w:id="32"/>
      </w:r>
      <w:r w:rsidR="00946B8B">
        <w:t xml:space="preserve"> </w:t>
      </w:r>
      <w:r w:rsidR="00B57661">
        <w:t xml:space="preserve"> </w:t>
      </w:r>
      <w:r w:rsidR="00F00FD3">
        <w:t xml:space="preserve">We note that </w:t>
      </w:r>
      <w:r w:rsidR="00DD6CDB">
        <w:t xml:space="preserve">the </w:t>
      </w:r>
      <w:r w:rsidR="00806B75">
        <w:t xml:space="preserve">NPA </w:t>
      </w:r>
      <w:r w:rsidR="00596B5E">
        <w:t xml:space="preserve">completely </w:t>
      </w:r>
      <w:r w:rsidR="00DD6CDB" w:rsidRPr="00DD6CDB">
        <w:t>exempts from historic preservation review under Section 106 of the National Historic Preservation Act (NHPA)</w:t>
      </w:r>
      <w:r w:rsidR="00596B5E">
        <w:t xml:space="preserve"> a broader category of</w:t>
      </w:r>
      <w:r w:rsidR="00DD6CDB">
        <w:t xml:space="preserve"> </w:t>
      </w:r>
      <w:r w:rsidR="00DD6CDB" w:rsidRPr="00DD6CDB">
        <w:t>temporary towers</w:t>
      </w:r>
      <w:r w:rsidR="00596B5E">
        <w:t>, generally</w:t>
      </w:r>
      <w:r w:rsidR="00DD6CDB" w:rsidRPr="00DD6CDB">
        <w:t xml:space="preserve"> </w:t>
      </w:r>
      <w:r w:rsidR="00DD6CDB">
        <w:t xml:space="preserve">defined </w:t>
      </w:r>
      <w:r w:rsidR="00DD6CDB" w:rsidRPr="00DD6CDB">
        <w:t>as towers that remain in place for up to 24 months.</w:t>
      </w:r>
      <w:r w:rsidR="00DD6CDB" w:rsidRPr="00DD6CDB">
        <w:rPr>
          <w:vertAlign w:val="superscript"/>
        </w:rPr>
        <w:footnoteReference w:id="33"/>
      </w:r>
      <w:r w:rsidR="00DD6CDB" w:rsidRPr="00DD6CDB">
        <w:t xml:space="preserve">  </w:t>
      </w:r>
      <w:r w:rsidR="00BB0709">
        <w:t xml:space="preserve">While the purposes of the ASR public notice procedures and of the Section 106 historic preservation review are not identical, </w:t>
      </w:r>
      <w:r w:rsidR="003C29BA">
        <w:t xml:space="preserve">the NPA exclusion does evince a </w:t>
      </w:r>
      <w:r w:rsidR="00E5572F">
        <w:t xml:space="preserve">general </w:t>
      </w:r>
      <w:r w:rsidR="003C29BA">
        <w:t>recognition that temporary towers are</w:t>
      </w:r>
      <w:r w:rsidR="000D55B2">
        <w:t xml:space="preserve"> less </w:t>
      </w:r>
      <w:r w:rsidR="003C29BA">
        <w:t xml:space="preserve">likely </w:t>
      </w:r>
      <w:r w:rsidR="000D55B2">
        <w:t xml:space="preserve">than permanent structures </w:t>
      </w:r>
      <w:r w:rsidR="003C29BA">
        <w:t>to have a significant environmental effect.</w:t>
      </w:r>
      <w:r w:rsidR="003C29BA">
        <w:rPr>
          <w:rStyle w:val="FootnoteReference"/>
        </w:rPr>
        <w:footnoteReference w:id="34"/>
      </w:r>
      <w:r w:rsidR="006B0CB4">
        <w:t xml:space="preserve">  </w:t>
      </w:r>
      <w:r w:rsidR="00AC3C4A">
        <w:t xml:space="preserve">The fact that proposed towers qualifying for the interim waiver adopted herein </w:t>
      </w:r>
      <w:r w:rsidR="006B0CB4">
        <w:t>will be relatively short and unlit</w:t>
      </w:r>
      <w:r w:rsidR="00AC3C4A">
        <w:t xml:space="preserve"> </w:t>
      </w:r>
      <w:r w:rsidR="006B0CB4">
        <w:t>further reduce</w:t>
      </w:r>
      <w:r w:rsidR="003924FA">
        <w:t>s</w:t>
      </w:r>
      <w:r w:rsidR="006B0CB4">
        <w:t xml:space="preserve"> </w:t>
      </w:r>
      <w:r w:rsidR="003924FA">
        <w:t xml:space="preserve">the </w:t>
      </w:r>
      <w:r w:rsidR="006B0CB4">
        <w:t xml:space="preserve">possibility </w:t>
      </w:r>
      <w:r w:rsidR="003924FA">
        <w:t xml:space="preserve">of </w:t>
      </w:r>
      <w:r w:rsidR="006B0CB4">
        <w:t>significant environmental impacts, particularly on migratory birds.</w:t>
      </w:r>
      <w:r w:rsidR="007952B8">
        <w:rPr>
          <w:rStyle w:val="FootnoteReference"/>
        </w:rPr>
        <w:footnoteReference w:id="35"/>
      </w:r>
      <w:r w:rsidR="006B0CB4">
        <w:t xml:space="preserve">  </w:t>
      </w:r>
      <w:r w:rsidR="00C905DB" w:rsidRPr="00C905DB">
        <w:t xml:space="preserve">Further, </w:t>
      </w:r>
      <w:r w:rsidR="005C427F">
        <w:t xml:space="preserve">the interim waiver </w:t>
      </w:r>
      <w:r w:rsidR="00E752C3">
        <w:t xml:space="preserve">does not relieve ASR applicants from having to </w:t>
      </w:r>
      <w:r w:rsidR="005C427F">
        <w:t xml:space="preserve">comply </w:t>
      </w:r>
      <w:r w:rsidR="00C905DB" w:rsidRPr="00C905DB">
        <w:t>with the</w:t>
      </w:r>
      <w:r w:rsidR="005C427F">
        <w:t xml:space="preserve"> </w:t>
      </w:r>
      <w:r w:rsidR="00C905DB" w:rsidRPr="00C905DB">
        <w:t xml:space="preserve">Commission’s </w:t>
      </w:r>
      <w:r w:rsidR="00E752C3">
        <w:t xml:space="preserve">other </w:t>
      </w:r>
      <w:r w:rsidR="00C905DB" w:rsidRPr="00C905DB">
        <w:t>NEPA rules</w:t>
      </w:r>
      <w:r w:rsidR="00E752C3">
        <w:t>, including the obligation</w:t>
      </w:r>
      <w:r w:rsidR="00C905DB" w:rsidRPr="00C905DB">
        <w:t xml:space="preserve"> </w:t>
      </w:r>
      <w:r w:rsidR="00E752C3">
        <w:t xml:space="preserve">to </w:t>
      </w:r>
      <w:r w:rsidR="00C905DB" w:rsidRPr="00C905DB">
        <w:t>certify environmental compliance</w:t>
      </w:r>
      <w:r w:rsidR="00D872C7">
        <w:t xml:space="preserve"> on a</w:t>
      </w:r>
      <w:r w:rsidR="005C427F">
        <w:t xml:space="preserve"> completed ASR application</w:t>
      </w:r>
      <w:r w:rsidR="00C905DB" w:rsidRPr="00C905DB">
        <w:t xml:space="preserve">.  </w:t>
      </w:r>
      <w:r w:rsidR="00B3481A" w:rsidRPr="000D55B2">
        <w:rPr>
          <w:color w:val="000000"/>
        </w:rPr>
        <w:t xml:space="preserve">Under those rules, if an applicant determines that it needs to complete an EA, environmental notification will be required.  </w:t>
      </w:r>
      <w:r w:rsidR="00C905DB" w:rsidRPr="00C905DB">
        <w:t xml:space="preserve">We also note that granting this waiver does not jeopardize air safety, </w:t>
      </w:r>
      <w:r w:rsidR="00E5572F">
        <w:t xml:space="preserve">given that towers subject to lighting or marking under </w:t>
      </w:r>
      <w:r w:rsidR="00F049BC">
        <w:t xml:space="preserve">FAA regulations will be ineligible for the interim waiver. </w:t>
      </w:r>
      <w:r w:rsidR="00C905DB" w:rsidRPr="00C905DB">
        <w:t xml:space="preserve"> </w:t>
      </w:r>
    </w:p>
    <w:p w:rsidR="003D2F9E" w:rsidRPr="003D2F9E" w:rsidRDefault="00F2178E" w:rsidP="00F87554">
      <w:pPr>
        <w:pStyle w:val="ParaNum"/>
      </w:pPr>
      <w:bookmarkStart w:id="101" w:name="_Toc260821077"/>
      <w:bookmarkStart w:id="102" w:name="_Toc262463239"/>
      <w:bookmarkStart w:id="103" w:name="_Toc263318949"/>
      <w:bookmarkStart w:id="104" w:name="_Toc264360959"/>
      <w:bookmarkStart w:id="105" w:name="_Toc264361279"/>
      <w:bookmarkStart w:id="106" w:name="_Toc264647511"/>
      <w:bookmarkStart w:id="107" w:name="_Toc274826444"/>
      <w:bookmarkStart w:id="108" w:name="_Toc275345239"/>
      <w:bookmarkStart w:id="109" w:name="_Toc275351488"/>
      <w:r>
        <w:t xml:space="preserve">To further ensure against significant environmental impacts, we limit the </w:t>
      </w:r>
      <w:r w:rsidR="00E06F9C">
        <w:t xml:space="preserve">interim </w:t>
      </w:r>
      <w:r w:rsidR="00AC3C4A">
        <w:t>waiver</w:t>
      </w:r>
      <w:r w:rsidR="00E06F9C">
        <w:t xml:space="preserve"> </w:t>
      </w:r>
      <w:r w:rsidR="0010587F">
        <w:t>of</w:t>
      </w:r>
      <w:r>
        <w:t xml:space="preserve"> environmental notice to those proposals that </w:t>
      </w:r>
      <w:r w:rsidR="00447EEC">
        <w:t xml:space="preserve">either </w:t>
      </w:r>
      <w:r>
        <w:t xml:space="preserve">involve </w:t>
      </w:r>
      <w:r w:rsidR="003D2F9E" w:rsidRPr="003D2F9E">
        <w:t>no excavation</w:t>
      </w:r>
      <w:r>
        <w:t xml:space="preserve"> or</w:t>
      </w:r>
      <w:r w:rsidR="00447EEC">
        <w:t xml:space="preserve"> </w:t>
      </w:r>
      <w:r w:rsidR="00F049BC">
        <w:t>involve</w:t>
      </w:r>
      <w:r w:rsidR="003C52AD">
        <w:t xml:space="preserve"> </w:t>
      </w:r>
      <w:r>
        <w:t xml:space="preserve">excavation where the </w:t>
      </w:r>
      <w:r w:rsidR="003D2F9E" w:rsidRPr="00F2178E">
        <w:t xml:space="preserve">depth of previous disturbance exceeds the proposed construction depth (excluding footings and other anchoring mechanisms) by at least </w:t>
      </w:r>
      <w:r w:rsidR="0010587F">
        <w:t>two</w:t>
      </w:r>
      <w:r w:rsidR="003D2F9E" w:rsidRPr="00F2178E">
        <w:t xml:space="preserve"> feet.</w:t>
      </w:r>
      <w:r w:rsidR="00447CE7" w:rsidRPr="00447CE7">
        <w:t xml:space="preserve">  </w:t>
      </w:r>
      <w:r w:rsidR="00FE3E36">
        <w:t>We are concerned that excavation of previously undisturbed ground may cause significant effects on historic or other environmental resources</w:t>
      </w:r>
      <w:r w:rsidR="003D2F9E" w:rsidRPr="003D2F9E">
        <w:t>.</w:t>
      </w:r>
      <w:r w:rsidR="00FE3E36">
        <w:t xml:space="preserve">  For this reason, the NPA exclusion from Section 106 review for temporary towers</w:t>
      </w:r>
      <w:r w:rsidR="0010587F">
        <w:t xml:space="preserve"> is limited by the same excavation conditions that we adopt today.</w:t>
      </w:r>
      <w:r w:rsidR="00FD7978">
        <w:rPr>
          <w:rStyle w:val="FootnoteReference"/>
        </w:rPr>
        <w:footnoteReference w:id="36"/>
      </w:r>
      <w:r w:rsidR="00FD7978">
        <w:t xml:space="preserve">  As the Commission explained in adopting the NPA, “[s]o long as no excavation will occur on previously undisturbed ground, the risk of damage to archeological or other historic properties from a temporary facility is small.”</w:t>
      </w:r>
      <w:r w:rsidR="00FD7978">
        <w:rPr>
          <w:rStyle w:val="FootnoteReference"/>
        </w:rPr>
        <w:footnoteReference w:id="37"/>
      </w:r>
      <w:r w:rsidR="00FE3E36">
        <w:t xml:space="preserve"> </w:t>
      </w:r>
      <w:r w:rsidR="00FD7978">
        <w:t xml:space="preserve"> T</w:t>
      </w:r>
      <w:r w:rsidR="00901C10">
        <w:t xml:space="preserve">he Commission </w:t>
      </w:r>
      <w:r w:rsidR="00FD7978">
        <w:t>further noted</w:t>
      </w:r>
      <w:r w:rsidR="00901C10">
        <w:t xml:space="preserve"> that temporary facilities usually involve little or no excavation.</w:t>
      </w:r>
      <w:r w:rsidR="008C1A68">
        <w:rPr>
          <w:rStyle w:val="FootnoteReference"/>
        </w:rPr>
        <w:footnoteReference w:id="38"/>
      </w:r>
      <w:r w:rsidR="00901C10">
        <w:t xml:space="preserve"> </w:t>
      </w:r>
      <w:r w:rsidR="003D2F9E" w:rsidRPr="003D2F9E">
        <w:t xml:space="preserve"> </w:t>
      </w:r>
      <w:r w:rsidR="008C1A68">
        <w:t xml:space="preserve">We will seek comment on whether to retain this limitation </w:t>
      </w:r>
      <w:r w:rsidR="0048190C">
        <w:t xml:space="preserve">in a Notice of Proposed Rulemaking </w:t>
      </w:r>
      <w:r w:rsidR="00FD7978">
        <w:t>when we consider whether</w:t>
      </w:r>
      <w:r w:rsidR="0048190C">
        <w:t xml:space="preserve"> to adopt any</w:t>
      </w:r>
      <w:r w:rsidR="008C1A68">
        <w:t xml:space="preserve"> permanent r</w:t>
      </w:r>
      <w:r w:rsidR="00AC3C4A">
        <w:t>ule</w:t>
      </w:r>
      <w:r w:rsidR="0048190C">
        <w:t>.</w:t>
      </w:r>
      <w:r w:rsidR="003D2F9E" w:rsidRPr="003D2F9E">
        <w:t xml:space="preserve">    </w:t>
      </w:r>
    </w:p>
    <w:p w:rsidR="000D69E5" w:rsidRDefault="0048190C" w:rsidP="001514D0">
      <w:pPr>
        <w:pStyle w:val="ParaNum"/>
        <w:widowControl/>
      </w:pPr>
      <w:r>
        <w:t xml:space="preserve">In concluding that the interim waiver we adopt herein will not undermine the purposes of the ASR </w:t>
      </w:r>
      <w:r w:rsidR="001F6903">
        <w:t xml:space="preserve">public </w:t>
      </w:r>
      <w:r>
        <w:t xml:space="preserve">notice </w:t>
      </w:r>
      <w:r w:rsidR="001F6903">
        <w:t>requirements, we</w:t>
      </w:r>
      <w:r w:rsidR="00A23332">
        <w:t xml:space="preserve"> find it significant that no party filed comments opposing either the Petition or the request for waiver.  The absence of objection bolsters our confidence that </w:t>
      </w:r>
      <w:r w:rsidR="00FD7978">
        <w:t>during</w:t>
      </w:r>
      <w:r w:rsidR="00314999">
        <w:t xml:space="preserve"> the interim</w:t>
      </w:r>
      <w:r w:rsidR="00FD7978">
        <w:t xml:space="preserve"> period until we complete a rulemaking proceeding,</w:t>
      </w:r>
      <w:r w:rsidR="00314999">
        <w:t xml:space="preserve"> </w:t>
      </w:r>
      <w:r w:rsidR="00E0617C">
        <w:t>applying</w:t>
      </w:r>
      <w:r w:rsidR="00314999">
        <w:t xml:space="preserve"> </w:t>
      </w:r>
      <w:r w:rsidR="001F6903">
        <w:t>the</w:t>
      </w:r>
      <w:r w:rsidR="00E06F9C">
        <w:t xml:space="preserve"> ASR </w:t>
      </w:r>
      <w:r w:rsidR="00A23332">
        <w:t xml:space="preserve">environmental notification </w:t>
      </w:r>
      <w:r w:rsidR="00E06F9C">
        <w:t xml:space="preserve">procedures </w:t>
      </w:r>
      <w:r w:rsidR="00FD7978">
        <w:t>to</w:t>
      </w:r>
      <w:r w:rsidR="00124AC5">
        <w:t xml:space="preserve"> the </w:t>
      </w:r>
      <w:r w:rsidR="00A23332">
        <w:t>temporary towers addressed in this Order is not necessary to serve the purposes of the environmental notification rules.</w:t>
      </w:r>
    </w:p>
    <w:p w:rsidR="00162756" w:rsidRDefault="00A23332" w:rsidP="00712BF7">
      <w:pPr>
        <w:pStyle w:val="ParaNum"/>
        <w:widowControl/>
      </w:pPr>
      <w:r>
        <w:t xml:space="preserve">We </w:t>
      </w:r>
      <w:r w:rsidR="0008492A">
        <w:t>further</w:t>
      </w:r>
      <w:r>
        <w:t xml:space="preserve"> find that </w:t>
      </w:r>
      <w:r w:rsidR="0008492A">
        <w:t>a</w:t>
      </w:r>
      <w:r w:rsidR="00314999">
        <w:t>n interim</w:t>
      </w:r>
      <w:r w:rsidR="0008492A">
        <w:t xml:space="preserve"> </w:t>
      </w:r>
      <w:r>
        <w:t xml:space="preserve">waiver is in the public interest.  </w:t>
      </w:r>
      <w:r w:rsidRPr="00A23332">
        <w:t xml:space="preserve">Commenters have detailed </w:t>
      </w:r>
      <w:r w:rsidR="00FD7978">
        <w:t>four broad categories of non-emergency situations</w:t>
      </w:r>
      <w:r w:rsidRPr="00A23332">
        <w:t xml:space="preserve"> in which temporary towers </w:t>
      </w:r>
      <w:r w:rsidR="00314999">
        <w:t>must</w:t>
      </w:r>
      <w:r w:rsidR="00C765FC">
        <w:t xml:space="preserve"> be deployed quickly in order</w:t>
      </w:r>
      <w:r w:rsidR="00314999">
        <w:t xml:space="preserve"> </w:t>
      </w:r>
      <w:r w:rsidRPr="00A23332">
        <w:t>to avoid disruption of service to the public and</w:t>
      </w:r>
      <w:r w:rsidR="00B30AF2">
        <w:t xml:space="preserve"> in which</w:t>
      </w:r>
      <w:r w:rsidR="00D872C7">
        <w:t xml:space="preserve"> such</w:t>
      </w:r>
      <w:r w:rsidR="00C765FC">
        <w:t xml:space="preserve"> deployment is delayed by </w:t>
      </w:r>
      <w:r w:rsidRPr="00A23332">
        <w:t>the environmental notification process</w:t>
      </w:r>
      <w:r w:rsidR="00FD7978">
        <w:t>:</w:t>
      </w:r>
      <w:r w:rsidRPr="00A23332">
        <w:t xml:space="preserve"> (1) newsworthy events that occur without any prior notice, such as the Virginia Tech shooting and train derailments; (2) </w:t>
      </w:r>
      <w:r w:rsidR="00162756">
        <w:t>other events that occur with</w:t>
      </w:r>
      <w:r w:rsidRPr="00A23332">
        <w:t xml:space="preserve"> less than 30 days advance notice, such as some political events and parades for sports teams; (3) events </w:t>
      </w:r>
      <w:r w:rsidR="00162756">
        <w:t>of</w:t>
      </w:r>
      <w:r w:rsidRPr="00A23332">
        <w:t xml:space="preserve"> which the timing and general location are known</w:t>
      </w:r>
      <w:r w:rsidR="00162756">
        <w:t xml:space="preserve"> in advance,</w:t>
      </w:r>
      <w:r w:rsidRPr="00A23332">
        <w:t xml:space="preserve"> but the</w:t>
      </w:r>
      <w:r w:rsidR="00162756">
        <w:t xml:space="preserve"> event manager may not convey the</w:t>
      </w:r>
      <w:r w:rsidRPr="00A23332">
        <w:t xml:space="preserve"> specific location</w:t>
      </w:r>
      <w:r w:rsidR="00162756">
        <w:t>s</w:t>
      </w:r>
      <w:r w:rsidRPr="00A23332">
        <w:t xml:space="preserve"> for temporary tower</w:t>
      </w:r>
      <w:r w:rsidR="00162756">
        <w:t>s</w:t>
      </w:r>
      <w:r w:rsidRPr="00A23332">
        <w:t xml:space="preserve"> to the wireless carriers until days before the event, such as state fairs and major sporting events; and (4)</w:t>
      </w:r>
      <w:r w:rsidR="00162756">
        <w:t xml:space="preserve"> situations in which</w:t>
      </w:r>
      <w:r w:rsidRPr="00A23332">
        <w:t xml:space="preserve"> unexpected difficulties with permanent structures require the deployment of temporary towers while permanent facilities are repaired.</w:t>
      </w:r>
      <w:r w:rsidR="003C594E">
        <w:rPr>
          <w:rStyle w:val="FootnoteReference"/>
        </w:rPr>
        <w:footnoteReference w:id="39"/>
      </w:r>
      <w:r w:rsidRPr="00A23332">
        <w:t xml:space="preserve">  </w:t>
      </w:r>
      <w:r w:rsidR="00C765FC">
        <w:t>T</w:t>
      </w:r>
      <w:r w:rsidR="00972498">
        <w:t>he record</w:t>
      </w:r>
      <w:r w:rsidR="00C765FC">
        <w:t>, as well as</w:t>
      </w:r>
      <w:r w:rsidR="00972498">
        <w:t xml:space="preserve"> our own experience administering the environmental notice rule</w:t>
      </w:r>
      <w:r w:rsidR="00162756">
        <w:t>,</w:t>
      </w:r>
      <w:r w:rsidR="00972498">
        <w:t xml:space="preserve"> show</w:t>
      </w:r>
      <w:r w:rsidR="00162756">
        <w:t>s</w:t>
      </w:r>
      <w:r w:rsidR="00972498">
        <w:t xml:space="preserve"> that substantial number</w:t>
      </w:r>
      <w:r w:rsidR="00162756">
        <w:t>s</w:t>
      </w:r>
      <w:r w:rsidR="00C765FC">
        <w:t xml:space="preserve"> of such non-emergency temporary towers</w:t>
      </w:r>
      <w:r w:rsidR="00D872C7">
        <w:t xml:space="preserve"> --</w:t>
      </w:r>
      <w:r w:rsidR="00B01CAE">
        <w:t xml:space="preserve"> </w:t>
      </w:r>
      <w:r w:rsidR="00D872C7">
        <w:t>although not all</w:t>
      </w:r>
      <w:r w:rsidR="00C765FC">
        <w:t xml:space="preserve"> </w:t>
      </w:r>
      <w:r w:rsidR="00D872C7">
        <w:t xml:space="preserve">-- </w:t>
      </w:r>
      <w:r w:rsidR="00162756">
        <w:t>require</w:t>
      </w:r>
      <w:r w:rsidR="00C765FC">
        <w:t xml:space="preserve"> registratio</w:t>
      </w:r>
      <w:r w:rsidR="00B30AF2">
        <w:t>n.</w:t>
      </w:r>
      <w:r w:rsidR="00972498">
        <w:t xml:space="preserve">  Accordingly, it is reasonable to anticipate that additional </w:t>
      </w:r>
      <w:r w:rsidR="00B30AF2">
        <w:t>in</w:t>
      </w:r>
      <w:r w:rsidR="00972498">
        <w:t xml:space="preserve">stances </w:t>
      </w:r>
      <w:r w:rsidR="00162756">
        <w:t>will arise</w:t>
      </w:r>
      <w:r w:rsidR="00972498">
        <w:t xml:space="preserve"> during the pendency of the rulemaking proceeding in which</w:t>
      </w:r>
      <w:r w:rsidR="00D872C7">
        <w:t>, a</w:t>
      </w:r>
      <w:r w:rsidR="00F1162F">
        <w:t>bsent the</w:t>
      </w:r>
      <w:r w:rsidR="00D872C7">
        <w:t xml:space="preserve"> waiver we adopt</w:t>
      </w:r>
      <w:r w:rsidR="002D4013">
        <w:t xml:space="preserve"> here,</w:t>
      </w:r>
      <w:r w:rsidR="00972498">
        <w:t xml:space="preserve"> </w:t>
      </w:r>
      <w:r w:rsidR="002D4013">
        <w:t>service disruptions</w:t>
      </w:r>
      <w:r w:rsidR="00162756">
        <w:t xml:space="preserve"> may occur</w:t>
      </w:r>
      <w:r w:rsidR="002D4013">
        <w:t xml:space="preserve"> because of </w:t>
      </w:r>
      <w:r w:rsidR="00972498">
        <w:t>insufficient ti</w:t>
      </w:r>
      <w:r w:rsidR="00662381">
        <w:t>m</w:t>
      </w:r>
      <w:r w:rsidR="00972498">
        <w:t xml:space="preserve">e to complete the </w:t>
      </w:r>
      <w:r w:rsidR="00B30AF2">
        <w:t xml:space="preserve">ASR </w:t>
      </w:r>
      <w:r w:rsidR="00972498">
        <w:t xml:space="preserve">notice process before </w:t>
      </w:r>
      <w:r w:rsidR="00B30AF2">
        <w:t xml:space="preserve">a temporary tower subject to registration must </w:t>
      </w:r>
      <w:r w:rsidR="00972498">
        <w:t>be placed in service</w:t>
      </w:r>
      <w:r w:rsidR="002D4013">
        <w:t xml:space="preserve"> to address short-term capacity constraints</w:t>
      </w:r>
      <w:r w:rsidR="00972498">
        <w:t>.</w:t>
      </w:r>
      <w:r w:rsidR="00863793">
        <w:t xml:space="preserve">  </w:t>
      </w:r>
    </w:p>
    <w:p w:rsidR="00AF7C52" w:rsidRDefault="00972498" w:rsidP="00712BF7">
      <w:pPr>
        <w:pStyle w:val="ParaNum"/>
        <w:widowControl/>
      </w:pPr>
      <w:r w:rsidRPr="00972498">
        <w:t>The ASR notice process takes approximately 40 days,</w:t>
      </w:r>
      <w:r w:rsidR="008E5A08">
        <w:rPr>
          <w:rStyle w:val="FootnoteReference"/>
        </w:rPr>
        <w:footnoteReference w:id="40"/>
      </w:r>
      <w:r w:rsidRPr="00972498">
        <w:t xml:space="preserve"> as carriers must provide local and national public notice, allow 30 days for the filing of any requests for further environmental review, and wait for the Commission to clear the tower for a final certification.  If a request for environmental review is filed,</w:t>
      </w:r>
      <w:r w:rsidR="000C0BC5">
        <w:t xml:space="preserve"> even if it lacks merit,</w:t>
      </w:r>
      <w:r w:rsidRPr="00972498">
        <w:t xml:space="preserve"> the deployment could be delayed longer.  Commission staff endeavors to resolve all pending ASR applications promptly, and has </w:t>
      </w:r>
      <w:r w:rsidR="00FC0CCD">
        <w:t xml:space="preserve">entertained case-by-case waiver requests for </w:t>
      </w:r>
      <w:r w:rsidRPr="00972498">
        <w:t>non-emergency temporary towers</w:t>
      </w:r>
      <w:r w:rsidR="003149D8">
        <w:t xml:space="preserve"> where the applicant has shown that completing the notice process is impractical</w:t>
      </w:r>
      <w:r w:rsidRPr="00972498">
        <w:t xml:space="preserve">.  We agree with AT&amp;T, however, that </w:t>
      </w:r>
      <w:r w:rsidR="00FC0CCD">
        <w:t>this</w:t>
      </w:r>
      <w:r w:rsidRPr="00972498">
        <w:t xml:space="preserve"> process is inefficient and</w:t>
      </w:r>
      <w:r w:rsidR="00FC0CCD">
        <w:t xml:space="preserve"> that the notice process </w:t>
      </w:r>
      <w:r w:rsidR="00B30AF2">
        <w:t xml:space="preserve">may ultimately be </w:t>
      </w:r>
      <w:r w:rsidR="00FC0CCD">
        <w:t xml:space="preserve">unnecessary for </w:t>
      </w:r>
      <w:r w:rsidR="00B30AF2">
        <w:t xml:space="preserve">the narrow category of </w:t>
      </w:r>
      <w:r w:rsidR="00FC0CCD">
        <w:t xml:space="preserve">temporary towers within the scope of the </w:t>
      </w:r>
      <w:r w:rsidR="00AD6008">
        <w:t xml:space="preserve">interim </w:t>
      </w:r>
      <w:r w:rsidR="00FC0CCD">
        <w:t>waiver that we are granting</w:t>
      </w:r>
      <w:r w:rsidRPr="00972498">
        <w:t>.</w:t>
      </w:r>
      <w:r w:rsidR="003C594E">
        <w:rPr>
          <w:rStyle w:val="FootnoteReference"/>
        </w:rPr>
        <w:footnoteReference w:id="41"/>
      </w:r>
      <w:r w:rsidR="00FC0CCD">
        <w:t xml:space="preserve">  Moreover, </w:t>
      </w:r>
      <w:r w:rsidR="00AF7C52">
        <w:t>while we ordinarily require that environmental notice be provided within a short period after construction when pre-construction notice is waived due to an emergency situation, the Commission recognized that in some circumstances post-construction notice may be impractical or not in the public interest.</w:t>
      </w:r>
      <w:r w:rsidR="003C594E">
        <w:rPr>
          <w:rStyle w:val="FootnoteReference"/>
        </w:rPr>
        <w:footnoteReference w:id="42"/>
      </w:r>
      <w:r w:rsidR="00C05E37">
        <w:t xml:space="preserve"> </w:t>
      </w:r>
      <w:r w:rsidR="00AF7C52">
        <w:t xml:space="preserve"> Because towers subject to this waiver will be in place for no more than two months, we find</w:t>
      </w:r>
      <w:r w:rsidR="008E5A08">
        <w:t xml:space="preserve"> </w:t>
      </w:r>
      <w:r w:rsidR="00AF7C52">
        <w:t>for purposes of this interim waiver that post-construction notice of these towers is not in</w:t>
      </w:r>
      <w:r w:rsidR="00C05E37">
        <w:t xml:space="preserve"> the public interest.</w:t>
      </w:r>
      <w:r w:rsidR="00863793">
        <w:t xml:space="preserve"> </w:t>
      </w:r>
    </w:p>
    <w:p w:rsidR="00AF7C52" w:rsidRDefault="007A185E" w:rsidP="00712BF7">
      <w:pPr>
        <w:pStyle w:val="ParaNum"/>
        <w:widowControl/>
      </w:pPr>
      <w:r>
        <w:t>In sum,</w:t>
      </w:r>
      <w:r w:rsidR="00E84130">
        <w:t xml:space="preserve"> pending </w:t>
      </w:r>
      <w:r w:rsidR="00863793">
        <w:t>the expeditious completion of a</w:t>
      </w:r>
      <w:r w:rsidR="00E84130">
        <w:t xml:space="preserve"> rulemaking </w:t>
      </w:r>
      <w:r w:rsidR="00863793">
        <w:t xml:space="preserve">proceeding </w:t>
      </w:r>
      <w:r w:rsidR="00E84130">
        <w:t xml:space="preserve">to consider CTIA’s request for a permanent exemption from the ASR public notice </w:t>
      </w:r>
      <w:r w:rsidR="00863793">
        <w:t>procedures</w:t>
      </w:r>
      <w:r w:rsidR="00E84130">
        <w:t xml:space="preserve">, we find that granting interim relief from these requirements does not undermine </w:t>
      </w:r>
      <w:r>
        <w:t>the purpose of the environmental notice rule</w:t>
      </w:r>
      <w:r w:rsidR="00AF7C52">
        <w:t xml:space="preserve"> because the towers subject to the waiver are unlikely to have a significant environmental impact.  Further, an interim waiver</w:t>
      </w:r>
      <w:r w:rsidR="00E84130">
        <w:t xml:space="preserve"> serves the public interest</w:t>
      </w:r>
      <w:r w:rsidR="00AF7C52">
        <w:t xml:space="preserve"> because</w:t>
      </w:r>
      <w:r>
        <w:t xml:space="preserve"> situations frequently arise where there is insufficient time to complete the notice process before a temporary tower must be constructed to meet near-term </w:t>
      </w:r>
      <w:r w:rsidR="00662381">
        <w:t>demand.  While staff has endeavor</w:t>
      </w:r>
      <w:r>
        <w:t xml:space="preserve">ed to accommodate these situations on a case-by-case basis, this process is inefficient and creates uncertainty.  For all those reasons, it is in the public interest to waive the notice requirement </w:t>
      </w:r>
      <w:r w:rsidR="003C52AD">
        <w:t xml:space="preserve">in the interim </w:t>
      </w:r>
      <w:r>
        <w:t xml:space="preserve">for all towers covered by this Order until we </w:t>
      </w:r>
      <w:r w:rsidR="00D44938">
        <w:t>determine in the forthcoming rulemaking whether to permanently exempt the Two Month Towers, or a subset of the Two Month Towers, from the ASR public notice rules.</w:t>
      </w:r>
      <w:r w:rsidR="00D44938" w:rsidDel="00D44938">
        <w:t xml:space="preserve"> </w:t>
      </w:r>
    </w:p>
    <w:p w:rsidR="00447CE7" w:rsidRDefault="00DF71C7" w:rsidP="00447CE7">
      <w:pPr>
        <w:pStyle w:val="ParaNum"/>
        <w:widowControl/>
      </w:pPr>
      <w:r>
        <w:t>A</w:t>
      </w:r>
      <w:r w:rsidR="005E7F2B">
        <w:t>pplicants seeking to register t</w:t>
      </w:r>
      <w:r w:rsidR="00E158EF" w:rsidRPr="00E158EF">
        <w:t xml:space="preserve">owers </w:t>
      </w:r>
      <w:r w:rsidR="005E7F2B">
        <w:t xml:space="preserve">that are </w:t>
      </w:r>
      <w:r w:rsidR="00E158EF" w:rsidRPr="00E158EF">
        <w:t xml:space="preserve">eligible for the </w:t>
      </w:r>
      <w:r w:rsidR="00786E48">
        <w:t xml:space="preserve">interim </w:t>
      </w:r>
      <w:r w:rsidR="00E158EF" w:rsidRPr="00E158EF">
        <w:t xml:space="preserve">waiver granted here </w:t>
      </w:r>
      <w:r w:rsidR="005E7F2B">
        <w:t>should answer "Yes" to Question 45 on</w:t>
      </w:r>
      <w:r w:rsidR="00E158EF" w:rsidRPr="00E158EF">
        <w:t xml:space="preserve"> FCC Form 854, and attach an explanation of how the proposed tower meets the criteria set forth in this Order.  Such </w:t>
      </w:r>
      <w:r w:rsidR="005E7F2B">
        <w:t>applicants</w:t>
      </w:r>
      <w:r w:rsidR="00E158EF" w:rsidRPr="00E158EF">
        <w:t xml:space="preserve"> will be required to certify environmental compliance and must comply with FAA rules and procedures, as applicable.</w:t>
      </w:r>
      <w:bookmarkStart w:id="110" w:name="_Toc212545807"/>
      <w:bookmarkStart w:id="111" w:name="_Toc212614850"/>
      <w:bookmarkEnd w:id="101"/>
      <w:bookmarkEnd w:id="102"/>
      <w:bookmarkEnd w:id="103"/>
      <w:bookmarkEnd w:id="104"/>
      <w:bookmarkEnd w:id="105"/>
      <w:bookmarkEnd w:id="106"/>
      <w:bookmarkEnd w:id="107"/>
      <w:bookmarkEnd w:id="108"/>
      <w:bookmarkEnd w:id="109"/>
    </w:p>
    <w:p w:rsidR="00041184" w:rsidRPr="00C25322" w:rsidRDefault="00041184" w:rsidP="00047438">
      <w:pPr>
        <w:pStyle w:val="Heading1"/>
      </w:pPr>
      <w:bookmarkStart w:id="112" w:name="_Toc263318961"/>
      <w:bookmarkStart w:id="113" w:name="_Toc264360972"/>
      <w:bookmarkStart w:id="114" w:name="_Toc264361292"/>
      <w:bookmarkStart w:id="115" w:name="_Toc264647523"/>
      <w:bookmarkStart w:id="116" w:name="_Toc273961807"/>
      <w:bookmarkStart w:id="117" w:name="_Toc273962784"/>
      <w:bookmarkStart w:id="118" w:name="_Toc274826450"/>
      <w:bookmarkStart w:id="119" w:name="_Toc275345245"/>
      <w:bookmarkStart w:id="120" w:name="_Toc275351494"/>
      <w:bookmarkStart w:id="121" w:name="_Toc275936911"/>
      <w:bookmarkStart w:id="122" w:name="_Toc276146623"/>
      <w:bookmarkStart w:id="123" w:name="_Toc277916254"/>
      <w:bookmarkStart w:id="124" w:name="_Toc277940613"/>
      <w:bookmarkStart w:id="125" w:name="_Toc277942163"/>
      <w:bookmarkStart w:id="126" w:name="_Toc277948158"/>
      <w:bookmarkStart w:id="127" w:name="_Toc278782268"/>
      <w:bookmarkStart w:id="128" w:name="_Toc279991076"/>
      <w:bookmarkStart w:id="129" w:name="_Toc280782263"/>
      <w:bookmarkStart w:id="130" w:name="_Toc294000198"/>
      <w:bookmarkStart w:id="131" w:name="_Toc298766340"/>
      <w:bookmarkStart w:id="132" w:name="_Toc300048496"/>
      <w:bookmarkStart w:id="133" w:name="_Toc305682012"/>
      <w:bookmarkStart w:id="134" w:name="_Toc309197719"/>
      <w:r w:rsidRPr="00C25322">
        <w:t>ORDERING CLAUSES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rsidR="00041184" w:rsidRPr="00B21EB7" w:rsidRDefault="00F81D15" w:rsidP="002A39D2">
      <w:pPr>
        <w:pStyle w:val="ParaNum"/>
        <w:widowControl/>
        <w:numPr>
          <w:ilvl w:val="0"/>
          <w:numId w:val="0"/>
        </w:numPr>
        <w:tabs>
          <w:tab w:val="left" w:pos="1440"/>
        </w:tabs>
        <w:ind w:firstLine="720"/>
        <w:rPr>
          <w:rStyle w:val="StyleParaNum11pt1CharCharCharCharCharCharCharCharCharCharCharCharCharCharCharCharChar"/>
          <w:color w:val="000000"/>
        </w:rPr>
      </w:pPr>
      <w:r>
        <w:rPr>
          <w:snapToGrid/>
        </w:rPr>
        <w:t>18.</w:t>
      </w:r>
      <w:r w:rsidR="005868E3">
        <w:rPr>
          <w:snapToGrid/>
        </w:rPr>
        <w:tab/>
      </w:r>
      <w:r w:rsidR="00041184" w:rsidRPr="00B32656">
        <w:rPr>
          <w:snapToGrid/>
        </w:rPr>
        <w:t>Accordingly</w:t>
      </w:r>
      <w:r w:rsidR="00041184" w:rsidRPr="00B21EB7">
        <w:rPr>
          <w:rStyle w:val="StyleParaNum11pt1CharCharCharCharCharCharCharCharCharCharCharCharCharCharCharCharChar"/>
          <w:color w:val="000000"/>
        </w:rPr>
        <w:t xml:space="preserve">, </w:t>
      </w:r>
      <w:r w:rsidR="00041184" w:rsidRPr="00B21EB7">
        <w:rPr>
          <w:color w:val="000000"/>
        </w:rPr>
        <w:t xml:space="preserve">IT IS ORDERED that, </w:t>
      </w:r>
      <w:r w:rsidR="00041184" w:rsidRPr="00345161">
        <w:t xml:space="preserve">pursuant to </w:t>
      </w:r>
      <w:r w:rsidR="00041184">
        <w:t>Section</w:t>
      </w:r>
      <w:r w:rsidR="00041184" w:rsidRPr="00345161">
        <w:t>s 1</w:t>
      </w:r>
      <w:r w:rsidR="00D34F5D">
        <w:t xml:space="preserve">.3 and 1.925 of the Commission’s rules, 47 C.F.R. </w:t>
      </w:r>
      <w:r w:rsidR="00B21EB7" w:rsidRPr="00B21EB7">
        <w:t>§§</w:t>
      </w:r>
      <w:r w:rsidR="00B21EB7">
        <w:t xml:space="preserve"> </w:t>
      </w:r>
      <w:r w:rsidR="00D34F5D" w:rsidRPr="00D34F5D">
        <w:t>1.3, 1.925</w:t>
      </w:r>
      <w:r w:rsidR="00D34F5D">
        <w:t xml:space="preserve">, the request of CTIA—The Wireless Association for a waiver of Sections 17.4(c)(3)-(4) of the Commission’s rules, </w:t>
      </w:r>
      <w:r w:rsidR="00D34F5D" w:rsidRPr="00D34F5D">
        <w:t>47 C.F.R. § 1</w:t>
      </w:r>
      <w:r w:rsidR="00D34F5D">
        <w:t>7</w:t>
      </w:r>
      <w:r w:rsidR="00D34F5D" w:rsidRPr="00D34F5D">
        <w:t>.</w:t>
      </w:r>
      <w:r w:rsidR="00D34F5D">
        <w:t>4(c)(</w:t>
      </w:r>
      <w:r w:rsidR="00D34F5D" w:rsidRPr="00D34F5D">
        <w:t>3</w:t>
      </w:r>
      <w:r w:rsidR="00D34F5D">
        <w:t>)-(4</w:t>
      </w:r>
      <w:r w:rsidR="007F4F35">
        <w:t>)</w:t>
      </w:r>
      <w:r w:rsidR="00D34F5D">
        <w:t xml:space="preserve"> is GRANTED</w:t>
      </w:r>
      <w:r w:rsidR="00AA3173">
        <w:t xml:space="preserve"> </w:t>
      </w:r>
      <w:r w:rsidR="00F60180">
        <w:t xml:space="preserve">to the extent provided in this Order </w:t>
      </w:r>
      <w:r w:rsidR="007F4F35">
        <w:t>pending the resolution of CTIA’s Pe</w:t>
      </w:r>
      <w:r w:rsidR="00D34F5D">
        <w:t>tition</w:t>
      </w:r>
      <w:r w:rsidR="007F4F35">
        <w:t xml:space="preserve"> for Expedited Rulemaking</w:t>
      </w:r>
      <w:r w:rsidR="00D34F5D">
        <w:t xml:space="preserve"> and any consequent rulemaking</w:t>
      </w:r>
      <w:r w:rsidR="00662381">
        <w:t xml:space="preserve"> proceeding</w:t>
      </w:r>
      <w:r w:rsidR="00041184" w:rsidRPr="00B21EB7">
        <w:rPr>
          <w:rStyle w:val="StyleParaNum11pt1CharCharCharCharCharCharCharCharCharCharCharCharCharCharCharCharChar"/>
          <w:color w:val="000000"/>
        </w:rPr>
        <w:t>.</w:t>
      </w:r>
      <w:r w:rsidR="009B3BC5">
        <w:rPr>
          <w:rStyle w:val="StyleParaNum11pt1CharCharCharCharCharCharCharCharCharCharCharCharCharCharCharCharChar"/>
          <w:color w:val="000000"/>
        </w:rPr>
        <w:t xml:space="preserve"> </w:t>
      </w:r>
    </w:p>
    <w:p w:rsidR="00041184" w:rsidRPr="0034787F" w:rsidRDefault="00F81D15" w:rsidP="005868E3">
      <w:pPr>
        <w:pStyle w:val="ParaNum"/>
        <w:widowControl/>
        <w:numPr>
          <w:ilvl w:val="0"/>
          <w:numId w:val="0"/>
        </w:numPr>
        <w:tabs>
          <w:tab w:val="left" w:pos="1440"/>
        </w:tabs>
        <w:ind w:firstLine="720"/>
        <w:rPr>
          <w:rStyle w:val="StyleParaNum11pt1CharCharCharCharCharCharCharCharCharCharCharCharCharCharCharCharChar"/>
          <w:color w:val="000000"/>
        </w:rPr>
      </w:pPr>
      <w:r>
        <w:rPr>
          <w:rStyle w:val="StyleParaNum11pt1CharCharCharCharCharCharCharCharCharCharCharCharCharCharCharCharChar"/>
          <w:color w:val="000000"/>
        </w:rPr>
        <w:t xml:space="preserve">19. </w:t>
      </w:r>
      <w:r w:rsidR="005868E3">
        <w:rPr>
          <w:rStyle w:val="StyleParaNum11pt1CharCharCharCharCharCharCharCharCharCharCharCharCharCharCharCharChar"/>
          <w:color w:val="000000"/>
        </w:rPr>
        <w:tab/>
      </w:r>
      <w:r w:rsidR="00041184" w:rsidRPr="00274C3F">
        <w:rPr>
          <w:rStyle w:val="StyleParaNum11pt1CharCharCharCharCharCharCharCharCharCharCharCharCharCharCharCharChar"/>
          <w:color w:val="000000"/>
        </w:rPr>
        <w:t>IT IS FURTHER ORDERED that th</w:t>
      </w:r>
      <w:r w:rsidR="00D34F5D">
        <w:rPr>
          <w:rStyle w:val="StyleParaNum11pt1CharCharCharCharCharCharCharCharCharCharCharCharCharCharCharCharChar"/>
          <w:color w:val="000000"/>
        </w:rPr>
        <w:t>is waiver</w:t>
      </w:r>
      <w:r w:rsidR="00041184" w:rsidRPr="00274C3F">
        <w:rPr>
          <w:rStyle w:val="StyleParaNum11pt1CharCharCharCharCharCharCharCharCharCharCharCharCharCharCharCharChar"/>
          <w:color w:val="000000"/>
        </w:rPr>
        <w:t xml:space="preserve"> </w:t>
      </w:r>
      <w:r w:rsidR="009767CC">
        <w:rPr>
          <w:rStyle w:val="StyleParaNum11pt1CharCharCharCharCharCharCharCharCharCharCharCharCharCharCharCharChar"/>
          <w:color w:val="000000"/>
        </w:rPr>
        <w:t>IS</w:t>
      </w:r>
      <w:r w:rsidR="00560962" w:rsidRPr="00560962">
        <w:rPr>
          <w:rStyle w:val="StyleParaNum11pt1CharCharCharCharCharCharCharCharCharCharCharCharCharCharCharCharChar"/>
          <w:color w:val="000000"/>
        </w:rPr>
        <w:t xml:space="preserve"> EFFECTIVE </w:t>
      </w:r>
      <w:r w:rsidR="00D34F5D" w:rsidRPr="00BD5871">
        <w:rPr>
          <w:rStyle w:val="StyleParaNum11pt1CharCharCharCharCharCharCharCharCharCharCharCharCharCharCharCharChar"/>
          <w:color w:val="000000"/>
        </w:rPr>
        <w:t xml:space="preserve">immediately </w:t>
      </w:r>
      <w:r w:rsidR="00250072">
        <w:rPr>
          <w:rStyle w:val="StyleParaNum11pt1CharCharCharCharCharCharCharCharCharCharCharCharCharCharCharCharChar"/>
          <w:color w:val="000000"/>
        </w:rPr>
        <w:t>up</w:t>
      </w:r>
      <w:r w:rsidR="00D34F5D" w:rsidRPr="00BD5871">
        <w:rPr>
          <w:rStyle w:val="StyleParaNum11pt1CharCharCharCharCharCharCharCharCharCharCharCharCharCharCharCharChar"/>
          <w:color w:val="000000"/>
        </w:rPr>
        <w:t>on release</w:t>
      </w:r>
      <w:r w:rsidR="009767CC">
        <w:rPr>
          <w:rStyle w:val="StyleParaNum11pt1CharCharCharCharCharCharCharCharCharCharCharCharCharCharCharCharChar"/>
          <w:color w:val="000000"/>
        </w:rPr>
        <w:t xml:space="preserve"> of this Order</w:t>
      </w:r>
      <w:r w:rsidR="00041184" w:rsidRPr="00BD5871">
        <w:rPr>
          <w:rStyle w:val="StyleParaNum11pt1CharCharCharCharCharCharCharCharCharCharCharCharCharCharCharCharChar"/>
          <w:color w:val="000000"/>
        </w:rPr>
        <w:t>.</w:t>
      </w:r>
      <w:r w:rsidR="00041184" w:rsidRPr="00274C3F">
        <w:rPr>
          <w:rStyle w:val="StyleParaNum11pt1CharCharCharCharCharCharCharCharCharCharCharCharCharCharCharCharChar"/>
          <w:color w:val="000000"/>
        </w:rPr>
        <w:t xml:space="preserve"> </w:t>
      </w:r>
      <w:r w:rsidR="00041184">
        <w:rPr>
          <w:rStyle w:val="StyleParaNum11pt1CharCharCharCharCharCharCharCharCharCharCharCharCharCharCharCharChar"/>
          <w:color w:val="000000"/>
        </w:rPr>
        <w:t xml:space="preserve"> </w:t>
      </w:r>
      <w:r w:rsidR="00041184" w:rsidRPr="0034787F">
        <w:rPr>
          <w:rStyle w:val="StyleParaNum11pt1CharCharCharCharCharCharCharCharCharCharCharCharCharCharCharCharChar"/>
          <w:color w:val="000000"/>
        </w:rPr>
        <w:t xml:space="preserve"> </w:t>
      </w:r>
    </w:p>
    <w:p w:rsidR="00041184" w:rsidRPr="00C25322" w:rsidRDefault="00041184" w:rsidP="00677B54">
      <w:pPr>
        <w:keepNext/>
        <w:widowControl/>
        <w:tabs>
          <w:tab w:val="left" w:pos="1080"/>
        </w:tabs>
        <w:spacing w:after="240"/>
        <w:rPr>
          <w:color w:val="000000"/>
          <w:szCs w:val="22"/>
        </w:rPr>
      </w:pPr>
    </w:p>
    <w:p w:rsidR="00041184" w:rsidRPr="00C25322" w:rsidRDefault="00041184" w:rsidP="00677B54">
      <w:pPr>
        <w:keepNext/>
        <w:widowControl/>
        <w:ind w:left="4320"/>
        <w:rPr>
          <w:color w:val="000000"/>
          <w:szCs w:val="22"/>
        </w:rPr>
      </w:pPr>
      <w:r w:rsidRPr="00C25322">
        <w:rPr>
          <w:color w:val="000000"/>
          <w:szCs w:val="22"/>
        </w:rPr>
        <w:t>FEDERAL COMMUNICATIONS COMMISSION</w:t>
      </w:r>
    </w:p>
    <w:p w:rsidR="00041184" w:rsidRPr="00C25322" w:rsidRDefault="00041184" w:rsidP="00677B54">
      <w:pPr>
        <w:keepNext/>
        <w:widowControl/>
        <w:ind w:left="4320"/>
        <w:rPr>
          <w:color w:val="000000"/>
          <w:szCs w:val="22"/>
        </w:rPr>
      </w:pPr>
    </w:p>
    <w:p w:rsidR="00041184" w:rsidRPr="00C25322" w:rsidRDefault="00041184" w:rsidP="00677B54">
      <w:pPr>
        <w:keepNext/>
        <w:widowControl/>
        <w:ind w:left="4320"/>
        <w:rPr>
          <w:color w:val="000000"/>
          <w:szCs w:val="22"/>
        </w:rPr>
      </w:pPr>
    </w:p>
    <w:p w:rsidR="00C1574F" w:rsidRDefault="00C1574F" w:rsidP="00677B54">
      <w:pPr>
        <w:keepNext/>
        <w:widowControl/>
        <w:ind w:left="4320"/>
        <w:rPr>
          <w:color w:val="000000"/>
          <w:szCs w:val="22"/>
        </w:rPr>
      </w:pPr>
    </w:p>
    <w:p w:rsidR="00041184" w:rsidRPr="00C25322" w:rsidRDefault="00041184" w:rsidP="00677B54">
      <w:pPr>
        <w:keepNext/>
        <w:widowControl/>
        <w:ind w:left="4320"/>
        <w:rPr>
          <w:color w:val="000000"/>
          <w:szCs w:val="22"/>
        </w:rPr>
      </w:pPr>
      <w:r>
        <w:rPr>
          <w:color w:val="000000"/>
          <w:szCs w:val="22"/>
        </w:rPr>
        <w:t>Marlene H. Dortch</w:t>
      </w:r>
    </w:p>
    <w:p w:rsidR="00041184" w:rsidRPr="008874EF" w:rsidRDefault="00041184" w:rsidP="00677B54">
      <w:pPr>
        <w:keepNext/>
        <w:widowControl/>
      </w:pPr>
      <w:r>
        <w:rPr>
          <w:b/>
          <w:szCs w:val="22"/>
        </w:rPr>
        <w:tab/>
      </w:r>
      <w:r>
        <w:rPr>
          <w:b/>
          <w:szCs w:val="22"/>
        </w:rPr>
        <w:tab/>
      </w:r>
      <w:r>
        <w:rPr>
          <w:b/>
          <w:szCs w:val="22"/>
        </w:rPr>
        <w:tab/>
      </w:r>
      <w:r>
        <w:rPr>
          <w:b/>
          <w:szCs w:val="22"/>
        </w:rPr>
        <w:tab/>
      </w:r>
      <w:r>
        <w:rPr>
          <w:b/>
          <w:szCs w:val="22"/>
        </w:rPr>
        <w:tab/>
      </w:r>
      <w:r>
        <w:rPr>
          <w:b/>
          <w:szCs w:val="22"/>
        </w:rPr>
        <w:tab/>
      </w:r>
      <w:r w:rsidRPr="00632FE0">
        <w:rPr>
          <w:szCs w:val="22"/>
        </w:rPr>
        <w:t>Secretary</w:t>
      </w:r>
      <w:bookmarkStart w:id="135" w:name="_Toc264360973"/>
      <w:bookmarkStart w:id="136" w:name="_Toc264361293"/>
      <w:bookmarkStart w:id="137" w:name="_Toc264360974"/>
      <w:bookmarkStart w:id="138" w:name="_Toc264361294"/>
      <w:bookmarkStart w:id="139" w:name="_Toc264360975"/>
      <w:bookmarkStart w:id="140" w:name="_Toc264361295"/>
      <w:bookmarkStart w:id="141" w:name="_Toc264360976"/>
      <w:bookmarkStart w:id="142" w:name="_Toc264361296"/>
      <w:bookmarkStart w:id="143" w:name="_Toc264360977"/>
      <w:bookmarkStart w:id="144" w:name="_Toc264361297"/>
      <w:bookmarkStart w:id="145" w:name="_Toc264360978"/>
      <w:bookmarkStart w:id="146" w:name="_Toc264361298"/>
      <w:bookmarkStart w:id="147" w:name="_Toc264360979"/>
      <w:bookmarkStart w:id="148" w:name="_Toc264361299"/>
      <w:bookmarkStart w:id="149" w:name="_Toc264360980"/>
      <w:bookmarkStart w:id="150" w:name="_Toc264361300"/>
      <w:bookmarkStart w:id="151" w:name="_Toc264360981"/>
      <w:bookmarkStart w:id="152" w:name="_Toc264361301"/>
      <w:bookmarkStart w:id="153" w:name="_Toc264360982"/>
      <w:bookmarkStart w:id="154" w:name="_Toc264361302"/>
      <w:bookmarkStart w:id="155" w:name="_Toc264360983"/>
      <w:bookmarkStart w:id="156" w:name="_Toc264361303"/>
      <w:bookmarkStart w:id="157" w:name="_Toc264360984"/>
      <w:bookmarkStart w:id="158" w:name="_Toc264361304"/>
      <w:bookmarkStart w:id="159" w:name="_Toc264360985"/>
      <w:bookmarkStart w:id="160" w:name="_Toc264361305"/>
      <w:bookmarkStart w:id="161" w:name="_Toc264360986"/>
      <w:bookmarkStart w:id="162" w:name="_Toc264361306"/>
      <w:bookmarkStart w:id="163" w:name="_Toc264360987"/>
      <w:bookmarkStart w:id="164" w:name="_Toc264361307"/>
      <w:bookmarkStart w:id="165" w:name="_Toc264360988"/>
      <w:bookmarkStart w:id="166" w:name="_Toc264361308"/>
      <w:bookmarkStart w:id="167" w:name="_Toc264360989"/>
      <w:bookmarkStart w:id="168" w:name="_Toc264361309"/>
      <w:bookmarkStart w:id="169" w:name="_Toc264360990"/>
      <w:bookmarkStart w:id="170" w:name="_Toc264361310"/>
      <w:bookmarkStart w:id="171" w:name="_Toc264360991"/>
      <w:bookmarkStart w:id="172" w:name="_Toc264361311"/>
      <w:bookmarkStart w:id="173" w:name="_Toc264360993"/>
      <w:bookmarkStart w:id="174" w:name="_Toc264361313"/>
      <w:bookmarkStart w:id="175" w:name="_Toc264360995"/>
      <w:bookmarkStart w:id="176" w:name="_Toc264361315"/>
      <w:bookmarkStart w:id="177" w:name="_Toc264361000"/>
      <w:bookmarkStart w:id="178" w:name="_Toc264361320"/>
      <w:bookmarkStart w:id="179" w:name="_Toc264361002"/>
      <w:bookmarkStart w:id="180" w:name="_Toc264361322"/>
      <w:bookmarkStart w:id="181" w:name="_Toc264361003"/>
      <w:bookmarkStart w:id="182" w:name="_Toc264361323"/>
      <w:bookmarkStart w:id="183" w:name="_Toc264361004"/>
      <w:bookmarkStart w:id="184" w:name="_Toc264361324"/>
      <w:bookmarkStart w:id="185" w:name="_Toc264361005"/>
      <w:bookmarkStart w:id="186" w:name="_Toc264361325"/>
      <w:bookmarkStart w:id="187" w:name="_Toc264361006"/>
      <w:bookmarkStart w:id="188" w:name="_Toc264361326"/>
      <w:bookmarkStart w:id="189" w:name="_Toc264361007"/>
      <w:bookmarkStart w:id="190" w:name="_Toc264361327"/>
      <w:bookmarkStart w:id="191" w:name="_Toc264361008"/>
      <w:bookmarkStart w:id="192" w:name="_Toc264361328"/>
      <w:bookmarkStart w:id="193" w:name="_Toc264361009"/>
      <w:bookmarkStart w:id="194" w:name="_Toc264361329"/>
      <w:bookmarkStart w:id="195" w:name="_Toc264361010"/>
      <w:bookmarkStart w:id="196" w:name="_Toc264361330"/>
      <w:bookmarkStart w:id="197" w:name="_Toc264361011"/>
      <w:bookmarkStart w:id="198" w:name="_Toc264361331"/>
      <w:bookmarkStart w:id="199" w:name="_Toc264361012"/>
      <w:bookmarkStart w:id="200" w:name="_Toc264361332"/>
      <w:bookmarkStart w:id="201" w:name="_Toc264361014"/>
      <w:bookmarkStart w:id="202" w:name="_Toc264361334"/>
      <w:bookmarkStart w:id="203" w:name="_Toc264361015"/>
      <w:bookmarkStart w:id="204" w:name="_Toc264361335"/>
      <w:bookmarkStart w:id="205" w:name="_Toc264361017"/>
      <w:bookmarkStart w:id="206" w:name="_Toc264361337"/>
      <w:bookmarkStart w:id="207" w:name="_Toc264361018"/>
      <w:bookmarkStart w:id="208" w:name="_Toc264361338"/>
      <w:bookmarkStart w:id="209" w:name="_Toc264361019"/>
      <w:bookmarkStart w:id="210" w:name="_Toc264361339"/>
      <w:bookmarkStart w:id="211" w:name="_Toc264361020"/>
      <w:bookmarkStart w:id="212" w:name="_Toc264361340"/>
      <w:bookmarkStart w:id="213" w:name="_Toc264361021"/>
      <w:bookmarkStart w:id="214" w:name="_Toc264361341"/>
      <w:bookmarkStart w:id="215" w:name="_Toc264361022"/>
      <w:bookmarkStart w:id="216" w:name="_Toc264361342"/>
      <w:bookmarkStart w:id="217" w:name="_Toc264361023"/>
      <w:bookmarkStart w:id="218" w:name="_Toc264361343"/>
      <w:bookmarkStart w:id="219" w:name="_Toc264361024"/>
      <w:bookmarkStart w:id="220" w:name="_Toc264361344"/>
      <w:bookmarkStart w:id="221" w:name="_Toc264361025"/>
      <w:bookmarkStart w:id="222" w:name="_Toc264361345"/>
      <w:bookmarkStart w:id="223" w:name="_Toc264361026"/>
      <w:bookmarkStart w:id="224" w:name="_Toc264361346"/>
      <w:bookmarkStart w:id="225" w:name="_Toc264361027"/>
      <w:bookmarkStart w:id="226" w:name="_Toc264361347"/>
      <w:bookmarkStart w:id="227" w:name="_Toc264361031"/>
      <w:bookmarkStart w:id="228" w:name="_Toc264361351"/>
      <w:bookmarkStart w:id="229" w:name="_Toc264361032"/>
      <w:bookmarkStart w:id="230" w:name="_Toc264361352"/>
      <w:bookmarkStart w:id="231" w:name="_Toc264361033"/>
      <w:bookmarkStart w:id="232" w:name="_Toc264361353"/>
      <w:bookmarkStart w:id="233" w:name="_Toc264361034"/>
      <w:bookmarkStart w:id="234" w:name="_Toc264361354"/>
      <w:bookmarkStart w:id="235" w:name="_Toc264361035"/>
      <w:bookmarkStart w:id="236" w:name="_Toc264361355"/>
      <w:bookmarkStart w:id="237" w:name="_Toc264361036"/>
      <w:bookmarkStart w:id="238" w:name="_Toc264361356"/>
      <w:bookmarkStart w:id="239" w:name="_Toc264361039"/>
      <w:bookmarkStart w:id="240" w:name="_Toc264361359"/>
      <w:bookmarkStart w:id="241" w:name="_Toc264361041"/>
      <w:bookmarkStart w:id="242" w:name="_Toc264361361"/>
      <w:bookmarkStart w:id="243" w:name="_Toc264361042"/>
      <w:bookmarkStart w:id="244" w:name="_Toc264361362"/>
      <w:bookmarkStart w:id="245" w:name="_Toc264361043"/>
      <w:bookmarkStart w:id="246" w:name="_Toc264361363"/>
      <w:bookmarkStart w:id="247" w:name="_Toc264361044"/>
      <w:bookmarkStart w:id="248" w:name="_Toc264361364"/>
      <w:bookmarkStart w:id="249" w:name="_Toc264361045"/>
      <w:bookmarkStart w:id="250" w:name="_Toc264361365"/>
      <w:bookmarkStart w:id="251" w:name="_Toc264361046"/>
      <w:bookmarkStart w:id="252" w:name="_Toc264361366"/>
      <w:bookmarkStart w:id="253" w:name="_Toc264361047"/>
      <w:bookmarkStart w:id="254" w:name="_Toc264361367"/>
      <w:bookmarkStart w:id="255" w:name="_Toc264361048"/>
      <w:bookmarkStart w:id="256" w:name="_Toc264361368"/>
      <w:bookmarkStart w:id="257" w:name="_Toc264361049"/>
      <w:bookmarkStart w:id="258" w:name="_Toc264361369"/>
      <w:bookmarkStart w:id="259" w:name="_Toc264361050"/>
      <w:bookmarkStart w:id="260" w:name="_Toc264361370"/>
      <w:bookmarkStart w:id="261" w:name="_Toc264361051"/>
      <w:bookmarkStart w:id="262" w:name="_Toc264361371"/>
      <w:bookmarkStart w:id="263" w:name="_Toc264361052"/>
      <w:bookmarkStart w:id="264" w:name="_Toc264361372"/>
      <w:bookmarkStart w:id="265" w:name="_Toc264361053"/>
      <w:bookmarkStart w:id="266" w:name="_Toc264361373"/>
      <w:bookmarkStart w:id="267" w:name="_Toc264361054"/>
      <w:bookmarkStart w:id="268" w:name="_Toc264361374"/>
      <w:bookmarkStart w:id="269" w:name="_Toc264361055"/>
      <w:bookmarkStart w:id="270" w:name="_Toc264361375"/>
      <w:bookmarkStart w:id="271" w:name="_Toc264361058"/>
      <w:bookmarkStart w:id="272" w:name="_Toc264361378"/>
      <w:bookmarkStart w:id="273" w:name="_Toc264361059"/>
      <w:bookmarkStart w:id="274" w:name="_Toc264361379"/>
      <w:bookmarkStart w:id="275" w:name="_Toc264361062"/>
      <w:bookmarkStart w:id="276" w:name="_Toc264361382"/>
      <w:bookmarkStart w:id="277" w:name="_Toc264361064"/>
      <w:bookmarkStart w:id="278" w:name="_Toc264361384"/>
      <w:bookmarkStart w:id="279" w:name="_Toc264361065"/>
      <w:bookmarkStart w:id="280" w:name="_Toc264361385"/>
      <w:bookmarkStart w:id="281" w:name="_Toc264361071"/>
      <w:bookmarkStart w:id="282" w:name="_Toc264361391"/>
      <w:bookmarkStart w:id="283" w:name="_Toc264361072"/>
      <w:bookmarkStart w:id="284" w:name="_Toc264361392"/>
      <w:bookmarkStart w:id="285" w:name="_Toc264361073"/>
      <w:bookmarkStart w:id="286" w:name="_Toc264361393"/>
      <w:bookmarkStart w:id="287" w:name="_Toc264361074"/>
      <w:bookmarkStart w:id="288" w:name="_Toc264361394"/>
      <w:bookmarkStart w:id="289" w:name="_Toc264361075"/>
      <w:bookmarkStart w:id="290" w:name="_Toc264361395"/>
      <w:bookmarkStart w:id="291" w:name="_Toc264361077"/>
      <w:bookmarkStart w:id="292" w:name="_Toc264361397"/>
      <w:bookmarkStart w:id="293" w:name="_Toc264361078"/>
      <w:bookmarkStart w:id="294" w:name="_Toc264361398"/>
      <w:bookmarkStart w:id="295" w:name="_Toc264361080"/>
      <w:bookmarkStart w:id="296" w:name="_Toc264361400"/>
      <w:bookmarkStart w:id="297" w:name="_Toc264361091"/>
      <w:bookmarkStart w:id="298" w:name="_Toc264361411"/>
      <w:bookmarkStart w:id="299" w:name="_Toc264361095"/>
      <w:bookmarkStart w:id="300" w:name="_Toc264361415"/>
      <w:bookmarkStart w:id="301" w:name="_Toc264361097"/>
      <w:bookmarkStart w:id="302" w:name="_Toc264361417"/>
      <w:bookmarkStart w:id="303" w:name="_Toc264361099"/>
      <w:bookmarkStart w:id="304" w:name="_Toc264361419"/>
      <w:bookmarkStart w:id="305" w:name="_Toc264361101"/>
      <w:bookmarkStart w:id="306" w:name="_Toc264361421"/>
      <w:bookmarkStart w:id="307" w:name="_Toc264361103"/>
      <w:bookmarkStart w:id="308" w:name="_Toc264361423"/>
      <w:bookmarkStart w:id="309" w:name="_Toc264361105"/>
      <w:bookmarkStart w:id="310" w:name="_Toc264361425"/>
      <w:bookmarkStart w:id="311" w:name="_Toc264361111"/>
      <w:bookmarkStart w:id="312" w:name="_Toc264361431"/>
      <w:bookmarkStart w:id="313" w:name="_Toc264361113"/>
      <w:bookmarkStart w:id="314" w:name="_Toc264361433"/>
      <w:bookmarkStart w:id="315" w:name="_Toc264361114"/>
      <w:bookmarkStart w:id="316" w:name="_Toc264361434"/>
      <w:bookmarkStart w:id="317" w:name="_Toc264361116"/>
      <w:bookmarkStart w:id="318" w:name="_Toc264361436"/>
      <w:bookmarkStart w:id="319" w:name="_Toc264361117"/>
      <w:bookmarkStart w:id="320" w:name="_Toc264361437"/>
      <w:bookmarkStart w:id="321" w:name="_Toc264361118"/>
      <w:bookmarkStart w:id="322" w:name="_Toc264361438"/>
      <w:bookmarkStart w:id="323" w:name="_Toc264361119"/>
      <w:bookmarkStart w:id="324" w:name="_Toc264361439"/>
      <w:bookmarkStart w:id="325" w:name="_Toc264361120"/>
      <w:bookmarkStart w:id="326" w:name="_Toc264361440"/>
      <w:bookmarkStart w:id="327" w:name="_Toc264361122"/>
      <w:bookmarkStart w:id="328" w:name="_Toc264361442"/>
      <w:bookmarkStart w:id="329" w:name="_Toc264361123"/>
      <w:bookmarkStart w:id="330" w:name="_Toc264361443"/>
      <w:bookmarkStart w:id="331" w:name="_Toc264361124"/>
      <w:bookmarkStart w:id="332" w:name="_Toc264361444"/>
      <w:bookmarkStart w:id="333" w:name="_Toc264361125"/>
      <w:bookmarkStart w:id="334" w:name="_Toc264361445"/>
      <w:bookmarkStart w:id="335" w:name="_Toc264361128"/>
      <w:bookmarkStart w:id="336" w:name="_Toc264361448"/>
      <w:bookmarkStart w:id="337" w:name="_Toc264361129"/>
      <w:bookmarkStart w:id="338" w:name="_Toc264361449"/>
      <w:bookmarkStart w:id="339" w:name="_Toc264361130"/>
      <w:bookmarkStart w:id="340" w:name="_Toc264361450"/>
      <w:bookmarkStart w:id="341" w:name="_Toc264361131"/>
      <w:bookmarkStart w:id="342" w:name="_Toc264361451"/>
      <w:bookmarkStart w:id="343" w:name="_Toc264361132"/>
      <w:bookmarkStart w:id="344" w:name="_Toc264361452"/>
      <w:bookmarkStart w:id="345" w:name="_Toc264361133"/>
      <w:bookmarkStart w:id="346" w:name="_Toc264361453"/>
      <w:bookmarkStart w:id="347" w:name="_Toc264361134"/>
      <w:bookmarkStart w:id="348" w:name="_Toc264361454"/>
      <w:bookmarkStart w:id="349" w:name="_Toc264361135"/>
      <w:bookmarkStart w:id="350" w:name="_Toc264361455"/>
      <w:bookmarkStart w:id="351" w:name="_Toc264361136"/>
      <w:bookmarkStart w:id="352" w:name="_Toc264361456"/>
      <w:bookmarkStart w:id="353" w:name="_Toc264361137"/>
      <w:bookmarkStart w:id="354" w:name="_Toc264361457"/>
      <w:bookmarkStart w:id="355" w:name="_Toc264361138"/>
      <w:bookmarkStart w:id="356" w:name="_Toc264361458"/>
      <w:bookmarkStart w:id="357" w:name="_Toc264361139"/>
      <w:bookmarkStart w:id="358" w:name="_Toc264361459"/>
      <w:bookmarkStart w:id="359" w:name="_Toc264361140"/>
      <w:bookmarkStart w:id="360" w:name="_Toc264361460"/>
      <w:bookmarkStart w:id="361" w:name="_Toc264361141"/>
      <w:bookmarkStart w:id="362" w:name="_Toc264361461"/>
      <w:bookmarkStart w:id="363" w:name="_Toc264361143"/>
      <w:bookmarkStart w:id="364" w:name="_Toc264361463"/>
      <w:bookmarkStart w:id="365" w:name="_Toc264361144"/>
      <w:bookmarkStart w:id="366" w:name="_Toc264361464"/>
      <w:bookmarkStart w:id="367" w:name="_Toc264361146"/>
      <w:bookmarkStart w:id="368" w:name="_Toc264361466"/>
      <w:bookmarkStart w:id="369" w:name="_Toc264361147"/>
      <w:bookmarkStart w:id="370" w:name="_Toc264361467"/>
      <w:bookmarkStart w:id="371" w:name="_Toc264361149"/>
      <w:bookmarkStart w:id="372" w:name="_Toc264361469"/>
      <w:bookmarkStart w:id="373" w:name="_Toc264361150"/>
      <w:bookmarkStart w:id="374" w:name="_Toc264361470"/>
      <w:bookmarkStart w:id="375" w:name="_Toc264361151"/>
      <w:bookmarkStart w:id="376" w:name="_Toc264361471"/>
      <w:bookmarkStart w:id="377" w:name="_Toc264361152"/>
      <w:bookmarkStart w:id="378" w:name="_Toc264361472"/>
      <w:bookmarkStart w:id="379" w:name="_Toc264361153"/>
      <w:bookmarkStart w:id="380" w:name="_Toc264361473"/>
      <w:bookmarkStart w:id="381" w:name="_Toc264361156"/>
      <w:bookmarkStart w:id="382" w:name="_Toc264361476"/>
      <w:bookmarkStart w:id="383" w:name="_Toc264361157"/>
      <w:bookmarkStart w:id="384" w:name="_Toc264361477"/>
      <w:bookmarkStart w:id="385" w:name="_Toc264361160"/>
      <w:bookmarkStart w:id="386" w:name="_Toc264361480"/>
      <w:bookmarkStart w:id="387" w:name="_Toc264361161"/>
      <w:bookmarkStart w:id="388" w:name="_Toc264361481"/>
      <w:bookmarkStart w:id="389" w:name="_Toc264361164"/>
      <w:bookmarkStart w:id="390" w:name="_Toc264361484"/>
      <w:bookmarkStart w:id="391" w:name="_Toc264361165"/>
      <w:bookmarkStart w:id="392" w:name="_Toc264361485"/>
      <w:bookmarkStart w:id="393" w:name="_Toc264361166"/>
      <w:bookmarkStart w:id="394" w:name="_Toc264361486"/>
      <w:bookmarkStart w:id="395" w:name="_Toc264361167"/>
      <w:bookmarkStart w:id="396" w:name="_Toc264361487"/>
      <w:bookmarkStart w:id="397" w:name="_Toc264361170"/>
      <w:bookmarkStart w:id="398" w:name="_Toc264361490"/>
      <w:bookmarkStart w:id="399" w:name="_Toc264361171"/>
      <w:bookmarkStart w:id="400" w:name="_Toc264361491"/>
      <w:bookmarkStart w:id="401" w:name="_Toc264361172"/>
      <w:bookmarkStart w:id="402" w:name="_Toc264361492"/>
      <w:bookmarkStart w:id="403" w:name="_Toc264361177"/>
      <w:bookmarkStart w:id="404" w:name="_Toc264361497"/>
      <w:bookmarkStart w:id="405" w:name="_Toc264361178"/>
      <w:bookmarkStart w:id="406" w:name="_Toc264361498"/>
      <w:bookmarkStart w:id="407" w:name="_Toc264361179"/>
      <w:bookmarkStart w:id="408" w:name="_Toc264361499"/>
      <w:bookmarkStart w:id="409" w:name="_Toc264361180"/>
      <w:bookmarkStart w:id="410" w:name="_Toc264361500"/>
      <w:bookmarkStart w:id="411" w:name="_Toc264361181"/>
      <w:bookmarkStart w:id="412" w:name="_Toc264361501"/>
      <w:bookmarkStart w:id="413" w:name="_Toc264361182"/>
      <w:bookmarkStart w:id="414" w:name="_Toc264361502"/>
      <w:bookmarkStart w:id="415" w:name="_Toc264361184"/>
      <w:bookmarkStart w:id="416" w:name="_Toc264361504"/>
      <w:bookmarkStart w:id="417" w:name="_Toc264361186"/>
      <w:bookmarkStart w:id="418" w:name="_Toc264361506"/>
      <w:bookmarkStart w:id="419" w:name="_Toc264361188"/>
      <w:bookmarkStart w:id="420" w:name="_Toc264361508"/>
      <w:bookmarkStart w:id="421" w:name="_Toc260821098"/>
      <w:bookmarkStart w:id="422" w:name="_Toc262463271"/>
      <w:bookmarkStart w:id="423" w:name="_Toc264361190"/>
      <w:bookmarkStart w:id="424" w:name="_Toc264361510"/>
      <w:bookmarkStart w:id="425" w:name="_Toc264361191"/>
      <w:bookmarkStart w:id="426" w:name="_Toc264361511"/>
      <w:bookmarkStart w:id="427" w:name="_Toc264361192"/>
      <w:bookmarkStart w:id="428" w:name="_Toc264361512"/>
      <w:bookmarkStart w:id="429" w:name="_Toc264361193"/>
      <w:bookmarkStart w:id="430" w:name="_Toc264361513"/>
      <w:bookmarkStart w:id="431" w:name="_Toc264361200"/>
      <w:bookmarkStart w:id="432" w:name="_Toc264361520"/>
      <w:bookmarkEnd w:id="110"/>
      <w:bookmarkEnd w:id="11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sectPr w:rsidR="00041184" w:rsidRPr="008874EF" w:rsidSect="005C1A8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67" w:rsidRDefault="00321067">
      <w:pPr>
        <w:spacing w:line="20" w:lineRule="exact"/>
      </w:pPr>
    </w:p>
  </w:endnote>
  <w:endnote w:type="continuationSeparator" w:id="0">
    <w:p w:rsidR="00321067" w:rsidRDefault="00321067">
      <w:r>
        <w:t xml:space="preserve"> </w:t>
      </w:r>
    </w:p>
  </w:endnote>
  <w:endnote w:type="continuationNotice" w:id="1">
    <w:p w:rsidR="00321067" w:rsidRDefault="003210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9C" w:rsidRDefault="009D6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C6" w:rsidRDefault="00A62F0A">
    <w:pPr>
      <w:pStyle w:val="Footer"/>
      <w:framePr w:wrap="around" w:vAnchor="text" w:hAnchor="margin" w:xAlign="center" w:y="1"/>
    </w:pPr>
    <w:r>
      <w:fldChar w:fldCharType="begin"/>
    </w:r>
    <w:r w:rsidR="00D957C6">
      <w:instrText xml:space="preserve">PAGE  </w:instrText>
    </w:r>
    <w:r>
      <w:fldChar w:fldCharType="separate"/>
    </w:r>
    <w:r w:rsidR="00A234D4">
      <w:rPr>
        <w:noProof/>
      </w:rPr>
      <w:t>1</w:t>
    </w:r>
    <w:r>
      <w:fldChar w:fldCharType="end"/>
    </w:r>
  </w:p>
  <w:p w:rsidR="00D957C6" w:rsidRDefault="00D957C6">
    <w:pPr>
      <w:spacing w:before="140" w:line="100" w:lineRule="exact"/>
      <w:rPr>
        <w:sz w:val="10"/>
      </w:rPr>
    </w:pPr>
  </w:p>
  <w:p w:rsidR="00D957C6" w:rsidRDefault="00D957C6">
    <w:pPr>
      <w:suppressAutoHyphens/>
      <w:spacing w:line="227" w:lineRule="auto"/>
    </w:pPr>
  </w:p>
  <w:p w:rsidR="00D957C6" w:rsidRDefault="00D95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C6" w:rsidRDefault="00D957C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67" w:rsidRDefault="00321067">
      <w:r>
        <w:separator/>
      </w:r>
    </w:p>
  </w:footnote>
  <w:footnote w:type="continuationSeparator" w:id="0">
    <w:p w:rsidR="00321067" w:rsidRDefault="00321067" w:rsidP="008F691E">
      <w:pPr>
        <w:spacing w:before="120" w:after="120"/>
        <w:rPr>
          <w:sz w:val="20"/>
        </w:rPr>
      </w:pPr>
      <w:r>
        <w:rPr>
          <w:sz w:val="20"/>
        </w:rPr>
        <w:t xml:space="preserve">(Continued from previous page)  </w:t>
      </w:r>
      <w:r>
        <w:rPr>
          <w:sz w:val="20"/>
        </w:rPr>
        <w:separator/>
      </w:r>
    </w:p>
  </w:footnote>
  <w:footnote w:type="continuationNotice" w:id="1">
    <w:p w:rsidR="00321067" w:rsidRDefault="00321067">
      <w:pPr>
        <w:rPr>
          <w:sz w:val="20"/>
        </w:rPr>
      </w:pPr>
      <w:r>
        <w:rPr>
          <w:sz w:val="20"/>
        </w:rPr>
        <w:t>(continued….)</w:t>
      </w:r>
    </w:p>
  </w:footnote>
  <w:footnote w:id="2">
    <w:p w:rsidR="00807BCD" w:rsidRPr="00807BCD" w:rsidRDefault="00807BCD">
      <w:pPr>
        <w:pStyle w:val="FootnoteText"/>
      </w:pPr>
      <w:r>
        <w:rPr>
          <w:rStyle w:val="FootnoteReference"/>
        </w:rPr>
        <w:footnoteRef/>
      </w:r>
      <w:r>
        <w:t xml:space="preserve"> </w:t>
      </w:r>
      <w:r>
        <w:rPr>
          <w:i/>
        </w:rPr>
        <w:t>See</w:t>
      </w:r>
      <w:r>
        <w:t xml:space="preserve"> </w:t>
      </w:r>
      <w:r w:rsidRPr="00807BCD">
        <w:t>47 C.F.R. § 17.4 (c).</w:t>
      </w:r>
    </w:p>
  </w:footnote>
  <w:footnote w:id="3">
    <w:p w:rsidR="0063195D" w:rsidRPr="00BD5871" w:rsidRDefault="0063195D" w:rsidP="0063195D">
      <w:pPr>
        <w:pStyle w:val="FootnoteText"/>
        <w:rPr>
          <w:b/>
        </w:rPr>
      </w:pPr>
      <w:r>
        <w:rPr>
          <w:rStyle w:val="FootnoteReference"/>
        </w:rPr>
        <w:footnoteRef/>
      </w:r>
      <w:r>
        <w:t xml:space="preserve"> </w:t>
      </w:r>
      <w:r>
        <w:rPr>
          <w:i/>
        </w:rPr>
        <w:t>See</w:t>
      </w:r>
      <w:r>
        <w:t xml:space="preserve"> 47 C.F.R. § 17.7.</w:t>
      </w:r>
    </w:p>
  </w:footnote>
  <w:footnote w:id="4">
    <w:p w:rsidR="0063195D" w:rsidRPr="00ED708E" w:rsidRDefault="0063195D" w:rsidP="0063195D">
      <w:pPr>
        <w:pStyle w:val="FootnoteText"/>
      </w:pPr>
      <w:r w:rsidRPr="00ED708E">
        <w:rPr>
          <w:rStyle w:val="FootnoteReference"/>
        </w:rPr>
        <w:footnoteRef/>
      </w:r>
      <w:r w:rsidRPr="00ED708E">
        <w:t xml:space="preserve"> </w:t>
      </w:r>
      <w:r w:rsidRPr="00ED708E">
        <w:rPr>
          <w:i/>
        </w:rPr>
        <w:t>See</w:t>
      </w:r>
      <w:r w:rsidRPr="00ED708E">
        <w:t xml:space="preserve"> 47 U.S.C. § 303(q).</w:t>
      </w:r>
    </w:p>
  </w:footnote>
  <w:footnote w:id="5">
    <w:p w:rsidR="00D957C6" w:rsidRDefault="00D957C6" w:rsidP="00CC7E8B">
      <w:pPr>
        <w:pStyle w:val="FootnoteText"/>
      </w:pPr>
      <w:r>
        <w:rPr>
          <w:rStyle w:val="FootnoteReference"/>
        </w:rPr>
        <w:footnoteRef/>
      </w:r>
      <w:r>
        <w:t xml:space="preserve"> 42 U.S.C. </w:t>
      </w:r>
      <w:r w:rsidRPr="00FF1C62">
        <w:t>§</w:t>
      </w:r>
      <w:r>
        <w:t xml:space="preserve"> 4321 </w:t>
      </w:r>
      <w:r w:rsidRPr="00FF1C62">
        <w:rPr>
          <w:i/>
        </w:rPr>
        <w:t>et seq</w:t>
      </w:r>
      <w:r>
        <w:t>.</w:t>
      </w:r>
    </w:p>
  </w:footnote>
  <w:footnote w:id="6">
    <w:p w:rsidR="002C5414" w:rsidRDefault="002C5414">
      <w:pPr>
        <w:pStyle w:val="FootnoteText"/>
      </w:pPr>
      <w:r>
        <w:rPr>
          <w:rStyle w:val="FootnoteReference"/>
        </w:rPr>
        <w:footnoteRef/>
      </w:r>
      <w:r>
        <w:t xml:space="preserve"> </w:t>
      </w:r>
      <w:r w:rsidRPr="002C5414">
        <w:t xml:space="preserve">In the Matter of Streamlining the Commission’s Antenna Structure Clearance Procedure, </w:t>
      </w:r>
      <w:r w:rsidRPr="002C5414">
        <w:rPr>
          <w:i/>
        </w:rPr>
        <w:t xml:space="preserve">Report and Order, </w:t>
      </w:r>
      <w:r w:rsidRPr="002C5414">
        <w:t>11 FCC Rcd 4272, 4289</w:t>
      </w:r>
      <w:r w:rsidR="007A5EB4">
        <w:t>, para.</w:t>
      </w:r>
      <w:r w:rsidRPr="002C5414">
        <w:t xml:space="preserve"> 41 (1995) (finding that the registration of an antenna structure constitutes a major federal action subject to NEPA) (</w:t>
      </w:r>
      <w:r w:rsidRPr="002C5414">
        <w:rPr>
          <w:i/>
        </w:rPr>
        <w:t>Antenna Structure Clearance R&amp;O</w:t>
      </w:r>
      <w:r w:rsidRPr="002C5414">
        <w:t xml:space="preserve">). </w:t>
      </w:r>
      <w:r w:rsidRPr="002C5414">
        <w:rPr>
          <w:i/>
        </w:rPr>
        <w:t xml:space="preserve"> Accord</w:t>
      </w:r>
      <w:r w:rsidRPr="002C5414">
        <w:t>,</w:t>
      </w:r>
      <w:r w:rsidRPr="002C5414">
        <w:rPr>
          <w:i/>
        </w:rPr>
        <w:t xml:space="preserve"> </w:t>
      </w:r>
      <w:r w:rsidRPr="002C5414">
        <w:t>In the Matter of Nationwide Programmatic Agreement Regarding the Section 106 National Historic Preservation Act Review Process</w:t>
      </w:r>
      <w:r w:rsidRPr="002C5414">
        <w:rPr>
          <w:i/>
        </w:rPr>
        <w:t>, Report and Order</w:t>
      </w:r>
      <w:r w:rsidRPr="002C5414">
        <w:t>, 20 FCC Rcd 1073, 1084</w:t>
      </w:r>
      <w:r w:rsidR="007A5EB4">
        <w:t>, para.</w:t>
      </w:r>
      <w:r w:rsidRPr="002C5414">
        <w:t xml:space="preserve"> 27 (2004), </w:t>
      </w:r>
      <w:r w:rsidRPr="002C5414">
        <w:rPr>
          <w:i/>
        </w:rPr>
        <w:t xml:space="preserve">aff’d sub nom. CTIA-Wireless Ass’n v. FCC, </w:t>
      </w:r>
      <w:r w:rsidRPr="002C5414">
        <w:t>466 F.3d 105 (2006) (explaining that the Commission’s treatment of tower registrations as federal undertakings within the meaning of Section 106 of the National Historic Preservation Act, 16 U.S.C. § 470f,</w:t>
      </w:r>
      <w:r w:rsidRPr="002C5414">
        <w:rPr>
          <w:i/>
        </w:rPr>
        <w:t xml:space="preserve"> </w:t>
      </w:r>
      <w:r w:rsidRPr="002C5414">
        <w:t>is a permissible interpretation in light</w:t>
      </w:r>
      <w:r w:rsidR="00C45F6A">
        <w:t xml:space="preserve"> </w:t>
      </w:r>
      <w:r w:rsidRPr="002C5414">
        <w:t xml:space="preserve">of the preconstruction approval process that it has implemented to assure that communications towers are not a risk to air safety under Section 303(q) of the Communications Act).        </w:t>
      </w:r>
    </w:p>
  </w:footnote>
  <w:footnote w:id="7">
    <w:p w:rsidR="00DB4380" w:rsidRDefault="00DB4380">
      <w:pPr>
        <w:pStyle w:val="FootnoteText"/>
      </w:pPr>
      <w:r>
        <w:rPr>
          <w:rStyle w:val="FootnoteReference"/>
        </w:rPr>
        <w:footnoteRef/>
      </w:r>
      <w:r>
        <w:t xml:space="preserve"> </w:t>
      </w:r>
      <w:r w:rsidR="00FF1192" w:rsidRPr="00FF1192">
        <w:rPr>
          <w:i/>
        </w:rPr>
        <w:t>See</w:t>
      </w:r>
      <w:r w:rsidR="00FF1192">
        <w:t xml:space="preserve"> </w:t>
      </w:r>
      <w:r>
        <w:t xml:space="preserve">47 C.F.R. </w:t>
      </w:r>
      <w:r w:rsidRPr="00DB4380">
        <w:t>§</w:t>
      </w:r>
      <w:r>
        <w:t xml:space="preserve"> 1.1307</w:t>
      </w:r>
      <w:r w:rsidR="00FF1192">
        <w:t xml:space="preserve">(a), (b) (listing circumstances where an EA is required); </w:t>
      </w:r>
      <w:r w:rsidR="00FF1192" w:rsidRPr="00FF1192">
        <w:rPr>
          <w:i/>
        </w:rPr>
        <w:t>see also id</w:t>
      </w:r>
      <w:r w:rsidR="00FF1192">
        <w:t xml:space="preserve">. </w:t>
      </w:r>
      <w:r w:rsidR="00FF1192" w:rsidRPr="00FF1192">
        <w:t>§ 1.1307</w:t>
      </w:r>
      <w:r w:rsidR="00FF1192">
        <w:t>(d) Note (pending</w:t>
      </w:r>
      <w:r w:rsidR="007A5EB4">
        <w:t xml:space="preserve"> a final determination regarding</w:t>
      </w:r>
      <w:r w:rsidR="00FF1192">
        <w:t xml:space="preserve"> permanent measures to protect migratory birds, an EA will be required for new towers over 450 feet in height above ground level</w:t>
      </w:r>
      <w:r w:rsidR="007A5EB4">
        <w:t>,</w:t>
      </w:r>
      <w:r w:rsidR="00FF1192">
        <w:t xml:space="preserve"> modifications </w:t>
      </w:r>
      <w:r w:rsidR="00447EEC">
        <w:t xml:space="preserve">of </w:t>
      </w:r>
      <w:r w:rsidR="007A5EB4">
        <w:t>such</w:t>
      </w:r>
      <w:r w:rsidR="00447EEC">
        <w:t xml:space="preserve"> towers </w:t>
      </w:r>
      <w:r w:rsidR="00FF1192">
        <w:t>that involve a substantial increase in size</w:t>
      </w:r>
      <w:r w:rsidR="007A5EB4">
        <w:t>,</w:t>
      </w:r>
      <w:r w:rsidR="00FF1192">
        <w:t xml:space="preserve"> or change</w:t>
      </w:r>
      <w:r w:rsidR="007A5EB4">
        <w:t>s of lighting on such towers</w:t>
      </w:r>
      <w:r w:rsidR="00FF1192">
        <w:t xml:space="preserve"> to a</w:t>
      </w:r>
      <w:r w:rsidR="00EE2411">
        <w:t xml:space="preserve"> less preferred style)</w:t>
      </w:r>
      <w:r>
        <w:t>.</w:t>
      </w:r>
    </w:p>
  </w:footnote>
  <w:footnote w:id="8">
    <w:p w:rsidR="00DB4380" w:rsidRDefault="00DB4380">
      <w:pPr>
        <w:pStyle w:val="FootnoteText"/>
      </w:pPr>
      <w:r>
        <w:rPr>
          <w:rStyle w:val="FootnoteReference"/>
        </w:rPr>
        <w:footnoteRef/>
      </w:r>
      <w:r>
        <w:t xml:space="preserve"> </w:t>
      </w:r>
      <w:r w:rsidRPr="00DB4380">
        <w:t>47 C.F.R. §</w:t>
      </w:r>
      <w:r>
        <w:t xml:space="preserve"> 1.1306.</w:t>
      </w:r>
    </w:p>
  </w:footnote>
  <w:footnote w:id="9">
    <w:p w:rsidR="008D2ED3" w:rsidRDefault="008D2ED3">
      <w:pPr>
        <w:pStyle w:val="FootnoteText"/>
      </w:pPr>
      <w:r>
        <w:rPr>
          <w:rStyle w:val="FootnoteReference"/>
        </w:rPr>
        <w:footnoteRef/>
      </w:r>
      <w:r>
        <w:t xml:space="preserve"> </w:t>
      </w:r>
      <w:r w:rsidRPr="008D2ED3">
        <w:rPr>
          <w:i/>
        </w:rPr>
        <w:t>See</w:t>
      </w:r>
      <w:r w:rsidRPr="008D2ED3">
        <w:t xml:space="preserve"> </w:t>
      </w:r>
      <w:r w:rsidR="00662381">
        <w:t>47 C</w:t>
      </w:r>
      <w:r w:rsidRPr="008D2ED3">
        <w:t>.F.R. § 1.1307(c), (d).</w:t>
      </w:r>
    </w:p>
  </w:footnote>
  <w:footnote w:id="10">
    <w:p w:rsidR="006357E0" w:rsidRPr="00D3738F" w:rsidRDefault="006357E0" w:rsidP="006357E0">
      <w:pPr>
        <w:pStyle w:val="NumberedList"/>
        <w:numPr>
          <w:ilvl w:val="0"/>
          <w:numId w:val="0"/>
        </w:numPr>
        <w:spacing w:after="120"/>
        <w:rPr>
          <w:sz w:val="20"/>
        </w:rPr>
      </w:pPr>
      <w:r>
        <w:rPr>
          <w:rStyle w:val="FootnoteReference"/>
        </w:rPr>
        <w:footnoteRef/>
      </w:r>
      <w:r>
        <w:t xml:space="preserve"> </w:t>
      </w:r>
      <w:r>
        <w:rPr>
          <w:sz w:val="20"/>
        </w:rPr>
        <w:t xml:space="preserve">40 C.F.R. §§ 1500.1(b), 1500.2(d) (“Federal agencies shall to the fullest extent possible … encourage and facilitate public involvement in decisions which affect the quality of the human environment.”); </w:t>
      </w:r>
      <w:r>
        <w:rPr>
          <w:i/>
          <w:sz w:val="20"/>
        </w:rPr>
        <w:t xml:space="preserve">Robertson v. Methow Valley Citizens Council, </w:t>
      </w:r>
      <w:r w:rsidRPr="002223AE">
        <w:rPr>
          <w:sz w:val="20"/>
        </w:rPr>
        <w:t>490 U.S.</w:t>
      </w:r>
      <w:r w:rsidR="00FD4FC9">
        <w:rPr>
          <w:sz w:val="20"/>
        </w:rPr>
        <w:t xml:space="preserve"> 332,</w:t>
      </w:r>
      <w:r w:rsidRPr="002223AE">
        <w:rPr>
          <w:sz w:val="20"/>
        </w:rPr>
        <w:t xml:space="preserve"> </w:t>
      </w:r>
      <w:r>
        <w:rPr>
          <w:sz w:val="20"/>
        </w:rPr>
        <w:t>349</w:t>
      </w:r>
      <w:r w:rsidR="00FD4FC9">
        <w:rPr>
          <w:sz w:val="20"/>
        </w:rPr>
        <w:t xml:space="preserve"> (1989)</w:t>
      </w:r>
      <w:r>
        <w:rPr>
          <w:sz w:val="20"/>
        </w:rPr>
        <w:t xml:space="preserve"> (“The statutory requirement that a federal agency contemplating a major action prepare </w:t>
      </w:r>
      <w:r w:rsidR="007A5EB4">
        <w:rPr>
          <w:sz w:val="20"/>
        </w:rPr>
        <w:t>…</w:t>
      </w:r>
      <w:r>
        <w:rPr>
          <w:sz w:val="20"/>
        </w:rPr>
        <w:t xml:space="preserve"> an </w:t>
      </w:r>
      <w:r w:rsidR="007A5EB4">
        <w:rPr>
          <w:sz w:val="20"/>
        </w:rPr>
        <w:t>Environmental Impact Statement</w:t>
      </w:r>
      <w:r>
        <w:rPr>
          <w:sz w:val="20"/>
        </w:rPr>
        <w:t xml:space="preserve"> … guarantees that the relevant information will be made available to the larger audience that may also play a role in both the decisionmaking process and the implementation of that decision.”).  </w:t>
      </w:r>
    </w:p>
  </w:footnote>
  <w:footnote w:id="11">
    <w:p w:rsidR="00E51EB4" w:rsidRPr="00ED708E" w:rsidRDefault="00E51EB4" w:rsidP="00E51EB4">
      <w:pPr>
        <w:pStyle w:val="FootnoteText"/>
      </w:pPr>
      <w:r w:rsidRPr="00ED708E">
        <w:rPr>
          <w:rStyle w:val="FootnoteReference"/>
        </w:rPr>
        <w:footnoteRef/>
      </w:r>
      <w:r w:rsidRPr="00ED708E">
        <w:t xml:space="preserve"> </w:t>
      </w:r>
      <w:r w:rsidRPr="005C46EF">
        <w:rPr>
          <w:i/>
        </w:rPr>
        <w:t>See</w:t>
      </w:r>
      <w:r>
        <w:t xml:space="preserve"> </w:t>
      </w:r>
      <w:r w:rsidRPr="005C46EF">
        <w:t>In the Matter of National Environmental Policy Act Compliance for Proposed Tower Registrations, In the Matter</w:t>
      </w:r>
      <w:r>
        <w:t xml:space="preserve"> </w:t>
      </w:r>
      <w:r w:rsidRPr="005C46EF">
        <w:t xml:space="preserve">Effects of Communications Towers on Migratory Birds, WT Docket Nos. 08-61, 03-187, </w:t>
      </w:r>
      <w:r w:rsidRPr="006406FA">
        <w:rPr>
          <w:i/>
        </w:rPr>
        <w:t>Order on Remand</w:t>
      </w:r>
      <w:r w:rsidRPr="005C46EF">
        <w:t>, 26 FCC</w:t>
      </w:r>
      <w:r>
        <w:t xml:space="preserve"> </w:t>
      </w:r>
      <w:r w:rsidRPr="005C46EF">
        <w:t>Rcd 16700 (2011) (</w:t>
      </w:r>
      <w:r w:rsidRPr="006406FA">
        <w:rPr>
          <w:i/>
        </w:rPr>
        <w:t>Order on Remand</w:t>
      </w:r>
      <w:r>
        <w:t>); The Wireless Telecommunications Bureau Provides Guidance on the Implementation of the Environmental Notification Process for the Registration of Antenna Structures, Public Notice, 27 FCC Rcd 5081 (WTB 2012) (</w:t>
      </w:r>
      <w:r w:rsidRPr="004301FD">
        <w:rPr>
          <w:i/>
        </w:rPr>
        <w:t>ASR Guidance PN</w:t>
      </w:r>
      <w:r>
        <w:t xml:space="preserve">).  </w:t>
      </w:r>
      <w:r w:rsidRPr="00D515A0">
        <w:t xml:space="preserve">The Commission adopted its environmental notification process in response to the decision of the Court of Appeals for the District of Columbia Circuit in </w:t>
      </w:r>
      <w:r w:rsidRPr="00D515A0">
        <w:rPr>
          <w:i/>
        </w:rPr>
        <w:t>American Bird Conservancy v. FCC</w:t>
      </w:r>
      <w:r>
        <w:t xml:space="preserve">, which held </w:t>
      </w:r>
      <w:r w:rsidRPr="00D515A0">
        <w:t>that the Commission's previous antenna structure registration procedures</w:t>
      </w:r>
      <w:r>
        <w:t xml:space="preserve"> had</w:t>
      </w:r>
      <w:r w:rsidRPr="00D515A0">
        <w:t xml:space="preserve"> impermissibly failed to offer members of the public a meaningful opportunity to request an EA for proposed towers that the Commission considers categorically excluded from review under NEPA.</w:t>
      </w:r>
      <w:r>
        <w:t xml:space="preserve">  </w:t>
      </w:r>
      <w:r w:rsidRPr="00D515A0">
        <w:rPr>
          <w:i/>
        </w:rPr>
        <w:t>American Bird Conservancy v. FCC</w:t>
      </w:r>
      <w:r>
        <w:t>, 516 F.3d 1027, 1035 (D.C. Cir. 2008).</w:t>
      </w:r>
    </w:p>
  </w:footnote>
  <w:footnote w:id="12">
    <w:p w:rsidR="00D957C6" w:rsidRDefault="00D957C6" w:rsidP="00CC7E8B">
      <w:pPr>
        <w:pStyle w:val="FootnoteText"/>
      </w:pPr>
      <w:r>
        <w:rPr>
          <w:rStyle w:val="FootnoteReference"/>
        </w:rPr>
        <w:footnoteRef/>
      </w:r>
      <w:r>
        <w:t xml:space="preserve"> </w:t>
      </w:r>
      <w:r w:rsidR="00A24D7B">
        <w:rPr>
          <w:i/>
        </w:rPr>
        <w:t>Se</w:t>
      </w:r>
      <w:r w:rsidR="00A24D7B" w:rsidRPr="0012203A">
        <w:rPr>
          <w:i/>
        </w:rPr>
        <w:t xml:space="preserve">e </w:t>
      </w:r>
      <w:r w:rsidR="00A24D7B">
        <w:t>47 C.F.R. § 17.4(c)(1)(ii), referencin</w:t>
      </w:r>
      <w:r w:rsidR="00A24D7B" w:rsidRPr="00A24D7B">
        <w:t xml:space="preserve">g </w:t>
      </w:r>
      <w:r w:rsidRPr="00A24D7B">
        <w:t>Na</w:t>
      </w:r>
      <w:r w:rsidRPr="0012203A">
        <w:t>tionwide Agreement for the Collocation of Wireless Antennas, 47 C.F.R. Pt. 1, App. B, § I.C.</w:t>
      </w:r>
    </w:p>
  </w:footnote>
  <w:footnote w:id="13">
    <w:p w:rsidR="00D957C6" w:rsidRDefault="00D957C6" w:rsidP="00CC7E8B">
      <w:pPr>
        <w:pStyle w:val="FootnoteText"/>
      </w:pPr>
      <w:r>
        <w:rPr>
          <w:rStyle w:val="FootnoteReference"/>
        </w:rPr>
        <w:footnoteRef/>
      </w:r>
      <w:r>
        <w:t xml:space="preserve"> </w:t>
      </w:r>
      <w:r w:rsidR="008411E3">
        <w:t xml:space="preserve">For the order of preference of lighting styles, </w:t>
      </w:r>
      <w:r w:rsidR="008411E3" w:rsidRPr="008411E3">
        <w:rPr>
          <w:i/>
        </w:rPr>
        <w:t>s</w:t>
      </w:r>
      <w:r w:rsidRPr="002C38CC">
        <w:rPr>
          <w:i/>
        </w:rPr>
        <w:t>ee</w:t>
      </w:r>
      <w:r w:rsidR="00C0352D">
        <w:t xml:space="preserve"> 47 C.F.R. § 17.4(c)(1)(iii)</w:t>
      </w:r>
      <w:r w:rsidRPr="002C38CC">
        <w:t>.</w:t>
      </w:r>
    </w:p>
  </w:footnote>
  <w:footnote w:id="14">
    <w:p w:rsidR="00D957C6" w:rsidRPr="00C0352D" w:rsidRDefault="00D957C6" w:rsidP="00CC7E8B">
      <w:pPr>
        <w:pStyle w:val="FootnoteText"/>
      </w:pPr>
      <w:r>
        <w:rPr>
          <w:rStyle w:val="FootnoteReference"/>
        </w:rPr>
        <w:footnoteRef/>
      </w:r>
      <w:r>
        <w:t xml:space="preserve"> </w:t>
      </w:r>
      <w:r w:rsidR="00CA500E" w:rsidRPr="00CA500E">
        <w:rPr>
          <w:i/>
        </w:rPr>
        <w:t>See</w:t>
      </w:r>
      <w:r w:rsidR="00CA500E">
        <w:t xml:space="preserve"> 47 C.F.R. § 17.4(c)(3</w:t>
      </w:r>
      <w:r w:rsidR="00CA500E" w:rsidRPr="00CA500E">
        <w:t>)</w:t>
      </w:r>
      <w:r w:rsidR="00CA500E">
        <w:t>-(4)</w:t>
      </w:r>
      <w:r w:rsidR="00CA500E" w:rsidRPr="00CA500E">
        <w:t>.</w:t>
      </w:r>
      <w:r w:rsidR="00CA500E">
        <w:t xml:space="preserve">  </w:t>
      </w:r>
      <w:r w:rsidRPr="00186BEC">
        <w:t xml:space="preserve">Members of the public have an opportunity to file a request for further environmental review (Request) of the proposed tower during this 30-day period.  Oppositions </w:t>
      </w:r>
      <w:r>
        <w:t>are</w:t>
      </w:r>
      <w:r w:rsidRPr="00186BEC">
        <w:t xml:space="preserve"> due 10 calendar days after expiration of the time for filing Requests</w:t>
      </w:r>
      <w:r>
        <w:t>, and</w:t>
      </w:r>
      <w:r w:rsidRPr="00186BEC">
        <w:t xml:space="preserve"> Replies </w:t>
      </w:r>
      <w:r>
        <w:t>are</w:t>
      </w:r>
      <w:r w:rsidRPr="00186BEC">
        <w:t xml:space="preserve"> due 5 business days after expiration of th</w:t>
      </w:r>
      <w:r>
        <w:t>e time for filing oppositions.</w:t>
      </w:r>
      <w:r w:rsidR="00C0352D">
        <w:t xml:space="preserve">  </w:t>
      </w:r>
      <w:r w:rsidR="00C0352D">
        <w:rPr>
          <w:i/>
        </w:rPr>
        <w:t>See</w:t>
      </w:r>
      <w:r w:rsidR="00C0352D">
        <w:t xml:space="preserve"> 47 C.F.R. § 17.4(c)(5).</w:t>
      </w:r>
    </w:p>
  </w:footnote>
  <w:footnote w:id="15">
    <w:p w:rsidR="00721B81" w:rsidRDefault="00721B81" w:rsidP="00721B81">
      <w:pPr>
        <w:pStyle w:val="FootnoteText"/>
      </w:pPr>
      <w:r>
        <w:rPr>
          <w:rStyle w:val="FootnoteReference"/>
        </w:rPr>
        <w:footnoteRef/>
      </w:r>
      <w:r>
        <w:t xml:space="preserve"> </w:t>
      </w:r>
      <w:r w:rsidR="009767CC" w:rsidRPr="009767CC">
        <w:rPr>
          <w:i/>
        </w:rPr>
        <w:t>See</w:t>
      </w:r>
      <w:r w:rsidR="009767CC">
        <w:t xml:space="preserve"> </w:t>
      </w:r>
      <w:r w:rsidR="00CA500E" w:rsidRPr="00CA500E">
        <w:rPr>
          <w:i/>
        </w:rPr>
        <w:t>Order on Remand</w:t>
      </w:r>
      <w:r w:rsidR="00CA500E" w:rsidRPr="00CA500E">
        <w:t>, 26 FCC Rcd. at 16719-16722, paras. 50-55</w:t>
      </w:r>
      <w:r w:rsidR="00CA500E">
        <w:t xml:space="preserve">; </w:t>
      </w:r>
      <w:r>
        <w:t>47 C.F.R. § 17.4(c)(1).</w:t>
      </w:r>
    </w:p>
  </w:footnote>
  <w:footnote w:id="16">
    <w:p w:rsidR="00D957C6" w:rsidRPr="00C92A03" w:rsidRDefault="00D957C6" w:rsidP="00CC7E8B">
      <w:pPr>
        <w:pStyle w:val="FootnoteText"/>
      </w:pPr>
      <w:r>
        <w:rPr>
          <w:rStyle w:val="FootnoteReference"/>
        </w:rPr>
        <w:footnoteRef/>
      </w:r>
      <w:r>
        <w:t xml:space="preserve"> </w:t>
      </w:r>
      <w:r w:rsidRPr="00C92A03">
        <w:rPr>
          <w:i/>
        </w:rPr>
        <w:t>Order on Remand</w:t>
      </w:r>
      <w:r w:rsidRPr="00C92A03">
        <w:t xml:space="preserve">, 26 FCC </w:t>
      </w:r>
      <w:r w:rsidR="00D515A0">
        <w:t>Rcd.</w:t>
      </w:r>
      <w:r w:rsidRPr="00C92A03">
        <w:t xml:space="preserve"> </w:t>
      </w:r>
      <w:r w:rsidR="00D515A0">
        <w:t xml:space="preserve">at </w:t>
      </w:r>
      <w:r>
        <w:t xml:space="preserve">16717, n. 117.  There is also a limited exemption for antenna structures located on federal land for which the landholding agency has assumed responsibility for determining whether the facility will have a significant environmental impact.  </w:t>
      </w:r>
      <w:r>
        <w:rPr>
          <w:i/>
        </w:rPr>
        <w:t>Id.</w:t>
      </w:r>
      <w:r>
        <w:t xml:space="preserve"> at para 56.</w:t>
      </w:r>
    </w:p>
  </w:footnote>
  <w:footnote w:id="17">
    <w:p w:rsidR="003A5118" w:rsidRDefault="003A5118" w:rsidP="003A5118">
      <w:pPr>
        <w:pStyle w:val="FootnoteText"/>
      </w:pPr>
      <w:r>
        <w:rPr>
          <w:rStyle w:val="FootnoteReference"/>
        </w:rPr>
        <w:footnoteRef/>
      </w:r>
      <w:r>
        <w:t xml:space="preserve"> </w:t>
      </w:r>
      <w:r w:rsidRPr="005766C8">
        <w:t>47 C.F.R. § 1</w:t>
      </w:r>
      <w:r>
        <w:t>7</w:t>
      </w:r>
      <w:r w:rsidRPr="005766C8">
        <w:t>.</w:t>
      </w:r>
      <w:r>
        <w:t>4 (c)(3)-(4).</w:t>
      </w:r>
    </w:p>
  </w:footnote>
  <w:footnote w:id="18">
    <w:p w:rsidR="004704F9" w:rsidRDefault="004704F9">
      <w:pPr>
        <w:pStyle w:val="FootnoteText"/>
      </w:pPr>
      <w:r>
        <w:rPr>
          <w:rStyle w:val="FootnoteReference"/>
        </w:rPr>
        <w:footnoteRef/>
      </w:r>
      <w:r>
        <w:t xml:space="preserve"> CTIA Petition for Expedited Rulemaking, filed Dec. 21, 2012 (CTIA Petition).</w:t>
      </w:r>
    </w:p>
  </w:footnote>
  <w:footnote w:id="19">
    <w:p w:rsidR="00BA13B4" w:rsidRDefault="00BA13B4">
      <w:pPr>
        <w:pStyle w:val="FootnoteText"/>
      </w:pPr>
      <w:r>
        <w:rPr>
          <w:rStyle w:val="FootnoteReference"/>
        </w:rPr>
        <w:footnoteRef/>
      </w:r>
      <w:r>
        <w:t xml:space="preserve"> FAA Form 7460-1, Notice of Proposed Construction or Alteration, must be filed with the FAA prior to construction o</w:t>
      </w:r>
      <w:r w:rsidR="004704F9">
        <w:t>r</w:t>
      </w:r>
      <w:r>
        <w:t xml:space="preserve"> alteration of </w:t>
      </w:r>
      <w:r w:rsidR="004704F9">
        <w:t>any structure that is</w:t>
      </w:r>
      <w:r>
        <w:t xml:space="preserve"> over 200 feet in height</w:t>
      </w:r>
      <w:r w:rsidR="004704F9">
        <w:t xml:space="preserve"> above ground level</w:t>
      </w:r>
      <w:r>
        <w:t xml:space="preserve"> </w:t>
      </w:r>
      <w:r w:rsidR="004704F9">
        <w:t>(</w:t>
      </w:r>
      <w:r>
        <w:t>AGL</w:t>
      </w:r>
      <w:r w:rsidR="004704F9">
        <w:t>)</w:t>
      </w:r>
      <w:r w:rsidR="00BF1AE7">
        <w:t>;</w:t>
      </w:r>
      <w:r w:rsidR="00307847">
        <w:t xml:space="preserve"> that is within the glide slope of an airport runway (as defined in the FAA rules)</w:t>
      </w:r>
      <w:r w:rsidR="00BF1AE7">
        <w:t>;</w:t>
      </w:r>
      <w:r>
        <w:t xml:space="preserve"> or </w:t>
      </w:r>
      <w:r w:rsidR="004704F9">
        <w:t>that is on a listed type of airport or heliport</w:t>
      </w:r>
      <w:r>
        <w:t xml:space="preserve">.  </w:t>
      </w:r>
      <w:r w:rsidRPr="007A5EB4">
        <w:rPr>
          <w:i/>
        </w:rPr>
        <w:t>See</w:t>
      </w:r>
      <w:r>
        <w:t xml:space="preserve"> 14 C.F.R.</w:t>
      </w:r>
      <w:r w:rsidR="00B57661">
        <w:t xml:space="preserve"> </w:t>
      </w:r>
      <w:r w:rsidRPr="00807571">
        <w:t>§§</w:t>
      </w:r>
      <w:r>
        <w:t xml:space="preserve"> 77.9, 77.7(a).</w:t>
      </w:r>
      <w:r w:rsidR="00C9176C">
        <w:t xml:space="preserve">  </w:t>
      </w:r>
      <w:r w:rsidR="00B57661">
        <w:t xml:space="preserve">Towers that require the filing of Form 7460-1 are required to be registered with the Commission.  </w:t>
      </w:r>
      <w:r w:rsidR="00B57661">
        <w:rPr>
          <w:i/>
        </w:rPr>
        <w:t>See</w:t>
      </w:r>
      <w:r w:rsidR="00B57661">
        <w:t xml:space="preserve"> 47 C.F.R. § 17.4(a)</w:t>
      </w:r>
      <w:r w:rsidR="00C9176C">
        <w:t>.</w:t>
      </w:r>
      <w:r w:rsidR="00F14CE6">
        <w:t xml:space="preserve">  </w:t>
      </w:r>
      <w:r w:rsidR="00F14CE6" w:rsidRPr="00F14CE6">
        <w:t xml:space="preserve">Thus, for example, a temporary tower under 200 feet in height that is within 20,000 feet </w:t>
      </w:r>
      <w:r w:rsidR="008937EC">
        <w:t xml:space="preserve">(3.79 miles) </w:t>
      </w:r>
      <w:r w:rsidR="00F14CE6" w:rsidRPr="00F14CE6">
        <w:t xml:space="preserve">of an airport runway may need FAA notice, ASR registration, and public notice, depending on its specific height and location.  </w:t>
      </w:r>
      <w:r w:rsidR="00A62F0A" w:rsidRPr="002F481C">
        <w:rPr>
          <w:i/>
        </w:rPr>
        <w:t>See</w:t>
      </w:r>
      <w:r w:rsidR="00F14CE6" w:rsidRPr="00F14CE6">
        <w:t xml:space="preserve"> 14 C.F.R.</w:t>
      </w:r>
      <w:r w:rsidR="00F14CE6">
        <w:t xml:space="preserve"> 77.9.</w:t>
      </w:r>
    </w:p>
  </w:footnote>
  <w:footnote w:id="20">
    <w:p w:rsidR="00DE434A" w:rsidRDefault="00DE434A">
      <w:pPr>
        <w:pStyle w:val="FootnoteText"/>
      </w:pPr>
      <w:r>
        <w:rPr>
          <w:rStyle w:val="FootnoteReference"/>
        </w:rPr>
        <w:footnoteRef/>
      </w:r>
      <w:r>
        <w:t xml:space="preserve"> CTIA represents that the majority of Two Month Towers will be cells on light trucks (COLT</w:t>
      </w:r>
      <w:r w:rsidR="00B57661">
        <w:t>s</w:t>
      </w:r>
      <w:r>
        <w:t>) and cell</w:t>
      </w:r>
      <w:r w:rsidR="00B57661">
        <w:t>s</w:t>
      </w:r>
      <w:r>
        <w:t xml:space="preserve"> on wheels (COW</w:t>
      </w:r>
      <w:r w:rsidR="00B57661">
        <w:t>s</w:t>
      </w:r>
      <w:r>
        <w:t xml:space="preserve">). CTIA Petition at 4.  </w:t>
      </w:r>
    </w:p>
  </w:footnote>
  <w:footnote w:id="21">
    <w:p w:rsidR="00825539" w:rsidRDefault="00825539" w:rsidP="00825539">
      <w:pPr>
        <w:pStyle w:val="FootnoteText"/>
      </w:pPr>
      <w:r>
        <w:rPr>
          <w:rStyle w:val="FootnoteReference"/>
        </w:rPr>
        <w:footnoteRef/>
      </w:r>
      <w:r>
        <w:t xml:space="preserve"> </w:t>
      </w:r>
      <w:r w:rsidRPr="00334FD7">
        <w:t>47 C.F.R. §</w:t>
      </w:r>
      <w:r w:rsidRPr="00807571">
        <w:t xml:space="preserve">§ </w:t>
      </w:r>
      <w:r w:rsidRPr="00334FD7">
        <w:t>1.3</w:t>
      </w:r>
      <w:r>
        <w:t>,</w:t>
      </w:r>
      <w:r w:rsidRPr="00CF320C">
        <w:t xml:space="preserve"> </w:t>
      </w:r>
      <w:r>
        <w:t>1.925.</w:t>
      </w:r>
    </w:p>
  </w:footnote>
  <w:footnote w:id="22">
    <w:p w:rsidR="00825539" w:rsidRDefault="00825539" w:rsidP="00825539">
      <w:pPr>
        <w:pStyle w:val="FootnoteText"/>
      </w:pPr>
      <w:r>
        <w:rPr>
          <w:rStyle w:val="FootnoteReference"/>
        </w:rPr>
        <w:footnoteRef/>
      </w:r>
      <w:r>
        <w:t xml:space="preserve"> </w:t>
      </w:r>
      <w:r w:rsidR="004D30AD" w:rsidRPr="004D30AD">
        <w:t>CTIA Petition at 11-12.</w:t>
      </w:r>
      <w:r>
        <w:t xml:space="preserve">  </w:t>
      </w:r>
    </w:p>
  </w:footnote>
  <w:footnote w:id="23">
    <w:p w:rsidR="00064655" w:rsidRDefault="00064655" w:rsidP="00064655">
      <w:pPr>
        <w:pStyle w:val="FootnoteText"/>
      </w:pPr>
      <w:r>
        <w:rPr>
          <w:rStyle w:val="FootnoteReference"/>
        </w:rPr>
        <w:footnoteRef/>
      </w:r>
      <w:r>
        <w:t xml:space="preserve"> </w:t>
      </w:r>
      <w:r w:rsidR="00B57661">
        <w:rPr>
          <w:i/>
        </w:rPr>
        <w:t>Id.</w:t>
      </w:r>
      <w:r>
        <w:t xml:space="preserve"> at 4-7.</w:t>
      </w:r>
    </w:p>
  </w:footnote>
  <w:footnote w:id="24">
    <w:p w:rsidR="00A22B49" w:rsidRDefault="00A22B49">
      <w:pPr>
        <w:pStyle w:val="FootnoteText"/>
      </w:pPr>
      <w:r>
        <w:rPr>
          <w:rStyle w:val="FootnoteReference"/>
        </w:rPr>
        <w:footnoteRef/>
      </w:r>
      <w:r>
        <w:t xml:space="preserve"> </w:t>
      </w:r>
      <w:r w:rsidR="00B57661">
        <w:rPr>
          <w:i/>
        </w:rPr>
        <w:t>Id.</w:t>
      </w:r>
      <w:r>
        <w:t xml:space="preserve"> at 6-7.</w:t>
      </w:r>
    </w:p>
  </w:footnote>
  <w:footnote w:id="25">
    <w:p w:rsidR="005F61AF" w:rsidRDefault="005F61AF">
      <w:pPr>
        <w:pStyle w:val="FootnoteText"/>
      </w:pPr>
      <w:r>
        <w:rPr>
          <w:rStyle w:val="FootnoteReference"/>
        </w:rPr>
        <w:footnoteRef/>
      </w:r>
      <w:r>
        <w:t xml:space="preserve"> </w:t>
      </w:r>
      <w:r w:rsidR="00B57661">
        <w:rPr>
          <w:i/>
        </w:rPr>
        <w:t>Id.</w:t>
      </w:r>
      <w:r>
        <w:t xml:space="preserve"> at 5-6.</w:t>
      </w:r>
    </w:p>
  </w:footnote>
  <w:footnote w:id="26">
    <w:p w:rsidR="00064655" w:rsidRDefault="00064655" w:rsidP="00064655">
      <w:pPr>
        <w:pStyle w:val="FootnoteText"/>
      </w:pPr>
      <w:r>
        <w:rPr>
          <w:rStyle w:val="FootnoteReference"/>
        </w:rPr>
        <w:footnoteRef/>
      </w:r>
      <w:r>
        <w:t xml:space="preserve"> </w:t>
      </w:r>
      <w:r w:rsidR="00B57661">
        <w:rPr>
          <w:i/>
        </w:rPr>
        <w:t>Id.</w:t>
      </w:r>
      <w:r>
        <w:t xml:space="preserve"> at 7-11.</w:t>
      </w:r>
      <w:r w:rsidR="001D1D71">
        <w:t xml:space="preserve">  </w:t>
      </w:r>
      <w:r w:rsidR="00A43E8D">
        <w:t xml:space="preserve">  </w:t>
      </w:r>
    </w:p>
  </w:footnote>
  <w:footnote w:id="27">
    <w:p w:rsidR="00907ABD" w:rsidRDefault="00907ABD">
      <w:pPr>
        <w:pStyle w:val="FootnoteText"/>
      </w:pPr>
      <w:r>
        <w:rPr>
          <w:rStyle w:val="FootnoteReference"/>
        </w:rPr>
        <w:footnoteRef/>
      </w:r>
      <w:r>
        <w:t xml:space="preserve"> </w:t>
      </w:r>
      <w:r w:rsidRPr="00907ABD">
        <w:t xml:space="preserve">Wireless Telecommunications Bureau Seeks Comment on Petition of CTIA—The Wireless Association for Expedited Rulemaking and Blanket Waiver Regarding Public Notice Procedures for Temporary Towers, </w:t>
      </w:r>
      <w:r w:rsidR="00732642" w:rsidRPr="00732642">
        <w:rPr>
          <w:i/>
        </w:rPr>
        <w:t>Public Notice</w:t>
      </w:r>
      <w:r w:rsidR="00732642">
        <w:t xml:space="preserve">, RM-11688, </w:t>
      </w:r>
      <w:r w:rsidRPr="00907ABD">
        <w:t>DA 13-53 (WTB January 25, 2013).  Comments were due February 25, 2013.  Reply comments were due March 12, 2013.</w:t>
      </w:r>
    </w:p>
  </w:footnote>
  <w:footnote w:id="28">
    <w:p w:rsidR="00732642" w:rsidRPr="00732642" w:rsidRDefault="00732642">
      <w:pPr>
        <w:pStyle w:val="FootnoteText"/>
      </w:pPr>
      <w:r>
        <w:rPr>
          <w:rStyle w:val="FootnoteReference"/>
        </w:rPr>
        <w:footnoteRef/>
      </w:r>
      <w:r>
        <w:t xml:space="preserve"> NTCH also filed its comments in the Biennial Review docket.  </w:t>
      </w:r>
      <w:r>
        <w:rPr>
          <w:i/>
        </w:rPr>
        <w:t>See</w:t>
      </w:r>
      <w:r>
        <w:t xml:space="preserve"> Commission Seeks Public Comment in 2012 Biennial Review of Telecommunications Regulations, </w:t>
      </w:r>
      <w:r>
        <w:rPr>
          <w:i/>
        </w:rPr>
        <w:t>Public Notice</w:t>
      </w:r>
      <w:r>
        <w:t xml:space="preserve">, CG Docket No. 13-29, EB </w:t>
      </w:r>
      <w:r w:rsidRPr="00732642">
        <w:t>Docket No.</w:t>
      </w:r>
      <w:r>
        <w:t xml:space="preserve"> 13-35, IB </w:t>
      </w:r>
      <w:r w:rsidRPr="00732642">
        <w:t>Docket No.</w:t>
      </w:r>
      <w:r>
        <w:t xml:space="preserve"> 13-30, ET</w:t>
      </w:r>
      <w:r w:rsidRPr="00732642">
        <w:rPr>
          <w:snapToGrid w:val="0"/>
          <w:kern w:val="28"/>
          <w:sz w:val="22"/>
        </w:rPr>
        <w:t xml:space="preserve"> </w:t>
      </w:r>
      <w:r w:rsidRPr="00732642">
        <w:t xml:space="preserve">Docket No. </w:t>
      </w:r>
      <w:r>
        <w:t xml:space="preserve">13-36, PS </w:t>
      </w:r>
      <w:r w:rsidRPr="00732642">
        <w:t xml:space="preserve">Docket No. </w:t>
      </w:r>
      <w:r w:rsidR="0008422E">
        <w:t xml:space="preserve"> 13-31, WT </w:t>
      </w:r>
      <w:r w:rsidR="0008422E" w:rsidRPr="0008422E">
        <w:t>Docket No.</w:t>
      </w:r>
      <w:r w:rsidR="0008422E">
        <w:t xml:space="preserve"> 13-32, WC </w:t>
      </w:r>
      <w:r w:rsidR="0008422E" w:rsidRPr="0008422E">
        <w:t>Docket No.</w:t>
      </w:r>
      <w:r w:rsidR="0008422E">
        <w:t xml:space="preserve"> 13-33, FCC 13-17 (rel. February 5, 2013).</w:t>
      </w:r>
    </w:p>
  </w:footnote>
  <w:footnote w:id="29">
    <w:p w:rsidR="0008492A" w:rsidRPr="0008492A" w:rsidRDefault="0008492A">
      <w:pPr>
        <w:pStyle w:val="FootnoteText"/>
      </w:pPr>
      <w:r>
        <w:rPr>
          <w:rStyle w:val="FootnoteReference"/>
        </w:rPr>
        <w:footnoteRef/>
      </w:r>
      <w:r>
        <w:t xml:space="preserve"> </w:t>
      </w:r>
      <w:r>
        <w:rPr>
          <w:i/>
        </w:rPr>
        <w:t>See</w:t>
      </w:r>
      <w:r>
        <w:t xml:space="preserve"> para. 12, </w:t>
      </w:r>
      <w:r>
        <w:rPr>
          <w:i/>
        </w:rPr>
        <w:t>infra</w:t>
      </w:r>
      <w:r>
        <w:t>.</w:t>
      </w:r>
    </w:p>
  </w:footnote>
  <w:footnote w:id="30">
    <w:p w:rsidR="00873200" w:rsidRDefault="00873200" w:rsidP="00873200">
      <w:pPr>
        <w:pStyle w:val="FootnoteText"/>
      </w:pPr>
      <w:r>
        <w:rPr>
          <w:rStyle w:val="FootnoteReference"/>
        </w:rPr>
        <w:footnoteRef/>
      </w:r>
      <w:r>
        <w:t xml:space="preserve"> </w:t>
      </w:r>
      <w:r w:rsidRPr="000D69E5">
        <w:t>47 C.F.R. § 1.925(b)(3).</w:t>
      </w:r>
      <w:r>
        <w:t xml:space="preserve">  Section 1.3 of the rules also provides that the Commission may grant a rule waiver for good cause shown.  </w:t>
      </w:r>
      <w:r w:rsidRPr="000D69E5">
        <w:t>47 C.F.R. § 1.</w:t>
      </w:r>
      <w:r>
        <w:t>3.</w:t>
      </w:r>
    </w:p>
  </w:footnote>
  <w:footnote w:id="31">
    <w:p w:rsidR="00443CAE" w:rsidRPr="00110ED0" w:rsidRDefault="00443CAE" w:rsidP="00443CAE">
      <w:pPr>
        <w:pStyle w:val="FootnoteText"/>
      </w:pPr>
      <w:r>
        <w:rPr>
          <w:rStyle w:val="FootnoteReference"/>
        </w:rPr>
        <w:footnoteRef/>
      </w:r>
      <w:r>
        <w:t xml:space="preserve"> </w:t>
      </w:r>
      <w:r w:rsidRPr="00110ED0">
        <w:rPr>
          <w:i/>
        </w:rPr>
        <w:t>See</w:t>
      </w:r>
      <w:r>
        <w:rPr>
          <w:i/>
        </w:rPr>
        <w:t>, e.g</w:t>
      </w:r>
      <w:r w:rsidRPr="00BD5871">
        <w:t>.</w:t>
      </w:r>
      <w:r>
        <w:t>,</w:t>
      </w:r>
      <w:r w:rsidRPr="00BD5871">
        <w:t xml:space="preserve"> </w:t>
      </w:r>
      <w:r w:rsidRPr="00AA3173">
        <w:t>A</w:t>
      </w:r>
      <w:r w:rsidRPr="00110ED0">
        <w:t xml:space="preserve">mendment of Part 101 of the Commission's Rules to Accommodate 30 MHz Channels in the 6525-6875 MHz Band, </w:t>
      </w:r>
      <w:r>
        <w:t>Amendment of Part 101 of the Commission's Rules to Accommodate 30 MHz Channels in the 6525-6875 MHz Band,</w:t>
      </w:r>
      <w:r w:rsidRPr="0073245A">
        <w:rPr>
          <w:color w:val="000000"/>
          <w:sz w:val="24"/>
          <w:szCs w:val="24"/>
        </w:rPr>
        <w:t xml:space="preserve"> </w:t>
      </w:r>
      <w:r w:rsidRPr="00110ED0">
        <w:t>WT Docket No. 09-114</w:t>
      </w:r>
      <w:r>
        <w:t xml:space="preserve">, </w:t>
      </w:r>
      <w:r w:rsidRPr="00110ED0">
        <w:rPr>
          <w:i/>
        </w:rPr>
        <w:t>Notice of Proposed Rulemaking and Order</w:t>
      </w:r>
      <w:r>
        <w:t>, 24 FCC Rcd. 9620 (2009) (granting waiver pending outcome of rulemaking where doing so would provide significant public interest benefits, and where there was no opposition).</w:t>
      </w:r>
      <w:r w:rsidRPr="00110ED0">
        <w:rPr>
          <w:i/>
        </w:rPr>
        <w:t xml:space="preserve"> </w:t>
      </w:r>
    </w:p>
  </w:footnote>
  <w:footnote w:id="32">
    <w:p w:rsidR="00B57661" w:rsidRPr="00B57661" w:rsidRDefault="00B57661">
      <w:pPr>
        <w:pStyle w:val="FootnoteText"/>
      </w:pPr>
      <w:r>
        <w:rPr>
          <w:rStyle w:val="FootnoteReference"/>
        </w:rPr>
        <w:footnoteRef/>
      </w:r>
      <w:r>
        <w:t xml:space="preserve"> </w:t>
      </w:r>
      <w:r>
        <w:rPr>
          <w:i/>
        </w:rPr>
        <w:t xml:space="preserve">See </w:t>
      </w:r>
      <w:r>
        <w:t xml:space="preserve">Verizon Comments at 5 (asserting that Verizon has not received any opposition to its ASR applications for temporary towers since implementation of the notice requirements); </w:t>
      </w:r>
      <w:r>
        <w:rPr>
          <w:i/>
        </w:rPr>
        <w:t>see also</w:t>
      </w:r>
      <w:r>
        <w:t xml:space="preserve"> CTIA Reply Comments at 5; PCIA Reply Comments at 5.</w:t>
      </w:r>
    </w:p>
  </w:footnote>
  <w:footnote w:id="33">
    <w:p w:rsidR="00DD6CDB" w:rsidRDefault="00DD6CDB" w:rsidP="00DD6CDB">
      <w:pPr>
        <w:pStyle w:val="FootnoteText"/>
      </w:pPr>
      <w:r>
        <w:rPr>
          <w:rStyle w:val="FootnoteReference"/>
        </w:rPr>
        <w:footnoteRef/>
      </w:r>
      <w:r>
        <w:t xml:space="preserve"> </w:t>
      </w:r>
      <w:r w:rsidR="00B561DD" w:rsidRPr="00B561DD">
        <w:rPr>
          <w:i/>
        </w:rPr>
        <w:t>See</w:t>
      </w:r>
      <w:r w:rsidR="00B561DD" w:rsidRPr="00B561DD">
        <w:t xml:space="preserve"> </w:t>
      </w:r>
      <w:r w:rsidR="00EE2411" w:rsidRPr="00806B75">
        <w:t>Nationwide Programmatic Agreement for Review of Effects on Historic Properties for Certain Undertakings Approved by the Federal</w:t>
      </w:r>
      <w:r w:rsidR="00EE2411">
        <w:t xml:space="preserve"> Communications Commission (NPA),</w:t>
      </w:r>
      <w:r w:rsidR="00B561DD" w:rsidRPr="00B561DD">
        <w:t xml:space="preserve"> </w:t>
      </w:r>
      <w:r w:rsidR="0008492A">
        <w:t>47 C.F.R. Pt. 1, App.C,</w:t>
      </w:r>
      <w:r w:rsidR="0008492A" w:rsidRPr="00806B75">
        <w:t xml:space="preserve"> </w:t>
      </w:r>
      <w:r w:rsidR="00B561DD" w:rsidRPr="00B561DD">
        <w:t xml:space="preserve">§ </w:t>
      </w:r>
      <w:r>
        <w:t>III.</w:t>
      </w:r>
      <w:r w:rsidR="00F66BFB">
        <w:t xml:space="preserve">C (“the term ‘temporary’ means </w:t>
      </w:r>
      <w:r w:rsidR="00333717">
        <w:t>‘for no more than</w:t>
      </w:r>
      <w:r w:rsidR="00F40AB4">
        <w:t xml:space="preserve"> twenty-four months duration except in the case of those Facilities associated with national security’”).</w:t>
      </w:r>
      <w:r w:rsidR="00F66BFB">
        <w:t xml:space="preserve"> </w:t>
      </w:r>
      <w:r>
        <w:t xml:space="preserve"> </w:t>
      </w:r>
    </w:p>
  </w:footnote>
  <w:footnote w:id="34">
    <w:p w:rsidR="003C29BA" w:rsidRDefault="003C29BA">
      <w:pPr>
        <w:pStyle w:val="FootnoteText"/>
      </w:pPr>
      <w:r>
        <w:rPr>
          <w:rStyle w:val="FootnoteReference"/>
        </w:rPr>
        <w:footnoteRef/>
      </w:r>
      <w:r>
        <w:t xml:space="preserve"> </w:t>
      </w:r>
      <w:r w:rsidRPr="003C29BA">
        <w:t xml:space="preserve">NTCH asks us to </w:t>
      </w:r>
      <w:r w:rsidR="0010587F">
        <w:t>exempt from the notice process qualifying towers that will be in place for up</w:t>
      </w:r>
      <w:r w:rsidRPr="003C29BA">
        <w:t xml:space="preserve"> to three months instead of two.  NTCH Comments at 3</w:t>
      </w:r>
      <w:r w:rsidR="0010587F">
        <w:t xml:space="preserve">; </w:t>
      </w:r>
      <w:r w:rsidR="0010587F">
        <w:rPr>
          <w:i/>
        </w:rPr>
        <w:t>see also</w:t>
      </w:r>
      <w:r w:rsidR="0010587F">
        <w:t xml:space="preserve"> CTIA Reply Comments at 4 (supporting an exemption for Two Month Towers but not objecting to extending the exemption to include towers deployed for up to 90 days)</w:t>
      </w:r>
      <w:r w:rsidRPr="003C29BA">
        <w:t xml:space="preserve">.  We will consider this and all other comments in our rulemaking, but we limit the duration of these towers to two months for the purposes of this </w:t>
      </w:r>
      <w:r w:rsidR="00F1162F">
        <w:t xml:space="preserve">interim </w:t>
      </w:r>
      <w:r w:rsidRPr="003C29BA">
        <w:t>waiver.</w:t>
      </w:r>
    </w:p>
  </w:footnote>
  <w:footnote w:id="35">
    <w:p w:rsidR="007952B8" w:rsidRDefault="007952B8" w:rsidP="007A5EB4">
      <w:pPr>
        <w:widowControl/>
        <w:autoSpaceDE w:val="0"/>
        <w:autoSpaceDN w:val="0"/>
        <w:adjustRightInd w:val="0"/>
        <w:spacing w:after="120"/>
      </w:pPr>
      <w:r>
        <w:rPr>
          <w:rStyle w:val="FootnoteReference"/>
        </w:rPr>
        <w:footnoteRef/>
      </w:r>
      <w:r>
        <w:t xml:space="preserve"> </w:t>
      </w:r>
      <w:r w:rsidRPr="007A5EB4">
        <w:rPr>
          <w:sz w:val="20"/>
        </w:rPr>
        <w:t>Based on a review and analysis of available peer-reviewed literature, the Final Programmatic</w:t>
      </w:r>
      <w:r w:rsidR="0010587F">
        <w:rPr>
          <w:sz w:val="20"/>
        </w:rPr>
        <w:t xml:space="preserve"> Environmental</w:t>
      </w:r>
      <w:r w:rsidRPr="007A5EB4">
        <w:rPr>
          <w:sz w:val="20"/>
        </w:rPr>
        <w:t xml:space="preserve"> Assessment found that, all other factors being equal:  taller towers result in higher levels of avian mortality than shorter towers; towers with guy wires result in higher levels of avian mortality than towers without guy wires; and steady-burning lights result in higher levels of avian mortality than flashing lights.  </w:t>
      </w:r>
      <w:r w:rsidR="00B32163" w:rsidRPr="007A5EB4">
        <w:rPr>
          <w:i/>
          <w:sz w:val="20"/>
        </w:rPr>
        <w:t>See</w:t>
      </w:r>
      <w:r w:rsidR="00B32163" w:rsidRPr="007A5EB4">
        <w:rPr>
          <w:sz w:val="20"/>
        </w:rPr>
        <w:t xml:space="preserve"> </w:t>
      </w:r>
      <w:r w:rsidR="00B32163" w:rsidRPr="00B32163">
        <w:rPr>
          <w:sz w:val="20"/>
        </w:rPr>
        <w:t>Final Programmatic Environmental Assessment</w:t>
      </w:r>
      <w:r w:rsidR="00B32163" w:rsidRPr="007A5EB4">
        <w:rPr>
          <w:sz w:val="20"/>
        </w:rPr>
        <w:t xml:space="preserve"> for the Antenna Structure Registration Program, released March 13, 2012, at 7-1</w:t>
      </w:r>
      <w:r w:rsidR="0010587F">
        <w:rPr>
          <w:sz w:val="20"/>
        </w:rPr>
        <w:t xml:space="preserve">, </w:t>
      </w:r>
      <w:r w:rsidR="00B32163" w:rsidRPr="00B32163">
        <w:rPr>
          <w:sz w:val="20"/>
        </w:rPr>
        <w:t xml:space="preserve">available at: </w:t>
      </w:r>
      <w:hyperlink r:id="rId1" w:tooltip="http://www.fcc.gov/pea" w:history="1">
        <w:r w:rsidR="00B32163" w:rsidRPr="007A5EB4">
          <w:rPr>
            <w:rStyle w:val="Hyperlink"/>
            <w:sz w:val="20"/>
          </w:rPr>
          <w:t>http://www.fcc.gov/pea</w:t>
        </w:r>
      </w:hyperlink>
      <w:r w:rsidR="0010587F">
        <w:rPr>
          <w:sz w:val="20"/>
        </w:rPr>
        <w:t xml:space="preserve">; </w:t>
      </w:r>
      <w:r w:rsidR="0010587F">
        <w:rPr>
          <w:i/>
          <w:sz w:val="20"/>
        </w:rPr>
        <w:t>see also Order on Remand</w:t>
      </w:r>
      <w:r w:rsidR="0010587F">
        <w:rPr>
          <w:sz w:val="20"/>
        </w:rPr>
        <w:t xml:space="preserve">, 26 FCC Rcd at 16722, para. 54 (finding that absence of lighting is the most preferred lighting style); </w:t>
      </w:r>
      <w:r w:rsidR="0010587F">
        <w:rPr>
          <w:i/>
          <w:sz w:val="20"/>
        </w:rPr>
        <w:t>id.</w:t>
      </w:r>
      <w:r w:rsidR="0010587F">
        <w:rPr>
          <w:sz w:val="20"/>
        </w:rPr>
        <w:t xml:space="preserve"> at 16731-32, para. 80 (citing data indicating no evidence of large-scale bird mortality at towers less than approximately 450 feet in height)</w:t>
      </w:r>
      <w:r w:rsidR="00B32163" w:rsidRPr="007A5EB4">
        <w:rPr>
          <w:sz w:val="20"/>
        </w:rPr>
        <w:t>.</w:t>
      </w:r>
    </w:p>
  </w:footnote>
  <w:footnote w:id="36">
    <w:p w:rsidR="00FD7978" w:rsidRDefault="00FD7978" w:rsidP="00FD7978">
      <w:pPr>
        <w:pStyle w:val="FootnoteText"/>
      </w:pPr>
      <w:r>
        <w:rPr>
          <w:rStyle w:val="FootnoteReference"/>
        </w:rPr>
        <w:footnoteRef/>
      </w:r>
      <w:r>
        <w:t xml:space="preserve"> </w:t>
      </w:r>
      <w:r w:rsidRPr="00850050">
        <w:rPr>
          <w:i/>
        </w:rPr>
        <w:t>See</w:t>
      </w:r>
      <w:r w:rsidRPr="00850050">
        <w:t xml:space="preserve"> </w:t>
      </w:r>
      <w:r>
        <w:t>NPA, 47 C.F.R. Pt. 1, App.C,</w:t>
      </w:r>
      <w:r w:rsidRPr="00806B75">
        <w:t xml:space="preserve"> </w:t>
      </w:r>
      <w:r w:rsidRPr="00850050">
        <w:t>§§</w:t>
      </w:r>
      <w:r>
        <w:t xml:space="preserve"> III.C.,</w:t>
      </w:r>
      <w:r w:rsidRPr="00850050">
        <w:t xml:space="preserve"> VI.D.2.c.i.</w:t>
      </w:r>
    </w:p>
  </w:footnote>
  <w:footnote w:id="37">
    <w:p w:rsidR="00FD7978" w:rsidRDefault="00FD7978" w:rsidP="00FD7978">
      <w:pPr>
        <w:pStyle w:val="FootnoteText"/>
      </w:pPr>
      <w:r>
        <w:rPr>
          <w:rStyle w:val="FootnoteReference"/>
        </w:rPr>
        <w:footnoteRef/>
      </w:r>
      <w:r>
        <w:t xml:space="preserve"> </w:t>
      </w:r>
      <w:r w:rsidRPr="008C1A68">
        <w:t xml:space="preserve">Nationwide Programmatic Agreement Regarding the Section 106 National Historic Preservation Review Process, WT Docket No. 03-128, </w:t>
      </w:r>
      <w:r w:rsidRPr="008C1A68">
        <w:rPr>
          <w:i/>
        </w:rPr>
        <w:t>Report and Order</w:t>
      </w:r>
      <w:r w:rsidRPr="008C1A68">
        <w:t>, 20 FCC Rcd. 1073, 1091</w:t>
      </w:r>
      <w:r>
        <w:t>,</w:t>
      </w:r>
      <w:r w:rsidRPr="008C1A68">
        <w:t xml:space="preserve"> para. 49 (2004), </w:t>
      </w:r>
      <w:r w:rsidRPr="008C1A68">
        <w:rPr>
          <w:i/>
        </w:rPr>
        <w:t>recon. denied</w:t>
      </w:r>
      <w:r w:rsidRPr="008C1A68">
        <w:t>, 24 FCC Rcd. 14841 (2009).</w:t>
      </w:r>
    </w:p>
  </w:footnote>
  <w:footnote w:id="38">
    <w:p w:rsidR="008C1A68" w:rsidRDefault="008C1A68">
      <w:pPr>
        <w:pStyle w:val="FootnoteText"/>
      </w:pPr>
      <w:r>
        <w:rPr>
          <w:rStyle w:val="FootnoteReference"/>
        </w:rPr>
        <w:footnoteRef/>
      </w:r>
      <w:r w:rsidR="00162756">
        <w:rPr>
          <w:i/>
        </w:rPr>
        <w:t xml:space="preserve">Id; see also </w:t>
      </w:r>
      <w:r w:rsidR="00162756">
        <w:t>PCIA Reply Comments at 3 (noting that temporary towers by their nature do not cause significant ground disturbance)</w:t>
      </w:r>
      <w:r w:rsidR="00B6287A">
        <w:t>.</w:t>
      </w:r>
      <w:r w:rsidR="0093047A">
        <w:t xml:space="preserve">  </w:t>
      </w:r>
    </w:p>
  </w:footnote>
  <w:footnote w:id="39">
    <w:p w:rsidR="003C594E" w:rsidRDefault="003C594E">
      <w:pPr>
        <w:pStyle w:val="FootnoteText"/>
      </w:pPr>
      <w:r>
        <w:rPr>
          <w:rStyle w:val="FootnoteReference"/>
        </w:rPr>
        <w:footnoteRef/>
      </w:r>
      <w:r>
        <w:t xml:space="preserve"> </w:t>
      </w:r>
      <w:r>
        <w:rPr>
          <w:i/>
        </w:rPr>
        <w:t xml:space="preserve">See </w:t>
      </w:r>
      <w:r>
        <w:t xml:space="preserve">CTIA Petition at 5-6; </w:t>
      </w:r>
      <w:r>
        <w:rPr>
          <w:color w:val="000000"/>
        </w:rPr>
        <w:t xml:space="preserve">AT&amp;T </w:t>
      </w:r>
      <w:r w:rsidRPr="009C7498">
        <w:rPr>
          <w:color w:val="000000"/>
        </w:rPr>
        <w:t>Comments at 5-6</w:t>
      </w:r>
      <w:r>
        <w:rPr>
          <w:color w:val="000000"/>
        </w:rPr>
        <w:t>; NTCH Comments at 1; PCIA Comments at 4; Verizon Wireless Comments at 3-4, 7-8; CTIA Reply Comments at 3.</w:t>
      </w:r>
    </w:p>
  </w:footnote>
  <w:footnote w:id="40">
    <w:p w:rsidR="008E5A08" w:rsidRDefault="008E5A08">
      <w:pPr>
        <w:pStyle w:val="FootnoteText"/>
      </w:pPr>
      <w:r>
        <w:rPr>
          <w:rStyle w:val="FootnoteReference"/>
        </w:rPr>
        <w:footnoteRef/>
      </w:r>
      <w:r>
        <w:t xml:space="preserve"> </w:t>
      </w:r>
      <w:r>
        <w:rPr>
          <w:i/>
        </w:rPr>
        <w:t>See ASR Guidance PN</w:t>
      </w:r>
      <w:r>
        <w:t>, 27 FCC Rcd. at 5082.</w:t>
      </w:r>
    </w:p>
  </w:footnote>
  <w:footnote w:id="41">
    <w:p w:rsidR="003C594E" w:rsidRDefault="003C594E">
      <w:pPr>
        <w:pStyle w:val="FootnoteText"/>
      </w:pPr>
      <w:r>
        <w:rPr>
          <w:rStyle w:val="FootnoteReference"/>
        </w:rPr>
        <w:footnoteRef/>
      </w:r>
      <w:r>
        <w:t xml:space="preserve"> </w:t>
      </w:r>
      <w:r w:rsidRPr="00BD5871">
        <w:rPr>
          <w:i/>
        </w:rPr>
        <w:t>See</w:t>
      </w:r>
      <w:r>
        <w:t xml:space="preserve"> </w:t>
      </w:r>
      <w:r>
        <w:rPr>
          <w:color w:val="000000"/>
        </w:rPr>
        <w:t xml:space="preserve">AT&amp;T </w:t>
      </w:r>
      <w:r w:rsidRPr="009C7498">
        <w:rPr>
          <w:color w:val="000000"/>
        </w:rPr>
        <w:t>Comments at 5</w:t>
      </w:r>
      <w:r>
        <w:rPr>
          <w:color w:val="000000"/>
        </w:rPr>
        <w:t>, 7-8</w:t>
      </w:r>
      <w:r w:rsidRPr="009C7498">
        <w:rPr>
          <w:color w:val="000000"/>
        </w:rPr>
        <w:t xml:space="preserve">.  </w:t>
      </w:r>
    </w:p>
  </w:footnote>
  <w:footnote w:id="42">
    <w:p w:rsidR="003C594E" w:rsidRDefault="003C594E">
      <w:pPr>
        <w:pStyle w:val="FootnoteText"/>
      </w:pPr>
      <w:r>
        <w:rPr>
          <w:rStyle w:val="FootnoteReference"/>
        </w:rPr>
        <w:footnoteRef/>
      </w:r>
      <w:r>
        <w:t xml:space="preserve"> </w:t>
      </w:r>
      <w:r w:rsidRPr="002166BA">
        <w:rPr>
          <w:i/>
        </w:rPr>
        <w:t>Order on Remand</w:t>
      </w:r>
      <w:r w:rsidRPr="002166BA">
        <w:t>, 26 FCC Rcd. at 16717, n.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9C" w:rsidRDefault="009D6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C6" w:rsidRPr="002F481C" w:rsidRDefault="00A62F0A" w:rsidP="00A8752C">
    <w:pPr>
      <w:pStyle w:val="Header"/>
      <w:rPr>
        <w:spacing w:val="-2"/>
        <w:u w:val="single"/>
      </w:rPr>
    </w:pPr>
    <w:r w:rsidRPr="002F481C">
      <w:rPr>
        <w:u w:val="single"/>
      </w:rPr>
      <w:tab/>
      <w:t>Federal Communications Commission</w:t>
    </w:r>
    <w:r w:rsidRPr="002F481C">
      <w:rPr>
        <w:u w:val="single"/>
      </w:rPr>
      <w:tab/>
      <w:t xml:space="preserve">FCC </w:t>
    </w:r>
    <w:r w:rsidRPr="002F481C">
      <w:rPr>
        <w:spacing w:val="-2"/>
        <w:u w:val="single"/>
      </w:rPr>
      <w:t>13-</w:t>
    </w:r>
    <w:r w:rsidR="00E97B83">
      <w:rPr>
        <w:spacing w:val="-2"/>
        <w:u w:val="single"/>
      </w:rPr>
      <w:t>72</w:t>
    </w:r>
  </w:p>
  <w:p w:rsidR="00BF1AE7" w:rsidRPr="002F481C" w:rsidRDefault="00BF1AE7" w:rsidP="00A8752C">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9C" w:rsidRDefault="009D6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979"/>
    <w:multiLevelType w:val="hybridMultilevel"/>
    <w:tmpl w:val="EEC6B8BE"/>
    <w:lvl w:ilvl="0" w:tplc="61045E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1F5985"/>
    <w:multiLevelType w:val="hybridMultilevel"/>
    <w:tmpl w:val="7F009FCE"/>
    <w:lvl w:ilvl="0" w:tplc="BA76E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D1BD0"/>
    <w:multiLevelType w:val="hybridMultilevel"/>
    <w:tmpl w:val="153046D0"/>
    <w:lvl w:ilvl="0" w:tplc="3166A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FA7EF9"/>
    <w:multiLevelType w:val="hybridMultilevel"/>
    <w:tmpl w:val="E43A0092"/>
    <w:lvl w:ilvl="0" w:tplc="D1DA3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D0E4E"/>
    <w:multiLevelType w:val="hybridMultilevel"/>
    <w:tmpl w:val="2B0E2E30"/>
    <w:lvl w:ilvl="0" w:tplc="6BA6557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E157F"/>
    <w:multiLevelType w:val="hybridMultilevel"/>
    <w:tmpl w:val="4A2E448C"/>
    <w:lvl w:ilvl="0" w:tplc="54C227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2A7722"/>
    <w:multiLevelType w:val="hybridMultilevel"/>
    <w:tmpl w:val="61DC999A"/>
    <w:lvl w:ilvl="0" w:tplc="854883B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F91A57"/>
    <w:multiLevelType w:val="hybridMultilevel"/>
    <w:tmpl w:val="994EE3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1033B"/>
    <w:multiLevelType w:val="hybridMultilevel"/>
    <w:tmpl w:val="5AC465F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F144679"/>
    <w:multiLevelType w:val="hybridMultilevel"/>
    <w:tmpl w:val="B9407C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2400D6D"/>
    <w:multiLevelType w:val="hybridMultilevel"/>
    <w:tmpl w:val="4924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83A5B"/>
    <w:multiLevelType w:val="hybridMultilevel"/>
    <w:tmpl w:val="C01EC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91E5A"/>
    <w:multiLevelType w:val="hybridMultilevel"/>
    <w:tmpl w:val="741602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D0F1B3D"/>
    <w:multiLevelType w:val="singleLevel"/>
    <w:tmpl w:val="4DCCE696"/>
    <w:lvl w:ilvl="0">
      <w:start w:val="1"/>
      <w:numFmt w:val="decimal"/>
      <w:pStyle w:val="ParaNumChar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3D651AD5"/>
    <w:multiLevelType w:val="hybridMultilevel"/>
    <w:tmpl w:val="4C247D22"/>
    <w:lvl w:ilvl="0" w:tplc="FD5AF2E4">
      <w:start w:val="1"/>
      <w:numFmt w:val="decimal"/>
      <w:pStyle w:val="p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B3E097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E81C42"/>
    <w:multiLevelType w:val="hybridMultilevel"/>
    <w:tmpl w:val="C2608C48"/>
    <w:lvl w:ilvl="0" w:tplc="2F588E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C10E66"/>
    <w:multiLevelType w:val="hybridMultilevel"/>
    <w:tmpl w:val="BBA684D8"/>
    <w:lvl w:ilvl="0" w:tplc="8E0006C2">
      <w:start w:val="18"/>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A45516"/>
    <w:multiLevelType w:val="hybridMultilevel"/>
    <w:tmpl w:val="CFA21322"/>
    <w:lvl w:ilvl="0" w:tplc="E14EEA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7E653E3"/>
    <w:multiLevelType w:val="hybridMultilevel"/>
    <w:tmpl w:val="D446F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C882185"/>
    <w:multiLevelType w:val="hybridMultilevel"/>
    <w:tmpl w:val="2F2AB5D0"/>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E03924"/>
    <w:multiLevelType w:val="hybridMultilevel"/>
    <w:tmpl w:val="D0F03784"/>
    <w:lvl w:ilvl="0" w:tplc="A44CA66A">
      <w:start w:val="18"/>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061B69"/>
    <w:multiLevelType w:val="hybridMultilevel"/>
    <w:tmpl w:val="10D29B0A"/>
    <w:lvl w:ilvl="0" w:tplc="614C2FD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9">
    <w:nsid w:val="62A65115"/>
    <w:multiLevelType w:val="hybridMultilevel"/>
    <w:tmpl w:val="BAA4CED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9191F9C"/>
    <w:multiLevelType w:val="hybridMultilevel"/>
    <w:tmpl w:val="CE004F46"/>
    <w:lvl w:ilvl="0" w:tplc="5BE4D66E">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C60C5D"/>
    <w:multiLevelType w:val="hybridMultilevel"/>
    <w:tmpl w:val="173464F8"/>
    <w:lvl w:ilvl="0" w:tplc="2FBCA10E">
      <w:start w:val="1"/>
      <w:numFmt w:val="decimal"/>
      <w:lvlText w:val="%1."/>
      <w:lvlJc w:val="left"/>
      <w:pPr>
        <w:tabs>
          <w:tab w:val="num" w:pos="1080"/>
        </w:tabs>
        <w:ind w:left="1080" w:hanging="360"/>
      </w:pPr>
      <w:rPr>
        <w:rFonts w:hint="default"/>
      </w:rPr>
    </w:lvl>
    <w:lvl w:ilvl="1" w:tplc="012C44FC">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C401702"/>
    <w:multiLevelType w:val="hybridMultilevel"/>
    <w:tmpl w:val="322647D4"/>
    <w:lvl w:ilvl="0" w:tplc="B7DE61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DD37C48"/>
    <w:multiLevelType w:val="hybridMultilevel"/>
    <w:tmpl w:val="56B6E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8C5266"/>
    <w:multiLevelType w:val="hybridMultilevel"/>
    <w:tmpl w:val="920ECD9C"/>
    <w:lvl w:ilvl="0" w:tplc="4A32D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5B2CA9"/>
    <w:multiLevelType w:val="hybridMultilevel"/>
    <w:tmpl w:val="70FE1D4E"/>
    <w:lvl w:ilvl="0" w:tplc="936625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8"/>
  </w:num>
  <w:num w:numId="3">
    <w:abstractNumId w:val="10"/>
  </w:num>
  <w:num w:numId="4">
    <w:abstractNumId w:val="17"/>
  </w:num>
  <w:num w:numId="5">
    <w:abstractNumId w:val="23"/>
  </w:num>
  <w:num w:numId="6">
    <w:abstractNumId w:val="18"/>
  </w:num>
  <w:num w:numId="7">
    <w:abstractNumId w:val="16"/>
  </w:num>
  <w:num w:numId="8">
    <w:abstractNumId w:val="5"/>
  </w:num>
  <w:num w:numId="9">
    <w:abstractNumId w:val="6"/>
  </w:num>
  <w:num w:numId="10">
    <w:abstractNumId w:val="27"/>
  </w:num>
  <w:num w:numId="11">
    <w:abstractNumId w:val="35"/>
  </w:num>
  <w:num w:numId="12">
    <w:abstractNumId w:val="31"/>
  </w:num>
  <w:num w:numId="13">
    <w:abstractNumId w:val="0"/>
  </w:num>
  <w:num w:numId="14">
    <w:abstractNumId w:val="32"/>
  </w:num>
  <w:num w:numId="15">
    <w:abstractNumId w:val="34"/>
  </w:num>
  <w:num w:numId="16">
    <w:abstractNumId w:val="21"/>
  </w:num>
  <w:num w:numId="17">
    <w:abstractNumId w:val="19"/>
  </w:num>
  <w:num w:numId="18">
    <w:abstractNumId w:val="13"/>
  </w:num>
  <w:num w:numId="19">
    <w:abstractNumId w:val="33"/>
  </w:num>
  <w:num w:numId="20">
    <w:abstractNumId w:val="2"/>
  </w:num>
  <w:num w:numId="21">
    <w:abstractNumId w:val="24"/>
  </w:num>
  <w:num w:numId="22">
    <w:abstractNumId w:val="14"/>
  </w:num>
  <w:num w:numId="23">
    <w:abstractNumId w:val="11"/>
  </w:num>
  <w:num w:numId="24">
    <w:abstractNumId w:val="15"/>
  </w:num>
  <w:num w:numId="25">
    <w:abstractNumId w:val="29"/>
  </w:num>
  <w:num w:numId="26">
    <w:abstractNumId w:val="12"/>
  </w:num>
  <w:num w:numId="27">
    <w:abstractNumId w:val="25"/>
  </w:num>
  <w:num w:numId="28">
    <w:abstractNumId w:val="22"/>
  </w:num>
  <w:num w:numId="29">
    <w:abstractNumId w:val="9"/>
  </w:num>
  <w:num w:numId="30">
    <w:abstractNumId w:val="3"/>
  </w:num>
  <w:num w:numId="31">
    <w:abstractNumId w:val="30"/>
  </w:num>
  <w:num w:numId="32">
    <w:abstractNumId w:val="28"/>
    <w:lvlOverride w:ilvl="0">
      <w:startOverride w:val="1"/>
    </w:lvlOverride>
  </w:num>
  <w:num w:numId="33">
    <w:abstractNumId w:val="28"/>
    <w:lvlOverride w:ilvl="0">
      <w:startOverride w:val="1"/>
    </w:lvlOverride>
  </w:num>
  <w:num w:numId="34">
    <w:abstractNumId w:val="28"/>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28"/>
    <w:lvlOverride w:ilvl="0">
      <w:startOverride w:val="1"/>
    </w:lvlOverride>
  </w:num>
  <w:num w:numId="39">
    <w:abstractNumId w:val="28"/>
  </w:num>
  <w:num w:numId="40">
    <w:abstractNumId w:val="28"/>
  </w:num>
  <w:num w:numId="41">
    <w:abstractNumId w:val="28"/>
  </w:num>
  <w:num w:numId="42">
    <w:abstractNumId w:val="28"/>
    <w:lvlOverride w:ilvl="0">
      <w:startOverride w:val="1"/>
    </w:lvlOverride>
  </w:num>
  <w:num w:numId="43">
    <w:abstractNumId w:val="28"/>
    <w:lvlOverride w:ilvl="0">
      <w:startOverride w:val="1"/>
    </w:lvlOverride>
  </w:num>
  <w:num w:numId="44">
    <w:abstractNumId w:val="1"/>
  </w:num>
  <w:num w:numId="45">
    <w:abstractNumId w:val="4"/>
  </w:num>
  <w:num w:numId="46">
    <w:abstractNumId w:val="28"/>
  </w:num>
  <w:num w:numId="47">
    <w:abstractNumId w:val="28"/>
  </w:num>
  <w:num w:numId="48">
    <w:abstractNumId w:val="10"/>
  </w:num>
  <w:num w:numId="49">
    <w:abstractNumId w:val="26"/>
  </w:num>
  <w:num w:numId="50">
    <w:abstractNumId w:val="20"/>
  </w:num>
  <w:num w:numId="51">
    <w:abstractNumId w:val="7"/>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07"/>
    <w:rsid w:val="00010051"/>
    <w:rsid w:val="00011A70"/>
    <w:rsid w:val="00014D21"/>
    <w:rsid w:val="000174EF"/>
    <w:rsid w:val="00023574"/>
    <w:rsid w:val="00024B4A"/>
    <w:rsid w:val="00031EC8"/>
    <w:rsid w:val="00041184"/>
    <w:rsid w:val="00045110"/>
    <w:rsid w:val="00046E3C"/>
    <w:rsid w:val="00047438"/>
    <w:rsid w:val="00050E83"/>
    <w:rsid w:val="00053739"/>
    <w:rsid w:val="00064655"/>
    <w:rsid w:val="000734C8"/>
    <w:rsid w:val="00077641"/>
    <w:rsid w:val="00082A15"/>
    <w:rsid w:val="00083CDB"/>
    <w:rsid w:val="0008422E"/>
    <w:rsid w:val="0008492A"/>
    <w:rsid w:val="000873D4"/>
    <w:rsid w:val="00093920"/>
    <w:rsid w:val="000A3D67"/>
    <w:rsid w:val="000A73D6"/>
    <w:rsid w:val="000B23A2"/>
    <w:rsid w:val="000B5B29"/>
    <w:rsid w:val="000C0BC5"/>
    <w:rsid w:val="000C51B4"/>
    <w:rsid w:val="000C6A71"/>
    <w:rsid w:val="000D45BE"/>
    <w:rsid w:val="000D55B2"/>
    <w:rsid w:val="000D69E5"/>
    <w:rsid w:val="000E249E"/>
    <w:rsid w:val="000F2DB5"/>
    <w:rsid w:val="000F5630"/>
    <w:rsid w:val="00103E28"/>
    <w:rsid w:val="0010587F"/>
    <w:rsid w:val="00110ED0"/>
    <w:rsid w:val="0011738F"/>
    <w:rsid w:val="0012203A"/>
    <w:rsid w:val="00122E2D"/>
    <w:rsid w:val="00124AC5"/>
    <w:rsid w:val="00135E94"/>
    <w:rsid w:val="00136E4D"/>
    <w:rsid w:val="0014037D"/>
    <w:rsid w:val="00143926"/>
    <w:rsid w:val="00144463"/>
    <w:rsid w:val="00150C0D"/>
    <w:rsid w:val="001514D0"/>
    <w:rsid w:val="0015202C"/>
    <w:rsid w:val="00161035"/>
    <w:rsid w:val="00162756"/>
    <w:rsid w:val="00186BEC"/>
    <w:rsid w:val="00187084"/>
    <w:rsid w:val="001B15B0"/>
    <w:rsid w:val="001B78E1"/>
    <w:rsid w:val="001C0AC7"/>
    <w:rsid w:val="001C21A4"/>
    <w:rsid w:val="001C30FD"/>
    <w:rsid w:val="001D1D71"/>
    <w:rsid w:val="001D2439"/>
    <w:rsid w:val="001D7D83"/>
    <w:rsid w:val="001E0753"/>
    <w:rsid w:val="001F4209"/>
    <w:rsid w:val="001F629C"/>
    <w:rsid w:val="001F6903"/>
    <w:rsid w:val="0020406B"/>
    <w:rsid w:val="0020428A"/>
    <w:rsid w:val="00211DE0"/>
    <w:rsid w:val="002166BA"/>
    <w:rsid w:val="0022150C"/>
    <w:rsid w:val="002241BB"/>
    <w:rsid w:val="00224672"/>
    <w:rsid w:val="002274A6"/>
    <w:rsid w:val="0023507B"/>
    <w:rsid w:val="00242531"/>
    <w:rsid w:val="00250072"/>
    <w:rsid w:val="00255203"/>
    <w:rsid w:val="00261E97"/>
    <w:rsid w:val="00270F20"/>
    <w:rsid w:val="00276CC9"/>
    <w:rsid w:val="00281ED2"/>
    <w:rsid w:val="002A1756"/>
    <w:rsid w:val="002A39D2"/>
    <w:rsid w:val="002B614F"/>
    <w:rsid w:val="002B638C"/>
    <w:rsid w:val="002C38CC"/>
    <w:rsid w:val="002C5414"/>
    <w:rsid w:val="002D0EC5"/>
    <w:rsid w:val="002D20D2"/>
    <w:rsid w:val="002D4013"/>
    <w:rsid w:val="002D4A6F"/>
    <w:rsid w:val="002F2C27"/>
    <w:rsid w:val="002F481C"/>
    <w:rsid w:val="002F7159"/>
    <w:rsid w:val="00307847"/>
    <w:rsid w:val="0031182D"/>
    <w:rsid w:val="00311943"/>
    <w:rsid w:val="00313C20"/>
    <w:rsid w:val="003140B3"/>
    <w:rsid w:val="00314999"/>
    <w:rsid w:val="003149D8"/>
    <w:rsid w:val="00321067"/>
    <w:rsid w:val="00321E90"/>
    <w:rsid w:val="00321E9A"/>
    <w:rsid w:val="00333717"/>
    <w:rsid w:val="00334FD7"/>
    <w:rsid w:val="00341203"/>
    <w:rsid w:val="00365BFA"/>
    <w:rsid w:val="00367453"/>
    <w:rsid w:val="00374985"/>
    <w:rsid w:val="003812DF"/>
    <w:rsid w:val="00384C1F"/>
    <w:rsid w:val="003924FA"/>
    <w:rsid w:val="00392F90"/>
    <w:rsid w:val="003A5118"/>
    <w:rsid w:val="003B2FE7"/>
    <w:rsid w:val="003C29BA"/>
    <w:rsid w:val="003C52AD"/>
    <w:rsid w:val="003C594E"/>
    <w:rsid w:val="003D2F9E"/>
    <w:rsid w:val="003E4CC9"/>
    <w:rsid w:val="003E5DBB"/>
    <w:rsid w:val="003F52AF"/>
    <w:rsid w:val="00412DCB"/>
    <w:rsid w:val="00424827"/>
    <w:rsid w:val="0043192B"/>
    <w:rsid w:val="00442A5C"/>
    <w:rsid w:val="00443CAE"/>
    <w:rsid w:val="00445120"/>
    <w:rsid w:val="00447CE7"/>
    <w:rsid w:val="00447EEC"/>
    <w:rsid w:val="0045630F"/>
    <w:rsid w:val="0046141F"/>
    <w:rsid w:val="004704F9"/>
    <w:rsid w:val="0048190C"/>
    <w:rsid w:val="00491BA2"/>
    <w:rsid w:val="004A5041"/>
    <w:rsid w:val="004D30AD"/>
    <w:rsid w:val="004F5F17"/>
    <w:rsid w:val="00507F9A"/>
    <w:rsid w:val="0052608E"/>
    <w:rsid w:val="00536006"/>
    <w:rsid w:val="0054555E"/>
    <w:rsid w:val="00545ADB"/>
    <w:rsid w:val="00556E43"/>
    <w:rsid w:val="00560497"/>
    <w:rsid w:val="00560962"/>
    <w:rsid w:val="00563A62"/>
    <w:rsid w:val="0056587F"/>
    <w:rsid w:val="005672C5"/>
    <w:rsid w:val="005766C8"/>
    <w:rsid w:val="00580FF6"/>
    <w:rsid w:val="005868E3"/>
    <w:rsid w:val="00595D7E"/>
    <w:rsid w:val="00596B5E"/>
    <w:rsid w:val="005A6CF4"/>
    <w:rsid w:val="005B64C0"/>
    <w:rsid w:val="005C1A8F"/>
    <w:rsid w:val="005C33DE"/>
    <w:rsid w:val="005C427F"/>
    <w:rsid w:val="005C7BD8"/>
    <w:rsid w:val="005D15B1"/>
    <w:rsid w:val="005D687A"/>
    <w:rsid w:val="005D7BF6"/>
    <w:rsid w:val="005E30D4"/>
    <w:rsid w:val="005E4775"/>
    <w:rsid w:val="005E4BD2"/>
    <w:rsid w:val="005E7F2B"/>
    <w:rsid w:val="005F61AF"/>
    <w:rsid w:val="005F6517"/>
    <w:rsid w:val="0060339F"/>
    <w:rsid w:val="006252A6"/>
    <w:rsid w:val="0062694B"/>
    <w:rsid w:val="0063195D"/>
    <w:rsid w:val="006357E0"/>
    <w:rsid w:val="00636CE8"/>
    <w:rsid w:val="006536EC"/>
    <w:rsid w:val="00653DB9"/>
    <w:rsid w:val="00653E58"/>
    <w:rsid w:val="00662381"/>
    <w:rsid w:val="0067271D"/>
    <w:rsid w:val="00677B54"/>
    <w:rsid w:val="0069128C"/>
    <w:rsid w:val="006930F0"/>
    <w:rsid w:val="00697E62"/>
    <w:rsid w:val="006A2C70"/>
    <w:rsid w:val="006A58CA"/>
    <w:rsid w:val="006B0CB4"/>
    <w:rsid w:val="006B292E"/>
    <w:rsid w:val="006C0AFB"/>
    <w:rsid w:val="006D7869"/>
    <w:rsid w:val="006F2F2D"/>
    <w:rsid w:val="00701364"/>
    <w:rsid w:val="00704478"/>
    <w:rsid w:val="00712BF7"/>
    <w:rsid w:val="00721B81"/>
    <w:rsid w:val="007306B2"/>
    <w:rsid w:val="0073245A"/>
    <w:rsid w:val="00732642"/>
    <w:rsid w:val="00734FF3"/>
    <w:rsid w:val="00744C3A"/>
    <w:rsid w:val="0078092E"/>
    <w:rsid w:val="00781513"/>
    <w:rsid w:val="0078153B"/>
    <w:rsid w:val="00784431"/>
    <w:rsid w:val="007852FB"/>
    <w:rsid w:val="00786E48"/>
    <w:rsid w:val="00792F35"/>
    <w:rsid w:val="007952B8"/>
    <w:rsid w:val="007A03F0"/>
    <w:rsid w:val="007A185E"/>
    <w:rsid w:val="007A5EB4"/>
    <w:rsid w:val="007B5ABD"/>
    <w:rsid w:val="007B6A94"/>
    <w:rsid w:val="007C64F6"/>
    <w:rsid w:val="007D3BE6"/>
    <w:rsid w:val="007E150F"/>
    <w:rsid w:val="007E4494"/>
    <w:rsid w:val="007E4869"/>
    <w:rsid w:val="007F27C7"/>
    <w:rsid w:val="007F4F35"/>
    <w:rsid w:val="00801E79"/>
    <w:rsid w:val="00802998"/>
    <w:rsid w:val="00803136"/>
    <w:rsid w:val="00806B75"/>
    <w:rsid w:val="00807571"/>
    <w:rsid w:val="00807BCD"/>
    <w:rsid w:val="00810E5D"/>
    <w:rsid w:val="0081269A"/>
    <w:rsid w:val="00820267"/>
    <w:rsid w:val="0082082E"/>
    <w:rsid w:val="00821A77"/>
    <w:rsid w:val="00825539"/>
    <w:rsid w:val="008411E3"/>
    <w:rsid w:val="00850050"/>
    <w:rsid w:val="00852059"/>
    <w:rsid w:val="00862AA3"/>
    <w:rsid w:val="00862FAB"/>
    <w:rsid w:val="00863793"/>
    <w:rsid w:val="008711A1"/>
    <w:rsid w:val="00873200"/>
    <w:rsid w:val="00873AED"/>
    <w:rsid w:val="00873E9F"/>
    <w:rsid w:val="0087620E"/>
    <w:rsid w:val="00876862"/>
    <w:rsid w:val="00882188"/>
    <w:rsid w:val="00884207"/>
    <w:rsid w:val="0088522A"/>
    <w:rsid w:val="008937EC"/>
    <w:rsid w:val="008A02EB"/>
    <w:rsid w:val="008A6205"/>
    <w:rsid w:val="008C1A68"/>
    <w:rsid w:val="008C1E78"/>
    <w:rsid w:val="008D2ED3"/>
    <w:rsid w:val="008E5A08"/>
    <w:rsid w:val="008E6868"/>
    <w:rsid w:val="008F691E"/>
    <w:rsid w:val="008F7E3A"/>
    <w:rsid w:val="00901C10"/>
    <w:rsid w:val="00905BD3"/>
    <w:rsid w:val="00907ABD"/>
    <w:rsid w:val="00922D47"/>
    <w:rsid w:val="0093047A"/>
    <w:rsid w:val="0093546B"/>
    <w:rsid w:val="009415AB"/>
    <w:rsid w:val="00942B80"/>
    <w:rsid w:val="00946419"/>
    <w:rsid w:val="00946B8B"/>
    <w:rsid w:val="00946E6E"/>
    <w:rsid w:val="00951707"/>
    <w:rsid w:val="00953506"/>
    <w:rsid w:val="00963ABD"/>
    <w:rsid w:val="00972498"/>
    <w:rsid w:val="009767CC"/>
    <w:rsid w:val="00992C00"/>
    <w:rsid w:val="009A63B9"/>
    <w:rsid w:val="009B077B"/>
    <w:rsid w:val="009B3BC5"/>
    <w:rsid w:val="009B7B3D"/>
    <w:rsid w:val="009C0707"/>
    <w:rsid w:val="009C41F7"/>
    <w:rsid w:val="009D679C"/>
    <w:rsid w:val="009D76D2"/>
    <w:rsid w:val="009E077C"/>
    <w:rsid w:val="009E682F"/>
    <w:rsid w:val="009E7D29"/>
    <w:rsid w:val="009F5E5F"/>
    <w:rsid w:val="00A07534"/>
    <w:rsid w:val="00A143AA"/>
    <w:rsid w:val="00A22B49"/>
    <w:rsid w:val="00A23332"/>
    <w:rsid w:val="00A234D4"/>
    <w:rsid w:val="00A24AC8"/>
    <w:rsid w:val="00A24D7B"/>
    <w:rsid w:val="00A303FE"/>
    <w:rsid w:val="00A3618F"/>
    <w:rsid w:val="00A42826"/>
    <w:rsid w:val="00A43E8D"/>
    <w:rsid w:val="00A62F0A"/>
    <w:rsid w:val="00A73A33"/>
    <w:rsid w:val="00A82C61"/>
    <w:rsid w:val="00A847D0"/>
    <w:rsid w:val="00A8752C"/>
    <w:rsid w:val="00AA3173"/>
    <w:rsid w:val="00AC17DC"/>
    <w:rsid w:val="00AC3C4A"/>
    <w:rsid w:val="00AD2E14"/>
    <w:rsid w:val="00AD6008"/>
    <w:rsid w:val="00AD7B95"/>
    <w:rsid w:val="00AE195C"/>
    <w:rsid w:val="00AF4B58"/>
    <w:rsid w:val="00AF7C52"/>
    <w:rsid w:val="00B01CAE"/>
    <w:rsid w:val="00B071BC"/>
    <w:rsid w:val="00B1236E"/>
    <w:rsid w:val="00B1703E"/>
    <w:rsid w:val="00B171DF"/>
    <w:rsid w:val="00B21EB7"/>
    <w:rsid w:val="00B30AF2"/>
    <w:rsid w:val="00B32163"/>
    <w:rsid w:val="00B32656"/>
    <w:rsid w:val="00B3481A"/>
    <w:rsid w:val="00B35731"/>
    <w:rsid w:val="00B41605"/>
    <w:rsid w:val="00B4667D"/>
    <w:rsid w:val="00B504D7"/>
    <w:rsid w:val="00B561DD"/>
    <w:rsid w:val="00B57661"/>
    <w:rsid w:val="00B6287A"/>
    <w:rsid w:val="00B6540F"/>
    <w:rsid w:val="00B701EA"/>
    <w:rsid w:val="00B7634F"/>
    <w:rsid w:val="00B764A2"/>
    <w:rsid w:val="00B83034"/>
    <w:rsid w:val="00B84D4A"/>
    <w:rsid w:val="00BA13B4"/>
    <w:rsid w:val="00BA1FE3"/>
    <w:rsid w:val="00BA49DE"/>
    <w:rsid w:val="00BA71E6"/>
    <w:rsid w:val="00BB0709"/>
    <w:rsid w:val="00BB451B"/>
    <w:rsid w:val="00BD06C9"/>
    <w:rsid w:val="00BD5871"/>
    <w:rsid w:val="00BE28A9"/>
    <w:rsid w:val="00BE2FFA"/>
    <w:rsid w:val="00BF1AE7"/>
    <w:rsid w:val="00BF1BF1"/>
    <w:rsid w:val="00BF1F45"/>
    <w:rsid w:val="00C032E9"/>
    <w:rsid w:val="00C0352D"/>
    <w:rsid w:val="00C050C1"/>
    <w:rsid w:val="00C05260"/>
    <w:rsid w:val="00C05E37"/>
    <w:rsid w:val="00C0675B"/>
    <w:rsid w:val="00C1574F"/>
    <w:rsid w:val="00C1654F"/>
    <w:rsid w:val="00C2548E"/>
    <w:rsid w:val="00C25A5B"/>
    <w:rsid w:val="00C27515"/>
    <w:rsid w:val="00C30405"/>
    <w:rsid w:val="00C31CA5"/>
    <w:rsid w:val="00C33573"/>
    <w:rsid w:val="00C41622"/>
    <w:rsid w:val="00C45F6A"/>
    <w:rsid w:val="00C61FD3"/>
    <w:rsid w:val="00C637F7"/>
    <w:rsid w:val="00C765FC"/>
    <w:rsid w:val="00C76E6A"/>
    <w:rsid w:val="00C826A1"/>
    <w:rsid w:val="00C905DB"/>
    <w:rsid w:val="00C9176C"/>
    <w:rsid w:val="00C92A03"/>
    <w:rsid w:val="00C9460E"/>
    <w:rsid w:val="00C96BAD"/>
    <w:rsid w:val="00CA500E"/>
    <w:rsid w:val="00CB099C"/>
    <w:rsid w:val="00CB2F14"/>
    <w:rsid w:val="00CC7E8B"/>
    <w:rsid w:val="00CD287F"/>
    <w:rsid w:val="00CE6100"/>
    <w:rsid w:val="00CE7E88"/>
    <w:rsid w:val="00CF0833"/>
    <w:rsid w:val="00CF1A06"/>
    <w:rsid w:val="00CF320C"/>
    <w:rsid w:val="00CF6290"/>
    <w:rsid w:val="00D013E4"/>
    <w:rsid w:val="00D11E7B"/>
    <w:rsid w:val="00D347EB"/>
    <w:rsid w:val="00D34F5D"/>
    <w:rsid w:val="00D354AE"/>
    <w:rsid w:val="00D37B7C"/>
    <w:rsid w:val="00D44938"/>
    <w:rsid w:val="00D515A0"/>
    <w:rsid w:val="00D60306"/>
    <w:rsid w:val="00D63831"/>
    <w:rsid w:val="00D85EE4"/>
    <w:rsid w:val="00D872C7"/>
    <w:rsid w:val="00D874A3"/>
    <w:rsid w:val="00D921A5"/>
    <w:rsid w:val="00D957C6"/>
    <w:rsid w:val="00D97873"/>
    <w:rsid w:val="00DB4380"/>
    <w:rsid w:val="00DC2005"/>
    <w:rsid w:val="00DC2427"/>
    <w:rsid w:val="00DC39FC"/>
    <w:rsid w:val="00DC7BD1"/>
    <w:rsid w:val="00DD0DD1"/>
    <w:rsid w:val="00DD67E0"/>
    <w:rsid w:val="00DD6CDB"/>
    <w:rsid w:val="00DE434A"/>
    <w:rsid w:val="00DE544E"/>
    <w:rsid w:val="00DF71C7"/>
    <w:rsid w:val="00E0617C"/>
    <w:rsid w:val="00E06F9C"/>
    <w:rsid w:val="00E11B80"/>
    <w:rsid w:val="00E158EF"/>
    <w:rsid w:val="00E21306"/>
    <w:rsid w:val="00E36F39"/>
    <w:rsid w:val="00E37410"/>
    <w:rsid w:val="00E46E05"/>
    <w:rsid w:val="00E5121D"/>
    <w:rsid w:val="00E51EB4"/>
    <w:rsid w:val="00E5572F"/>
    <w:rsid w:val="00E56904"/>
    <w:rsid w:val="00E57959"/>
    <w:rsid w:val="00E752C3"/>
    <w:rsid w:val="00E81506"/>
    <w:rsid w:val="00E84130"/>
    <w:rsid w:val="00E90FE8"/>
    <w:rsid w:val="00E95603"/>
    <w:rsid w:val="00E97B83"/>
    <w:rsid w:val="00EB1441"/>
    <w:rsid w:val="00EB5153"/>
    <w:rsid w:val="00EC1CF8"/>
    <w:rsid w:val="00EC5C88"/>
    <w:rsid w:val="00EC603B"/>
    <w:rsid w:val="00EE2411"/>
    <w:rsid w:val="00EE2C94"/>
    <w:rsid w:val="00EE5462"/>
    <w:rsid w:val="00EF5F06"/>
    <w:rsid w:val="00F00FD3"/>
    <w:rsid w:val="00F03AC5"/>
    <w:rsid w:val="00F049BC"/>
    <w:rsid w:val="00F071FF"/>
    <w:rsid w:val="00F1162F"/>
    <w:rsid w:val="00F119BE"/>
    <w:rsid w:val="00F14CE6"/>
    <w:rsid w:val="00F2178E"/>
    <w:rsid w:val="00F223C5"/>
    <w:rsid w:val="00F241A9"/>
    <w:rsid w:val="00F4061F"/>
    <w:rsid w:val="00F40A1A"/>
    <w:rsid w:val="00F40AB4"/>
    <w:rsid w:val="00F417E1"/>
    <w:rsid w:val="00F449FE"/>
    <w:rsid w:val="00F45441"/>
    <w:rsid w:val="00F60180"/>
    <w:rsid w:val="00F62456"/>
    <w:rsid w:val="00F66BFB"/>
    <w:rsid w:val="00F756E3"/>
    <w:rsid w:val="00F75A2F"/>
    <w:rsid w:val="00F80A29"/>
    <w:rsid w:val="00F81D15"/>
    <w:rsid w:val="00F823AE"/>
    <w:rsid w:val="00F84561"/>
    <w:rsid w:val="00F86780"/>
    <w:rsid w:val="00F87554"/>
    <w:rsid w:val="00F95835"/>
    <w:rsid w:val="00FB2FA2"/>
    <w:rsid w:val="00FB6407"/>
    <w:rsid w:val="00FC0CCD"/>
    <w:rsid w:val="00FC7903"/>
    <w:rsid w:val="00FD4ECD"/>
    <w:rsid w:val="00FD4FC9"/>
    <w:rsid w:val="00FD7978"/>
    <w:rsid w:val="00FE35D4"/>
    <w:rsid w:val="00FE3CF6"/>
    <w:rsid w:val="00FE3E36"/>
    <w:rsid w:val="00FF1192"/>
    <w:rsid w:val="00FF17E3"/>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4D4"/>
    <w:pPr>
      <w:widowControl w:val="0"/>
    </w:pPr>
    <w:rPr>
      <w:snapToGrid w:val="0"/>
      <w:kern w:val="28"/>
      <w:sz w:val="22"/>
    </w:rPr>
  </w:style>
  <w:style w:type="paragraph" w:styleId="Heading1">
    <w:name w:val="heading 1"/>
    <w:basedOn w:val="Normal"/>
    <w:next w:val="ParaNum"/>
    <w:qFormat/>
    <w:rsid w:val="00A234D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link w:val="Heading2Char1"/>
    <w:autoRedefine/>
    <w:qFormat/>
    <w:rsid w:val="00A234D4"/>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A234D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A234D4"/>
    <w:pPr>
      <w:keepNext/>
      <w:numPr>
        <w:ilvl w:val="3"/>
        <w:numId w:val="3"/>
      </w:numPr>
      <w:tabs>
        <w:tab w:val="left" w:pos="2880"/>
      </w:tabs>
      <w:spacing w:after="120"/>
      <w:outlineLvl w:val="3"/>
    </w:pPr>
    <w:rPr>
      <w:b/>
    </w:rPr>
  </w:style>
  <w:style w:type="paragraph" w:styleId="Heading5">
    <w:name w:val="heading 5"/>
    <w:basedOn w:val="Normal"/>
    <w:next w:val="ParaNum"/>
    <w:qFormat/>
    <w:rsid w:val="00A234D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234D4"/>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234D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34D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234D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234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234D4"/>
  </w:style>
  <w:style w:type="paragraph" w:customStyle="1" w:styleId="ParaNum">
    <w:name w:val="ParaNum"/>
    <w:basedOn w:val="Normal"/>
    <w:link w:val="ParaNumChar"/>
    <w:rsid w:val="00A234D4"/>
    <w:pPr>
      <w:numPr>
        <w:numId w:val="2"/>
      </w:numPr>
      <w:tabs>
        <w:tab w:val="clear" w:pos="1080"/>
        <w:tab w:val="num" w:pos="1440"/>
      </w:tabs>
      <w:spacing w:after="120"/>
    </w:pPr>
  </w:style>
  <w:style w:type="paragraph" w:styleId="EndnoteText">
    <w:name w:val="endnote text"/>
    <w:basedOn w:val="Normal"/>
    <w:semiHidden/>
    <w:rsid w:val="00A234D4"/>
    <w:rPr>
      <w:sz w:val="20"/>
    </w:rPr>
  </w:style>
  <w:style w:type="character" w:styleId="EndnoteReference">
    <w:name w:val="endnote reference"/>
    <w:basedOn w:val="DefaultParagraphFont"/>
    <w:semiHidden/>
    <w:rsid w:val="00A234D4"/>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rsid w:val="00A234D4"/>
    <w:pPr>
      <w:spacing w:after="120"/>
    </w:pPr>
  </w:style>
  <w:style w:type="character" w:styleId="FootnoteReference">
    <w:name w:val="footnote reference"/>
    <w:aliases w:val="Appel note de bas de p,Style 12,(NECG) Footnote Reference,Style 124,Style 13"/>
    <w:basedOn w:val="DefaultParagraphFont"/>
    <w:semiHidden/>
    <w:rsid w:val="00A234D4"/>
    <w:rPr>
      <w:rFonts w:ascii="Times New Roman" w:hAnsi="Times New Roman"/>
      <w:dstrike w:val="0"/>
      <w:color w:val="auto"/>
      <w:sz w:val="22"/>
      <w:vertAlign w:val="superscript"/>
    </w:rPr>
  </w:style>
  <w:style w:type="paragraph" w:styleId="TOC1">
    <w:name w:val="toc 1"/>
    <w:basedOn w:val="Normal"/>
    <w:next w:val="Normal"/>
    <w:semiHidden/>
    <w:rsid w:val="00A234D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34D4"/>
    <w:pPr>
      <w:tabs>
        <w:tab w:val="left" w:pos="720"/>
        <w:tab w:val="right" w:leader="dot" w:pos="9360"/>
      </w:tabs>
      <w:suppressAutoHyphens/>
      <w:ind w:left="720" w:right="720" w:hanging="360"/>
    </w:pPr>
    <w:rPr>
      <w:noProof/>
    </w:rPr>
  </w:style>
  <w:style w:type="paragraph" w:styleId="TOC3">
    <w:name w:val="toc 3"/>
    <w:basedOn w:val="Normal"/>
    <w:next w:val="Normal"/>
    <w:semiHidden/>
    <w:rsid w:val="00A234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34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34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34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34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34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34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34D4"/>
    <w:pPr>
      <w:tabs>
        <w:tab w:val="right" w:pos="9360"/>
      </w:tabs>
      <w:suppressAutoHyphens/>
    </w:pPr>
  </w:style>
  <w:style w:type="character" w:customStyle="1" w:styleId="EquationCaption">
    <w:name w:val="_Equation Caption"/>
    <w:rsid w:val="00A234D4"/>
  </w:style>
  <w:style w:type="paragraph" w:styleId="Header">
    <w:name w:val="header"/>
    <w:basedOn w:val="Normal"/>
    <w:autoRedefine/>
    <w:rsid w:val="00A234D4"/>
    <w:pPr>
      <w:tabs>
        <w:tab w:val="center" w:pos="4680"/>
        <w:tab w:val="right" w:pos="9360"/>
      </w:tabs>
    </w:pPr>
    <w:rPr>
      <w:b/>
    </w:rPr>
  </w:style>
  <w:style w:type="paragraph" w:styleId="Footer">
    <w:name w:val="footer"/>
    <w:basedOn w:val="Normal"/>
    <w:rsid w:val="00A234D4"/>
    <w:pPr>
      <w:tabs>
        <w:tab w:val="center" w:pos="4320"/>
        <w:tab w:val="right" w:pos="8640"/>
      </w:tabs>
    </w:pPr>
  </w:style>
  <w:style w:type="character" w:styleId="PageNumber">
    <w:name w:val="page number"/>
    <w:basedOn w:val="DefaultParagraphFont"/>
    <w:rsid w:val="00A234D4"/>
  </w:style>
  <w:style w:type="paragraph" w:styleId="BlockText">
    <w:name w:val="Block Text"/>
    <w:basedOn w:val="Normal"/>
    <w:rsid w:val="00A234D4"/>
    <w:pPr>
      <w:spacing w:after="240"/>
      <w:ind w:left="1440" w:right="1440"/>
    </w:pPr>
  </w:style>
  <w:style w:type="paragraph" w:customStyle="1" w:styleId="Paratitle">
    <w:name w:val="Para title"/>
    <w:basedOn w:val="Normal"/>
    <w:rsid w:val="00A234D4"/>
    <w:pPr>
      <w:tabs>
        <w:tab w:val="center" w:pos="9270"/>
      </w:tabs>
      <w:spacing w:after="240"/>
    </w:pPr>
    <w:rPr>
      <w:spacing w:val="-2"/>
    </w:rPr>
  </w:style>
  <w:style w:type="paragraph" w:customStyle="1" w:styleId="Bullet">
    <w:name w:val="Bullet"/>
    <w:basedOn w:val="Normal"/>
    <w:rsid w:val="00A234D4"/>
    <w:pPr>
      <w:numPr>
        <w:numId w:val="1"/>
      </w:numPr>
      <w:tabs>
        <w:tab w:val="clear" w:pos="360"/>
        <w:tab w:val="left" w:pos="2160"/>
      </w:tabs>
      <w:spacing w:after="220"/>
      <w:ind w:left="2160" w:hanging="720"/>
    </w:pPr>
  </w:style>
  <w:style w:type="paragraph" w:customStyle="1" w:styleId="TableFormat">
    <w:name w:val="TableFormat"/>
    <w:basedOn w:val="Bullet"/>
    <w:rsid w:val="00A234D4"/>
    <w:pPr>
      <w:numPr>
        <w:numId w:val="0"/>
      </w:numPr>
      <w:tabs>
        <w:tab w:val="clear" w:pos="2160"/>
        <w:tab w:val="left" w:pos="5040"/>
      </w:tabs>
      <w:ind w:left="5040" w:hanging="3600"/>
    </w:pPr>
  </w:style>
  <w:style w:type="paragraph" w:customStyle="1" w:styleId="TOCTitle">
    <w:name w:val="TOC Title"/>
    <w:basedOn w:val="Normal"/>
    <w:rsid w:val="00A234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34D4"/>
    <w:pPr>
      <w:jc w:val="center"/>
    </w:pPr>
    <w:rPr>
      <w:rFonts w:ascii="Times New Roman Bold" w:hAnsi="Times New Roman Bold"/>
      <w:b/>
      <w:bCs/>
      <w:caps/>
      <w:szCs w:val="22"/>
    </w:rPr>
  </w:style>
  <w:style w:type="character" w:styleId="Hyperlink">
    <w:name w:val="Hyperlink"/>
    <w:basedOn w:val="DefaultParagraphFont"/>
    <w:rsid w:val="00A234D4"/>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semiHidden/>
    <w:locked/>
    <w:rsid w:val="007E150F"/>
  </w:style>
  <w:style w:type="character" w:customStyle="1" w:styleId="StyleParaNum11pt1CharCharCharCharCharCharCharCharCharCharCharCharCharCharCharCharChar">
    <w:name w:val="Style ParaNum + 11 pt1 Char Char Char Char Char Char Char Char Char Char Char Char Char Char Char Char Char"/>
    <w:rsid w:val="007E150F"/>
    <w:rPr>
      <w:noProof w:val="0"/>
      <w:snapToGrid w:val="0"/>
      <w:kern w:val="28"/>
      <w:sz w:val="22"/>
      <w:szCs w:val="22"/>
      <w:lang w:val="en-US" w:eastAsia="en-US" w:bidi="ar-SA"/>
    </w:rPr>
  </w:style>
  <w:style w:type="character" w:customStyle="1" w:styleId="ParaNumChar">
    <w:name w:val="ParaNum Char"/>
    <w:link w:val="ParaNum"/>
    <w:rsid w:val="007E150F"/>
    <w:rPr>
      <w:snapToGrid w:val="0"/>
      <w:kern w:val="28"/>
      <w:sz w:val="22"/>
    </w:rPr>
  </w:style>
  <w:style w:type="paragraph" w:styleId="BalloonText">
    <w:name w:val="Balloon Text"/>
    <w:basedOn w:val="Normal"/>
    <w:semiHidden/>
    <w:rsid w:val="007E150F"/>
    <w:rPr>
      <w:rFonts w:ascii="Tahoma" w:hAnsi="Tahoma" w:cs="Tahoma"/>
      <w:sz w:val="16"/>
      <w:szCs w:val="16"/>
    </w:rPr>
  </w:style>
  <w:style w:type="character" w:customStyle="1" w:styleId="documentbody1">
    <w:name w:val="documentbody1"/>
    <w:rsid w:val="007E150F"/>
    <w:rPr>
      <w:rFonts w:ascii="Verdana" w:hAnsi="Verdana" w:hint="default"/>
      <w:sz w:val="19"/>
      <w:szCs w:val="19"/>
      <w:shd w:val="clear" w:color="auto" w:fill="FFFFFF"/>
    </w:rPr>
  </w:style>
  <w:style w:type="character" w:styleId="FollowedHyperlink">
    <w:name w:val="FollowedHyperlink"/>
    <w:rsid w:val="007E150F"/>
    <w:rPr>
      <w:color w:val="800080"/>
      <w:u w:val="single"/>
    </w:rPr>
  </w:style>
  <w:style w:type="paragraph" w:customStyle="1" w:styleId="ParaNumCharChar">
    <w:name w:val="ParaNum Char Char"/>
    <w:basedOn w:val="Normal"/>
    <w:link w:val="ParaNumCharCharChar"/>
    <w:rsid w:val="007E150F"/>
    <w:pPr>
      <w:numPr>
        <w:numId w:val="4"/>
      </w:numPr>
      <w:tabs>
        <w:tab w:val="left" w:pos="1440"/>
      </w:tabs>
      <w:spacing w:after="220"/>
      <w:jc w:val="both"/>
    </w:pPr>
    <w:rPr>
      <w:snapToGrid/>
      <w:kern w:val="0"/>
    </w:rPr>
  </w:style>
  <w:style w:type="character" w:customStyle="1" w:styleId="ParaNumCharCharChar">
    <w:name w:val="ParaNum Char Char Char"/>
    <w:link w:val="ParaNumCharChar"/>
    <w:rsid w:val="007E150F"/>
    <w:rPr>
      <w:sz w:val="22"/>
      <w:lang w:val="en-US" w:eastAsia="en-US" w:bidi="ar-SA"/>
    </w:rPr>
  </w:style>
  <w:style w:type="character" w:customStyle="1" w:styleId="nrreleasetitle1">
    <w:name w:val="nrreleasetitle1"/>
    <w:rsid w:val="007E150F"/>
    <w:rPr>
      <w:rFonts w:ascii="Arial" w:hAnsi="Arial" w:cs="Arial" w:hint="default"/>
      <w:b/>
      <w:bCs/>
      <w:i w:val="0"/>
      <w:iCs w:val="0"/>
      <w:strike w:val="0"/>
      <w:dstrike w:val="0"/>
      <w:color w:val="000000"/>
      <w:sz w:val="28"/>
      <w:szCs w:val="28"/>
      <w:u w:val="none"/>
      <w:effect w:val="none"/>
    </w:rPr>
  </w:style>
  <w:style w:type="paragraph" w:styleId="Caption">
    <w:name w:val="caption"/>
    <w:basedOn w:val="Normal"/>
    <w:next w:val="Normal"/>
    <w:qFormat/>
    <w:rsid w:val="007E150F"/>
    <w:rPr>
      <w:b/>
      <w:bCs/>
      <w:sz w:val="20"/>
    </w:rPr>
  </w:style>
  <w:style w:type="paragraph" w:styleId="NormalWeb">
    <w:name w:val="Normal (Web)"/>
    <w:basedOn w:val="Normal"/>
    <w:rsid w:val="007E150F"/>
    <w:rPr>
      <w:sz w:val="24"/>
      <w:szCs w:val="24"/>
    </w:rPr>
  </w:style>
  <w:style w:type="character" w:styleId="Strong">
    <w:name w:val="Strong"/>
    <w:uiPriority w:val="22"/>
    <w:qFormat/>
    <w:rsid w:val="007E150F"/>
    <w:rPr>
      <w:b/>
      <w:bCs/>
    </w:rPr>
  </w:style>
  <w:style w:type="paragraph" w:customStyle="1" w:styleId="NumberedList">
    <w:name w:val="Numbered List"/>
    <w:basedOn w:val="Normal"/>
    <w:rsid w:val="007E150F"/>
    <w:pPr>
      <w:numPr>
        <w:numId w:val="5"/>
      </w:numPr>
      <w:tabs>
        <w:tab w:val="clear" w:pos="1080"/>
      </w:tabs>
      <w:spacing w:after="220"/>
      <w:ind w:firstLine="0"/>
    </w:pPr>
  </w:style>
  <w:style w:type="character" w:customStyle="1" w:styleId="CharChar">
    <w:name w:val="Char Char"/>
    <w:rsid w:val="007E150F"/>
    <w:rPr>
      <w:snapToGrid w:val="0"/>
      <w:kern w:val="28"/>
      <w:lang w:val="en-US" w:eastAsia="en-US" w:bidi="ar-SA"/>
    </w:rPr>
  </w:style>
  <w:style w:type="character" w:styleId="CommentReference">
    <w:name w:val="annotation reference"/>
    <w:semiHidden/>
    <w:rsid w:val="007E150F"/>
    <w:rPr>
      <w:sz w:val="16"/>
      <w:szCs w:val="16"/>
    </w:rPr>
  </w:style>
  <w:style w:type="paragraph" w:styleId="CommentText">
    <w:name w:val="annotation text"/>
    <w:basedOn w:val="Normal"/>
    <w:semiHidden/>
    <w:rsid w:val="007E150F"/>
    <w:pPr>
      <w:jc w:val="both"/>
    </w:pPr>
    <w:rPr>
      <w:sz w:val="20"/>
    </w:rPr>
  </w:style>
  <w:style w:type="character" w:customStyle="1" w:styleId="resultsublistitem1">
    <w:name w:val="resultsublistitem1"/>
    <w:rsid w:val="007E150F"/>
    <w:rPr>
      <w:rFonts w:ascii="Arial" w:hAnsi="Arial" w:cs="Arial" w:hint="default"/>
      <w:sz w:val="16"/>
      <w:szCs w:val="16"/>
    </w:rPr>
  </w:style>
  <w:style w:type="paragraph" w:styleId="CommentSubject">
    <w:name w:val="annotation subject"/>
    <w:basedOn w:val="CommentText"/>
    <w:next w:val="CommentText"/>
    <w:semiHidden/>
    <w:rsid w:val="007E150F"/>
    <w:pPr>
      <w:widowControl/>
      <w:jc w:val="left"/>
    </w:pPr>
    <w:rPr>
      <w:b/>
      <w:bCs/>
      <w:snapToGrid/>
      <w:kern w:val="0"/>
    </w:rPr>
  </w:style>
  <w:style w:type="paragraph" w:customStyle="1" w:styleId="paranum0">
    <w:name w:val="paranum"/>
    <w:basedOn w:val="Normal"/>
    <w:rsid w:val="007E150F"/>
    <w:pPr>
      <w:spacing w:before="100" w:beforeAutospacing="1" w:after="100" w:afterAutospacing="1"/>
    </w:pPr>
  </w:style>
  <w:style w:type="character" w:customStyle="1" w:styleId="hilite1">
    <w:name w:val="hilite1"/>
    <w:rsid w:val="007E150F"/>
    <w:rPr>
      <w:b/>
      <w:bCs/>
      <w:color w:val="CC0000"/>
    </w:rPr>
  </w:style>
  <w:style w:type="character" w:customStyle="1" w:styleId="CharChar1">
    <w:name w:val="Char Char1"/>
    <w:semiHidden/>
    <w:rsid w:val="007E150F"/>
    <w:rPr>
      <w:lang w:val="en-US" w:eastAsia="en-US" w:bidi="ar-SA"/>
    </w:rPr>
  </w:style>
  <w:style w:type="character" w:customStyle="1" w:styleId="FootnoteTextChar3Char">
    <w:name w:val="Footnote Text Char3 Char"/>
    <w:aliases w:val="Footnote Text Char1 Char Char,Footnote Text Char2 Char Char Char Char,Footnote Text Char3 Char1 Char Char Char Char,Footnote Text Char2 Char1 Char1 Char Char Char Char Char,ALTS FOOTNOTE Char Char"/>
    <w:rsid w:val="007E150F"/>
    <w:rPr>
      <w:lang w:val="en-US" w:eastAsia="en-US" w:bidi="ar-SA"/>
    </w:rPr>
  </w:style>
  <w:style w:type="paragraph" w:customStyle="1" w:styleId="ParaNumChar1Char">
    <w:name w:val="ParaNum Char1 Char"/>
    <w:basedOn w:val="Normal"/>
    <w:link w:val="ParaNumChar1CharChar"/>
    <w:rsid w:val="00C76E6A"/>
    <w:pPr>
      <w:tabs>
        <w:tab w:val="num" w:pos="1080"/>
        <w:tab w:val="left" w:pos="1440"/>
      </w:tabs>
      <w:spacing w:after="220"/>
      <w:ind w:firstLine="720"/>
    </w:pPr>
    <w:rPr>
      <w:snapToGrid/>
      <w:kern w:val="0"/>
    </w:rPr>
  </w:style>
  <w:style w:type="character" w:customStyle="1" w:styleId="ParaNumChar1CharChar">
    <w:name w:val="ParaNum Char1 Char Char"/>
    <w:link w:val="ParaNumChar1Char"/>
    <w:rsid w:val="007E150F"/>
    <w:rPr>
      <w:sz w:val="22"/>
    </w:rPr>
  </w:style>
  <w:style w:type="character" w:customStyle="1" w:styleId="Heading2Char1">
    <w:name w:val="Heading 2 Char1"/>
    <w:aliases w:val="Heading 2 Char Char,h2 Char Char,UNDERRUBRIK 1-2 Char Char"/>
    <w:link w:val="Heading2"/>
    <w:rsid w:val="00B701EA"/>
    <w:rPr>
      <w:b/>
      <w:snapToGrid w:val="0"/>
      <w:kern w:val="28"/>
      <w:sz w:val="22"/>
    </w:rPr>
  </w:style>
  <w:style w:type="paragraph" w:customStyle="1" w:styleId="par1">
    <w:name w:val="par1"/>
    <w:basedOn w:val="Normal"/>
    <w:rsid w:val="007E150F"/>
    <w:pPr>
      <w:numPr>
        <w:numId w:val="6"/>
      </w:numPr>
      <w:tabs>
        <w:tab w:val="clear" w:pos="1800"/>
        <w:tab w:val="num" w:pos="1080"/>
      </w:tabs>
      <w:ind w:left="0"/>
    </w:p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rsid w:val="007E150F"/>
    <w:pPr>
      <w:tabs>
        <w:tab w:val="num" w:pos="360"/>
        <w:tab w:val="num" w:pos="720"/>
        <w:tab w:val="left" w:pos="1440"/>
      </w:tabs>
      <w:spacing w:after="220"/>
      <w:ind w:hanging="360"/>
    </w:pPr>
  </w:style>
  <w:style w:type="paragraph" w:styleId="HTMLPreformatted">
    <w:name w:val="HTML Preformatted"/>
    <w:basedOn w:val="Normal"/>
    <w:rsid w:val="007E1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msonospacing0">
    <w:name w:val="msonospacing"/>
    <w:basedOn w:val="Normal"/>
    <w:rsid w:val="007E150F"/>
    <w:pPr>
      <w:widowControl/>
    </w:pPr>
    <w:rPr>
      <w:rFonts w:ascii="Calibri" w:hAnsi="Calibri"/>
      <w:snapToGrid/>
      <w:kern w:val="0"/>
      <w:szCs w:val="22"/>
    </w:rPr>
  </w:style>
  <w:style w:type="paragraph" w:styleId="ListParagraph">
    <w:name w:val="List Paragraph"/>
    <w:basedOn w:val="Normal"/>
    <w:uiPriority w:val="34"/>
    <w:qFormat/>
    <w:rsid w:val="007E150F"/>
    <w:pPr>
      <w:ind w:left="720"/>
    </w:pPr>
  </w:style>
  <w:style w:type="paragraph" w:customStyle="1" w:styleId="Default">
    <w:name w:val="Default"/>
    <w:rsid w:val="007E150F"/>
    <w:pPr>
      <w:autoSpaceDE w:val="0"/>
      <w:autoSpaceDN w:val="0"/>
      <w:adjustRightInd w:val="0"/>
    </w:pPr>
    <w:rPr>
      <w:color w:val="000000"/>
      <w:sz w:val="24"/>
      <w:szCs w:val="24"/>
    </w:rPr>
  </w:style>
  <w:style w:type="paragraph" w:styleId="Revision">
    <w:name w:val="Revision"/>
    <w:hidden/>
    <w:uiPriority w:val="99"/>
    <w:semiHidden/>
    <w:rsid w:val="00C76E6A"/>
    <w:rPr>
      <w:snapToGrid w:val="0"/>
      <w:kern w:val="28"/>
      <w:sz w:val="22"/>
    </w:rPr>
  </w:style>
  <w:style w:type="character" w:customStyle="1" w:styleId="apple-converted-space">
    <w:name w:val="apple-converted-space"/>
    <w:basedOn w:val="DefaultParagraphFont"/>
    <w:rsid w:val="00FD4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4D4"/>
    <w:pPr>
      <w:widowControl w:val="0"/>
    </w:pPr>
    <w:rPr>
      <w:snapToGrid w:val="0"/>
      <w:kern w:val="28"/>
      <w:sz w:val="22"/>
    </w:rPr>
  </w:style>
  <w:style w:type="paragraph" w:styleId="Heading1">
    <w:name w:val="heading 1"/>
    <w:basedOn w:val="Normal"/>
    <w:next w:val="ParaNum"/>
    <w:qFormat/>
    <w:rsid w:val="00A234D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link w:val="Heading2Char1"/>
    <w:autoRedefine/>
    <w:qFormat/>
    <w:rsid w:val="00A234D4"/>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A234D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A234D4"/>
    <w:pPr>
      <w:keepNext/>
      <w:numPr>
        <w:ilvl w:val="3"/>
        <w:numId w:val="3"/>
      </w:numPr>
      <w:tabs>
        <w:tab w:val="left" w:pos="2880"/>
      </w:tabs>
      <w:spacing w:after="120"/>
      <w:outlineLvl w:val="3"/>
    </w:pPr>
    <w:rPr>
      <w:b/>
    </w:rPr>
  </w:style>
  <w:style w:type="paragraph" w:styleId="Heading5">
    <w:name w:val="heading 5"/>
    <w:basedOn w:val="Normal"/>
    <w:next w:val="ParaNum"/>
    <w:qFormat/>
    <w:rsid w:val="00A234D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234D4"/>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234D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34D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234D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234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234D4"/>
  </w:style>
  <w:style w:type="paragraph" w:customStyle="1" w:styleId="ParaNum">
    <w:name w:val="ParaNum"/>
    <w:basedOn w:val="Normal"/>
    <w:link w:val="ParaNumChar"/>
    <w:rsid w:val="00A234D4"/>
    <w:pPr>
      <w:numPr>
        <w:numId w:val="2"/>
      </w:numPr>
      <w:tabs>
        <w:tab w:val="clear" w:pos="1080"/>
        <w:tab w:val="num" w:pos="1440"/>
      </w:tabs>
      <w:spacing w:after="120"/>
    </w:pPr>
  </w:style>
  <w:style w:type="paragraph" w:styleId="EndnoteText">
    <w:name w:val="endnote text"/>
    <w:basedOn w:val="Normal"/>
    <w:semiHidden/>
    <w:rsid w:val="00A234D4"/>
    <w:rPr>
      <w:sz w:val="20"/>
    </w:rPr>
  </w:style>
  <w:style w:type="character" w:styleId="EndnoteReference">
    <w:name w:val="endnote reference"/>
    <w:basedOn w:val="DefaultParagraphFont"/>
    <w:semiHidden/>
    <w:rsid w:val="00A234D4"/>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rsid w:val="00A234D4"/>
    <w:pPr>
      <w:spacing w:after="120"/>
    </w:pPr>
  </w:style>
  <w:style w:type="character" w:styleId="FootnoteReference">
    <w:name w:val="footnote reference"/>
    <w:aliases w:val="Appel note de bas de p,Style 12,(NECG) Footnote Reference,Style 124,Style 13"/>
    <w:basedOn w:val="DefaultParagraphFont"/>
    <w:semiHidden/>
    <w:rsid w:val="00A234D4"/>
    <w:rPr>
      <w:rFonts w:ascii="Times New Roman" w:hAnsi="Times New Roman"/>
      <w:dstrike w:val="0"/>
      <w:color w:val="auto"/>
      <w:sz w:val="22"/>
      <w:vertAlign w:val="superscript"/>
    </w:rPr>
  </w:style>
  <w:style w:type="paragraph" w:styleId="TOC1">
    <w:name w:val="toc 1"/>
    <w:basedOn w:val="Normal"/>
    <w:next w:val="Normal"/>
    <w:semiHidden/>
    <w:rsid w:val="00A234D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34D4"/>
    <w:pPr>
      <w:tabs>
        <w:tab w:val="left" w:pos="720"/>
        <w:tab w:val="right" w:leader="dot" w:pos="9360"/>
      </w:tabs>
      <w:suppressAutoHyphens/>
      <w:ind w:left="720" w:right="720" w:hanging="360"/>
    </w:pPr>
    <w:rPr>
      <w:noProof/>
    </w:rPr>
  </w:style>
  <w:style w:type="paragraph" w:styleId="TOC3">
    <w:name w:val="toc 3"/>
    <w:basedOn w:val="Normal"/>
    <w:next w:val="Normal"/>
    <w:semiHidden/>
    <w:rsid w:val="00A234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34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34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34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34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34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34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34D4"/>
    <w:pPr>
      <w:tabs>
        <w:tab w:val="right" w:pos="9360"/>
      </w:tabs>
      <w:suppressAutoHyphens/>
    </w:pPr>
  </w:style>
  <w:style w:type="character" w:customStyle="1" w:styleId="EquationCaption">
    <w:name w:val="_Equation Caption"/>
    <w:rsid w:val="00A234D4"/>
  </w:style>
  <w:style w:type="paragraph" w:styleId="Header">
    <w:name w:val="header"/>
    <w:basedOn w:val="Normal"/>
    <w:autoRedefine/>
    <w:rsid w:val="00A234D4"/>
    <w:pPr>
      <w:tabs>
        <w:tab w:val="center" w:pos="4680"/>
        <w:tab w:val="right" w:pos="9360"/>
      </w:tabs>
    </w:pPr>
    <w:rPr>
      <w:b/>
    </w:rPr>
  </w:style>
  <w:style w:type="paragraph" w:styleId="Footer">
    <w:name w:val="footer"/>
    <w:basedOn w:val="Normal"/>
    <w:rsid w:val="00A234D4"/>
    <w:pPr>
      <w:tabs>
        <w:tab w:val="center" w:pos="4320"/>
        <w:tab w:val="right" w:pos="8640"/>
      </w:tabs>
    </w:pPr>
  </w:style>
  <w:style w:type="character" w:styleId="PageNumber">
    <w:name w:val="page number"/>
    <w:basedOn w:val="DefaultParagraphFont"/>
    <w:rsid w:val="00A234D4"/>
  </w:style>
  <w:style w:type="paragraph" w:styleId="BlockText">
    <w:name w:val="Block Text"/>
    <w:basedOn w:val="Normal"/>
    <w:rsid w:val="00A234D4"/>
    <w:pPr>
      <w:spacing w:after="240"/>
      <w:ind w:left="1440" w:right="1440"/>
    </w:pPr>
  </w:style>
  <w:style w:type="paragraph" w:customStyle="1" w:styleId="Paratitle">
    <w:name w:val="Para title"/>
    <w:basedOn w:val="Normal"/>
    <w:rsid w:val="00A234D4"/>
    <w:pPr>
      <w:tabs>
        <w:tab w:val="center" w:pos="9270"/>
      </w:tabs>
      <w:spacing w:after="240"/>
    </w:pPr>
    <w:rPr>
      <w:spacing w:val="-2"/>
    </w:rPr>
  </w:style>
  <w:style w:type="paragraph" w:customStyle="1" w:styleId="Bullet">
    <w:name w:val="Bullet"/>
    <w:basedOn w:val="Normal"/>
    <w:rsid w:val="00A234D4"/>
    <w:pPr>
      <w:numPr>
        <w:numId w:val="1"/>
      </w:numPr>
      <w:tabs>
        <w:tab w:val="clear" w:pos="360"/>
        <w:tab w:val="left" w:pos="2160"/>
      </w:tabs>
      <w:spacing w:after="220"/>
      <w:ind w:left="2160" w:hanging="720"/>
    </w:pPr>
  </w:style>
  <w:style w:type="paragraph" w:customStyle="1" w:styleId="TableFormat">
    <w:name w:val="TableFormat"/>
    <w:basedOn w:val="Bullet"/>
    <w:rsid w:val="00A234D4"/>
    <w:pPr>
      <w:numPr>
        <w:numId w:val="0"/>
      </w:numPr>
      <w:tabs>
        <w:tab w:val="clear" w:pos="2160"/>
        <w:tab w:val="left" w:pos="5040"/>
      </w:tabs>
      <w:ind w:left="5040" w:hanging="3600"/>
    </w:pPr>
  </w:style>
  <w:style w:type="paragraph" w:customStyle="1" w:styleId="TOCTitle">
    <w:name w:val="TOC Title"/>
    <w:basedOn w:val="Normal"/>
    <w:rsid w:val="00A234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34D4"/>
    <w:pPr>
      <w:jc w:val="center"/>
    </w:pPr>
    <w:rPr>
      <w:rFonts w:ascii="Times New Roman Bold" w:hAnsi="Times New Roman Bold"/>
      <w:b/>
      <w:bCs/>
      <w:caps/>
      <w:szCs w:val="22"/>
    </w:rPr>
  </w:style>
  <w:style w:type="character" w:styleId="Hyperlink">
    <w:name w:val="Hyperlink"/>
    <w:basedOn w:val="DefaultParagraphFont"/>
    <w:rsid w:val="00A234D4"/>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semiHidden/>
    <w:locked/>
    <w:rsid w:val="007E150F"/>
  </w:style>
  <w:style w:type="character" w:customStyle="1" w:styleId="StyleParaNum11pt1CharCharCharCharCharCharCharCharCharCharCharCharCharCharCharCharChar">
    <w:name w:val="Style ParaNum + 11 pt1 Char Char Char Char Char Char Char Char Char Char Char Char Char Char Char Char Char"/>
    <w:rsid w:val="007E150F"/>
    <w:rPr>
      <w:noProof w:val="0"/>
      <w:snapToGrid w:val="0"/>
      <w:kern w:val="28"/>
      <w:sz w:val="22"/>
      <w:szCs w:val="22"/>
      <w:lang w:val="en-US" w:eastAsia="en-US" w:bidi="ar-SA"/>
    </w:rPr>
  </w:style>
  <w:style w:type="character" w:customStyle="1" w:styleId="ParaNumChar">
    <w:name w:val="ParaNum Char"/>
    <w:link w:val="ParaNum"/>
    <w:rsid w:val="007E150F"/>
    <w:rPr>
      <w:snapToGrid w:val="0"/>
      <w:kern w:val="28"/>
      <w:sz w:val="22"/>
    </w:rPr>
  </w:style>
  <w:style w:type="paragraph" w:styleId="BalloonText">
    <w:name w:val="Balloon Text"/>
    <w:basedOn w:val="Normal"/>
    <w:semiHidden/>
    <w:rsid w:val="007E150F"/>
    <w:rPr>
      <w:rFonts w:ascii="Tahoma" w:hAnsi="Tahoma" w:cs="Tahoma"/>
      <w:sz w:val="16"/>
      <w:szCs w:val="16"/>
    </w:rPr>
  </w:style>
  <w:style w:type="character" w:customStyle="1" w:styleId="documentbody1">
    <w:name w:val="documentbody1"/>
    <w:rsid w:val="007E150F"/>
    <w:rPr>
      <w:rFonts w:ascii="Verdana" w:hAnsi="Verdana" w:hint="default"/>
      <w:sz w:val="19"/>
      <w:szCs w:val="19"/>
      <w:shd w:val="clear" w:color="auto" w:fill="FFFFFF"/>
    </w:rPr>
  </w:style>
  <w:style w:type="character" w:styleId="FollowedHyperlink">
    <w:name w:val="FollowedHyperlink"/>
    <w:rsid w:val="007E150F"/>
    <w:rPr>
      <w:color w:val="800080"/>
      <w:u w:val="single"/>
    </w:rPr>
  </w:style>
  <w:style w:type="paragraph" w:customStyle="1" w:styleId="ParaNumCharChar">
    <w:name w:val="ParaNum Char Char"/>
    <w:basedOn w:val="Normal"/>
    <w:link w:val="ParaNumCharCharChar"/>
    <w:rsid w:val="007E150F"/>
    <w:pPr>
      <w:numPr>
        <w:numId w:val="4"/>
      </w:numPr>
      <w:tabs>
        <w:tab w:val="left" w:pos="1440"/>
      </w:tabs>
      <w:spacing w:after="220"/>
      <w:jc w:val="both"/>
    </w:pPr>
    <w:rPr>
      <w:snapToGrid/>
      <w:kern w:val="0"/>
    </w:rPr>
  </w:style>
  <w:style w:type="character" w:customStyle="1" w:styleId="ParaNumCharCharChar">
    <w:name w:val="ParaNum Char Char Char"/>
    <w:link w:val="ParaNumCharChar"/>
    <w:rsid w:val="007E150F"/>
    <w:rPr>
      <w:sz w:val="22"/>
      <w:lang w:val="en-US" w:eastAsia="en-US" w:bidi="ar-SA"/>
    </w:rPr>
  </w:style>
  <w:style w:type="character" w:customStyle="1" w:styleId="nrreleasetitle1">
    <w:name w:val="nrreleasetitle1"/>
    <w:rsid w:val="007E150F"/>
    <w:rPr>
      <w:rFonts w:ascii="Arial" w:hAnsi="Arial" w:cs="Arial" w:hint="default"/>
      <w:b/>
      <w:bCs/>
      <w:i w:val="0"/>
      <w:iCs w:val="0"/>
      <w:strike w:val="0"/>
      <w:dstrike w:val="0"/>
      <w:color w:val="000000"/>
      <w:sz w:val="28"/>
      <w:szCs w:val="28"/>
      <w:u w:val="none"/>
      <w:effect w:val="none"/>
    </w:rPr>
  </w:style>
  <w:style w:type="paragraph" w:styleId="Caption">
    <w:name w:val="caption"/>
    <w:basedOn w:val="Normal"/>
    <w:next w:val="Normal"/>
    <w:qFormat/>
    <w:rsid w:val="007E150F"/>
    <w:rPr>
      <w:b/>
      <w:bCs/>
      <w:sz w:val="20"/>
    </w:rPr>
  </w:style>
  <w:style w:type="paragraph" w:styleId="NormalWeb">
    <w:name w:val="Normal (Web)"/>
    <w:basedOn w:val="Normal"/>
    <w:rsid w:val="007E150F"/>
    <w:rPr>
      <w:sz w:val="24"/>
      <w:szCs w:val="24"/>
    </w:rPr>
  </w:style>
  <w:style w:type="character" w:styleId="Strong">
    <w:name w:val="Strong"/>
    <w:uiPriority w:val="22"/>
    <w:qFormat/>
    <w:rsid w:val="007E150F"/>
    <w:rPr>
      <w:b/>
      <w:bCs/>
    </w:rPr>
  </w:style>
  <w:style w:type="paragraph" w:customStyle="1" w:styleId="NumberedList">
    <w:name w:val="Numbered List"/>
    <w:basedOn w:val="Normal"/>
    <w:rsid w:val="007E150F"/>
    <w:pPr>
      <w:numPr>
        <w:numId w:val="5"/>
      </w:numPr>
      <w:tabs>
        <w:tab w:val="clear" w:pos="1080"/>
      </w:tabs>
      <w:spacing w:after="220"/>
      <w:ind w:firstLine="0"/>
    </w:pPr>
  </w:style>
  <w:style w:type="character" w:customStyle="1" w:styleId="CharChar">
    <w:name w:val="Char Char"/>
    <w:rsid w:val="007E150F"/>
    <w:rPr>
      <w:snapToGrid w:val="0"/>
      <w:kern w:val="28"/>
      <w:lang w:val="en-US" w:eastAsia="en-US" w:bidi="ar-SA"/>
    </w:rPr>
  </w:style>
  <w:style w:type="character" w:styleId="CommentReference">
    <w:name w:val="annotation reference"/>
    <w:semiHidden/>
    <w:rsid w:val="007E150F"/>
    <w:rPr>
      <w:sz w:val="16"/>
      <w:szCs w:val="16"/>
    </w:rPr>
  </w:style>
  <w:style w:type="paragraph" w:styleId="CommentText">
    <w:name w:val="annotation text"/>
    <w:basedOn w:val="Normal"/>
    <w:semiHidden/>
    <w:rsid w:val="007E150F"/>
    <w:pPr>
      <w:jc w:val="both"/>
    </w:pPr>
    <w:rPr>
      <w:sz w:val="20"/>
    </w:rPr>
  </w:style>
  <w:style w:type="character" w:customStyle="1" w:styleId="resultsublistitem1">
    <w:name w:val="resultsublistitem1"/>
    <w:rsid w:val="007E150F"/>
    <w:rPr>
      <w:rFonts w:ascii="Arial" w:hAnsi="Arial" w:cs="Arial" w:hint="default"/>
      <w:sz w:val="16"/>
      <w:szCs w:val="16"/>
    </w:rPr>
  </w:style>
  <w:style w:type="paragraph" w:styleId="CommentSubject">
    <w:name w:val="annotation subject"/>
    <w:basedOn w:val="CommentText"/>
    <w:next w:val="CommentText"/>
    <w:semiHidden/>
    <w:rsid w:val="007E150F"/>
    <w:pPr>
      <w:widowControl/>
      <w:jc w:val="left"/>
    </w:pPr>
    <w:rPr>
      <w:b/>
      <w:bCs/>
      <w:snapToGrid/>
      <w:kern w:val="0"/>
    </w:rPr>
  </w:style>
  <w:style w:type="paragraph" w:customStyle="1" w:styleId="paranum0">
    <w:name w:val="paranum"/>
    <w:basedOn w:val="Normal"/>
    <w:rsid w:val="007E150F"/>
    <w:pPr>
      <w:spacing w:before="100" w:beforeAutospacing="1" w:after="100" w:afterAutospacing="1"/>
    </w:pPr>
  </w:style>
  <w:style w:type="character" w:customStyle="1" w:styleId="hilite1">
    <w:name w:val="hilite1"/>
    <w:rsid w:val="007E150F"/>
    <w:rPr>
      <w:b/>
      <w:bCs/>
      <w:color w:val="CC0000"/>
    </w:rPr>
  </w:style>
  <w:style w:type="character" w:customStyle="1" w:styleId="CharChar1">
    <w:name w:val="Char Char1"/>
    <w:semiHidden/>
    <w:rsid w:val="007E150F"/>
    <w:rPr>
      <w:lang w:val="en-US" w:eastAsia="en-US" w:bidi="ar-SA"/>
    </w:rPr>
  </w:style>
  <w:style w:type="character" w:customStyle="1" w:styleId="FootnoteTextChar3Char">
    <w:name w:val="Footnote Text Char3 Char"/>
    <w:aliases w:val="Footnote Text Char1 Char Char,Footnote Text Char2 Char Char Char Char,Footnote Text Char3 Char1 Char Char Char Char,Footnote Text Char2 Char1 Char1 Char Char Char Char Char,ALTS FOOTNOTE Char Char"/>
    <w:rsid w:val="007E150F"/>
    <w:rPr>
      <w:lang w:val="en-US" w:eastAsia="en-US" w:bidi="ar-SA"/>
    </w:rPr>
  </w:style>
  <w:style w:type="paragraph" w:customStyle="1" w:styleId="ParaNumChar1Char">
    <w:name w:val="ParaNum Char1 Char"/>
    <w:basedOn w:val="Normal"/>
    <w:link w:val="ParaNumChar1CharChar"/>
    <w:rsid w:val="00C76E6A"/>
    <w:pPr>
      <w:tabs>
        <w:tab w:val="num" w:pos="1080"/>
        <w:tab w:val="left" w:pos="1440"/>
      </w:tabs>
      <w:spacing w:after="220"/>
      <w:ind w:firstLine="720"/>
    </w:pPr>
    <w:rPr>
      <w:snapToGrid/>
      <w:kern w:val="0"/>
    </w:rPr>
  </w:style>
  <w:style w:type="character" w:customStyle="1" w:styleId="ParaNumChar1CharChar">
    <w:name w:val="ParaNum Char1 Char Char"/>
    <w:link w:val="ParaNumChar1Char"/>
    <w:rsid w:val="007E150F"/>
    <w:rPr>
      <w:sz w:val="22"/>
    </w:rPr>
  </w:style>
  <w:style w:type="character" w:customStyle="1" w:styleId="Heading2Char1">
    <w:name w:val="Heading 2 Char1"/>
    <w:aliases w:val="Heading 2 Char Char,h2 Char Char,UNDERRUBRIK 1-2 Char Char"/>
    <w:link w:val="Heading2"/>
    <w:rsid w:val="00B701EA"/>
    <w:rPr>
      <w:b/>
      <w:snapToGrid w:val="0"/>
      <w:kern w:val="28"/>
      <w:sz w:val="22"/>
    </w:rPr>
  </w:style>
  <w:style w:type="paragraph" w:customStyle="1" w:styleId="par1">
    <w:name w:val="par1"/>
    <w:basedOn w:val="Normal"/>
    <w:rsid w:val="007E150F"/>
    <w:pPr>
      <w:numPr>
        <w:numId w:val="6"/>
      </w:numPr>
      <w:tabs>
        <w:tab w:val="clear" w:pos="1800"/>
        <w:tab w:val="num" w:pos="1080"/>
      </w:tabs>
      <w:ind w:left="0"/>
    </w:p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rsid w:val="007E150F"/>
    <w:pPr>
      <w:tabs>
        <w:tab w:val="num" w:pos="360"/>
        <w:tab w:val="num" w:pos="720"/>
        <w:tab w:val="left" w:pos="1440"/>
      </w:tabs>
      <w:spacing w:after="220"/>
      <w:ind w:hanging="360"/>
    </w:pPr>
  </w:style>
  <w:style w:type="paragraph" w:styleId="HTMLPreformatted">
    <w:name w:val="HTML Preformatted"/>
    <w:basedOn w:val="Normal"/>
    <w:rsid w:val="007E1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msonospacing0">
    <w:name w:val="msonospacing"/>
    <w:basedOn w:val="Normal"/>
    <w:rsid w:val="007E150F"/>
    <w:pPr>
      <w:widowControl/>
    </w:pPr>
    <w:rPr>
      <w:rFonts w:ascii="Calibri" w:hAnsi="Calibri"/>
      <w:snapToGrid/>
      <w:kern w:val="0"/>
      <w:szCs w:val="22"/>
    </w:rPr>
  </w:style>
  <w:style w:type="paragraph" w:styleId="ListParagraph">
    <w:name w:val="List Paragraph"/>
    <w:basedOn w:val="Normal"/>
    <w:uiPriority w:val="34"/>
    <w:qFormat/>
    <w:rsid w:val="007E150F"/>
    <w:pPr>
      <w:ind w:left="720"/>
    </w:pPr>
  </w:style>
  <w:style w:type="paragraph" w:customStyle="1" w:styleId="Default">
    <w:name w:val="Default"/>
    <w:rsid w:val="007E150F"/>
    <w:pPr>
      <w:autoSpaceDE w:val="0"/>
      <w:autoSpaceDN w:val="0"/>
      <w:adjustRightInd w:val="0"/>
    </w:pPr>
    <w:rPr>
      <w:color w:val="000000"/>
      <w:sz w:val="24"/>
      <w:szCs w:val="24"/>
    </w:rPr>
  </w:style>
  <w:style w:type="paragraph" w:styleId="Revision">
    <w:name w:val="Revision"/>
    <w:hidden/>
    <w:uiPriority w:val="99"/>
    <w:semiHidden/>
    <w:rsid w:val="00C76E6A"/>
    <w:rPr>
      <w:snapToGrid w:val="0"/>
      <w:kern w:val="28"/>
      <w:sz w:val="22"/>
    </w:rPr>
  </w:style>
  <w:style w:type="character" w:customStyle="1" w:styleId="apple-converted-space">
    <w:name w:val="apple-converted-space"/>
    <w:basedOn w:val="DefaultParagraphFont"/>
    <w:rsid w:val="00FD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493">
      <w:bodyDiv w:val="1"/>
      <w:marLeft w:val="0"/>
      <w:marRight w:val="0"/>
      <w:marTop w:val="0"/>
      <w:marBottom w:val="0"/>
      <w:divBdr>
        <w:top w:val="none" w:sz="0" w:space="0" w:color="auto"/>
        <w:left w:val="none" w:sz="0" w:space="0" w:color="auto"/>
        <w:bottom w:val="none" w:sz="0" w:space="0" w:color="auto"/>
        <w:right w:val="none" w:sz="0" w:space="0" w:color="auto"/>
      </w:divBdr>
      <w:divsChild>
        <w:div w:id="386535381">
          <w:marLeft w:val="0"/>
          <w:marRight w:val="0"/>
          <w:marTop w:val="0"/>
          <w:marBottom w:val="0"/>
          <w:divBdr>
            <w:top w:val="none" w:sz="0" w:space="0" w:color="auto"/>
            <w:left w:val="none" w:sz="0" w:space="0" w:color="auto"/>
            <w:bottom w:val="none" w:sz="0" w:space="0" w:color="auto"/>
            <w:right w:val="none" w:sz="0" w:space="0" w:color="auto"/>
          </w:divBdr>
          <w:divsChild>
            <w:div w:id="1200774601">
              <w:marLeft w:val="0"/>
              <w:marRight w:val="0"/>
              <w:marTop w:val="0"/>
              <w:marBottom w:val="0"/>
              <w:divBdr>
                <w:top w:val="none" w:sz="0" w:space="0" w:color="auto"/>
                <w:left w:val="none" w:sz="0" w:space="0" w:color="auto"/>
                <w:bottom w:val="none" w:sz="0" w:space="0" w:color="auto"/>
                <w:right w:val="none" w:sz="0" w:space="0" w:color="auto"/>
              </w:divBdr>
            </w:div>
          </w:divsChild>
        </w:div>
        <w:div w:id="1891375990">
          <w:marLeft w:val="0"/>
          <w:marRight w:val="0"/>
          <w:marTop w:val="0"/>
          <w:marBottom w:val="0"/>
          <w:divBdr>
            <w:top w:val="none" w:sz="0" w:space="0" w:color="auto"/>
            <w:left w:val="none" w:sz="0" w:space="0" w:color="auto"/>
            <w:bottom w:val="none" w:sz="0" w:space="0" w:color="auto"/>
            <w:right w:val="none" w:sz="0" w:space="0" w:color="auto"/>
          </w:divBdr>
        </w:div>
      </w:divsChild>
    </w:div>
    <w:div w:id="215431555">
      <w:bodyDiv w:val="1"/>
      <w:marLeft w:val="0"/>
      <w:marRight w:val="0"/>
      <w:marTop w:val="0"/>
      <w:marBottom w:val="0"/>
      <w:divBdr>
        <w:top w:val="none" w:sz="0" w:space="0" w:color="auto"/>
        <w:left w:val="none" w:sz="0" w:space="0" w:color="auto"/>
        <w:bottom w:val="none" w:sz="0" w:space="0" w:color="auto"/>
        <w:right w:val="none" w:sz="0" w:space="0" w:color="auto"/>
      </w:divBdr>
    </w:div>
    <w:div w:id="280697887">
      <w:bodyDiv w:val="1"/>
      <w:marLeft w:val="150"/>
      <w:marRight w:val="0"/>
      <w:marTop w:val="375"/>
      <w:marBottom w:val="0"/>
      <w:divBdr>
        <w:top w:val="none" w:sz="0" w:space="0" w:color="auto"/>
        <w:left w:val="none" w:sz="0" w:space="0" w:color="auto"/>
        <w:bottom w:val="none" w:sz="0" w:space="0" w:color="auto"/>
        <w:right w:val="none" w:sz="0" w:space="0" w:color="auto"/>
      </w:divBdr>
    </w:div>
    <w:div w:id="357006530">
      <w:bodyDiv w:val="1"/>
      <w:marLeft w:val="0"/>
      <w:marRight w:val="0"/>
      <w:marTop w:val="0"/>
      <w:marBottom w:val="0"/>
      <w:divBdr>
        <w:top w:val="none" w:sz="0" w:space="0" w:color="auto"/>
        <w:left w:val="none" w:sz="0" w:space="0" w:color="auto"/>
        <w:bottom w:val="none" w:sz="0" w:space="0" w:color="auto"/>
        <w:right w:val="none" w:sz="0" w:space="0" w:color="auto"/>
      </w:divBdr>
    </w:div>
    <w:div w:id="425201025">
      <w:bodyDiv w:val="1"/>
      <w:marLeft w:val="0"/>
      <w:marRight w:val="0"/>
      <w:marTop w:val="0"/>
      <w:marBottom w:val="0"/>
      <w:divBdr>
        <w:top w:val="none" w:sz="0" w:space="0" w:color="auto"/>
        <w:left w:val="none" w:sz="0" w:space="0" w:color="auto"/>
        <w:bottom w:val="none" w:sz="0" w:space="0" w:color="auto"/>
        <w:right w:val="none" w:sz="0" w:space="0" w:color="auto"/>
      </w:divBdr>
      <w:divsChild>
        <w:div w:id="1111389143">
          <w:marLeft w:val="0"/>
          <w:marRight w:val="0"/>
          <w:marTop w:val="0"/>
          <w:marBottom w:val="0"/>
          <w:divBdr>
            <w:top w:val="none" w:sz="0" w:space="0" w:color="auto"/>
            <w:left w:val="none" w:sz="0" w:space="0" w:color="auto"/>
            <w:bottom w:val="none" w:sz="0" w:space="0" w:color="auto"/>
            <w:right w:val="none" w:sz="0" w:space="0" w:color="auto"/>
          </w:divBdr>
          <w:divsChild>
            <w:div w:id="586381128">
              <w:marLeft w:val="0"/>
              <w:marRight w:val="0"/>
              <w:marTop w:val="0"/>
              <w:marBottom w:val="0"/>
              <w:divBdr>
                <w:top w:val="none" w:sz="0" w:space="0" w:color="auto"/>
                <w:left w:val="none" w:sz="0" w:space="0" w:color="auto"/>
                <w:bottom w:val="none" w:sz="0" w:space="0" w:color="auto"/>
                <w:right w:val="none" w:sz="0" w:space="0" w:color="auto"/>
              </w:divBdr>
              <w:divsChild>
                <w:div w:id="14398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5798">
      <w:bodyDiv w:val="1"/>
      <w:marLeft w:val="0"/>
      <w:marRight w:val="0"/>
      <w:marTop w:val="0"/>
      <w:marBottom w:val="0"/>
      <w:divBdr>
        <w:top w:val="none" w:sz="0" w:space="0" w:color="auto"/>
        <w:left w:val="none" w:sz="0" w:space="0" w:color="auto"/>
        <w:bottom w:val="none" w:sz="0" w:space="0" w:color="auto"/>
        <w:right w:val="none" w:sz="0" w:space="0" w:color="auto"/>
      </w:divBdr>
    </w:div>
    <w:div w:id="744449876">
      <w:bodyDiv w:val="1"/>
      <w:marLeft w:val="0"/>
      <w:marRight w:val="0"/>
      <w:marTop w:val="0"/>
      <w:marBottom w:val="0"/>
      <w:divBdr>
        <w:top w:val="none" w:sz="0" w:space="0" w:color="auto"/>
        <w:left w:val="none" w:sz="0" w:space="0" w:color="auto"/>
        <w:bottom w:val="none" w:sz="0" w:space="0" w:color="auto"/>
        <w:right w:val="none" w:sz="0" w:space="0" w:color="auto"/>
      </w:divBdr>
    </w:div>
    <w:div w:id="761679664">
      <w:bodyDiv w:val="1"/>
      <w:marLeft w:val="0"/>
      <w:marRight w:val="0"/>
      <w:marTop w:val="0"/>
      <w:marBottom w:val="0"/>
      <w:divBdr>
        <w:top w:val="none" w:sz="0" w:space="0" w:color="auto"/>
        <w:left w:val="none" w:sz="0" w:space="0" w:color="auto"/>
        <w:bottom w:val="none" w:sz="0" w:space="0" w:color="auto"/>
        <w:right w:val="none" w:sz="0" w:space="0" w:color="auto"/>
      </w:divBdr>
    </w:div>
    <w:div w:id="778647754">
      <w:bodyDiv w:val="1"/>
      <w:marLeft w:val="0"/>
      <w:marRight w:val="0"/>
      <w:marTop w:val="0"/>
      <w:marBottom w:val="0"/>
      <w:divBdr>
        <w:top w:val="none" w:sz="0" w:space="0" w:color="auto"/>
        <w:left w:val="none" w:sz="0" w:space="0" w:color="auto"/>
        <w:bottom w:val="none" w:sz="0" w:space="0" w:color="auto"/>
        <w:right w:val="none" w:sz="0" w:space="0" w:color="auto"/>
      </w:divBdr>
      <w:divsChild>
        <w:div w:id="1206794088">
          <w:marLeft w:val="0"/>
          <w:marRight w:val="0"/>
          <w:marTop w:val="0"/>
          <w:marBottom w:val="0"/>
          <w:divBdr>
            <w:top w:val="none" w:sz="0" w:space="0" w:color="auto"/>
            <w:left w:val="none" w:sz="0" w:space="0" w:color="auto"/>
            <w:bottom w:val="none" w:sz="0" w:space="0" w:color="auto"/>
            <w:right w:val="none" w:sz="0" w:space="0" w:color="auto"/>
          </w:divBdr>
          <w:divsChild>
            <w:div w:id="343561080">
              <w:marLeft w:val="0"/>
              <w:marRight w:val="0"/>
              <w:marTop w:val="0"/>
              <w:marBottom w:val="0"/>
              <w:divBdr>
                <w:top w:val="none" w:sz="0" w:space="0" w:color="auto"/>
                <w:left w:val="none" w:sz="0" w:space="0" w:color="auto"/>
                <w:bottom w:val="none" w:sz="0" w:space="0" w:color="auto"/>
                <w:right w:val="none" w:sz="0" w:space="0" w:color="auto"/>
              </w:divBdr>
              <w:divsChild>
                <w:div w:id="10692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3066">
      <w:bodyDiv w:val="1"/>
      <w:marLeft w:val="0"/>
      <w:marRight w:val="0"/>
      <w:marTop w:val="0"/>
      <w:marBottom w:val="0"/>
      <w:divBdr>
        <w:top w:val="none" w:sz="0" w:space="0" w:color="auto"/>
        <w:left w:val="none" w:sz="0" w:space="0" w:color="auto"/>
        <w:bottom w:val="none" w:sz="0" w:space="0" w:color="auto"/>
        <w:right w:val="none" w:sz="0" w:space="0" w:color="auto"/>
      </w:divBdr>
    </w:div>
    <w:div w:id="1181162926">
      <w:bodyDiv w:val="1"/>
      <w:marLeft w:val="0"/>
      <w:marRight w:val="0"/>
      <w:marTop w:val="0"/>
      <w:marBottom w:val="0"/>
      <w:divBdr>
        <w:top w:val="none" w:sz="0" w:space="0" w:color="auto"/>
        <w:left w:val="none" w:sz="0" w:space="0" w:color="auto"/>
        <w:bottom w:val="none" w:sz="0" w:space="0" w:color="auto"/>
        <w:right w:val="none" w:sz="0" w:space="0" w:color="auto"/>
      </w:divBdr>
    </w:div>
    <w:div w:id="1290936428">
      <w:bodyDiv w:val="1"/>
      <w:marLeft w:val="0"/>
      <w:marRight w:val="0"/>
      <w:marTop w:val="0"/>
      <w:marBottom w:val="0"/>
      <w:divBdr>
        <w:top w:val="none" w:sz="0" w:space="0" w:color="auto"/>
        <w:left w:val="none" w:sz="0" w:space="0" w:color="auto"/>
        <w:bottom w:val="none" w:sz="0" w:space="0" w:color="auto"/>
        <w:right w:val="none" w:sz="0" w:space="0" w:color="auto"/>
      </w:divBdr>
      <w:divsChild>
        <w:div w:id="545719169">
          <w:marLeft w:val="0"/>
          <w:marRight w:val="0"/>
          <w:marTop w:val="0"/>
          <w:marBottom w:val="0"/>
          <w:divBdr>
            <w:top w:val="none" w:sz="0" w:space="0" w:color="auto"/>
            <w:left w:val="none" w:sz="0" w:space="0" w:color="auto"/>
            <w:bottom w:val="none" w:sz="0" w:space="0" w:color="auto"/>
            <w:right w:val="none" w:sz="0" w:space="0" w:color="auto"/>
          </w:divBdr>
          <w:divsChild>
            <w:div w:id="1324436416">
              <w:marLeft w:val="0"/>
              <w:marRight w:val="0"/>
              <w:marTop w:val="0"/>
              <w:marBottom w:val="0"/>
              <w:divBdr>
                <w:top w:val="none" w:sz="0" w:space="0" w:color="auto"/>
                <w:left w:val="none" w:sz="0" w:space="0" w:color="auto"/>
                <w:bottom w:val="none" w:sz="0" w:space="0" w:color="auto"/>
                <w:right w:val="none" w:sz="0" w:space="0" w:color="auto"/>
              </w:divBdr>
            </w:div>
          </w:divsChild>
        </w:div>
        <w:div w:id="1683893873">
          <w:marLeft w:val="0"/>
          <w:marRight w:val="0"/>
          <w:marTop w:val="0"/>
          <w:marBottom w:val="0"/>
          <w:divBdr>
            <w:top w:val="none" w:sz="0" w:space="0" w:color="auto"/>
            <w:left w:val="none" w:sz="0" w:space="0" w:color="auto"/>
            <w:bottom w:val="none" w:sz="0" w:space="0" w:color="auto"/>
            <w:right w:val="none" w:sz="0" w:space="0" w:color="auto"/>
          </w:divBdr>
        </w:div>
      </w:divsChild>
    </w:div>
    <w:div w:id="1324745455">
      <w:bodyDiv w:val="1"/>
      <w:marLeft w:val="30"/>
      <w:marRight w:val="30"/>
      <w:marTop w:val="30"/>
      <w:marBottom w:val="30"/>
      <w:divBdr>
        <w:top w:val="none" w:sz="0" w:space="0" w:color="auto"/>
        <w:left w:val="none" w:sz="0" w:space="0" w:color="auto"/>
        <w:bottom w:val="none" w:sz="0" w:space="0" w:color="auto"/>
        <w:right w:val="none" w:sz="0" w:space="0" w:color="auto"/>
      </w:divBdr>
      <w:divsChild>
        <w:div w:id="1658486268">
          <w:marLeft w:val="0"/>
          <w:marRight w:val="0"/>
          <w:marTop w:val="0"/>
          <w:marBottom w:val="0"/>
          <w:divBdr>
            <w:top w:val="none" w:sz="0" w:space="0" w:color="auto"/>
            <w:left w:val="none" w:sz="0" w:space="0" w:color="auto"/>
            <w:bottom w:val="none" w:sz="0" w:space="0" w:color="auto"/>
            <w:right w:val="none" w:sz="0" w:space="0" w:color="auto"/>
          </w:divBdr>
          <w:divsChild>
            <w:div w:id="866648810">
              <w:marLeft w:val="45"/>
              <w:marRight w:val="45"/>
              <w:marTop w:val="45"/>
              <w:marBottom w:val="45"/>
              <w:divBdr>
                <w:top w:val="none" w:sz="0" w:space="0" w:color="auto"/>
                <w:left w:val="none" w:sz="0" w:space="0" w:color="auto"/>
                <w:bottom w:val="none" w:sz="0" w:space="0" w:color="auto"/>
                <w:right w:val="none" w:sz="0" w:space="0" w:color="auto"/>
              </w:divBdr>
              <w:divsChild>
                <w:div w:id="150098637">
                  <w:marLeft w:val="0"/>
                  <w:marRight w:val="0"/>
                  <w:marTop w:val="0"/>
                  <w:marBottom w:val="0"/>
                  <w:divBdr>
                    <w:top w:val="none" w:sz="0" w:space="0" w:color="auto"/>
                    <w:left w:val="none" w:sz="0" w:space="0" w:color="auto"/>
                    <w:bottom w:val="none" w:sz="0" w:space="0" w:color="auto"/>
                    <w:right w:val="none" w:sz="0" w:space="0" w:color="auto"/>
                  </w:divBdr>
                  <w:divsChild>
                    <w:div w:id="504594271">
                      <w:marLeft w:val="0"/>
                      <w:marRight w:val="0"/>
                      <w:marTop w:val="0"/>
                      <w:marBottom w:val="0"/>
                      <w:divBdr>
                        <w:top w:val="none" w:sz="0" w:space="0" w:color="auto"/>
                        <w:left w:val="none" w:sz="0" w:space="0" w:color="auto"/>
                        <w:bottom w:val="none" w:sz="0" w:space="0" w:color="auto"/>
                        <w:right w:val="none" w:sz="0" w:space="0" w:color="auto"/>
                      </w:divBdr>
                    </w:div>
                    <w:div w:id="20765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25691">
      <w:bodyDiv w:val="1"/>
      <w:marLeft w:val="0"/>
      <w:marRight w:val="0"/>
      <w:marTop w:val="0"/>
      <w:marBottom w:val="0"/>
      <w:divBdr>
        <w:top w:val="none" w:sz="0" w:space="0" w:color="auto"/>
        <w:left w:val="none" w:sz="0" w:space="0" w:color="auto"/>
        <w:bottom w:val="none" w:sz="0" w:space="0" w:color="auto"/>
        <w:right w:val="none" w:sz="0" w:space="0" w:color="auto"/>
      </w:divBdr>
      <w:divsChild>
        <w:div w:id="583222296">
          <w:marLeft w:val="0"/>
          <w:marRight w:val="0"/>
          <w:marTop w:val="0"/>
          <w:marBottom w:val="0"/>
          <w:divBdr>
            <w:top w:val="none" w:sz="0" w:space="0" w:color="auto"/>
            <w:left w:val="none" w:sz="0" w:space="0" w:color="auto"/>
            <w:bottom w:val="none" w:sz="0" w:space="0" w:color="auto"/>
            <w:right w:val="none" w:sz="0" w:space="0" w:color="auto"/>
          </w:divBdr>
        </w:div>
      </w:divsChild>
    </w:div>
    <w:div w:id="1773278716">
      <w:bodyDiv w:val="1"/>
      <w:marLeft w:val="0"/>
      <w:marRight w:val="0"/>
      <w:marTop w:val="0"/>
      <w:marBottom w:val="0"/>
      <w:divBdr>
        <w:top w:val="none" w:sz="0" w:space="0" w:color="auto"/>
        <w:left w:val="none" w:sz="0" w:space="0" w:color="auto"/>
        <w:bottom w:val="none" w:sz="0" w:space="0" w:color="auto"/>
        <w:right w:val="none" w:sz="0" w:space="0" w:color="auto"/>
      </w:divBdr>
    </w:div>
    <w:div w:id="1785538747">
      <w:bodyDiv w:val="1"/>
      <w:marLeft w:val="0"/>
      <w:marRight w:val="0"/>
      <w:marTop w:val="0"/>
      <w:marBottom w:val="0"/>
      <w:divBdr>
        <w:top w:val="none" w:sz="0" w:space="0" w:color="auto"/>
        <w:left w:val="none" w:sz="0" w:space="0" w:color="auto"/>
        <w:bottom w:val="none" w:sz="0" w:space="0" w:color="auto"/>
        <w:right w:val="none" w:sz="0" w:space="0" w:color="auto"/>
      </w:divBdr>
    </w:div>
    <w:div w:id="18202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p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2872</Words>
  <Characters>15813</Characters>
  <Application>Microsoft Office Word</Application>
  <DocSecurity>0</DocSecurity>
  <Lines>243</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18718</CharactersWithSpaces>
  <SharedDoc>false</SharedDoc>
  <HyperlinkBase> </HyperlinkBase>
  <HLinks>
    <vt:vector size="12" baseType="variant">
      <vt:variant>
        <vt:i4>5046310</vt:i4>
      </vt:variant>
      <vt:variant>
        <vt:i4>3</vt:i4>
      </vt:variant>
      <vt:variant>
        <vt:i4>0</vt:i4>
      </vt:variant>
      <vt:variant>
        <vt:i4>5</vt:i4>
      </vt:variant>
      <vt:variant>
        <vt:lpwstr>http://web2.westlaw.com/find/default.wl?rs=WLW8.04&amp;serialnum=1986028968&amp;fn=_top&amp;sv=Split&amp;tc=-1&amp;findtype=Y&amp;tf=-1&amp;db=1016&amp;vr=2.0&amp;rp=%2ffind%2fdefault.wl&amp;mt=FederalGovernment</vt:lpwstr>
      </vt:variant>
      <vt:variant>
        <vt:lpwstr/>
      </vt:variant>
      <vt:variant>
        <vt:i4>5308537</vt:i4>
      </vt:variant>
      <vt:variant>
        <vt:i4>0</vt:i4>
      </vt:variant>
      <vt:variant>
        <vt:i4>0</vt:i4>
      </vt:variant>
      <vt:variant>
        <vt:i4>5</vt:i4>
      </vt:variant>
      <vt:variant>
        <vt:lpwstr>http://web2.westlaw.com/find/default.wl?rs=WLW8.04&amp;serialnum=1986028968&amp;fn=_top&amp;sv=Split&amp;tc=-1&amp;findtype=Y&amp;tf=-1&amp;db=265&amp;vr=2.0&amp;rp=%2ffind%2fdefault.wl&amp;mt=FederalGovernment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2013-05-16T16:06:00Z</cp:lastPrinted>
  <dcterms:created xsi:type="dcterms:W3CDTF">2013-05-16T19:59:00Z</dcterms:created>
  <dcterms:modified xsi:type="dcterms:W3CDTF">2013-05-16T19:59:00Z</dcterms:modified>
  <cp:category> </cp:category>
  <cp:contentStatus> </cp:contentStatus>
</cp:coreProperties>
</file>