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64" w:rsidRDefault="00596E64">
      <w:pPr>
        <w:tabs>
          <w:tab w:val="center" w:pos="4680"/>
        </w:tabs>
        <w:suppressAutoHyphens/>
        <w:jc w:val="center"/>
        <w:rPr>
          <w:b/>
          <w:spacing w:val="-3"/>
          <w:sz w:val="22"/>
          <w:szCs w:val="22"/>
        </w:rPr>
      </w:pPr>
      <w:bookmarkStart w:id="0" w:name="_GoBack"/>
      <w:bookmarkEnd w:id="0"/>
      <w:r>
        <w:rPr>
          <w:b/>
          <w:spacing w:val="-3"/>
          <w:sz w:val="22"/>
          <w:szCs w:val="22"/>
        </w:rPr>
        <w:t>Before the</w:t>
      </w:r>
    </w:p>
    <w:p w:rsidR="00596E64" w:rsidRDefault="00596E64">
      <w:pPr>
        <w:tabs>
          <w:tab w:val="center" w:pos="4680"/>
        </w:tabs>
        <w:suppressAutoHyphens/>
        <w:jc w:val="both"/>
        <w:rPr>
          <w:b/>
          <w:spacing w:val="-3"/>
          <w:sz w:val="22"/>
          <w:szCs w:val="22"/>
        </w:rPr>
      </w:pPr>
      <w:r>
        <w:rPr>
          <w:b/>
          <w:spacing w:val="-3"/>
          <w:sz w:val="22"/>
          <w:szCs w:val="22"/>
        </w:rPr>
        <w:tab/>
        <w:t>Federal Communications Commission</w:t>
      </w:r>
    </w:p>
    <w:p w:rsidR="00596E64" w:rsidRDefault="00596E64">
      <w:pPr>
        <w:tabs>
          <w:tab w:val="center" w:pos="4680"/>
        </w:tabs>
        <w:suppressAutoHyphens/>
        <w:jc w:val="both"/>
        <w:rPr>
          <w:spacing w:val="-3"/>
          <w:sz w:val="22"/>
          <w:szCs w:val="22"/>
        </w:rPr>
      </w:pPr>
      <w:r>
        <w:rPr>
          <w:b/>
          <w:spacing w:val="-3"/>
          <w:sz w:val="22"/>
          <w:szCs w:val="22"/>
        </w:rPr>
        <w:tab/>
        <w:t>Washington, D.C. 20554</w:t>
      </w:r>
    </w:p>
    <w:p w:rsidR="00596E64" w:rsidRDefault="00596E64">
      <w:pPr>
        <w:tabs>
          <w:tab w:val="left" w:pos="-720"/>
        </w:tabs>
        <w:suppressAutoHyphens/>
        <w:jc w:val="both"/>
        <w:rPr>
          <w:spacing w:val="-3"/>
          <w:sz w:val="22"/>
          <w:szCs w:val="22"/>
        </w:rPr>
      </w:pPr>
    </w:p>
    <w:p w:rsidR="00596E64" w:rsidRDefault="00596E64">
      <w:pPr>
        <w:tabs>
          <w:tab w:val="left" w:pos="-720"/>
        </w:tabs>
        <w:suppressAutoHyphens/>
        <w:jc w:val="both"/>
        <w:rPr>
          <w:b/>
          <w:spacing w:val="-3"/>
          <w:sz w:val="22"/>
          <w:szCs w:val="22"/>
        </w:rPr>
      </w:pPr>
      <w:r>
        <w:rPr>
          <w:spacing w:val="-3"/>
          <w:sz w:val="22"/>
          <w:szCs w:val="22"/>
        </w:rPr>
        <w:t>In the Matter of</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 xml:space="preserve">    </w:t>
      </w:r>
      <w:r>
        <w:rPr>
          <w:b/>
          <w:spacing w:val="-3"/>
          <w:sz w:val="22"/>
          <w:szCs w:val="22"/>
        </w:rPr>
        <w:t>)</w:t>
      </w:r>
    </w:p>
    <w:p w:rsidR="00596E64" w:rsidRDefault="00596E64">
      <w:pPr>
        <w:tabs>
          <w:tab w:val="left" w:pos="-720"/>
        </w:tabs>
        <w:suppressAutoHyphens/>
        <w:jc w:val="both"/>
        <w:rPr>
          <w:b/>
          <w:spacing w:val="-3"/>
          <w:sz w:val="22"/>
          <w:szCs w:val="22"/>
        </w:rPr>
      </w:pP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t xml:space="preserve">    )</w:t>
      </w:r>
    </w:p>
    <w:p w:rsidR="00596E64" w:rsidRDefault="00596E64">
      <w:pPr>
        <w:tabs>
          <w:tab w:val="left" w:pos="-720"/>
        </w:tabs>
        <w:suppressAutoHyphens/>
        <w:jc w:val="both"/>
        <w:rPr>
          <w:spacing w:val="-3"/>
          <w:sz w:val="22"/>
          <w:szCs w:val="22"/>
        </w:rPr>
      </w:pPr>
      <w:r w:rsidRPr="00DC645D">
        <w:rPr>
          <w:spacing w:val="-3"/>
          <w:sz w:val="22"/>
          <w:szCs w:val="22"/>
        </w:rPr>
        <w:t>Steven Wendell</w:t>
      </w:r>
      <w:r w:rsidRPr="00DC645D">
        <w:rPr>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t xml:space="preserve">    )</w:t>
      </w:r>
      <w:r>
        <w:rPr>
          <w:spacing w:val="-3"/>
          <w:sz w:val="22"/>
          <w:szCs w:val="22"/>
        </w:rPr>
        <w:tab/>
      </w:r>
      <w:r>
        <w:rPr>
          <w:spacing w:val="-3"/>
          <w:sz w:val="22"/>
          <w:szCs w:val="22"/>
        </w:rPr>
        <w:tab/>
        <w:t>File Nos.  BNP-20001023ACT</w:t>
      </w:r>
    </w:p>
    <w:p w:rsidR="00596E64" w:rsidRDefault="00596E64">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 xml:space="preserve">   </w:t>
      </w:r>
      <w:r>
        <w:rPr>
          <w:spacing w:val="-3"/>
          <w:sz w:val="22"/>
          <w:szCs w:val="22"/>
        </w:rPr>
        <w:tab/>
      </w:r>
      <w:r>
        <w:rPr>
          <w:b/>
          <w:spacing w:val="-3"/>
          <w:sz w:val="22"/>
          <w:szCs w:val="22"/>
        </w:rPr>
        <w:t xml:space="preserve">    )</w:t>
      </w:r>
      <w:r>
        <w:rPr>
          <w:spacing w:val="-3"/>
          <w:sz w:val="22"/>
          <w:szCs w:val="22"/>
        </w:rPr>
        <w:tab/>
      </w:r>
      <w:r>
        <w:rPr>
          <w:spacing w:val="-3"/>
          <w:sz w:val="22"/>
          <w:szCs w:val="22"/>
        </w:rPr>
        <w:tab/>
        <w:t>and BMP-20080214AHR</w:t>
      </w:r>
    </w:p>
    <w:p w:rsidR="00596E64" w:rsidRPr="00114EFD" w:rsidRDefault="00596E64">
      <w:pPr>
        <w:tabs>
          <w:tab w:val="left" w:pos="-720"/>
        </w:tabs>
        <w:suppressAutoHyphens/>
        <w:jc w:val="both"/>
        <w:rPr>
          <w:spacing w:val="-3"/>
          <w:sz w:val="22"/>
          <w:szCs w:val="22"/>
        </w:rPr>
      </w:pPr>
      <w:r>
        <w:rPr>
          <w:sz w:val="22"/>
          <w:szCs w:val="22"/>
        </w:rPr>
        <w:t>Request for Tolling of Construction Period</w:t>
      </w:r>
      <w:r>
        <w:rPr>
          <w:spacing w:val="-3"/>
          <w:sz w:val="22"/>
          <w:szCs w:val="22"/>
        </w:rPr>
        <w:tab/>
        <w:t xml:space="preserve">    </w:t>
      </w:r>
      <w:r>
        <w:rPr>
          <w:b/>
          <w:spacing w:val="-3"/>
          <w:sz w:val="22"/>
          <w:szCs w:val="22"/>
        </w:rPr>
        <w:t>)</w:t>
      </w:r>
      <w:r>
        <w:rPr>
          <w:spacing w:val="-3"/>
          <w:sz w:val="22"/>
          <w:szCs w:val="22"/>
        </w:rPr>
        <w:tab/>
      </w:r>
      <w:r>
        <w:rPr>
          <w:spacing w:val="-3"/>
          <w:sz w:val="22"/>
          <w:szCs w:val="22"/>
        </w:rPr>
        <w:tab/>
        <w:t>Facility ID No. 134960</w:t>
      </w:r>
    </w:p>
    <w:p w:rsidR="00596E64" w:rsidRDefault="00596E64">
      <w:pPr>
        <w:tabs>
          <w:tab w:val="left" w:pos="-720"/>
        </w:tabs>
        <w:suppressAutoHyphens/>
        <w:jc w:val="both"/>
        <w:rPr>
          <w:spacing w:val="-3"/>
          <w:sz w:val="22"/>
          <w:szCs w:val="22"/>
        </w:rPr>
      </w:pPr>
      <w:r>
        <w:rPr>
          <w:sz w:val="22"/>
          <w:szCs w:val="22"/>
        </w:rPr>
        <w:t>and Application for Modification of</w:t>
      </w:r>
      <w:r>
        <w:rPr>
          <w:spacing w:val="-3"/>
          <w:sz w:val="22"/>
          <w:szCs w:val="22"/>
        </w:rPr>
        <w:t xml:space="preserve">   </w:t>
      </w:r>
      <w:r>
        <w:rPr>
          <w:b/>
          <w:spacing w:val="-3"/>
          <w:sz w:val="22"/>
          <w:szCs w:val="22"/>
        </w:rPr>
        <w:tab/>
      </w:r>
      <w:r>
        <w:rPr>
          <w:b/>
          <w:spacing w:val="-3"/>
          <w:sz w:val="22"/>
          <w:szCs w:val="22"/>
        </w:rPr>
        <w:tab/>
        <w:t xml:space="preserve">    )</w:t>
      </w:r>
      <w:r>
        <w:rPr>
          <w:spacing w:val="-3"/>
          <w:sz w:val="22"/>
          <w:szCs w:val="22"/>
        </w:rPr>
        <w:tab/>
      </w:r>
    </w:p>
    <w:p w:rsidR="00596E64" w:rsidRDefault="00596E64">
      <w:pPr>
        <w:tabs>
          <w:tab w:val="left" w:pos="-720"/>
        </w:tabs>
        <w:suppressAutoHyphens/>
        <w:jc w:val="both"/>
        <w:rPr>
          <w:spacing w:val="-3"/>
          <w:sz w:val="22"/>
          <w:szCs w:val="22"/>
        </w:rPr>
      </w:pPr>
      <w:r>
        <w:rPr>
          <w:spacing w:val="-3"/>
          <w:sz w:val="22"/>
          <w:szCs w:val="22"/>
        </w:rPr>
        <w:t>WXNH(AM), Jaffrey, New Hampshire</w:t>
      </w:r>
      <w:r>
        <w:rPr>
          <w:spacing w:val="-3"/>
          <w:sz w:val="22"/>
          <w:szCs w:val="22"/>
        </w:rPr>
        <w:tab/>
      </w:r>
      <w:r>
        <w:rPr>
          <w:spacing w:val="-3"/>
          <w:sz w:val="22"/>
          <w:szCs w:val="22"/>
        </w:rPr>
        <w:tab/>
      </w:r>
      <w:r>
        <w:rPr>
          <w:b/>
          <w:spacing w:val="-3"/>
          <w:sz w:val="22"/>
          <w:szCs w:val="22"/>
        </w:rPr>
        <w:t xml:space="preserve">    )</w:t>
      </w:r>
      <w:r>
        <w:rPr>
          <w:spacing w:val="-3"/>
          <w:sz w:val="22"/>
          <w:szCs w:val="22"/>
        </w:rPr>
        <w:tab/>
      </w:r>
    </w:p>
    <w:p w:rsidR="00596E64" w:rsidRDefault="00596E64">
      <w:pPr>
        <w:tabs>
          <w:tab w:val="left" w:pos="-720"/>
        </w:tabs>
        <w:suppressAutoHyphens/>
        <w:jc w:val="both"/>
        <w:rPr>
          <w:spacing w:val="-3"/>
          <w:sz w:val="22"/>
          <w:szCs w:val="22"/>
        </w:rPr>
      </w:pPr>
      <w:r>
        <w:rPr>
          <w:spacing w:val="-3"/>
          <w:sz w:val="22"/>
          <w:szCs w:val="22"/>
        </w:rPr>
        <w:tab/>
      </w:r>
    </w:p>
    <w:p w:rsidR="00596E64" w:rsidRDefault="00596E64">
      <w:pPr>
        <w:tabs>
          <w:tab w:val="center" w:pos="4680"/>
        </w:tabs>
        <w:suppressAutoHyphens/>
        <w:jc w:val="both"/>
        <w:rPr>
          <w:spacing w:val="-3"/>
          <w:sz w:val="22"/>
          <w:szCs w:val="22"/>
        </w:rPr>
      </w:pPr>
      <w:r>
        <w:rPr>
          <w:b/>
          <w:spacing w:val="-3"/>
          <w:sz w:val="22"/>
          <w:szCs w:val="22"/>
        </w:rPr>
        <w:tab/>
        <w:t>MEMORANDUM OPINION AND ORDER</w:t>
      </w:r>
    </w:p>
    <w:p w:rsidR="00596E64" w:rsidRDefault="00596E64">
      <w:pPr>
        <w:tabs>
          <w:tab w:val="left" w:pos="-720"/>
        </w:tabs>
        <w:suppressAutoHyphens/>
        <w:jc w:val="both"/>
        <w:rPr>
          <w:spacing w:val="-3"/>
          <w:sz w:val="22"/>
          <w:szCs w:val="22"/>
        </w:rPr>
      </w:pPr>
    </w:p>
    <w:p w:rsidR="00596E64" w:rsidRDefault="00596E64">
      <w:pPr>
        <w:tabs>
          <w:tab w:val="left" w:pos="-720"/>
        </w:tabs>
        <w:suppressAutoHyphens/>
        <w:rPr>
          <w:b/>
          <w:spacing w:val="-3"/>
          <w:sz w:val="22"/>
          <w:szCs w:val="22"/>
        </w:rPr>
      </w:pPr>
      <w:r>
        <w:rPr>
          <w:b/>
          <w:spacing w:val="-3"/>
          <w:sz w:val="22"/>
          <w:szCs w:val="22"/>
        </w:rPr>
        <w:t xml:space="preserve">Adopted:  </w:t>
      </w:r>
      <w:r w:rsidR="00D626AE">
        <w:rPr>
          <w:b/>
          <w:spacing w:val="-3"/>
          <w:sz w:val="22"/>
          <w:szCs w:val="22"/>
        </w:rPr>
        <w:t>April 3,</w:t>
      </w:r>
      <w:r>
        <w:rPr>
          <w:b/>
          <w:spacing w:val="-3"/>
          <w:sz w:val="22"/>
          <w:szCs w:val="22"/>
        </w:rPr>
        <w:t xml:space="preserve"> 201</w:t>
      </w:r>
      <w:r w:rsidR="000133DF">
        <w:rPr>
          <w:b/>
          <w:spacing w:val="-3"/>
          <w:sz w:val="22"/>
          <w:szCs w:val="22"/>
        </w:rPr>
        <w:t>3</w:t>
      </w:r>
      <w:r w:rsidR="00D626AE">
        <w:rPr>
          <w:b/>
          <w:spacing w:val="-3"/>
          <w:sz w:val="22"/>
          <w:szCs w:val="22"/>
        </w:rPr>
        <w:tab/>
      </w:r>
      <w:r w:rsidR="00D626AE">
        <w:rPr>
          <w:b/>
          <w:spacing w:val="-3"/>
          <w:sz w:val="22"/>
          <w:szCs w:val="22"/>
        </w:rPr>
        <w:tab/>
      </w:r>
      <w:r w:rsidR="00D626AE">
        <w:rPr>
          <w:b/>
          <w:spacing w:val="-3"/>
          <w:sz w:val="22"/>
          <w:szCs w:val="22"/>
        </w:rPr>
        <w:tab/>
      </w:r>
      <w:r w:rsidR="00D626AE">
        <w:rPr>
          <w:b/>
          <w:spacing w:val="-3"/>
          <w:sz w:val="22"/>
          <w:szCs w:val="22"/>
        </w:rPr>
        <w:tab/>
      </w:r>
      <w:r w:rsidR="00D626AE">
        <w:rPr>
          <w:b/>
          <w:spacing w:val="-3"/>
          <w:sz w:val="22"/>
          <w:szCs w:val="22"/>
        </w:rPr>
        <w:tab/>
      </w:r>
      <w:r w:rsidR="00D626AE">
        <w:rPr>
          <w:b/>
          <w:spacing w:val="-3"/>
          <w:sz w:val="22"/>
          <w:szCs w:val="22"/>
        </w:rPr>
        <w:tab/>
      </w:r>
      <w:r w:rsidR="00D626AE">
        <w:rPr>
          <w:b/>
          <w:spacing w:val="-3"/>
          <w:sz w:val="22"/>
          <w:szCs w:val="22"/>
        </w:rPr>
        <w:tab/>
      </w:r>
      <w:r w:rsidR="00DC645D">
        <w:rPr>
          <w:b/>
          <w:spacing w:val="-3"/>
          <w:sz w:val="22"/>
          <w:szCs w:val="22"/>
        </w:rPr>
        <w:tab/>
      </w:r>
      <w:r w:rsidR="00D626AE">
        <w:rPr>
          <w:b/>
          <w:spacing w:val="-3"/>
          <w:sz w:val="22"/>
          <w:szCs w:val="22"/>
        </w:rPr>
        <w:t>Released:  April 4</w:t>
      </w:r>
      <w:r>
        <w:rPr>
          <w:b/>
          <w:spacing w:val="-3"/>
          <w:sz w:val="22"/>
          <w:szCs w:val="22"/>
        </w:rPr>
        <w:t>, 201</w:t>
      </w:r>
      <w:r w:rsidR="000133DF">
        <w:rPr>
          <w:b/>
          <w:spacing w:val="-3"/>
          <w:sz w:val="22"/>
          <w:szCs w:val="22"/>
        </w:rPr>
        <w:t>3</w:t>
      </w:r>
    </w:p>
    <w:p w:rsidR="00596E64" w:rsidRDefault="00596E64">
      <w:pPr>
        <w:tabs>
          <w:tab w:val="left" w:pos="-720"/>
        </w:tabs>
        <w:suppressAutoHyphens/>
        <w:rPr>
          <w:b/>
          <w:spacing w:val="-3"/>
          <w:sz w:val="22"/>
          <w:szCs w:val="22"/>
        </w:rPr>
      </w:pPr>
    </w:p>
    <w:p w:rsidR="00596E64" w:rsidRDefault="00596E64">
      <w:pPr>
        <w:tabs>
          <w:tab w:val="left" w:pos="-720"/>
        </w:tabs>
        <w:suppressAutoHyphens/>
        <w:rPr>
          <w:spacing w:val="-3"/>
          <w:sz w:val="22"/>
          <w:szCs w:val="22"/>
        </w:rPr>
      </w:pPr>
      <w:r>
        <w:rPr>
          <w:spacing w:val="-3"/>
          <w:sz w:val="22"/>
          <w:szCs w:val="22"/>
        </w:rPr>
        <w:t xml:space="preserve">By the Commission:  </w:t>
      </w:r>
    </w:p>
    <w:p w:rsidR="00596E64" w:rsidRDefault="00596E64">
      <w:pPr>
        <w:tabs>
          <w:tab w:val="left" w:pos="-720"/>
        </w:tabs>
        <w:suppressAutoHyphens/>
        <w:rPr>
          <w:spacing w:val="-3"/>
          <w:sz w:val="22"/>
          <w:szCs w:val="22"/>
        </w:rPr>
      </w:pPr>
    </w:p>
    <w:p w:rsidR="00596E64" w:rsidRDefault="00596E64">
      <w:pPr>
        <w:rPr>
          <w:sz w:val="22"/>
          <w:szCs w:val="22"/>
        </w:rPr>
      </w:pPr>
      <w:r>
        <w:rPr>
          <w:spacing w:val="-3"/>
          <w:sz w:val="22"/>
          <w:szCs w:val="22"/>
        </w:rPr>
        <w:tab/>
      </w:r>
      <w:r>
        <w:rPr>
          <w:sz w:val="22"/>
          <w:szCs w:val="22"/>
        </w:rPr>
        <w:t>1.</w:t>
      </w:r>
      <w:r>
        <w:rPr>
          <w:sz w:val="22"/>
          <w:szCs w:val="22"/>
        </w:rPr>
        <w:tab/>
        <w:t>The Commission has before it for consideration an Application for Review</w:t>
      </w:r>
      <w:r>
        <w:rPr>
          <w:rStyle w:val="FootnoteReference"/>
          <w:sz w:val="22"/>
          <w:szCs w:val="22"/>
        </w:rPr>
        <w:footnoteReference w:id="1"/>
      </w:r>
      <w:r>
        <w:rPr>
          <w:sz w:val="22"/>
          <w:szCs w:val="22"/>
        </w:rPr>
        <w:t xml:space="preserve"> filed on October 13, 2009, by Steven Wendell (“Wendell”), permittee of unbuilt station WXNH(AM), Jaffrey, New Hampshire.  Wendell seeks review of a letter decision by the Media Bureau, Audio Division (the “Bureau”)</w:t>
      </w:r>
      <w:r>
        <w:rPr>
          <w:rStyle w:val="FootnoteReference"/>
          <w:sz w:val="22"/>
          <w:szCs w:val="22"/>
        </w:rPr>
        <w:footnoteReference w:id="2"/>
      </w:r>
      <w:r>
        <w:rPr>
          <w:sz w:val="22"/>
          <w:szCs w:val="22"/>
        </w:rPr>
        <w:t xml:space="preserve"> which denied reconsideration of a decision to terminate “tolling” treatment for WXNH(AM)’s construction permit</w:t>
      </w:r>
      <w:r>
        <w:rPr>
          <w:rStyle w:val="FootnoteReference"/>
          <w:sz w:val="22"/>
          <w:szCs w:val="22"/>
        </w:rPr>
        <w:footnoteReference w:id="3"/>
      </w:r>
      <w:r>
        <w:rPr>
          <w:sz w:val="22"/>
          <w:szCs w:val="22"/>
        </w:rPr>
        <w:t xml:space="preserve"> and dismissed as moot a separate petition for reconsideration of the dismissal of an application to move transmitter sites.</w:t>
      </w:r>
      <w:r>
        <w:rPr>
          <w:rStyle w:val="FootnoteReference"/>
          <w:sz w:val="22"/>
          <w:szCs w:val="22"/>
        </w:rPr>
        <w:footnoteReference w:id="4"/>
      </w:r>
      <w:r>
        <w:rPr>
          <w:sz w:val="22"/>
          <w:szCs w:val="22"/>
        </w:rPr>
        <w:t xml:space="preserve">  In the </w:t>
      </w:r>
      <w:r w:rsidRPr="00621E6D">
        <w:rPr>
          <w:i/>
          <w:sz w:val="22"/>
          <w:szCs w:val="22"/>
        </w:rPr>
        <w:t>Letter</w:t>
      </w:r>
      <w:r>
        <w:rPr>
          <w:sz w:val="22"/>
          <w:szCs w:val="22"/>
        </w:rPr>
        <w:t xml:space="preserve">, the Bureau found that </w:t>
      </w:r>
      <w:r>
        <w:rPr>
          <w:color w:val="000000"/>
          <w:sz w:val="22"/>
          <w:szCs w:val="22"/>
        </w:rPr>
        <w:t>Wendell’s inability to construct was not a matter beyond his control and that his circumstances did not qualify for tolling under the Commission’s rules.</w:t>
      </w:r>
      <w:r w:rsidR="00111250">
        <w:rPr>
          <w:rStyle w:val="FootnoteReference"/>
          <w:color w:val="000000"/>
          <w:sz w:val="22"/>
          <w:szCs w:val="22"/>
        </w:rPr>
        <w:footnoteReference w:id="5"/>
      </w:r>
    </w:p>
    <w:p w:rsidR="00596E64" w:rsidRDefault="00596E64">
      <w:pPr>
        <w:rPr>
          <w:sz w:val="22"/>
          <w:szCs w:val="22"/>
        </w:rPr>
      </w:pPr>
    </w:p>
    <w:p w:rsidR="007F5B3B" w:rsidRDefault="00596E64" w:rsidP="0049594E">
      <w:pPr>
        <w:pStyle w:val="FootnoteText"/>
        <w:rPr>
          <w:sz w:val="22"/>
          <w:szCs w:val="22"/>
        </w:rPr>
      </w:pPr>
      <w:r>
        <w:rPr>
          <w:sz w:val="22"/>
          <w:szCs w:val="22"/>
        </w:rPr>
        <w:tab/>
      </w:r>
      <w:r w:rsidR="000133DF">
        <w:rPr>
          <w:sz w:val="22"/>
          <w:szCs w:val="22"/>
        </w:rPr>
        <w:t>2</w:t>
      </w:r>
      <w:r>
        <w:rPr>
          <w:sz w:val="22"/>
          <w:szCs w:val="22"/>
        </w:rPr>
        <w:t>.</w:t>
      </w:r>
      <w:r>
        <w:rPr>
          <w:sz w:val="22"/>
          <w:szCs w:val="22"/>
        </w:rPr>
        <w:tab/>
        <w:t xml:space="preserve">Upon consideration of the Application for Review and the entire record, we conclude that Wendell has failed to demonstrate that the Bureau erred.  The Bureau properly decided the matters raised, and we uphold its decision for the reasons stated in its </w:t>
      </w:r>
      <w:r w:rsidRPr="00633D07">
        <w:rPr>
          <w:i/>
          <w:sz w:val="22"/>
          <w:szCs w:val="22"/>
        </w:rPr>
        <w:t>Letter</w:t>
      </w:r>
      <w:r>
        <w:rPr>
          <w:sz w:val="22"/>
          <w:szCs w:val="22"/>
        </w:rPr>
        <w:t>.</w:t>
      </w:r>
      <w:r w:rsidR="0049594E">
        <w:rPr>
          <w:sz w:val="22"/>
          <w:szCs w:val="22"/>
        </w:rPr>
        <w:t xml:space="preserve">  </w:t>
      </w:r>
    </w:p>
    <w:p w:rsidR="007F5B3B" w:rsidRDefault="007F5B3B" w:rsidP="0049594E">
      <w:pPr>
        <w:pStyle w:val="FootnoteText"/>
        <w:rPr>
          <w:sz w:val="22"/>
          <w:szCs w:val="22"/>
        </w:rPr>
      </w:pPr>
    </w:p>
    <w:p w:rsidR="007F5B3B" w:rsidRPr="00111250" w:rsidRDefault="007F5B3B" w:rsidP="00383349">
      <w:pPr>
        <w:pStyle w:val="FootnoteText"/>
        <w:ind w:firstLine="720"/>
        <w:rPr>
          <w:sz w:val="22"/>
          <w:szCs w:val="22"/>
        </w:rPr>
      </w:pPr>
      <w:r>
        <w:rPr>
          <w:sz w:val="22"/>
          <w:szCs w:val="22"/>
        </w:rPr>
        <w:t>3.</w:t>
      </w:r>
      <w:r>
        <w:rPr>
          <w:sz w:val="22"/>
          <w:szCs w:val="22"/>
        </w:rPr>
        <w:tab/>
      </w:r>
      <w:r w:rsidR="0049594E" w:rsidRPr="00111250">
        <w:rPr>
          <w:sz w:val="22"/>
          <w:szCs w:val="22"/>
        </w:rPr>
        <w:t xml:space="preserve">In </w:t>
      </w:r>
      <w:r w:rsidR="0013316C">
        <w:rPr>
          <w:sz w:val="22"/>
          <w:szCs w:val="22"/>
        </w:rPr>
        <w:t>addition</w:t>
      </w:r>
      <w:r w:rsidR="0049594E" w:rsidRPr="00111250">
        <w:rPr>
          <w:sz w:val="22"/>
          <w:szCs w:val="22"/>
        </w:rPr>
        <w:t>, we reject Wendell’s claim that the Bureau</w:t>
      </w:r>
      <w:r w:rsidR="0013316C">
        <w:rPr>
          <w:sz w:val="22"/>
          <w:szCs w:val="22"/>
        </w:rPr>
        <w:t xml:space="preserve">’s decision to terminate tolling </w:t>
      </w:r>
      <w:r w:rsidR="004B67D6">
        <w:rPr>
          <w:sz w:val="22"/>
          <w:szCs w:val="22"/>
        </w:rPr>
        <w:t xml:space="preserve">based on zoning litigation </w:t>
      </w:r>
      <w:r w:rsidR="0013316C">
        <w:rPr>
          <w:sz w:val="22"/>
          <w:szCs w:val="22"/>
        </w:rPr>
        <w:t>was</w:t>
      </w:r>
      <w:r w:rsidR="00383349">
        <w:rPr>
          <w:sz w:val="22"/>
          <w:szCs w:val="22"/>
        </w:rPr>
        <w:t xml:space="preserve"> </w:t>
      </w:r>
      <w:r w:rsidR="0013316C">
        <w:rPr>
          <w:sz w:val="22"/>
          <w:szCs w:val="22"/>
        </w:rPr>
        <w:t>“</w:t>
      </w:r>
      <w:r w:rsidR="0049594E" w:rsidRPr="00111250">
        <w:rPr>
          <w:sz w:val="22"/>
          <w:szCs w:val="22"/>
        </w:rPr>
        <w:t>arbitrar</w:t>
      </w:r>
      <w:r w:rsidR="0013316C">
        <w:rPr>
          <w:sz w:val="22"/>
          <w:szCs w:val="22"/>
        </w:rPr>
        <w:t>y</w:t>
      </w:r>
      <w:r w:rsidR="0049594E" w:rsidRPr="00111250">
        <w:rPr>
          <w:sz w:val="22"/>
          <w:szCs w:val="22"/>
        </w:rPr>
        <w:t xml:space="preserve"> and capricious</w:t>
      </w:r>
      <w:r w:rsidR="00590678">
        <w:rPr>
          <w:sz w:val="22"/>
          <w:szCs w:val="22"/>
        </w:rPr>
        <w:t>.</w:t>
      </w:r>
      <w:r w:rsidR="0013316C">
        <w:rPr>
          <w:sz w:val="22"/>
          <w:szCs w:val="22"/>
        </w:rPr>
        <w:t>”</w:t>
      </w:r>
      <w:r w:rsidR="0049594E" w:rsidRPr="00111250">
        <w:rPr>
          <w:sz w:val="22"/>
          <w:szCs w:val="22"/>
        </w:rPr>
        <w:t xml:space="preserve">  Wendell claims to have reported “regularly and candidly</w:t>
      </w:r>
      <w:r w:rsidR="00C953EE" w:rsidRPr="00111250">
        <w:rPr>
          <w:sz w:val="22"/>
          <w:szCs w:val="22"/>
        </w:rPr>
        <w:t>”</w:t>
      </w:r>
      <w:r w:rsidR="0049594E" w:rsidRPr="00111250">
        <w:rPr>
          <w:sz w:val="22"/>
          <w:szCs w:val="22"/>
        </w:rPr>
        <w:t xml:space="preserve"> on the zoning litigation and states that he spent substantial sums in reliance on the tolling decision.</w:t>
      </w:r>
      <w:r w:rsidR="0049594E" w:rsidRPr="00111250">
        <w:rPr>
          <w:rStyle w:val="FootnoteReference"/>
          <w:sz w:val="22"/>
          <w:szCs w:val="22"/>
        </w:rPr>
        <w:footnoteReference w:id="6"/>
      </w:r>
      <w:r w:rsidR="0049594E" w:rsidRPr="00111250">
        <w:rPr>
          <w:sz w:val="22"/>
          <w:szCs w:val="22"/>
        </w:rPr>
        <w:t xml:space="preserve">  Our review of the record, however, shows that</w:t>
      </w:r>
      <w:r w:rsidR="009E1288">
        <w:rPr>
          <w:sz w:val="22"/>
          <w:szCs w:val="22"/>
        </w:rPr>
        <w:t xml:space="preserve">, as the Bureau noted in the </w:t>
      </w:r>
      <w:r w:rsidR="009E1288" w:rsidRPr="00383349">
        <w:rPr>
          <w:i/>
          <w:sz w:val="22"/>
          <w:szCs w:val="22"/>
        </w:rPr>
        <w:t>Letter</w:t>
      </w:r>
      <w:r w:rsidR="009E1288">
        <w:rPr>
          <w:sz w:val="22"/>
          <w:szCs w:val="22"/>
        </w:rPr>
        <w:t>,</w:t>
      </w:r>
      <w:r w:rsidR="000F2261">
        <w:rPr>
          <w:sz w:val="22"/>
          <w:szCs w:val="22"/>
        </w:rPr>
        <w:t xml:space="preserve"> Wendell was not entitled to tolling under Commission rules because the zoning litigation related to an alternate site rather than the site authorized in Wendell’s construction permit.</w:t>
      </w:r>
      <w:r w:rsidR="00383349">
        <w:rPr>
          <w:rStyle w:val="FootnoteReference"/>
          <w:sz w:val="22"/>
          <w:szCs w:val="22"/>
        </w:rPr>
        <w:footnoteReference w:id="7"/>
      </w:r>
      <w:r w:rsidR="00383349">
        <w:rPr>
          <w:sz w:val="22"/>
          <w:szCs w:val="22"/>
        </w:rPr>
        <w:t xml:space="preserve">  </w:t>
      </w:r>
      <w:r w:rsidR="00387471">
        <w:rPr>
          <w:sz w:val="22"/>
          <w:szCs w:val="22"/>
        </w:rPr>
        <w:t>The problem here is that</w:t>
      </w:r>
      <w:r w:rsidR="00E21C8C">
        <w:rPr>
          <w:sz w:val="22"/>
          <w:szCs w:val="22"/>
        </w:rPr>
        <w:t xml:space="preserve"> </w:t>
      </w:r>
      <w:r w:rsidR="0049594E" w:rsidRPr="00111250">
        <w:rPr>
          <w:sz w:val="22"/>
          <w:szCs w:val="22"/>
        </w:rPr>
        <w:t xml:space="preserve">Wendell’s initial filings did not clearly identify the </w:t>
      </w:r>
      <w:r>
        <w:rPr>
          <w:sz w:val="22"/>
          <w:szCs w:val="22"/>
        </w:rPr>
        <w:t xml:space="preserve">zoning </w:t>
      </w:r>
      <w:r w:rsidR="0049594E" w:rsidRPr="00111250">
        <w:rPr>
          <w:sz w:val="22"/>
          <w:szCs w:val="22"/>
        </w:rPr>
        <w:t xml:space="preserve">litigation as involving an alternate site.  Indeed, the </w:t>
      </w:r>
      <w:r w:rsidR="0049594E" w:rsidRPr="00111250">
        <w:rPr>
          <w:sz w:val="22"/>
          <w:szCs w:val="22"/>
        </w:rPr>
        <w:lastRenderedPageBreak/>
        <w:t>timing of the</w:t>
      </w:r>
      <w:r w:rsidR="000F2261">
        <w:rPr>
          <w:sz w:val="22"/>
          <w:szCs w:val="22"/>
        </w:rPr>
        <w:t xml:space="preserve"> zoning</w:t>
      </w:r>
      <w:r w:rsidR="0049594E" w:rsidRPr="00111250">
        <w:rPr>
          <w:sz w:val="22"/>
          <w:szCs w:val="22"/>
        </w:rPr>
        <w:t xml:space="preserve"> litigation</w:t>
      </w:r>
      <w:r w:rsidR="004B67D6">
        <w:rPr>
          <w:sz w:val="22"/>
          <w:szCs w:val="22"/>
        </w:rPr>
        <w:t xml:space="preserve"> </w:t>
      </w:r>
      <w:r w:rsidR="004B67D6" w:rsidRPr="00111250">
        <w:rPr>
          <w:sz w:val="22"/>
          <w:szCs w:val="22"/>
        </w:rPr>
        <w:t>suggested otherwise</w:t>
      </w:r>
      <w:r w:rsidR="004B67D6">
        <w:rPr>
          <w:sz w:val="22"/>
          <w:szCs w:val="22"/>
        </w:rPr>
        <w:t xml:space="preserve">.  </w:t>
      </w:r>
      <w:r w:rsidR="009E1288">
        <w:rPr>
          <w:sz w:val="22"/>
          <w:szCs w:val="22"/>
        </w:rPr>
        <w:t xml:space="preserve">Wendell had represented </w:t>
      </w:r>
      <w:r w:rsidR="004B67D6">
        <w:rPr>
          <w:sz w:val="22"/>
          <w:szCs w:val="22"/>
        </w:rPr>
        <w:t xml:space="preserve">that the litigation </w:t>
      </w:r>
      <w:r w:rsidR="009E1288">
        <w:rPr>
          <w:sz w:val="22"/>
          <w:szCs w:val="22"/>
        </w:rPr>
        <w:t xml:space="preserve">commenced in </w:t>
      </w:r>
      <w:r w:rsidR="00716596">
        <w:rPr>
          <w:sz w:val="22"/>
          <w:szCs w:val="22"/>
        </w:rPr>
        <w:t xml:space="preserve">August </w:t>
      </w:r>
      <w:r w:rsidR="009E1288">
        <w:rPr>
          <w:sz w:val="22"/>
          <w:szCs w:val="22"/>
        </w:rPr>
        <w:t xml:space="preserve">2004, </w:t>
      </w:r>
      <w:r w:rsidR="004B67D6">
        <w:rPr>
          <w:sz w:val="22"/>
          <w:szCs w:val="22"/>
        </w:rPr>
        <w:t xml:space="preserve">almost two years </w:t>
      </w:r>
      <w:r w:rsidR="009E1288">
        <w:rPr>
          <w:sz w:val="22"/>
          <w:szCs w:val="22"/>
        </w:rPr>
        <w:t xml:space="preserve">before </w:t>
      </w:r>
      <w:r w:rsidR="00716596">
        <w:rPr>
          <w:sz w:val="22"/>
          <w:szCs w:val="22"/>
        </w:rPr>
        <w:t xml:space="preserve">he </w:t>
      </w:r>
      <w:r w:rsidR="009E1288">
        <w:rPr>
          <w:sz w:val="22"/>
          <w:szCs w:val="22"/>
        </w:rPr>
        <w:t xml:space="preserve">first filed his application to change the </w:t>
      </w:r>
      <w:r w:rsidR="00716596">
        <w:rPr>
          <w:sz w:val="22"/>
          <w:szCs w:val="22"/>
        </w:rPr>
        <w:t>transmitter</w:t>
      </w:r>
      <w:r w:rsidR="009E1288">
        <w:rPr>
          <w:sz w:val="22"/>
          <w:szCs w:val="22"/>
        </w:rPr>
        <w:t xml:space="preserve"> site in April 2006</w:t>
      </w:r>
      <w:r w:rsidR="0049594E" w:rsidRPr="00111250">
        <w:rPr>
          <w:sz w:val="22"/>
          <w:szCs w:val="22"/>
        </w:rPr>
        <w:t>.</w:t>
      </w:r>
      <w:r w:rsidR="002969F2">
        <w:rPr>
          <w:rStyle w:val="FootnoteReference"/>
          <w:sz w:val="22"/>
          <w:szCs w:val="22"/>
        </w:rPr>
        <w:footnoteReference w:id="8"/>
      </w:r>
      <w:r w:rsidR="0049594E" w:rsidRPr="00111250">
        <w:rPr>
          <w:sz w:val="22"/>
          <w:szCs w:val="22"/>
        </w:rPr>
        <w:t xml:space="preserve"> </w:t>
      </w:r>
      <w:r w:rsidR="00383349">
        <w:rPr>
          <w:sz w:val="22"/>
          <w:szCs w:val="22"/>
        </w:rPr>
        <w:t xml:space="preserve"> </w:t>
      </w:r>
      <w:r w:rsidR="0049594E" w:rsidRPr="00111250">
        <w:rPr>
          <w:sz w:val="22"/>
          <w:szCs w:val="22"/>
        </w:rPr>
        <w:t xml:space="preserve">The Bureau’s </w:t>
      </w:r>
      <w:r w:rsidR="009E1288">
        <w:rPr>
          <w:sz w:val="22"/>
          <w:szCs w:val="22"/>
        </w:rPr>
        <w:t xml:space="preserve">mistaken </w:t>
      </w:r>
      <w:r w:rsidR="0049594E" w:rsidRPr="00111250">
        <w:rPr>
          <w:sz w:val="22"/>
          <w:szCs w:val="22"/>
        </w:rPr>
        <w:t xml:space="preserve">belief that Wendell was relying on litigation pertaining to zoning of the </w:t>
      </w:r>
      <w:r w:rsidR="00E21C8C">
        <w:rPr>
          <w:sz w:val="22"/>
          <w:szCs w:val="22"/>
        </w:rPr>
        <w:t>permitted</w:t>
      </w:r>
      <w:r w:rsidR="00E21C8C" w:rsidRPr="00111250">
        <w:rPr>
          <w:sz w:val="22"/>
          <w:szCs w:val="22"/>
        </w:rPr>
        <w:t xml:space="preserve"> </w:t>
      </w:r>
      <w:r w:rsidR="0049594E" w:rsidRPr="00111250">
        <w:rPr>
          <w:sz w:val="22"/>
          <w:szCs w:val="22"/>
        </w:rPr>
        <w:t>site should have been evident to Wendell from the Bureau’s June 1, 2006 initial grant of tolling</w:t>
      </w:r>
      <w:r w:rsidR="00383349">
        <w:rPr>
          <w:sz w:val="22"/>
          <w:szCs w:val="22"/>
        </w:rPr>
        <w:t>, which</w:t>
      </w:r>
      <w:r w:rsidR="0049594E" w:rsidRPr="00111250">
        <w:rPr>
          <w:sz w:val="22"/>
          <w:szCs w:val="22"/>
        </w:rPr>
        <w:t xml:space="preserve"> stated that “Tolling will continue until the earlier of a court decision [resolving the zoning issue] that becomes final or the Commission’s grant of your modification application </w:t>
      </w:r>
      <w:r w:rsidR="0049594E" w:rsidRPr="00111250">
        <w:rPr>
          <w:i/>
          <w:sz w:val="22"/>
          <w:szCs w:val="22"/>
        </w:rPr>
        <w:t>thereby mooting the litigation concerning zoning for the current site</w:t>
      </w:r>
      <w:r w:rsidR="0049594E" w:rsidRPr="00111250">
        <w:rPr>
          <w:sz w:val="22"/>
          <w:szCs w:val="22"/>
        </w:rPr>
        <w:t>.”</w:t>
      </w:r>
      <w:r w:rsidR="00970CEB" w:rsidRPr="00111250">
        <w:rPr>
          <w:rStyle w:val="FootnoteReference"/>
          <w:sz w:val="22"/>
          <w:szCs w:val="22"/>
        </w:rPr>
        <w:footnoteReference w:id="9"/>
      </w:r>
      <w:r w:rsidR="0049594E" w:rsidRPr="00111250">
        <w:rPr>
          <w:sz w:val="22"/>
          <w:szCs w:val="22"/>
        </w:rPr>
        <w:t xml:space="preserve">  Wendell did nothing to correct this misimpression.  </w:t>
      </w:r>
      <w:r w:rsidR="00CD3335">
        <w:rPr>
          <w:sz w:val="22"/>
          <w:szCs w:val="22"/>
        </w:rPr>
        <w:t xml:space="preserve">It was not until </w:t>
      </w:r>
      <w:r w:rsidR="00393BF0">
        <w:rPr>
          <w:sz w:val="22"/>
          <w:szCs w:val="22"/>
        </w:rPr>
        <w:t>October 2007</w:t>
      </w:r>
      <w:r w:rsidR="003F207C">
        <w:rPr>
          <w:sz w:val="22"/>
          <w:szCs w:val="22"/>
        </w:rPr>
        <w:t>,</w:t>
      </w:r>
      <w:r w:rsidR="00393BF0">
        <w:rPr>
          <w:sz w:val="22"/>
          <w:szCs w:val="22"/>
        </w:rPr>
        <w:t xml:space="preserve"> </w:t>
      </w:r>
      <w:r w:rsidR="00ED7378">
        <w:rPr>
          <w:sz w:val="22"/>
          <w:szCs w:val="22"/>
        </w:rPr>
        <w:t xml:space="preserve">more than a year </w:t>
      </w:r>
      <w:r w:rsidR="00393BF0">
        <w:rPr>
          <w:sz w:val="22"/>
          <w:szCs w:val="22"/>
        </w:rPr>
        <w:t xml:space="preserve">after the tolling grant, that </w:t>
      </w:r>
      <w:r w:rsidR="00CD3335">
        <w:rPr>
          <w:sz w:val="22"/>
          <w:szCs w:val="22"/>
        </w:rPr>
        <w:t xml:space="preserve">Wendell </w:t>
      </w:r>
      <w:r w:rsidR="00393BF0">
        <w:rPr>
          <w:sz w:val="22"/>
          <w:szCs w:val="22"/>
        </w:rPr>
        <w:t>disclosed that the zoning litigation did not relate to the site authorized in the construction permit</w:t>
      </w:r>
      <w:r w:rsidR="00907229">
        <w:rPr>
          <w:sz w:val="22"/>
          <w:szCs w:val="22"/>
        </w:rPr>
        <w:t>,</w:t>
      </w:r>
      <w:r w:rsidR="00393BF0">
        <w:rPr>
          <w:sz w:val="22"/>
          <w:szCs w:val="22"/>
        </w:rPr>
        <w:t xml:space="preserve"> in a footnote </w:t>
      </w:r>
      <w:r w:rsidR="00907229">
        <w:rPr>
          <w:sz w:val="22"/>
          <w:szCs w:val="22"/>
        </w:rPr>
        <w:t xml:space="preserve">to a pleading </w:t>
      </w:r>
      <w:r w:rsidR="00CD3335">
        <w:rPr>
          <w:sz w:val="22"/>
          <w:szCs w:val="22"/>
        </w:rPr>
        <w:t xml:space="preserve">filed </w:t>
      </w:r>
      <w:r w:rsidR="00393BF0">
        <w:rPr>
          <w:sz w:val="22"/>
          <w:szCs w:val="22"/>
        </w:rPr>
        <w:t xml:space="preserve">in </w:t>
      </w:r>
      <w:r w:rsidR="00CD3335">
        <w:rPr>
          <w:sz w:val="22"/>
          <w:szCs w:val="22"/>
        </w:rPr>
        <w:t>respons</w:t>
      </w:r>
      <w:r w:rsidR="00393BF0">
        <w:rPr>
          <w:sz w:val="22"/>
          <w:szCs w:val="22"/>
        </w:rPr>
        <w:t xml:space="preserve">e </w:t>
      </w:r>
      <w:r w:rsidR="00CD3335">
        <w:rPr>
          <w:sz w:val="22"/>
          <w:szCs w:val="22"/>
        </w:rPr>
        <w:t>to a third-party’s</w:t>
      </w:r>
      <w:r w:rsidR="000F2261">
        <w:rPr>
          <w:sz w:val="22"/>
          <w:szCs w:val="22"/>
        </w:rPr>
        <w:t xml:space="preserve"> “Petition to Terminate Tolling</w:t>
      </w:r>
      <w:r w:rsidR="00393BF0">
        <w:rPr>
          <w:sz w:val="22"/>
          <w:szCs w:val="22"/>
        </w:rPr>
        <w:t>.</w:t>
      </w:r>
      <w:r w:rsidR="000F2261">
        <w:rPr>
          <w:sz w:val="22"/>
          <w:szCs w:val="22"/>
        </w:rPr>
        <w:t>”</w:t>
      </w:r>
      <w:r w:rsidR="00393BF0">
        <w:rPr>
          <w:rStyle w:val="FootnoteReference"/>
          <w:sz w:val="22"/>
          <w:szCs w:val="22"/>
        </w:rPr>
        <w:footnoteReference w:id="10"/>
      </w:r>
      <w:r w:rsidR="000F2261">
        <w:rPr>
          <w:sz w:val="22"/>
          <w:szCs w:val="22"/>
        </w:rPr>
        <w:t xml:space="preserve"> </w:t>
      </w:r>
      <w:r w:rsidR="00E21C8C">
        <w:rPr>
          <w:sz w:val="22"/>
          <w:szCs w:val="22"/>
        </w:rPr>
        <w:t xml:space="preserve"> </w:t>
      </w:r>
      <w:r w:rsidR="0049594E" w:rsidRPr="00111250">
        <w:rPr>
          <w:sz w:val="22"/>
          <w:szCs w:val="22"/>
        </w:rPr>
        <w:t xml:space="preserve">The Bureau’s decision to terminate tolling under these circumstances was </w:t>
      </w:r>
      <w:r w:rsidR="00387471">
        <w:rPr>
          <w:sz w:val="22"/>
          <w:szCs w:val="22"/>
        </w:rPr>
        <w:t xml:space="preserve">thus </w:t>
      </w:r>
      <w:r w:rsidR="0049594E" w:rsidRPr="00111250">
        <w:rPr>
          <w:sz w:val="22"/>
          <w:szCs w:val="22"/>
        </w:rPr>
        <w:t xml:space="preserve">warranted.  Furthermore, the Bureau acted fairly in nonetheless giving Wendell the benefit of nearly two years </w:t>
      </w:r>
      <w:r w:rsidR="00590678">
        <w:rPr>
          <w:sz w:val="22"/>
          <w:szCs w:val="22"/>
        </w:rPr>
        <w:t xml:space="preserve">additional time for construction that </w:t>
      </w:r>
      <w:r w:rsidR="0049594E" w:rsidRPr="00111250">
        <w:rPr>
          <w:sz w:val="22"/>
          <w:szCs w:val="22"/>
        </w:rPr>
        <w:t>he had received erroneously</w:t>
      </w:r>
      <w:r w:rsidR="00590678">
        <w:rPr>
          <w:sz w:val="22"/>
          <w:szCs w:val="22"/>
        </w:rPr>
        <w:t>, and by affording him an opportunity to document circumstances that might warrant additional construction time by waiver</w:t>
      </w:r>
      <w:r w:rsidR="0049594E" w:rsidRPr="00111250">
        <w:rPr>
          <w:sz w:val="22"/>
          <w:szCs w:val="22"/>
        </w:rPr>
        <w:t>.  Any resulting investment in the zoning litigation was the result of Wendell’s own conduct.</w:t>
      </w:r>
      <w:r w:rsidR="00590678">
        <w:rPr>
          <w:sz w:val="22"/>
          <w:szCs w:val="22"/>
        </w:rPr>
        <w:t xml:space="preserve">  </w:t>
      </w:r>
      <w:r>
        <w:t xml:space="preserve">Based on this record, we reject Wendell’s argument that the Bureau’s action was arbitrary and capricious.    </w:t>
      </w:r>
    </w:p>
    <w:p w:rsidR="00596E64" w:rsidRDefault="00596E64">
      <w:pPr>
        <w:rPr>
          <w:sz w:val="22"/>
          <w:szCs w:val="22"/>
        </w:rPr>
      </w:pPr>
    </w:p>
    <w:p w:rsidR="00596E64" w:rsidRDefault="00596E64">
      <w:pPr>
        <w:rPr>
          <w:b/>
          <w:sz w:val="22"/>
          <w:szCs w:val="22"/>
        </w:rPr>
      </w:pPr>
      <w:r>
        <w:rPr>
          <w:sz w:val="22"/>
          <w:szCs w:val="22"/>
        </w:rPr>
        <w:tab/>
      </w:r>
      <w:r w:rsidR="000133DF">
        <w:rPr>
          <w:sz w:val="22"/>
          <w:szCs w:val="22"/>
        </w:rPr>
        <w:t>4</w:t>
      </w:r>
      <w:r>
        <w:rPr>
          <w:sz w:val="22"/>
          <w:szCs w:val="22"/>
        </w:rPr>
        <w:t>.</w:t>
      </w:r>
      <w:r>
        <w:rPr>
          <w:sz w:val="22"/>
          <w:szCs w:val="22"/>
        </w:rPr>
        <w:tab/>
        <w:t xml:space="preserve">ACCORDINGLY, IT IS ORDERED that, pursuant to section 5(c)(5) of the Communications Act of 1934, as amended, 47 U.S.C. § 155(c)(5), and section 1.115(g) of the Commission’s rules, 47 C.F.R. § 1.115(g), the Application for Review IS DENIED.  </w:t>
      </w:r>
    </w:p>
    <w:p w:rsidR="00596E64" w:rsidRDefault="00596E64">
      <w:pPr>
        <w:tabs>
          <w:tab w:val="left" w:pos="-720"/>
        </w:tabs>
        <w:suppressAutoHyphens/>
        <w:rPr>
          <w:spacing w:val="-3"/>
          <w:sz w:val="22"/>
          <w:szCs w:val="22"/>
        </w:rPr>
      </w:pPr>
      <w:r>
        <w:rPr>
          <w:spacing w:val="-3"/>
          <w:sz w:val="22"/>
          <w:szCs w:val="22"/>
        </w:rPr>
        <w:tab/>
        <w:t xml:space="preserve"> </w:t>
      </w:r>
    </w:p>
    <w:p w:rsidR="00596E64" w:rsidRDefault="00596E64">
      <w:pPr>
        <w:tabs>
          <w:tab w:val="left" w:pos="-720"/>
        </w:tabs>
        <w:suppressAutoHyphens/>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FEDERAL COMMUNICATIONS COMMISSION</w:t>
      </w:r>
    </w:p>
    <w:p w:rsidR="00596E64" w:rsidRDefault="00596E64">
      <w:pPr>
        <w:tabs>
          <w:tab w:val="left" w:pos="-720"/>
        </w:tabs>
        <w:suppressAutoHyphens/>
        <w:rPr>
          <w:spacing w:val="-3"/>
          <w:sz w:val="22"/>
          <w:szCs w:val="22"/>
        </w:rPr>
      </w:pPr>
    </w:p>
    <w:p w:rsidR="00596E64" w:rsidRDefault="00596E64">
      <w:pPr>
        <w:tabs>
          <w:tab w:val="left" w:pos="-720"/>
        </w:tabs>
        <w:suppressAutoHyphens/>
        <w:rPr>
          <w:spacing w:val="-3"/>
          <w:sz w:val="22"/>
          <w:szCs w:val="22"/>
        </w:rPr>
      </w:pPr>
    </w:p>
    <w:p w:rsidR="00596E64" w:rsidRDefault="00596E64">
      <w:pPr>
        <w:tabs>
          <w:tab w:val="left" w:pos="-720"/>
        </w:tabs>
        <w:suppressAutoHyphens/>
        <w:rPr>
          <w:spacing w:val="-3"/>
          <w:sz w:val="22"/>
          <w:szCs w:val="22"/>
        </w:rPr>
      </w:pPr>
    </w:p>
    <w:p w:rsidR="00596E64" w:rsidRDefault="00596E64">
      <w:pPr>
        <w:tabs>
          <w:tab w:val="left" w:pos="-720"/>
        </w:tabs>
        <w:suppressAutoHyphens/>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Marlene H. Dortch</w:t>
      </w:r>
    </w:p>
    <w:p w:rsidR="00596E64" w:rsidRDefault="00596E64">
      <w:pPr>
        <w:tabs>
          <w:tab w:val="left" w:pos="-720"/>
        </w:tabs>
        <w:suppressAutoHyphens/>
        <w:rPr>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Secretary</w:t>
      </w:r>
    </w:p>
    <w:sectPr w:rsidR="00596E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69" w:rsidRDefault="00C41C69">
      <w:r>
        <w:separator/>
      </w:r>
    </w:p>
  </w:endnote>
  <w:endnote w:type="continuationSeparator" w:id="0">
    <w:p w:rsidR="00C41C69" w:rsidRDefault="00C4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8F" w:rsidRDefault="00DB2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64" w:rsidRDefault="00596E64">
    <w:pPr>
      <w:spacing w:before="140" w:line="100" w:lineRule="exact"/>
      <w:rPr>
        <w:sz w:val="10"/>
      </w:rPr>
    </w:pPr>
  </w:p>
  <w:p w:rsidR="00596E64" w:rsidRDefault="00596E64">
    <w:pPr>
      <w:suppressAutoHyphens/>
      <w:jc w:val="both"/>
    </w:pPr>
  </w:p>
  <w:p w:rsidR="00596E64" w:rsidRDefault="00596800">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6E64" w:rsidRDefault="00596E64">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DE42A1">
                            <w:rPr>
                              <w:noProof/>
                              <w:spacing w:val="-3"/>
                            </w:rPr>
                            <w:t>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in;margin-top:12pt;width:46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XZ4AIAAGU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" o:allowincell="f" filled="f" stroked="f" strokeweight="0">
              <v:textbox inset="0,0,0,0">
                <w:txbxContent>
                  <w:p w:rsidR="00596E64" w:rsidRDefault="00596E64">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DE42A1">
                      <w:rPr>
                        <w:noProof/>
                        <w:spacing w:val="-3"/>
                      </w:rPr>
                      <w:t>2</w:t>
                    </w:r>
                    <w:r>
                      <w:rPr>
                        <w:spacing w:val="-3"/>
                      </w:rPr>
                      <w:fldChar w:fldCharType="end"/>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8F" w:rsidRDefault="00DB2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69" w:rsidRDefault="00C41C69">
      <w:r>
        <w:separator/>
      </w:r>
    </w:p>
  </w:footnote>
  <w:footnote w:type="continuationSeparator" w:id="0">
    <w:p w:rsidR="00C41C69" w:rsidRDefault="00C41C69">
      <w:r>
        <w:continuationSeparator/>
      </w:r>
    </w:p>
  </w:footnote>
  <w:footnote w:id="1">
    <w:p w:rsidR="00596E64" w:rsidRPr="00C10A3C" w:rsidRDefault="00596E64" w:rsidP="00596E64">
      <w:pPr>
        <w:pStyle w:val="FootnoteText"/>
        <w:spacing w:after="120"/>
        <w:rPr>
          <w:sz w:val="20"/>
        </w:rPr>
      </w:pPr>
      <w:r w:rsidRPr="00C10A3C">
        <w:rPr>
          <w:rStyle w:val="FootnoteReference"/>
          <w:sz w:val="20"/>
        </w:rPr>
        <w:footnoteRef/>
      </w:r>
      <w:r w:rsidRPr="00C10A3C">
        <w:rPr>
          <w:sz w:val="20"/>
        </w:rPr>
        <w:t xml:space="preserve"> </w:t>
      </w:r>
      <w:r>
        <w:rPr>
          <w:sz w:val="20"/>
        </w:rPr>
        <w:t xml:space="preserve">On October 28, 2009, </w:t>
      </w:r>
      <w:r w:rsidRPr="00C10A3C">
        <w:rPr>
          <w:sz w:val="20"/>
        </w:rPr>
        <w:t>Principle Broadcasting Network New York, LLC</w:t>
      </w:r>
      <w:r w:rsidR="0049594E">
        <w:rPr>
          <w:sz w:val="20"/>
        </w:rPr>
        <w:t xml:space="preserve">  (“Principle”)</w:t>
      </w:r>
      <w:r w:rsidRPr="00C10A3C">
        <w:rPr>
          <w:sz w:val="20"/>
        </w:rPr>
        <w:t xml:space="preserve">, licensee of co-channel station WLIE(AM), Islip, New York, </w:t>
      </w:r>
      <w:r>
        <w:rPr>
          <w:sz w:val="20"/>
        </w:rPr>
        <w:t xml:space="preserve">filed an Opposition to </w:t>
      </w:r>
      <w:r w:rsidRPr="00C10A3C">
        <w:rPr>
          <w:sz w:val="20"/>
        </w:rPr>
        <w:t>Application for Review.</w:t>
      </w:r>
    </w:p>
  </w:footnote>
  <w:footnote w:id="2">
    <w:p w:rsidR="00596E64" w:rsidRPr="00DE10C8" w:rsidRDefault="00596E64" w:rsidP="00596E64">
      <w:pPr>
        <w:pStyle w:val="FootnoteText"/>
        <w:spacing w:after="120"/>
        <w:rPr>
          <w:sz w:val="20"/>
        </w:rPr>
      </w:pPr>
      <w:r w:rsidRPr="00DE10C8">
        <w:rPr>
          <w:rStyle w:val="FootnoteReference"/>
          <w:sz w:val="20"/>
        </w:rPr>
        <w:footnoteRef/>
      </w:r>
      <w:r w:rsidRPr="00DE10C8">
        <w:rPr>
          <w:sz w:val="20"/>
        </w:rPr>
        <w:t xml:space="preserve"> </w:t>
      </w:r>
      <w:r>
        <w:rPr>
          <w:i/>
          <w:sz w:val="20"/>
        </w:rPr>
        <w:t xml:space="preserve">Christopher Imlay, Esq., </w:t>
      </w:r>
      <w:r>
        <w:rPr>
          <w:sz w:val="20"/>
        </w:rPr>
        <w:t>Letter, 24 FCC Rcd 11809 (2009) (“</w:t>
      </w:r>
      <w:r>
        <w:rPr>
          <w:i/>
          <w:sz w:val="20"/>
        </w:rPr>
        <w:t>Letter</w:t>
      </w:r>
      <w:r>
        <w:rPr>
          <w:sz w:val="20"/>
        </w:rPr>
        <w:t>”).</w:t>
      </w:r>
    </w:p>
  </w:footnote>
  <w:footnote w:id="3">
    <w:p w:rsidR="00596E64" w:rsidRDefault="00596E64" w:rsidP="00596E64">
      <w:pPr>
        <w:pStyle w:val="FootnoteText"/>
        <w:spacing w:after="120"/>
      </w:pPr>
      <w:r w:rsidRPr="00E72773">
        <w:rPr>
          <w:rStyle w:val="FootnoteReference"/>
          <w:sz w:val="20"/>
        </w:rPr>
        <w:footnoteRef/>
      </w:r>
      <w:r>
        <w:t xml:space="preserve"> </w:t>
      </w:r>
      <w:r w:rsidRPr="00621E6D">
        <w:rPr>
          <w:i/>
          <w:sz w:val="20"/>
        </w:rPr>
        <w:t>Christopher Imlay</w:t>
      </w:r>
      <w:r w:rsidRPr="00621E6D">
        <w:rPr>
          <w:sz w:val="20"/>
        </w:rPr>
        <w:t xml:space="preserve">, Esq., </w:t>
      </w:r>
      <w:r>
        <w:rPr>
          <w:sz w:val="20"/>
        </w:rPr>
        <w:t xml:space="preserve">Letter, </w:t>
      </w:r>
      <w:r w:rsidRPr="00621E6D">
        <w:rPr>
          <w:sz w:val="20"/>
        </w:rPr>
        <w:t>Ref. 1800B3-IB (MB Mar. 5, 2008).</w:t>
      </w:r>
    </w:p>
  </w:footnote>
  <w:footnote w:id="4">
    <w:p w:rsidR="00596E64" w:rsidRPr="002E2CA3" w:rsidRDefault="00596E64" w:rsidP="00596E64">
      <w:pPr>
        <w:pStyle w:val="FootnoteText"/>
        <w:spacing w:after="120"/>
        <w:rPr>
          <w:sz w:val="20"/>
        </w:rPr>
      </w:pPr>
      <w:r w:rsidRPr="00E72773">
        <w:rPr>
          <w:rStyle w:val="FootnoteReference"/>
          <w:sz w:val="20"/>
        </w:rPr>
        <w:footnoteRef/>
      </w:r>
      <w:r>
        <w:t xml:space="preserve"> </w:t>
      </w:r>
      <w:r w:rsidRPr="002E2CA3">
        <w:rPr>
          <w:i/>
          <w:sz w:val="20"/>
        </w:rPr>
        <w:t>See Broadcast Actions</w:t>
      </w:r>
      <w:r w:rsidRPr="002E2CA3">
        <w:rPr>
          <w:sz w:val="20"/>
        </w:rPr>
        <w:t>, Public Notice, Rep. No. 46771 (July 14, 2008).</w:t>
      </w:r>
    </w:p>
  </w:footnote>
  <w:footnote w:id="5">
    <w:p w:rsidR="00FA3ED3" w:rsidRPr="00111250" w:rsidRDefault="00111250" w:rsidP="009921EC">
      <w:pPr>
        <w:pStyle w:val="FootnoteText"/>
        <w:spacing w:after="120"/>
      </w:pPr>
      <w:r w:rsidRPr="00E72773">
        <w:rPr>
          <w:rStyle w:val="FootnoteReference"/>
          <w:sz w:val="20"/>
        </w:rPr>
        <w:footnoteRef/>
      </w:r>
      <w:r>
        <w:t xml:space="preserve"> </w:t>
      </w:r>
      <w:r w:rsidRPr="002E2CA3">
        <w:rPr>
          <w:i/>
          <w:sz w:val="20"/>
        </w:rPr>
        <w:t>See</w:t>
      </w:r>
      <w:r>
        <w:rPr>
          <w:i/>
          <w:sz w:val="20"/>
        </w:rPr>
        <w:t xml:space="preserve"> </w:t>
      </w:r>
      <w:r>
        <w:rPr>
          <w:sz w:val="20"/>
        </w:rPr>
        <w:t xml:space="preserve">47 C.F.R. </w:t>
      </w:r>
      <w:r w:rsidR="006649B3" w:rsidRPr="00533F71">
        <w:rPr>
          <w:spacing w:val="-3"/>
          <w:sz w:val="20"/>
        </w:rPr>
        <w:t>§</w:t>
      </w:r>
      <w:r w:rsidR="006649B3">
        <w:rPr>
          <w:spacing w:val="-3"/>
          <w:sz w:val="20"/>
        </w:rPr>
        <w:t>73.3598(b).</w:t>
      </w:r>
    </w:p>
  </w:footnote>
  <w:footnote w:id="6">
    <w:p w:rsidR="00970CEB" w:rsidRPr="000133DF" w:rsidRDefault="0049594E" w:rsidP="000133DF">
      <w:pPr>
        <w:pStyle w:val="FootnoteText"/>
        <w:spacing w:after="120"/>
        <w:rPr>
          <w:sz w:val="20"/>
        </w:rPr>
      </w:pPr>
      <w:r w:rsidRPr="000133DF">
        <w:rPr>
          <w:rStyle w:val="FootnoteReference"/>
          <w:sz w:val="20"/>
        </w:rPr>
        <w:footnoteRef/>
      </w:r>
      <w:r w:rsidRPr="000133DF">
        <w:rPr>
          <w:sz w:val="20"/>
        </w:rPr>
        <w:t xml:space="preserve"> Application for Review at 16.</w:t>
      </w:r>
    </w:p>
  </w:footnote>
  <w:footnote w:id="7">
    <w:p w:rsidR="00383349" w:rsidRPr="00383349" w:rsidRDefault="00383349">
      <w:pPr>
        <w:pStyle w:val="FootnoteText"/>
      </w:pPr>
      <w:r w:rsidRPr="00E72773">
        <w:rPr>
          <w:rStyle w:val="FootnoteReference"/>
          <w:sz w:val="20"/>
        </w:rPr>
        <w:footnoteRef/>
      </w:r>
      <w:r>
        <w:t xml:space="preserve"> </w:t>
      </w:r>
      <w:r w:rsidRPr="00383349">
        <w:rPr>
          <w:i/>
          <w:sz w:val="20"/>
        </w:rPr>
        <w:t>See Letter,</w:t>
      </w:r>
      <w:r w:rsidRPr="00383349">
        <w:rPr>
          <w:sz w:val="20"/>
        </w:rPr>
        <w:t xml:space="preserve"> 24 FCC Rcd at 11812</w:t>
      </w:r>
      <w:r>
        <w:t>.</w:t>
      </w:r>
    </w:p>
  </w:footnote>
  <w:footnote w:id="8">
    <w:p w:rsidR="005C0C98" w:rsidRPr="00383349" w:rsidRDefault="002969F2" w:rsidP="009921EC">
      <w:pPr>
        <w:pStyle w:val="FootnoteText"/>
        <w:spacing w:after="120"/>
        <w:rPr>
          <w:sz w:val="20"/>
        </w:rPr>
      </w:pPr>
      <w:r w:rsidRPr="00E72773">
        <w:rPr>
          <w:rStyle w:val="FootnoteReference"/>
          <w:sz w:val="20"/>
        </w:rPr>
        <w:footnoteRef/>
      </w:r>
      <w:r>
        <w:t xml:space="preserve"> </w:t>
      </w:r>
      <w:r w:rsidRPr="00533F71">
        <w:rPr>
          <w:i/>
          <w:sz w:val="20"/>
        </w:rPr>
        <w:t xml:space="preserve">See </w:t>
      </w:r>
      <w:r w:rsidRPr="00533F71">
        <w:rPr>
          <w:sz w:val="20"/>
        </w:rPr>
        <w:t xml:space="preserve">Tolling Request at 4 </w:t>
      </w:r>
      <w:r w:rsidRPr="009921EC">
        <w:rPr>
          <w:spacing w:val="-3"/>
          <w:sz w:val="20"/>
        </w:rPr>
        <w:t>and</w:t>
      </w:r>
      <w:r w:rsidRPr="00533F71">
        <w:rPr>
          <w:sz w:val="20"/>
        </w:rPr>
        <w:t xml:space="preserve"> Exhibit J.</w:t>
      </w:r>
    </w:p>
  </w:footnote>
  <w:footnote w:id="9">
    <w:p w:rsidR="00970CEB" w:rsidRDefault="00970CEB" w:rsidP="009921EC">
      <w:pPr>
        <w:pStyle w:val="FootnoteText"/>
        <w:spacing w:after="120"/>
      </w:pPr>
      <w:r w:rsidRPr="00E72773">
        <w:rPr>
          <w:rStyle w:val="FootnoteReference"/>
          <w:sz w:val="20"/>
        </w:rPr>
        <w:footnoteRef/>
      </w:r>
      <w:r>
        <w:t xml:space="preserve"> </w:t>
      </w:r>
      <w:r w:rsidR="00FA252F" w:rsidRPr="00970CEB">
        <w:rPr>
          <w:sz w:val="20"/>
        </w:rPr>
        <w:t xml:space="preserve">Letter to </w:t>
      </w:r>
      <w:r w:rsidR="00FA252F" w:rsidRPr="009921EC">
        <w:rPr>
          <w:spacing w:val="-3"/>
          <w:sz w:val="20"/>
        </w:rPr>
        <w:t>Steven</w:t>
      </w:r>
      <w:r w:rsidR="00FA252F" w:rsidRPr="00970CEB">
        <w:rPr>
          <w:sz w:val="20"/>
        </w:rPr>
        <w:t xml:space="preserve"> Wendell (June 1, 2006) </w:t>
      </w:r>
      <w:r>
        <w:rPr>
          <w:sz w:val="20"/>
        </w:rPr>
        <w:t>at 1-2</w:t>
      </w:r>
      <w:r w:rsidR="005C0C98">
        <w:rPr>
          <w:sz w:val="20"/>
        </w:rPr>
        <w:t xml:space="preserve"> (emphasis added)</w:t>
      </w:r>
      <w:r>
        <w:rPr>
          <w:sz w:val="20"/>
        </w:rPr>
        <w:t xml:space="preserve">.  </w:t>
      </w:r>
    </w:p>
  </w:footnote>
  <w:footnote w:id="10">
    <w:p w:rsidR="00393BF0" w:rsidRPr="00E72773" w:rsidRDefault="00393BF0" w:rsidP="009921EC">
      <w:pPr>
        <w:pStyle w:val="FootnoteText"/>
        <w:spacing w:after="120"/>
        <w:rPr>
          <w:sz w:val="20"/>
        </w:rPr>
      </w:pPr>
      <w:r w:rsidRPr="00E72773">
        <w:rPr>
          <w:rStyle w:val="FootnoteReference"/>
          <w:sz w:val="20"/>
        </w:rPr>
        <w:footnoteRef/>
      </w:r>
      <w:r w:rsidRPr="00E72773">
        <w:rPr>
          <w:sz w:val="20"/>
        </w:rPr>
        <w:t xml:space="preserve"> </w:t>
      </w:r>
      <w:r w:rsidR="00907229">
        <w:rPr>
          <w:sz w:val="20"/>
        </w:rPr>
        <w:t xml:space="preserve">Opposition to Petition to </w:t>
      </w:r>
      <w:r w:rsidR="00907229" w:rsidRPr="009921EC">
        <w:rPr>
          <w:spacing w:val="-3"/>
          <w:sz w:val="20"/>
        </w:rPr>
        <w:t>Terminate</w:t>
      </w:r>
      <w:r w:rsidR="00907229">
        <w:rPr>
          <w:sz w:val="20"/>
        </w:rPr>
        <w:t xml:space="preserve"> Tolling at 2, n.1.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8F" w:rsidRDefault="00DB2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64" w:rsidRDefault="00596E64">
    <w:pPr>
      <w:tabs>
        <w:tab w:val="center" w:pos="4680"/>
        <w:tab w:val="right" w:pos="9360"/>
      </w:tabs>
      <w:suppressAutoHyphens/>
      <w:jc w:val="both"/>
      <w:rPr>
        <w:spacing w:val="-3"/>
        <w:sz w:val="22"/>
        <w:szCs w:val="22"/>
      </w:rPr>
    </w:pPr>
    <w:r>
      <w:rPr>
        <w:b/>
        <w:spacing w:val="-3"/>
        <w:sz w:val="22"/>
        <w:szCs w:val="22"/>
      </w:rPr>
      <w:tab/>
      <w:t>Federal Communications Commission</w:t>
    </w:r>
    <w:r>
      <w:rPr>
        <w:b/>
        <w:spacing w:val="-3"/>
        <w:sz w:val="22"/>
        <w:szCs w:val="22"/>
      </w:rPr>
      <w:tab/>
      <w:t>FCC 13-</w:t>
    </w:r>
    <w:r w:rsidR="00DC645D">
      <w:rPr>
        <w:b/>
        <w:spacing w:val="-3"/>
        <w:sz w:val="22"/>
        <w:szCs w:val="22"/>
      </w:rPr>
      <w:t>43</w:t>
    </w:r>
  </w:p>
  <w:p w:rsidR="00596E64" w:rsidRDefault="00596800">
    <w:pPr>
      <w:tabs>
        <w:tab w:val="left" w:pos="-720"/>
      </w:tabs>
      <w:suppressAutoHyphens/>
      <w:spacing w:line="19" w:lineRule="exact"/>
      <w:jc w:val="both"/>
      <w:rPr>
        <w:spacing w:val="-3"/>
      </w:rPr>
    </w:pPr>
    <w:r>
      <w:rPr>
        <w:noProof/>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E64" w:rsidRDefault="00596E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FX6w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BpVcVfrAgAAPQYAAA4AAAAAAAAA&#10;AAAAAAAALgIAAGRycy9lMm9Eb2MueG1sUEsBAi0AFAAGAAgAAAAhACI87tHXAAAAAwEAAA8AAAAA&#10;AAAAAAAAAAAARQUAAGRycy9kb3ducmV2LnhtbFBLBQYAAAAABAAEAPMAAABJBgAAAAA=&#10;" o:allowincell="f" fillcolor="black" stroked="f" strokeweight=".05pt">
              <v:textbox>
                <w:txbxContent>
                  <w:p w:rsidR="00596E64" w:rsidRDefault="00596E64"/>
                </w:txbxContent>
              </v:textbox>
              <w10:wrap anchorx="margin"/>
            </v:rect>
          </w:pict>
        </mc:Fallback>
      </mc:AlternateContent>
    </w:r>
  </w:p>
  <w:p w:rsidR="00596E64" w:rsidRDefault="00596E64">
    <w:pPr>
      <w:spacing w:after="428"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64" w:rsidRDefault="00596E64">
    <w:pPr>
      <w:tabs>
        <w:tab w:val="center" w:pos="4680"/>
        <w:tab w:val="right" w:pos="9360"/>
      </w:tabs>
      <w:suppressAutoHyphens/>
      <w:jc w:val="both"/>
      <w:rPr>
        <w:spacing w:val="-3"/>
        <w:sz w:val="22"/>
        <w:szCs w:val="22"/>
      </w:rPr>
    </w:pPr>
    <w:r>
      <w:rPr>
        <w:b/>
        <w:spacing w:val="-3"/>
      </w:rPr>
      <w:tab/>
    </w:r>
    <w:r>
      <w:rPr>
        <w:b/>
        <w:spacing w:val="-3"/>
        <w:sz w:val="22"/>
        <w:szCs w:val="22"/>
      </w:rPr>
      <w:t>Federal Communications Commission</w:t>
    </w:r>
    <w:r>
      <w:rPr>
        <w:b/>
        <w:spacing w:val="-3"/>
        <w:sz w:val="22"/>
        <w:szCs w:val="22"/>
      </w:rPr>
      <w:tab/>
      <w:t>FCC 13-</w:t>
    </w:r>
    <w:r w:rsidR="00D626AE">
      <w:rPr>
        <w:b/>
        <w:spacing w:val="-3"/>
        <w:sz w:val="22"/>
        <w:szCs w:val="22"/>
      </w:rPr>
      <w:t>43</w:t>
    </w:r>
    <w:r>
      <w:rPr>
        <w:b/>
        <w:spacing w:val="-3"/>
        <w:sz w:val="22"/>
        <w:szCs w:val="22"/>
      </w:rPr>
      <w:t xml:space="preserve">   </w:t>
    </w:r>
  </w:p>
  <w:p w:rsidR="00596E64" w:rsidRDefault="00596800">
    <w:pPr>
      <w:tabs>
        <w:tab w:val="left" w:pos="-720"/>
      </w:tabs>
      <w:suppressAutoHyphens/>
      <w:spacing w:line="19" w:lineRule="exact"/>
      <w:jc w:val="both"/>
      <w:rPr>
        <w:spacing w:val="-3"/>
      </w:rPr>
    </w:pPr>
    <w:r>
      <w:rPr>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E64" w:rsidRDefault="00596E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" o:allowincell="f" fillcolor="black" stroked="f" strokeweight=".05pt">
              <v:textbox>
                <w:txbxContent>
                  <w:p w:rsidR="00596E64" w:rsidRDefault="00596E64"/>
                </w:txbxContent>
              </v:textbox>
              <w10:wrap anchorx="margin"/>
            </v:rect>
          </w:pict>
        </mc:Fallback>
      </mc:AlternateContent>
    </w:r>
  </w:p>
  <w:p w:rsidR="00596E64" w:rsidRDefault="00596E64">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577C8B4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FF"/>
    <w:rsid w:val="000133DF"/>
    <w:rsid w:val="00016204"/>
    <w:rsid w:val="00032C48"/>
    <w:rsid w:val="00044535"/>
    <w:rsid w:val="0004697D"/>
    <w:rsid w:val="000624D6"/>
    <w:rsid w:val="000F2261"/>
    <w:rsid w:val="00111250"/>
    <w:rsid w:val="00113128"/>
    <w:rsid w:val="0013316C"/>
    <w:rsid w:val="0015268F"/>
    <w:rsid w:val="0015329C"/>
    <w:rsid w:val="00167F8E"/>
    <w:rsid w:val="001909D3"/>
    <w:rsid w:val="001E6C26"/>
    <w:rsid w:val="002350F8"/>
    <w:rsid w:val="00242F0F"/>
    <w:rsid w:val="0025196B"/>
    <w:rsid w:val="002969F2"/>
    <w:rsid w:val="00330364"/>
    <w:rsid w:val="003471B5"/>
    <w:rsid w:val="00383349"/>
    <w:rsid w:val="00387471"/>
    <w:rsid w:val="00393BF0"/>
    <w:rsid w:val="003B4A76"/>
    <w:rsid w:val="003F207C"/>
    <w:rsid w:val="00436596"/>
    <w:rsid w:val="00441EBA"/>
    <w:rsid w:val="0049594E"/>
    <w:rsid w:val="004B67D6"/>
    <w:rsid w:val="005069F2"/>
    <w:rsid w:val="00533F71"/>
    <w:rsid w:val="00590678"/>
    <w:rsid w:val="00596800"/>
    <w:rsid w:val="00596E64"/>
    <w:rsid w:val="005A27CA"/>
    <w:rsid w:val="005B1E9B"/>
    <w:rsid w:val="005C0C98"/>
    <w:rsid w:val="00634207"/>
    <w:rsid w:val="006649B3"/>
    <w:rsid w:val="00670AD1"/>
    <w:rsid w:val="006E788A"/>
    <w:rsid w:val="00716596"/>
    <w:rsid w:val="00726D97"/>
    <w:rsid w:val="00732C47"/>
    <w:rsid w:val="00780F0F"/>
    <w:rsid w:val="007B2543"/>
    <w:rsid w:val="007C7F4B"/>
    <w:rsid w:val="007D34A0"/>
    <w:rsid w:val="007F5B3B"/>
    <w:rsid w:val="008607F9"/>
    <w:rsid w:val="008A67D9"/>
    <w:rsid w:val="008C6ABB"/>
    <w:rsid w:val="008D5453"/>
    <w:rsid w:val="00907229"/>
    <w:rsid w:val="00911C44"/>
    <w:rsid w:val="009164FD"/>
    <w:rsid w:val="00970CEB"/>
    <w:rsid w:val="009921EC"/>
    <w:rsid w:val="009E1288"/>
    <w:rsid w:val="00A84678"/>
    <w:rsid w:val="00A9012B"/>
    <w:rsid w:val="00AB6254"/>
    <w:rsid w:val="00B05768"/>
    <w:rsid w:val="00B34467"/>
    <w:rsid w:val="00C11B0F"/>
    <w:rsid w:val="00C41C69"/>
    <w:rsid w:val="00C953EE"/>
    <w:rsid w:val="00C96468"/>
    <w:rsid w:val="00CA134E"/>
    <w:rsid w:val="00CA382E"/>
    <w:rsid w:val="00CD3335"/>
    <w:rsid w:val="00CD63FB"/>
    <w:rsid w:val="00D626AE"/>
    <w:rsid w:val="00D63132"/>
    <w:rsid w:val="00D85E24"/>
    <w:rsid w:val="00DA3A8B"/>
    <w:rsid w:val="00DB248F"/>
    <w:rsid w:val="00DC5F9E"/>
    <w:rsid w:val="00DC645D"/>
    <w:rsid w:val="00DE42A1"/>
    <w:rsid w:val="00DF3846"/>
    <w:rsid w:val="00E0160E"/>
    <w:rsid w:val="00E21C8C"/>
    <w:rsid w:val="00E35233"/>
    <w:rsid w:val="00E4160A"/>
    <w:rsid w:val="00E45FD1"/>
    <w:rsid w:val="00E5621E"/>
    <w:rsid w:val="00E72773"/>
    <w:rsid w:val="00EA1937"/>
    <w:rsid w:val="00ED2882"/>
    <w:rsid w:val="00ED7378"/>
    <w:rsid w:val="00F11DFF"/>
    <w:rsid w:val="00F44E80"/>
    <w:rsid w:val="00F96BD9"/>
    <w:rsid w:val="00FA252F"/>
    <w:rsid w:val="00FA3ED3"/>
    <w:rsid w:val="00FA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snapToGrid w:val="0"/>
    </w:rPr>
  </w:style>
  <w:style w:type="character" w:styleId="FootnoteReference">
    <w:name w:val="footnote reference"/>
    <w:semiHidden/>
    <w:rPr>
      <w:vertAlign w:val="superscript"/>
    </w:rPr>
  </w:style>
  <w:style w:type="paragraph" w:styleId="BodyTextIndent2">
    <w:name w:val="Body Text Indent 2"/>
    <w:basedOn w:val="Normal"/>
    <w:pPr>
      <w:ind w:left="720"/>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aNum">
    <w:name w:val="ParaNum"/>
    <w:basedOn w:val="Normal"/>
    <w:pPr>
      <w:widowControl w:val="0"/>
      <w:numPr>
        <w:numId w:val="1"/>
      </w:numPr>
      <w:tabs>
        <w:tab w:val="clear" w:pos="1080"/>
        <w:tab w:val="left" w:pos="1440"/>
      </w:tabs>
      <w:spacing w:after="220"/>
      <w:jc w:val="both"/>
    </w:pPr>
    <w:rPr>
      <w:sz w:val="22"/>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sid w:val="00D10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snapToGrid w:val="0"/>
    </w:rPr>
  </w:style>
  <w:style w:type="character" w:styleId="FootnoteReference">
    <w:name w:val="footnote reference"/>
    <w:semiHidden/>
    <w:rPr>
      <w:vertAlign w:val="superscript"/>
    </w:rPr>
  </w:style>
  <w:style w:type="paragraph" w:styleId="BodyTextIndent2">
    <w:name w:val="Body Text Indent 2"/>
    <w:basedOn w:val="Normal"/>
    <w:pPr>
      <w:ind w:left="720"/>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aNum">
    <w:name w:val="ParaNum"/>
    <w:basedOn w:val="Normal"/>
    <w:pPr>
      <w:widowControl w:val="0"/>
      <w:numPr>
        <w:numId w:val="1"/>
      </w:numPr>
      <w:tabs>
        <w:tab w:val="clear" w:pos="1080"/>
        <w:tab w:val="left" w:pos="1440"/>
      </w:tabs>
      <w:spacing w:after="220"/>
      <w:jc w:val="both"/>
    </w:pPr>
    <w:rPr>
      <w:sz w:val="22"/>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sid w:val="00D10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3386</Characters>
  <Application>Microsoft Office Word</Application>
  <DocSecurity>0</DocSecurity>
  <Lines>65</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2012-10-18T15:10:00Z</cp:lastPrinted>
  <dcterms:created xsi:type="dcterms:W3CDTF">2013-04-04T12:04:00Z</dcterms:created>
  <dcterms:modified xsi:type="dcterms:W3CDTF">2013-04-04T12:04:00Z</dcterms:modified>
  <cp:category> </cp:category>
  <cp:contentStatus> </cp:contentStatus>
</cp:coreProperties>
</file>