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84" w:rsidRDefault="002F1084" w:rsidP="002F1084">
      <w:pPr>
        <w:jc w:val="center"/>
        <w:rPr>
          <w:b/>
          <w:szCs w:val="22"/>
        </w:rPr>
      </w:pPr>
      <w:bookmarkStart w:id="0" w:name="_GoBack"/>
      <w:bookmarkEnd w:id="0"/>
      <w:r>
        <w:rPr>
          <w:b/>
          <w:szCs w:val="22"/>
        </w:rPr>
        <w:t>Before the</w:t>
      </w:r>
    </w:p>
    <w:p w:rsidR="002F1084" w:rsidRDefault="002F1084" w:rsidP="002F1084">
      <w:pPr>
        <w:jc w:val="center"/>
        <w:rPr>
          <w:b/>
          <w:szCs w:val="22"/>
        </w:rPr>
      </w:pPr>
      <w:r>
        <w:rPr>
          <w:b/>
          <w:szCs w:val="22"/>
        </w:rPr>
        <w:t>Federal Communications Commission</w:t>
      </w:r>
    </w:p>
    <w:p w:rsidR="002F1084" w:rsidRDefault="002F1084" w:rsidP="002F1084">
      <w:pPr>
        <w:jc w:val="center"/>
        <w:rPr>
          <w:szCs w:val="22"/>
        </w:rPr>
      </w:pPr>
      <w:smartTag w:uri="urn:schemas-microsoft-com:office:smarttags" w:element="place">
        <w:smartTag w:uri="urn:schemas-microsoft-com:office:smarttags" w:element="City">
          <w:r>
            <w:rPr>
              <w:b/>
              <w:szCs w:val="22"/>
            </w:rPr>
            <w:t>Washington</w:t>
          </w:r>
        </w:smartTag>
        <w:r>
          <w:rPr>
            <w:b/>
            <w:szCs w:val="22"/>
          </w:rPr>
          <w:t xml:space="preserve">, </w:t>
        </w:r>
        <w:smartTag w:uri="urn:schemas-microsoft-com:office:smarttags" w:element="State">
          <w:r>
            <w:rPr>
              <w:b/>
              <w:szCs w:val="22"/>
            </w:rPr>
            <w:t>D.C.</w:t>
          </w:r>
        </w:smartTag>
      </w:smartTag>
      <w:r>
        <w:rPr>
          <w:b/>
          <w:szCs w:val="22"/>
        </w:rPr>
        <w:t xml:space="preserve">  20554</w:t>
      </w:r>
    </w:p>
    <w:p w:rsidR="002F1084" w:rsidRDefault="002F1084" w:rsidP="002F1084">
      <w:pPr>
        <w:jc w:val="center"/>
        <w:rPr>
          <w:szCs w:val="22"/>
        </w:rPr>
      </w:pPr>
    </w:p>
    <w:p w:rsidR="002F1084" w:rsidRDefault="002F1084" w:rsidP="002F1084">
      <w:pPr>
        <w:rPr>
          <w:szCs w:val="22"/>
        </w:rPr>
      </w:pPr>
    </w:p>
    <w:p w:rsidR="002F1084" w:rsidRDefault="002F1084" w:rsidP="002F1084">
      <w:pPr>
        <w:tabs>
          <w:tab w:val="left" w:pos="4680"/>
        </w:tabs>
      </w:pPr>
      <w:r>
        <w:t>In the Matter of</w:t>
      </w:r>
      <w:r>
        <w:tab/>
        <w:t>)</w:t>
      </w:r>
    </w:p>
    <w:p w:rsidR="002F1084" w:rsidRDefault="002F1084" w:rsidP="002F1084">
      <w:pPr>
        <w:tabs>
          <w:tab w:val="left" w:pos="4680"/>
        </w:tabs>
      </w:pPr>
      <w:r>
        <w:tab/>
        <w:t>)</w:t>
      </w:r>
    </w:p>
    <w:p w:rsidR="002F1084" w:rsidRDefault="002F1084" w:rsidP="002F1084">
      <w:pPr>
        <w:tabs>
          <w:tab w:val="left" w:pos="4680"/>
        </w:tabs>
      </w:pPr>
      <w:r>
        <w:rPr>
          <w:b/>
        </w:rPr>
        <w:t>MARLENE V. BORMAN</w:t>
      </w:r>
      <w:r>
        <w:t xml:space="preserve"> </w:t>
      </w:r>
      <w:r>
        <w:tab/>
        <w:t>)</w:t>
      </w:r>
      <w:r>
        <w:tab/>
      </w:r>
      <w:r>
        <w:tab/>
        <w:t xml:space="preserve">File No. </w:t>
      </w:r>
      <w:r>
        <w:rPr>
          <w:spacing w:val="-2"/>
          <w:szCs w:val="22"/>
        </w:rPr>
        <w:t>BP-19870303AG</w:t>
      </w:r>
    </w:p>
    <w:p w:rsidR="002F1084" w:rsidRDefault="002F1084" w:rsidP="002F1084">
      <w:pPr>
        <w:tabs>
          <w:tab w:val="left" w:pos="4680"/>
        </w:tabs>
      </w:pPr>
      <w:r>
        <w:tab/>
        <w:t>)</w:t>
      </w:r>
      <w:r>
        <w:tab/>
      </w:r>
      <w:r>
        <w:tab/>
        <w:t xml:space="preserve">File No. </w:t>
      </w:r>
      <w:r w:rsidRPr="00FB060A">
        <w:rPr>
          <w:spacing w:val="-2"/>
          <w:szCs w:val="22"/>
        </w:rPr>
        <w:t>B</w:t>
      </w:r>
      <w:r>
        <w:rPr>
          <w:spacing w:val="-2"/>
          <w:szCs w:val="22"/>
        </w:rPr>
        <w:t>MAP-20040130AIG</w:t>
      </w:r>
      <w:r>
        <w:tab/>
      </w:r>
    </w:p>
    <w:p w:rsidR="002F1084" w:rsidRDefault="002F1084" w:rsidP="002F1084">
      <w:pPr>
        <w:tabs>
          <w:tab w:val="left" w:pos="4680"/>
        </w:tabs>
      </w:pPr>
      <w:r>
        <w:t>Permittee of Station KWFA(AM),</w:t>
      </w:r>
      <w:r>
        <w:tab/>
        <w:t>)</w:t>
      </w:r>
      <w:r>
        <w:tab/>
      </w:r>
      <w:r>
        <w:tab/>
        <w:t xml:space="preserve">File No. </w:t>
      </w:r>
      <w:r w:rsidRPr="00FB060A">
        <w:rPr>
          <w:spacing w:val="-2"/>
          <w:szCs w:val="22"/>
        </w:rPr>
        <w:t>B</w:t>
      </w:r>
      <w:r>
        <w:rPr>
          <w:spacing w:val="-2"/>
          <w:szCs w:val="22"/>
        </w:rPr>
        <w:t>MP-20060803</w:t>
      </w:r>
      <w:r w:rsidRPr="00FB060A">
        <w:rPr>
          <w:spacing w:val="-2"/>
          <w:szCs w:val="22"/>
        </w:rPr>
        <w:t>A</w:t>
      </w:r>
      <w:r>
        <w:rPr>
          <w:spacing w:val="-2"/>
          <w:szCs w:val="22"/>
        </w:rPr>
        <w:t xml:space="preserve">QI </w:t>
      </w:r>
      <w:r w:rsidRPr="00FB060A">
        <w:rPr>
          <w:spacing w:val="-2"/>
          <w:szCs w:val="22"/>
        </w:rPr>
        <w:t xml:space="preserve"> </w:t>
      </w:r>
    </w:p>
    <w:p w:rsidR="002F1084" w:rsidRDefault="002F1084" w:rsidP="002F1084">
      <w:pPr>
        <w:tabs>
          <w:tab w:val="left" w:pos="4680"/>
        </w:tabs>
      </w:pPr>
      <w:smartTag w:uri="urn:schemas-microsoft-com:office:smarttags" w:element="place">
        <w:smartTag w:uri="urn:schemas-microsoft-com:office:smarttags" w:element="City">
          <w:r>
            <w:t>Tye</w:t>
          </w:r>
        </w:smartTag>
        <w:r>
          <w:t xml:space="preserve">, </w:t>
        </w:r>
        <w:smartTag w:uri="urn:schemas-microsoft-com:office:smarttags" w:element="State">
          <w:r>
            <w:t>Texas</w:t>
          </w:r>
        </w:smartTag>
      </w:smartTag>
      <w:r>
        <w:tab/>
        <w:t>)</w:t>
      </w:r>
      <w:r>
        <w:tab/>
      </w:r>
      <w:r>
        <w:tab/>
        <w:t xml:space="preserve">Facility ID No. </w:t>
      </w:r>
      <w:r>
        <w:rPr>
          <w:spacing w:val="-2"/>
          <w:szCs w:val="22"/>
        </w:rPr>
        <w:t>40403</w:t>
      </w:r>
    </w:p>
    <w:p w:rsidR="002F1084" w:rsidRDefault="002F1084" w:rsidP="002F1084">
      <w:pPr>
        <w:tabs>
          <w:tab w:val="left" w:pos="4680"/>
        </w:tabs>
      </w:pPr>
      <w:r>
        <w:tab/>
        <w:t>)</w:t>
      </w:r>
      <w:r>
        <w:tab/>
      </w:r>
    </w:p>
    <w:p w:rsidR="002F1084" w:rsidRDefault="002F1084" w:rsidP="002F1084">
      <w:pPr>
        <w:tabs>
          <w:tab w:val="left" w:pos="4680"/>
        </w:tabs>
        <w:rPr>
          <w:szCs w:val="22"/>
        </w:rPr>
      </w:pPr>
      <w:r>
        <w:rPr>
          <w:szCs w:val="22"/>
        </w:rPr>
        <w:tab/>
      </w:r>
    </w:p>
    <w:p w:rsidR="002F1084" w:rsidRDefault="002F1084" w:rsidP="002F1084">
      <w:pPr>
        <w:pStyle w:val="Heading1"/>
        <w:rPr>
          <w:szCs w:val="22"/>
        </w:rPr>
      </w:pPr>
      <w:r>
        <w:rPr>
          <w:szCs w:val="22"/>
        </w:rPr>
        <w:t>MEMORANDUM OPINION AND ORDER</w:t>
      </w:r>
    </w:p>
    <w:p w:rsidR="002F1084" w:rsidRDefault="002F1084" w:rsidP="002F1084">
      <w:pPr>
        <w:pStyle w:val="Heading1"/>
        <w:rPr>
          <w:szCs w:val="22"/>
        </w:rPr>
      </w:pPr>
      <w:r>
        <w:rPr>
          <w:szCs w:val="22"/>
        </w:rPr>
        <w:t xml:space="preserve"> </w:t>
      </w:r>
    </w:p>
    <w:p w:rsidR="002F1084" w:rsidRDefault="002F1084" w:rsidP="002F1084">
      <w:pPr>
        <w:tabs>
          <w:tab w:val="left" w:pos="770"/>
          <w:tab w:val="left" w:pos="1430"/>
          <w:tab w:val="left" w:pos="4680"/>
        </w:tabs>
        <w:rPr>
          <w:szCs w:val="22"/>
        </w:rPr>
      </w:pPr>
    </w:p>
    <w:tbl>
      <w:tblPr>
        <w:tblW w:w="0" w:type="auto"/>
        <w:tblLook w:val="0000" w:firstRow="0" w:lastRow="0" w:firstColumn="0" w:lastColumn="0" w:noHBand="0" w:noVBand="0"/>
      </w:tblPr>
      <w:tblGrid>
        <w:gridCol w:w="4788"/>
        <w:gridCol w:w="4788"/>
      </w:tblGrid>
      <w:tr w:rsidR="002F1084" w:rsidTr="00C526BD">
        <w:tc>
          <w:tcPr>
            <w:tcW w:w="4788" w:type="dxa"/>
          </w:tcPr>
          <w:p w:rsidR="002F1084" w:rsidRDefault="002F1084" w:rsidP="00F333E2">
            <w:pPr>
              <w:tabs>
                <w:tab w:val="left" w:pos="770"/>
                <w:tab w:val="left" w:pos="1430"/>
                <w:tab w:val="left" w:pos="4680"/>
              </w:tabs>
              <w:rPr>
                <w:b/>
              </w:rPr>
            </w:pPr>
            <w:r>
              <w:rPr>
                <w:b/>
              </w:rPr>
              <w:t xml:space="preserve">Adopted: </w:t>
            </w:r>
            <w:r w:rsidR="00F333E2">
              <w:rPr>
                <w:b/>
              </w:rPr>
              <w:t>February 20</w:t>
            </w:r>
            <w:r>
              <w:rPr>
                <w:b/>
              </w:rPr>
              <w:t>, 2013</w:t>
            </w:r>
          </w:p>
        </w:tc>
        <w:tc>
          <w:tcPr>
            <w:tcW w:w="4788" w:type="dxa"/>
          </w:tcPr>
          <w:p w:rsidR="002F1084" w:rsidRDefault="002F1084" w:rsidP="00F333E2">
            <w:pPr>
              <w:tabs>
                <w:tab w:val="left" w:pos="770"/>
                <w:tab w:val="left" w:pos="1430"/>
                <w:tab w:val="left" w:pos="4680"/>
              </w:tabs>
              <w:jc w:val="right"/>
              <w:rPr>
                <w:b/>
              </w:rPr>
            </w:pPr>
            <w:r>
              <w:rPr>
                <w:b/>
              </w:rPr>
              <w:t xml:space="preserve">Released:  </w:t>
            </w:r>
            <w:r w:rsidR="00F333E2">
              <w:rPr>
                <w:b/>
              </w:rPr>
              <w:t xml:space="preserve">February 21, </w:t>
            </w:r>
            <w:r>
              <w:rPr>
                <w:b/>
              </w:rPr>
              <w:t>2013</w:t>
            </w:r>
          </w:p>
        </w:tc>
      </w:tr>
    </w:tbl>
    <w:p w:rsidR="002F1084" w:rsidRDefault="002F1084" w:rsidP="002F1084">
      <w:pPr>
        <w:pStyle w:val="Header"/>
        <w:tabs>
          <w:tab w:val="clear" w:pos="4320"/>
          <w:tab w:val="clear" w:pos="8640"/>
          <w:tab w:val="left" w:pos="4680"/>
        </w:tabs>
        <w:rPr>
          <w:szCs w:val="22"/>
        </w:rPr>
      </w:pPr>
    </w:p>
    <w:p w:rsidR="002F1084" w:rsidRDefault="002F1084" w:rsidP="002F1084">
      <w:pPr>
        <w:tabs>
          <w:tab w:val="left" w:pos="1980"/>
          <w:tab w:val="left" w:pos="4680"/>
        </w:tabs>
        <w:jc w:val="both"/>
        <w:rPr>
          <w:szCs w:val="22"/>
        </w:rPr>
      </w:pPr>
      <w:r>
        <w:rPr>
          <w:szCs w:val="22"/>
        </w:rPr>
        <w:t>By the Commission:</w:t>
      </w:r>
      <w:r>
        <w:rPr>
          <w:szCs w:val="22"/>
        </w:rPr>
        <w:tab/>
      </w:r>
    </w:p>
    <w:p w:rsidR="002F1084" w:rsidRDefault="002F1084" w:rsidP="002F1084">
      <w:pPr>
        <w:tabs>
          <w:tab w:val="left" w:pos="1980"/>
          <w:tab w:val="left" w:pos="4680"/>
        </w:tabs>
        <w:jc w:val="both"/>
        <w:rPr>
          <w:b/>
          <w:szCs w:val="22"/>
        </w:rPr>
      </w:pPr>
    </w:p>
    <w:p w:rsidR="002F1084" w:rsidRDefault="002F1084" w:rsidP="002F1084">
      <w:pPr>
        <w:tabs>
          <w:tab w:val="left" w:pos="720"/>
          <w:tab w:val="left" w:pos="1430"/>
          <w:tab w:val="left" w:pos="4680"/>
        </w:tabs>
        <w:jc w:val="both"/>
        <w:rPr>
          <w:szCs w:val="22"/>
        </w:rPr>
      </w:pPr>
      <w:r>
        <w:rPr>
          <w:szCs w:val="22"/>
        </w:rPr>
        <w:tab/>
        <w:t>1.</w:t>
      </w:r>
      <w:r>
        <w:rPr>
          <w:szCs w:val="22"/>
        </w:rPr>
        <w:tab/>
      </w:r>
      <w:r w:rsidRPr="00FB060A">
        <w:rPr>
          <w:szCs w:val="22"/>
        </w:rPr>
        <w:t xml:space="preserve">The Commission has before it an Application for Review filed on </w:t>
      </w:r>
      <w:r>
        <w:rPr>
          <w:szCs w:val="22"/>
        </w:rPr>
        <w:t>April 21</w:t>
      </w:r>
      <w:r w:rsidRPr="00FB060A">
        <w:rPr>
          <w:color w:val="000000"/>
          <w:szCs w:val="22"/>
        </w:rPr>
        <w:t>,</w:t>
      </w:r>
      <w:r>
        <w:rPr>
          <w:color w:val="000000"/>
          <w:szCs w:val="22"/>
        </w:rPr>
        <w:t xml:space="preserve"> 2008</w:t>
      </w:r>
      <w:r w:rsidRPr="00FB060A">
        <w:rPr>
          <w:color w:val="000000"/>
          <w:szCs w:val="22"/>
        </w:rPr>
        <w:t>, by</w:t>
      </w:r>
      <w:r>
        <w:rPr>
          <w:color w:val="000000"/>
          <w:spacing w:val="-4"/>
          <w:szCs w:val="22"/>
        </w:rPr>
        <w:t xml:space="preserve"> Marlene V. Borman </w:t>
      </w:r>
      <w:r w:rsidRPr="00FB060A">
        <w:rPr>
          <w:color w:val="000000"/>
          <w:spacing w:val="-4"/>
          <w:szCs w:val="22"/>
        </w:rPr>
        <w:t>("</w:t>
      </w:r>
      <w:r>
        <w:rPr>
          <w:color w:val="000000"/>
          <w:spacing w:val="-4"/>
          <w:szCs w:val="22"/>
        </w:rPr>
        <w:t>Borman</w:t>
      </w:r>
      <w:r w:rsidRPr="00FB060A">
        <w:rPr>
          <w:color w:val="000000"/>
          <w:spacing w:val="-4"/>
          <w:szCs w:val="22"/>
        </w:rPr>
        <w:t xml:space="preserve">"), </w:t>
      </w:r>
      <w:r>
        <w:rPr>
          <w:color w:val="000000"/>
          <w:spacing w:val="-4"/>
          <w:szCs w:val="22"/>
        </w:rPr>
        <w:t xml:space="preserve">permittee of unbuilt Station KWFA(AM), </w:t>
      </w:r>
      <w:smartTag w:uri="urn:schemas-microsoft-com:office:smarttags" w:element="place">
        <w:smartTag w:uri="urn:schemas-microsoft-com:office:smarttags" w:element="City">
          <w:r>
            <w:rPr>
              <w:color w:val="000000"/>
              <w:spacing w:val="-4"/>
              <w:szCs w:val="22"/>
            </w:rPr>
            <w:t>Tye</w:t>
          </w:r>
        </w:smartTag>
        <w:r>
          <w:rPr>
            <w:color w:val="000000"/>
            <w:spacing w:val="-4"/>
            <w:szCs w:val="22"/>
          </w:rPr>
          <w:t xml:space="preserve">, </w:t>
        </w:r>
        <w:smartTag w:uri="urn:schemas-microsoft-com:office:smarttags" w:element="State">
          <w:r>
            <w:rPr>
              <w:color w:val="000000"/>
              <w:spacing w:val="-4"/>
              <w:szCs w:val="22"/>
            </w:rPr>
            <w:t>Texas</w:t>
          </w:r>
        </w:smartTag>
      </w:smartTag>
      <w:r>
        <w:rPr>
          <w:color w:val="000000"/>
          <w:spacing w:val="-4"/>
          <w:szCs w:val="22"/>
        </w:rPr>
        <w:t xml:space="preserve"> (the “Station”).   Borman </w:t>
      </w:r>
      <w:r w:rsidRPr="00FB060A">
        <w:rPr>
          <w:szCs w:val="22"/>
        </w:rPr>
        <w:t xml:space="preserve">seeks review of the </w:t>
      </w:r>
      <w:r>
        <w:rPr>
          <w:szCs w:val="22"/>
        </w:rPr>
        <w:t xml:space="preserve">March 21, 2008, </w:t>
      </w:r>
      <w:r w:rsidRPr="00FB060A">
        <w:rPr>
          <w:szCs w:val="22"/>
        </w:rPr>
        <w:t>action</w:t>
      </w:r>
      <w:r>
        <w:rPr>
          <w:szCs w:val="22"/>
        </w:rPr>
        <w:t xml:space="preserve"> by the</w:t>
      </w:r>
      <w:r w:rsidRPr="00FB060A">
        <w:rPr>
          <w:szCs w:val="22"/>
        </w:rPr>
        <w:t xml:space="preserve"> Media Bureau (the</w:t>
      </w:r>
      <w:r>
        <w:rPr>
          <w:szCs w:val="22"/>
        </w:rPr>
        <w:t xml:space="preserve"> “Bureau”)</w:t>
      </w:r>
      <w:r>
        <w:rPr>
          <w:rStyle w:val="FootnoteReference"/>
          <w:szCs w:val="22"/>
        </w:rPr>
        <w:footnoteReference w:id="1"/>
      </w:r>
      <w:r w:rsidRPr="00FB060A">
        <w:rPr>
          <w:szCs w:val="22"/>
        </w:rPr>
        <w:t xml:space="preserve"> </w:t>
      </w:r>
      <w:r>
        <w:rPr>
          <w:szCs w:val="22"/>
        </w:rPr>
        <w:t>denying Borman's petition for reconsideration of the denial of her request for waiver of Section 73.3598 of the Commission’s Rules</w:t>
      </w:r>
      <w:r>
        <w:rPr>
          <w:rStyle w:val="FootnoteReference"/>
          <w:szCs w:val="22"/>
        </w:rPr>
        <w:footnoteReference w:id="2"/>
      </w:r>
      <w:r>
        <w:rPr>
          <w:szCs w:val="22"/>
        </w:rPr>
        <w:t xml:space="preserve"> and additional time to construct the Station.</w:t>
      </w:r>
      <w:r>
        <w:rPr>
          <w:rStyle w:val="FootnoteReference"/>
          <w:szCs w:val="22"/>
        </w:rPr>
        <w:footnoteReference w:id="3"/>
      </w:r>
      <w:r>
        <w:t xml:space="preserve">  </w:t>
      </w:r>
      <w:r>
        <w:rPr>
          <w:color w:val="000000"/>
          <w:szCs w:val="22"/>
        </w:rPr>
        <w:t>T</w:t>
      </w:r>
      <w:r w:rsidRPr="00FB060A">
        <w:rPr>
          <w:color w:val="000000"/>
          <w:szCs w:val="22"/>
        </w:rPr>
        <w:t xml:space="preserve">he </w:t>
      </w:r>
      <w:r>
        <w:rPr>
          <w:color w:val="000000"/>
          <w:szCs w:val="22"/>
        </w:rPr>
        <w:t xml:space="preserve">Bureau denied the petition, concluding that </w:t>
      </w:r>
      <w:r>
        <w:rPr>
          <w:szCs w:val="22"/>
        </w:rPr>
        <w:t>circumstances beyond Borman’s control were not the primary cause of her failure to construct.</w:t>
      </w:r>
    </w:p>
    <w:p w:rsidR="002F1084" w:rsidRPr="00D70BCA" w:rsidRDefault="002F1084" w:rsidP="002F1084">
      <w:pPr>
        <w:tabs>
          <w:tab w:val="left" w:pos="720"/>
          <w:tab w:val="left" w:pos="1430"/>
          <w:tab w:val="left" w:pos="4680"/>
        </w:tabs>
        <w:jc w:val="both"/>
        <w:rPr>
          <w:szCs w:val="22"/>
        </w:rPr>
      </w:pPr>
    </w:p>
    <w:p w:rsidR="002F1084" w:rsidRDefault="002F1084" w:rsidP="002F1084">
      <w:pPr>
        <w:tabs>
          <w:tab w:val="left" w:pos="720"/>
          <w:tab w:val="left" w:pos="1430"/>
          <w:tab w:val="left" w:pos="4680"/>
        </w:tabs>
        <w:jc w:val="both"/>
        <w:rPr>
          <w:szCs w:val="22"/>
        </w:rPr>
      </w:pPr>
      <w:r>
        <w:rPr>
          <w:szCs w:val="22"/>
        </w:rPr>
        <w:tab/>
        <w:t>2.</w:t>
      </w:r>
      <w:r>
        <w:rPr>
          <w:szCs w:val="22"/>
        </w:rPr>
        <w:tab/>
      </w:r>
      <w:r w:rsidRPr="005C2F23">
        <w:t xml:space="preserve">Upon review of the Application for Review and the entire record, we conclude that </w:t>
      </w:r>
      <w:r>
        <w:t>Borman</w:t>
      </w:r>
      <w:r w:rsidRPr="005C2F23">
        <w:t xml:space="preserve"> has failed to demonstrate that the Bureau erred.  </w:t>
      </w:r>
      <w:r>
        <w:t xml:space="preserve">The Media Bureau, in the </w:t>
      </w:r>
      <w:r w:rsidRPr="007D624F">
        <w:rPr>
          <w:i/>
        </w:rPr>
        <w:t>Staff Decision</w:t>
      </w:r>
      <w:r>
        <w:t>, properly decided the matters raised, and we uphold its decision for the reasons stated therein.</w:t>
      </w:r>
    </w:p>
    <w:p w:rsidR="002F1084" w:rsidRPr="00D70BCA" w:rsidRDefault="002F1084" w:rsidP="002F1084">
      <w:pPr>
        <w:tabs>
          <w:tab w:val="left" w:pos="720"/>
          <w:tab w:val="left" w:pos="1430"/>
          <w:tab w:val="left" w:pos="4680"/>
        </w:tabs>
        <w:jc w:val="both"/>
        <w:rPr>
          <w:szCs w:val="22"/>
        </w:rPr>
      </w:pPr>
    </w:p>
    <w:p w:rsidR="002F1084" w:rsidRDefault="002F1084" w:rsidP="002F1084">
      <w:pPr>
        <w:tabs>
          <w:tab w:val="left" w:pos="720"/>
          <w:tab w:val="left" w:pos="1430"/>
          <w:tab w:val="left" w:pos="4680"/>
        </w:tabs>
        <w:jc w:val="both"/>
        <w:rPr>
          <w:szCs w:val="22"/>
        </w:rPr>
      </w:pPr>
      <w:r w:rsidRPr="00D70BCA">
        <w:rPr>
          <w:szCs w:val="22"/>
        </w:rPr>
        <w:tab/>
        <w:t>3.</w:t>
      </w:r>
      <w:r w:rsidRPr="00D70BCA">
        <w:rPr>
          <w:szCs w:val="22"/>
        </w:rPr>
        <w:tab/>
        <w:t>ACCORDINGLY, IT IS ORDERED that, pursuant to Section 5(c)(5) of the Communications Act of 1934, as amended,</w:t>
      </w:r>
      <w:r w:rsidRPr="00D70BCA">
        <w:rPr>
          <w:rStyle w:val="FootnoteReference"/>
          <w:szCs w:val="22"/>
        </w:rPr>
        <w:footnoteReference w:id="4"/>
      </w:r>
      <w:r w:rsidRPr="00D70BCA">
        <w:rPr>
          <w:szCs w:val="22"/>
        </w:rPr>
        <w:t xml:space="preserve"> and Sectio</w:t>
      </w:r>
      <w:r>
        <w:rPr>
          <w:szCs w:val="22"/>
        </w:rPr>
        <w:t>n 1.115(g) of the Commission’s R</w:t>
      </w:r>
      <w:r w:rsidRPr="00D70BCA">
        <w:rPr>
          <w:szCs w:val="22"/>
        </w:rPr>
        <w:t>ules,</w:t>
      </w:r>
      <w:r w:rsidRPr="00D70BCA">
        <w:rPr>
          <w:rStyle w:val="FootnoteReference"/>
          <w:szCs w:val="22"/>
        </w:rPr>
        <w:footnoteReference w:id="5"/>
      </w:r>
      <w:r w:rsidRPr="00D70BCA">
        <w:rPr>
          <w:szCs w:val="22"/>
        </w:rPr>
        <w:t xml:space="preserve"> the Application for Review IS DENIED.</w:t>
      </w:r>
    </w:p>
    <w:p w:rsidR="002F1084" w:rsidRDefault="002F1084" w:rsidP="002F1084">
      <w:pPr>
        <w:tabs>
          <w:tab w:val="left" w:pos="720"/>
          <w:tab w:val="left" w:pos="1430"/>
          <w:tab w:val="left" w:pos="4680"/>
        </w:tabs>
        <w:jc w:val="both"/>
        <w:rPr>
          <w:szCs w:val="22"/>
        </w:rPr>
      </w:pPr>
      <w:r>
        <w:rPr>
          <w:szCs w:val="22"/>
        </w:rPr>
        <w:br w:type="page"/>
      </w:r>
    </w:p>
    <w:p w:rsidR="002F1084" w:rsidRPr="00D70BCA" w:rsidRDefault="002F1084" w:rsidP="002F1084">
      <w:pPr>
        <w:tabs>
          <w:tab w:val="left" w:pos="720"/>
          <w:tab w:val="left" w:pos="1430"/>
          <w:tab w:val="left" w:pos="4680"/>
        </w:tabs>
        <w:jc w:val="both"/>
        <w:rPr>
          <w:szCs w:val="22"/>
        </w:rPr>
      </w:pPr>
      <w:r>
        <w:rPr>
          <w:szCs w:val="22"/>
        </w:rPr>
        <w:lastRenderedPageBreak/>
        <w:tab/>
        <w:t>4.</w:t>
      </w:r>
      <w:r>
        <w:rPr>
          <w:szCs w:val="22"/>
        </w:rPr>
        <w:tab/>
      </w:r>
      <w:r>
        <w:rPr>
          <w:bCs/>
          <w:szCs w:val="22"/>
        </w:rPr>
        <w:t>IT IS FURTHER ORDERED that, because the Station’s construction permit expired on January 22, 2007, the call letters KWFA ARE DELETED, and the Commission’s data base will be updated to reflect the expiration of the construction permit, File No. BP-19870303AG.</w:t>
      </w:r>
      <w:r w:rsidRPr="00D70BCA">
        <w:rPr>
          <w:szCs w:val="22"/>
        </w:rPr>
        <w:t xml:space="preserve">  </w:t>
      </w:r>
    </w:p>
    <w:p w:rsidR="002F1084" w:rsidRDefault="002F1084" w:rsidP="002F1084">
      <w:pPr>
        <w:tabs>
          <w:tab w:val="left" w:pos="720"/>
          <w:tab w:val="left" w:pos="1430"/>
          <w:tab w:val="left" w:pos="4680"/>
        </w:tabs>
        <w:jc w:val="both"/>
        <w:rPr>
          <w:szCs w:val="22"/>
        </w:rPr>
      </w:pPr>
    </w:p>
    <w:p w:rsidR="002F1084" w:rsidRDefault="002F1084" w:rsidP="002F1084">
      <w:pPr>
        <w:tabs>
          <w:tab w:val="left" w:pos="0"/>
        </w:tabs>
        <w:suppressAutoHyphens/>
        <w:ind w:firstLine="990"/>
        <w:jc w:val="both"/>
        <w:rPr>
          <w:szCs w:val="22"/>
        </w:rPr>
      </w:pPr>
      <w:r>
        <w:rPr>
          <w:szCs w:val="22"/>
        </w:rPr>
        <w:tab/>
      </w:r>
      <w:r>
        <w:rPr>
          <w:szCs w:val="22"/>
        </w:rPr>
        <w:tab/>
      </w:r>
      <w:r>
        <w:rPr>
          <w:szCs w:val="22"/>
        </w:rPr>
        <w:tab/>
      </w:r>
      <w:r>
        <w:rPr>
          <w:szCs w:val="22"/>
        </w:rPr>
        <w:tab/>
      </w:r>
      <w:r>
        <w:rPr>
          <w:szCs w:val="22"/>
        </w:rPr>
        <w:tab/>
        <w:t>FEDERAL COMMUNICATIONS COMMISSION</w:t>
      </w:r>
    </w:p>
    <w:p w:rsidR="002F1084" w:rsidRDefault="002F1084" w:rsidP="002F1084">
      <w:pPr>
        <w:tabs>
          <w:tab w:val="left" w:pos="0"/>
        </w:tabs>
        <w:suppressAutoHyphens/>
        <w:ind w:firstLine="990"/>
        <w:jc w:val="both"/>
        <w:rPr>
          <w:szCs w:val="22"/>
        </w:rPr>
      </w:pPr>
    </w:p>
    <w:p w:rsidR="002F1084" w:rsidRDefault="002F1084" w:rsidP="002F1084">
      <w:pPr>
        <w:tabs>
          <w:tab w:val="left" w:pos="0"/>
        </w:tabs>
        <w:suppressAutoHyphens/>
        <w:ind w:firstLine="990"/>
        <w:jc w:val="both"/>
        <w:rPr>
          <w:szCs w:val="22"/>
        </w:rPr>
      </w:pPr>
    </w:p>
    <w:p w:rsidR="002F1084" w:rsidRDefault="002F1084" w:rsidP="002F1084">
      <w:pPr>
        <w:tabs>
          <w:tab w:val="left" w:pos="0"/>
        </w:tabs>
        <w:suppressAutoHyphens/>
        <w:ind w:firstLine="990"/>
        <w:jc w:val="both"/>
        <w:rPr>
          <w:szCs w:val="22"/>
        </w:rPr>
      </w:pPr>
    </w:p>
    <w:p w:rsidR="002F1084" w:rsidRDefault="002F1084" w:rsidP="002F1084">
      <w:pPr>
        <w:tabs>
          <w:tab w:val="left" w:pos="4320"/>
        </w:tabs>
        <w:suppressAutoHyphens/>
        <w:ind w:firstLine="990"/>
        <w:jc w:val="both"/>
        <w:rPr>
          <w:szCs w:val="22"/>
        </w:rPr>
      </w:pPr>
      <w:r>
        <w:rPr>
          <w:szCs w:val="22"/>
        </w:rPr>
        <w:tab/>
        <w:t xml:space="preserve">Marlene H. Dortch  </w:t>
      </w:r>
    </w:p>
    <w:p w:rsidR="002F1084" w:rsidRDefault="002F1084" w:rsidP="002F1084">
      <w:pPr>
        <w:pStyle w:val="ParaNum"/>
        <w:numPr>
          <w:ilvl w:val="0"/>
          <w:numId w:val="0"/>
        </w:numPr>
        <w:spacing w:after="0"/>
      </w:pPr>
      <w:r>
        <w:t xml:space="preserve">                    </w:t>
      </w:r>
      <w:r>
        <w:tab/>
      </w:r>
      <w:r>
        <w:tab/>
      </w:r>
      <w:r>
        <w:tab/>
      </w:r>
      <w:r>
        <w:tab/>
      </w:r>
      <w:r>
        <w:tab/>
        <w:t>Secretary</w:t>
      </w:r>
    </w:p>
    <w:p w:rsidR="002F1084" w:rsidRDefault="002F1084" w:rsidP="002F1084"/>
    <w:p w:rsidR="00D816DA" w:rsidRDefault="00D816DA"/>
    <w:sectPr w:rsidR="00D816DA" w:rsidSect="00CC530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C5" w:rsidRDefault="008C29C5" w:rsidP="002F1084">
      <w:r>
        <w:separator/>
      </w:r>
    </w:p>
  </w:endnote>
  <w:endnote w:type="continuationSeparator" w:id="0">
    <w:p w:rsidR="008C29C5" w:rsidRDefault="008C29C5" w:rsidP="002F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B9" w:rsidRDefault="00987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3" w:rsidRDefault="002F10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4C2">
      <w:rPr>
        <w:rStyle w:val="PageNumber"/>
        <w:noProof/>
      </w:rPr>
      <w:t>2</w:t>
    </w:r>
    <w:r>
      <w:rPr>
        <w:rStyle w:val="PageNumber"/>
      </w:rPr>
      <w:fldChar w:fldCharType="end"/>
    </w:r>
  </w:p>
  <w:p w:rsidR="00A60D23" w:rsidRDefault="005154C2">
    <w:pPr>
      <w:pStyle w:val="Footer"/>
      <w:jc w:val="center"/>
      <w:rPr>
        <w:rStyle w:val="PageNumber"/>
      </w:rPr>
    </w:pPr>
  </w:p>
  <w:p w:rsidR="00A60D23" w:rsidRDefault="005154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3" w:rsidRDefault="005154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C5" w:rsidRDefault="008C29C5" w:rsidP="002F1084">
      <w:r>
        <w:separator/>
      </w:r>
    </w:p>
  </w:footnote>
  <w:footnote w:type="continuationSeparator" w:id="0">
    <w:p w:rsidR="008C29C5" w:rsidRDefault="008C29C5" w:rsidP="002F1084">
      <w:r>
        <w:continuationSeparator/>
      </w:r>
    </w:p>
  </w:footnote>
  <w:footnote w:id="1">
    <w:p w:rsidR="002F1084" w:rsidRDefault="002F1084" w:rsidP="002F1084">
      <w:pPr>
        <w:pStyle w:val="FootnoteText"/>
        <w:rPr>
          <w:sz w:val="20"/>
        </w:rPr>
      </w:pPr>
      <w:r w:rsidRPr="00DD2C5C">
        <w:rPr>
          <w:rStyle w:val="FootnoteReference"/>
          <w:sz w:val="20"/>
        </w:rPr>
        <w:footnoteRef/>
      </w:r>
      <w:r w:rsidRPr="00DD2C5C">
        <w:rPr>
          <w:sz w:val="20"/>
        </w:rPr>
        <w:t xml:space="preserve"> </w:t>
      </w:r>
      <w:r w:rsidRPr="00DD2C5C">
        <w:rPr>
          <w:i/>
          <w:sz w:val="20"/>
        </w:rPr>
        <w:t>See</w:t>
      </w:r>
      <w:r w:rsidRPr="00DD2C5C">
        <w:rPr>
          <w:sz w:val="20"/>
        </w:rPr>
        <w:t xml:space="preserve"> </w:t>
      </w:r>
      <w:r w:rsidRPr="00DD2C5C">
        <w:rPr>
          <w:i/>
          <w:sz w:val="20"/>
        </w:rPr>
        <w:t xml:space="preserve">Dennis J. Kelly, Esq., </w:t>
      </w:r>
      <w:r w:rsidRPr="00DD2C5C">
        <w:rPr>
          <w:sz w:val="20"/>
        </w:rPr>
        <w:t>Letter, 23 FCC Rcd 4786 (MB 2008) (“</w:t>
      </w:r>
      <w:r w:rsidRPr="00DD2C5C">
        <w:rPr>
          <w:i/>
          <w:sz w:val="20"/>
        </w:rPr>
        <w:t>Staff Decision</w:t>
      </w:r>
      <w:r w:rsidRPr="00DD2C5C">
        <w:rPr>
          <w:sz w:val="20"/>
        </w:rPr>
        <w:t>”).</w:t>
      </w:r>
    </w:p>
    <w:p w:rsidR="002F1084" w:rsidRPr="00DD2C5C" w:rsidRDefault="002F1084" w:rsidP="002F1084">
      <w:pPr>
        <w:pStyle w:val="FootnoteText"/>
        <w:rPr>
          <w:sz w:val="20"/>
        </w:rPr>
      </w:pPr>
    </w:p>
  </w:footnote>
  <w:footnote w:id="2">
    <w:p w:rsidR="002F1084" w:rsidRDefault="002F1084">
      <w:pPr>
        <w:pStyle w:val="FootnoteText"/>
        <w:rPr>
          <w:sz w:val="20"/>
        </w:rPr>
      </w:pPr>
      <w:r>
        <w:rPr>
          <w:rStyle w:val="FootnoteReference"/>
        </w:rPr>
        <w:footnoteRef/>
      </w:r>
      <w:r>
        <w:t xml:space="preserve"> </w:t>
      </w:r>
      <w:r>
        <w:rPr>
          <w:sz w:val="20"/>
        </w:rPr>
        <w:t>47 C.F.R. § 73.3598.</w:t>
      </w:r>
    </w:p>
    <w:p w:rsidR="002F1084" w:rsidRPr="002F1084" w:rsidRDefault="002F1084">
      <w:pPr>
        <w:pStyle w:val="FootnoteText"/>
        <w:rPr>
          <w:sz w:val="20"/>
        </w:rPr>
      </w:pPr>
    </w:p>
  </w:footnote>
  <w:footnote w:id="3">
    <w:p w:rsidR="002F1084" w:rsidRDefault="002F1084" w:rsidP="002F1084">
      <w:pPr>
        <w:pStyle w:val="FootnoteText"/>
        <w:rPr>
          <w:sz w:val="20"/>
        </w:rPr>
      </w:pPr>
      <w:r w:rsidRPr="00DD2C5C">
        <w:rPr>
          <w:rStyle w:val="FootnoteReference"/>
          <w:sz w:val="20"/>
        </w:rPr>
        <w:footnoteRef/>
      </w:r>
      <w:r w:rsidRPr="00DD2C5C">
        <w:rPr>
          <w:sz w:val="20"/>
        </w:rPr>
        <w:t xml:space="preserve"> </w:t>
      </w:r>
      <w:r w:rsidRPr="00DD2C5C">
        <w:rPr>
          <w:i/>
          <w:sz w:val="20"/>
        </w:rPr>
        <w:t>See Den</w:t>
      </w:r>
      <w:r>
        <w:rPr>
          <w:i/>
          <w:sz w:val="20"/>
        </w:rPr>
        <w:t>nis J. Kelly, Esq.</w:t>
      </w:r>
      <w:r>
        <w:rPr>
          <w:sz w:val="20"/>
        </w:rPr>
        <w:t>,</w:t>
      </w:r>
      <w:r w:rsidRPr="00DD2C5C">
        <w:rPr>
          <w:sz w:val="20"/>
        </w:rPr>
        <w:t xml:space="preserve"> Letter, 21 FCC Rcd 2956 (MB 2006)</w:t>
      </w:r>
      <w:r>
        <w:rPr>
          <w:sz w:val="20"/>
        </w:rPr>
        <w:t xml:space="preserve"> (denying Borman’s Request for Expedited Action or, in the Alternative, for Tolling of Construction Period); </w:t>
      </w:r>
      <w:r w:rsidRPr="002E224E">
        <w:rPr>
          <w:i/>
          <w:sz w:val="20"/>
        </w:rPr>
        <w:t>Dennis J. Kelly, Esq.</w:t>
      </w:r>
      <w:r>
        <w:rPr>
          <w:sz w:val="20"/>
        </w:rPr>
        <w:t>, Letter, Ref. No. 1800B3-IB (Dec. 18, 2006) (denying waiver of the three-year construction period)</w:t>
      </w:r>
      <w:r w:rsidRPr="00DD2C5C">
        <w:rPr>
          <w:sz w:val="20"/>
        </w:rPr>
        <w:t>.</w:t>
      </w:r>
    </w:p>
    <w:p w:rsidR="002F1084" w:rsidRPr="00DD2C5C" w:rsidRDefault="002F1084" w:rsidP="002F1084">
      <w:pPr>
        <w:pStyle w:val="FootnoteText"/>
        <w:rPr>
          <w:sz w:val="20"/>
        </w:rPr>
      </w:pPr>
    </w:p>
  </w:footnote>
  <w:footnote w:id="4">
    <w:p w:rsidR="002F1084" w:rsidRPr="00A60D23" w:rsidRDefault="002F1084" w:rsidP="002F1084">
      <w:pPr>
        <w:pStyle w:val="FootnoteText"/>
        <w:rPr>
          <w:sz w:val="20"/>
        </w:rPr>
      </w:pPr>
      <w:r w:rsidRPr="00A60D23">
        <w:rPr>
          <w:rStyle w:val="FootnoteReference"/>
          <w:sz w:val="20"/>
        </w:rPr>
        <w:footnoteRef/>
      </w:r>
      <w:r w:rsidRPr="00A60D23">
        <w:rPr>
          <w:sz w:val="20"/>
        </w:rPr>
        <w:t xml:space="preserve"> 47 U.S.C. § 155(c)(5).</w:t>
      </w:r>
    </w:p>
    <w:p w:rsidR="002F1084" w:rsidRPr="00A60D23" w:rsidRDefault="002F1084" w:rsidP="002F1084">
      <w:pPr>
        <w:pStyle w:val="FootnoteText"/>
        <w:rPr>
          <w:sz w:val="20"/>
        </w:rPr>
      </w:pPr>
    </w:p>
  </w:footnote>
  <w:footnote w:id="5">
    <w:p w:rsidR="002F1084" w:rsidRPr="00A60D23" w:rsidRDefault="002F1084" w:rsidP="002F1084">
      <w:pPr>
        <w:pStyle w:val="FootnoteText"/>
        <w:rPr>
          <w:sz w:val="20"/>
        </w:rPr>
      </w:pPr>
      <w:r w:rsidRPr="00A60D23">
        <w:rPr>
          <w:rStyle w:val="FootnoteReference"/>
          <w:sz w:val="20"/>
        </w:rPr>
        <w:footnoteRef/>
      </w:r>
      <w:r w:rsidRPr="00A60D23">
        <w:rPr>
          <w:sz w:val="20"/>
        </w:rPr>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B9" w:rsidRDefault="00987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3" w:rsidRDefault="002F1084">
    <w:pPr>
      <w:pStyle w:val="Header"/>
    </w:pPr>
    <w:r>
      <w:rPr>
        <w:b/>
        <w:sz w:val="24"/>
        <w:u w:val="single"/>
      </w:rPr>
      <w:t xml:space="preserve">                                           Federal Communications Commission                           FCC 13-</w:t>
    </w:r>
    <w:r w:rsidR="00F333E2">
      <w:rPr>
        <w:b/>
        <w:sz w:val="24"/>
        <w:u w:val="single"/>
      </w:rPr>
      <w:t>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3" w:rsidRDefault="002F1084">
    <w:pPr>
      <w:pStyle w:val="Header"/>
    </w:pPr>
    <w:r>
      <w:rPr>
        <w:b/>
        <w:sz w:val="24"/>
        <w:u w:val="single"/>
      </w:rPr>
      <w:t xml:space="preserve">                                           Federal Communications Commission                           FCC 13-</w:t>
    </w:r>
    <w:r w:rsidR="00F333E2">
      <w:rPr>
        <w:b/>
        <w:sz w:val="24"/>
        <w:u w:val="single"/>
      </w:rPr>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900"/>
        </w:tabs>
        <w:ind w:left="-18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84"/>
    <w:rsid w:val="002F1084"/>
    <w:rsid w:val="00392896"/>
    <w:rsid w:val="00464AF8"/>
    <w:rsid w:val="005154C2"/>
    <w:rsid w:val="00680AA2"/>
    <w:rsid w:val="00793F60"/>
    <w:rsid w:val="008C29C5"/>
    <w:rsid w:val="009877B9"/>
    <w:rsid w:val="00D816DA"/>
    <w:rsid w:val="00E4320E"/>
    <w:rsid w:val="00F3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8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F1084"/>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084"/>
    <w:rPr>
      <w:rFonts w:ascii="Times New Roman" w:eastAsia="Times New Roman" w:hAnsi="Times New Roman" w:cs="Times New Roman"/>
      <w:b/>
      <w:szCs w:val="20"/>
    </w:rPr>
  </w:style>
  <w:style w:type="paragraph" w:styleId="Header">
    <w:name w:val="header"/>
    <w:basedOn w:val="Normal"/>
    <w:link w:val="HeaderChar"/>
    <w:rsid w:val="002F1084"/>
    <w:pPr>
      <w:tabs>
        <w:tab w:val="center" w:pos="4320"/>
        <w:tab w:val="right" w:pos="8640"/>
      </w:tabs>
    </w:pPr>
  </w:style>
  <w:style w:type="character" w:customStyle="1" w:styleId="HeaderChar">
    <w:name w:val="Header Char"/>
    <w:basedOn w:val="DefaultParagraphFont"/>
    <w:link w:val="Header"/>
    <w:rsid w:val="002F1084"/>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semiHidden/>
    <w:rsid w:val="002F1084"/>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basedOn w:val="Normal"/>
    <w:link w:val="FootnoteTextChar1"/>
    <w:semiHidden/>
    <w:rsid w:val="002F1084"/>
  </w:style>
  <w:style w:type="character" w:customStyle="1" w:styleId="FootnoteTextChar">
    <w:name w:val="Footnote Text Char"/>
    <w:basedOn w:val="DefaultParagraphFont"/>
    <w:uiPriority w:val="99"/>
    <w:semiHidden/>
    <w:rsid w:val="002F1084"/>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link w:val="FootnoteText"/>
    <w:semiHidden/>
    <w:rsid w:val="002F1084"/>
    <w:rPr>
      <w:rFonts w:ascii="Times New Roman" w:eastAsia="Times New Roman" w:hAnsi="Times New Roman" w:cs="Times New Roman"/>
      <w:szCs w:val="20"/>
    </w:rPr>
  </w:style>
  <w:style w:type="character" w:styleId="PageNumber">
    <w:name w:val="page number"/>
    <w:basedOn w:val="DefaultParagraphFont"/>
    <w:rsid w:val="002F1084"/>
  </w:style>
  <w:style w:type="paragraph" w:styleId="Footer">
    <w:name w:val="footer"/>
    <w:basedOn w:val="Normal"/>
    <w:link w:val="FooterChar"/>
    <w:rsid w:val="002F1084"/>
    <w:pPr>
      <w:tabs>
        <w:tab w:val="center" w:pos="4320"/>
        <w:tab w:val="right" w:pos="8640"/>
      </w:tabs>
    </w:pPr>
  </w:style>
  <w:style w:type="character" w:customStyle="1" w:styleId="FooterChar">
    <w:name w:val="Footer Char"/>
    <w:basedOn w:val="DefaultParagraphFont"/>
    <w:link w:val="Footer"/>
    <w:rsid w:val="002F1084"/>
    <w:rPr>
      <w:rFonts w:ascii="Times New Roman" w:eastAsia="Times New Roman" w:hAnsi="Times New Roman" w:cs="Times New Roman"/>
      <w:szCs w:val="20"/>
    </w:rPr>
  </w:style>
  <w:style w:type="paragraph" w:customStyle="1" w:styleId="ParaNum">
    <w:name w:val="ParaNum"/>
    <w:basedOn w:val="Normal"/>
    <w:rsid w:val="002F1084"/>
    <w:pPr>
      <w:widowControl w:val="0"/>
      <w:numPr>
        <w:numId w:val="1"/>
      </w:numPr>
      <w:tabs>
        <w:tab w:val="left" w:pos="1440"/>
      </w:tabs>
      <w:spacing w:after="220"/>
      <w:jc w:val="both"/>
    </w:pPr>
  </w:style>
  <w:style w:type="paragraph" w:styleId="EndnoteText">
    <w:name w:val="endnote text"/>
    <w:basedOn w:val="Normal"/>
    <w:link w:val="EndnoteTextChar"/>
    <w:rsid w:val="002F1084"/>
    <w:rPr>
      <w:sz w:val="20"/>
    </w:rPr>
  </w:style>
  <w:style w:type="character" w:customStyle="1" w:styleId="EndnoteTextChar">
    <w:name w:val="Endnote Text Char"/>
    <w:basedOn w:val="DefaultParagraphFont"/>
    <w:link w:val="EndnoteText"/>
    <w:rsid w:val="002F1084"/>
    <w:rPr>
      <w:rFonts w:ascii="Times New Roman" w:eastAsia="Times New Roman" w:hAnsi="Times New Roman" w:cs="Times New Roman"/>
      <w:sz w:val="20"/>
      <w:szCs w:val="20"/>
    </w:rPr>
  </w:style>
  <w:style w:type="character" w:styleId="EndnoteReference">
    <w:name w:val="endnote reference"/>
    <w:rsid w:val="002F10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8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F1084"/>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084"/>
    <w:rPr>
      <w:rFonts w:ascii="Times New Roman" w:eastAsia="Times New Roman" w:hAnsi="Times New Roman" w:cs="Times New Roman"/>
      <w:b/>
      <w:szCs w:val="20"/>
    </w:rPr>
  </w:style>
  <w:style w:type="paragraph" w:styleId="Header">
    <w:name w:val="header"/>
    <w:basedOn w:val="Normal"/>
    <w:link w:val="HeaderChar"/>
    <w:rsid w:val="002F1084"/>
    <w:pPr>
      <w:tabs>
        <w:tab w:val="center" w:pos="4320"/>
        <w:tab w:val="right" w:pos="8640"/>
      </w:tabs>
    </w:pPr>
  </w:style>
  <w:style w:type="character" w:customStyle="1" w:styleId="HeaderChar">
    <w:name w:val="Header Char"/>
    <w:basedOn w:val="DefaultParagraphFont"/>
    <w:link w:val="Header"/>
    <w:rsid w:val="002F1084"/>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semiHidden/>
    <w:rsid w:val="002F1084"/>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basedOn w:val="Normal"/>
    <w:link w:val="FootnoteTextChar1"/>
    <w:semiHidden/>
    <w:rsid w:val="002F1084"/>
  </w:style>
  <w:style w:type="character" w:customStyle="1" w:styleId="FootnoteTextChar">
    <w:name w:val="Footnote Text Char"/>
    <w:basedOn w:val="DefaultParagraphFont"/>
    <w:uiPriority w:val="99"/>
    <w:semiHidden/>
    <w:rsid w:val="002F1084"/>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link w:val="FootnoteText"/>
    <w:semiHidden/>
    <w:rsid w:val="002F1084"/>
    <w:rPr>
      <w:rFonts w:ascii="Times New Roman" w:eastAsia="Times New Roman" w:hAnsi="Times New Roman" w:cs="Times New Roman"/>
      <w:szCs w:val="20"/>
    </w:rPr>
  </w:style>
  <w:style w:type="character" w:styleId="PageNumber">
    <w:name w:val="page number"/>
    <w:basedOn w:val="DefaultParagraphFont"/>
    <w:rsid w:val="002F1084"/>
  </w:style>
  <w:style w:type="paragraph" w:styleId="Footer">
    <w:name w:val="footer"/>
    <w:basedOn w:val="Normal"/>
    <w:link w:val="FooterChar"/>
    <w:rsid w:val="002F1084"/>
    <w:pPr>
      <w:tabs>
        <w:tab w:val="center" w:pos="4320"/>
        <w:tab w:val="right" w:pos="8640"/>
      </w:tabs>
    </w:pPr>
  </w:style>
  <w:style w:type="character" w:customStyle="1" w:styleId="FooterChar">
    <w:name w:val="Footer Char"/>
    <w:basedOn w:val="DefaultParagraphFont"/>
    <w:link w:val="Footer"/>
    <w:rsid w:val="002F1084"/>
    <w:rPr>
      <w:rFonts w:ascii="Times New Roman" w:eastAsia="Times New Roman" w:hAnsi="Times New Roman" w:cs="Times New Roman"/>
      <w:szCs w:val="20"/>
    </w:rPr>
  </w:style>
  <w:style w:type="paragraph" w:customStyle="1" w:styleId="ParaNum">
    <w:name w:val="ParaNum"/>
    <w:basedOn w:val="Normal"/>
    <w:rsid w:val="002F1084"/>
    <w:pPr>
      <w:widowControl w:val="0"/>
      <w:numPr>
        <w:numId w:val="1"/>
      </w:numPr>
      <w:tabs>
        <w:tab w:val="left" w:pos="1440"/>
      </w:tabs>
      <w:spacing w:after="220"/>
      <w:jc w:val="both"/>
    </w:pPr>
  </w:style>
  <w:style w:type="paragraph" w:styleId="EndnoteText">
    <w:name w:val="endnote text"/>
    <w:basedOn w:val="Normal"/>
    <w:link w:val="EndnoteTextChar"/>
    <w:rsid w:val="002F1084"/>
    <w:rPr>
      <w:sz w:val="20"/>
    </w:rPr>
  </w:style>
  <w:style w:type="character" w:customStyle="1" w:styleId="EndnoteTextChar">
    <w:name w:val="Endnote Text Char"/>
    <w:basedOn w:val="DefaultParagraphFont"/>
    <w:link w:val="EndnoteText"/>
    <w:rsid w:val="002F1084"/>
    <w:rPr>
      <w:rFonts w:ascii="Times New Roman" w:eastAsia="Times New Roman" w:hAnsi="Times New Roman" w:cs="Times New Roman"/>
      <w:sz w:val="20"/>
      <w:szCs w:val="20"/>
    </w:rPr>
  </w:style>
  <w:style w:type="character" w:styleId="EndnoteReference">
    <w:name w:val="endnote reference"/>
    <w:rsid w:val="002F10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1476</Characters>
  <Application>Microsoft Office Word</Application>
  <DocSecurity>0</DocSecurity>
  <Lines>48</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2013-02-15T17:25:00Z</cp:lastPrinted>
  <dcterms:created xsi:type="dcterms:W3CDTF">2013-02-21T14:59:00Z</dcterms:created>
  <dcterms:modified xsi:type="dcterms:W3CDTF">2013-02-21T14:59:00Z</dcterms:modified>
  <cp:category> </cp:category>
  <cp:contentStatus> </cp:contentStatus>
</cp:coreProperties>
</file>