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4A729A" w:rsidRDefault="00426518" w:rsidP="00B57131">
            <w:pPr>
              <w:rPr>
                <w:b/>
                <w:bCs/>
                <w:sz w:val="12"/>
                <w:szCs w:val="12"/>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F466C3"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418-0509</w:t>
            </w:r>
          </w:p>
          <w:p w:rsidR="00FF232D" w:rsidRPr="008A3940" w:rsidRDefault="00F466C3"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4A729A" w:rsidRDefault="007A44F8" w:rsidP="00BB4E29">
            <w:pPr>
              <w:jc w:val="center"/>
              <w:rPr>
                <w:b/>
                <w:bCs/>
                <w:sz w:val="22"/>
                <w:szCs w:val="22"/>
              </w:rPr>
            </w:pPr>
          </w:p>
          <w:p w:rsidR="009C3CC2" w:rsidRDefault="00097AD3" w:rsidP="001D5560">
            <w:pPr>
              <w:tabs>
                <w:tab w:val="left" w:pos="8640"/>
              </w:tabs>
              <w:jc w:val="center"/>
              <w:rPr>
                <w:b/>
                <w:sz w:val="26"/>
                <w:szCs w:val="26"/>
              </w:rPr>
            </w:pPr>
            <w:r w:rsidRPr="001D5560">
              <w:rPr>
                <w:b/>
                <w:sz w:val="26"/>
                <w:szCs w:val="26"/>
              </w:rPr>
              <w:t xml:space="preserve">FCC STREAMLINES RULES TO SPEED TRANSITION TO </w:t>
            </w:r>
          </w:p>
          <w:p w:rsidR="00097AD3" w:rsidRPr="001D5560" w:rsidRDefault="00097AD3" w:rsidP="001D5560">
            <w:pPr>
              <w:tabs>
                <w:tab w:val="left" w:pos="8640"/>
              </w:tabs>
              <w:jc w:val="center"/>
              <w:rPr>
                <w:b/>
                <w:sz w:val="26"/>
                <w:szCs w:val="26"/>
              </w:rPr>
            </w:pPr>
            <w:r w:rsidRPr="001D5560">
              <w:rPr>
                <w:b/>
                <w:sz w:val="26"/>
                <w:szCs w:val="26"/>
              </w:rPr>
              <w:t>MODERN BROADBAND NETWORKS</w:t>
            </w:r>
          </w:p>
          <w:p w:rsidR="00097AD3" w:rsidRPr="00882CED" w:rsidRDefault="00097AD3" w:rsidP="00097AD3">
            <w:pPr>
              <w:tabs>
                <w:tab w:val="left" w:pos="8640"/>
              </w:tabs>
              <w:rPr>
                <w:sz w:val="22"/>
                <w:szCs w:val="22"/>
              </w:rPr>
            </w:pPr>
            <w:r w:rsidRPr="00882CED">
              <w:rPr>
                <w:sz w:val="22"/>
                <w:szCs w:val="22"/>
              </w:rPr>
              <w:t xml:space="preserve"> </w:t>
            </w:r>
            <w:bookmarkStart w:id="1" w:name="_Hlk498514146"/>
          </w:p>
          <w:p w:rsidR="00097AD3" w:rsidRDefault="00834DAF" w:rsidP="00B71552">
            <w:pPr>
              <w:rPr>
                <w:sz w:val="22"/>
                <w:szCs w:val="22"/>
              </w:rPr>
            </w:pPr>
            <w:bookmarkStart w:id="2" w:name="_Hlk498513367"/>
            <w:r w:rsidRPr="00AD5E73">
              <w:rPr>
                <w:sz w:val="22"/>
                <w:szCs w:val="22"/>
              </w:rPr>
              <w:t xml:space="preserve">WASHINGTON, November 16, 2017—The Federal Communications Commission today enacted reforms that will </w:t>
            </w:r>
            <w:r w:rsidR="00B3726B">
              <w:rPr>
                <w:sz w:val="22"/>
                <w:szCs w:val="22"/>
              </w:rPr>
              <w:t xml:space="preserve">better </w:t>
            </w:r>
            <w:r w:rsidRPr="00AD5E73">
              <w:rPr>
                <w:sz w:val="22"/>
                <w:szCs w:val="22"/>
              </w:rPr>
              <w:t>enable providers to</w:t>
            </w:r>
            <w:r w:rsidR="0043298B">
              <w:rPr>
                <w:sz w:val="22"/>
                <w:szCs w:val="22"/>
              </w:rPr>
              <w:t xml:space="preserve"> invest in next-generation networks</w:t>
            </w:r>
            <w:r w:rsidR="00B3726B">
              <w:rPr>
                <w:sz w:val="22"/>
                <w:szCs w:val="22"/>
              </w:rPr>
              <w:t>.</w:t>
            </w:r>
            <w:r w:rsidR="00FA087C">
              <w:rPr>
                <w:sz w:val="22"/>
                <w:szCs w:val="22"/>
              </w:rPr>
              <w:t xml:space="preserve">  </w:t>
            </w:r>
            <w:bookmarkEnd w:id="1"/>
            <w:bookmarkEnd w:id="2"/>
            <w:r w:rsidR="00097AD3">
              <w:rPr>
                <w:sz w:val="22"/>
                <w:szCs w:val="22"/>
              </w:rPr>
              <w:t xml:space="preserve">The FCC is also seeking comment on additional reforms, including how the FCC can expedite rebuilding and repairing broadband infrastructure after natural disasters. With broadband an essential component of modern life, the FCC is working to </w:t>
            </w:r>
            <w:r w:rsidR="00FA087C">
              <w:rPr>
                <w:sz w:val="22"/>
                <w:szCs w:val="22"/>
              </w:rPr>
              <w:t>ensure its</w:t>
            </w:r>
            <w:r w:rsidR="0043298B">
              <w:rPr>
                <w:sz w:val="22"/>
                <w:szCs w:val="22"/>
              </w:rPr>
              <w:t xml:space="preserve"> rules </w:t>
            </w:r>
            <w:r w:rsidR="00097AD3">
              <w:rPr>
                <w:sz w:val="22"/>
                <w:szCs w:val="22"/>
              </w:rPr>
              <w:t xml:space="preserve">allow carriers to invest in modern networks rather than </w:t>
            </w:r>
            <w:r w:rsidR="00FA087C">
              <w:rPr>
                <w:sz w:val="22"/>
                <w:szCs w:val="22"/>
              </w:rPr>
              <w:t>devote scarce</w:t>
            </w:r>
            <w:r w:rsidR="0043298B">
              <w:rPr>
                <w:sz w:val="22"/>
                <w:szCs w:val="22"/>
              </w:rPr>
              <w:t xml:space="preserve"> </w:t>
            </w:r>
            <w:r w:rsidR="00097AD3">
              <w:rPr>
                <w:sz w:val="22"/>
                <w:szCs w:val="22"/>
              </w:rPr>
              <w:t xml:space="preserve">resources </w:t>
            </w:r>
            <w:r w:rsidR="00FA087C">
              <w:rPr>
                <w:sz w:val="22"/>
                <w:szCs w:val="22"/>
              </w:rPr>
              <w:t xml:space="preserve">to </w:t>
            </w:r>
            <w:r w:rsidR="00097AD3">
              <w:rPr>
                <w:sz w:val="22"/>
                <w:szCs w:val="22"/>
              </w:rPr>
              <w:t>outmoded legacy services.</w:t>
            </w:r>
          </w:p>
          <w:p w:rsidR="00097AD3" w:rsidRDefault="00097AD3" w:rsidP="00097AD3">
            <w:pPr>
              <w:tabs>
                <w:tab w:val="left" w:pos="8640"/>
              </w:tabs>
              <w:rPr>
                <w:sz w:val="22"/>
                <w:szCs w:val="22"/>
              </w:rPr>
            </w:pPr>
          </w:p>
          <w:p w:rsidR="00097AD3" w:rsidRDefault="00097AD3" w:rsidP="00097AD3">
            <w:pPr>
              <w:tabs>
                <w:tab w:val="left" w:pos="8640"/>
              </w:tabs>
              <w:rPr>
                <w:sz w:val="22"/>
                <w:szCs w:val="22"/>
              </w:rPr>
            </w:pPr>
            <w:r>
              <w:rPr>
                <w:sz w:val="22"/>
                <w:szCs w:val="22"/>
              </w:rPr>
              <w:t xml:space="preserve">One set of changes approved govern access to utility poles and conduits, which can be a costly and time-consuming barrier to broadband deployment. Changes include rules that: </w:t>
            </w:r>
          </w:p>
          <w:p w:rsidR="00097AD3" w:rsidRDefault="00097AD3" w:rsidP="00097AD3">
            <w:pPr>
              <w:pStyle w:val="ListParagraph"/>
              <w:numPr>
                <w:ilvl w:val="0"/>
                <w:numId w:val="2"/>
              </w:numPr>
              <w:tabs>
                <w:tab w:val="left" w:pos="8640"/>
              </w:tabs>
              <w:rPr>
                <w:sz w:val="22"/>
                <w:szCs w:val="22"/>
              </w:rPr>
            </w:pPr>
            <w:bookmarkStart w:id="3" w:name="_Hlk498587371"/>
            <w:r>
              <w:rPr>
                <w:sz w:val="22"/>
                <w:szCs w:val="22"/>
              </w:rPr>
              <w:t>Reduce cost</w:t>
            </w:r>
            <w:r w:rsidR="008C5445">
              <w:rPr>
                <w:sz w:val="22"/>
                <w:szCs w:val="22"/>
              </w:rPr>
              <w:t>s</w:t>
            </w:r>
            <w:r>
              <w:rPr>
                <w:sz w:val="22"/>
                <w:szCs w:val="22"/>
              </w:rPr>
              <w:t xml:space="preserve"> faced by broadband providers by barring pole owners from </w:t>
            </w:r>
            <w:r w:rsidR="00FA087C">
              <w:rPr>
                <w:sz w:val="22"/>
                <w:szCs w:val="22"/>
              </w:rPr>
              <w:t>charging for</w:t>
            </w:r>
            <w:r>
              <w:rPr>
                <w:sz w:val="22"/>
                <w:szCs w:val="22"/>
              </w:rPr>
              <w:t xml:space="preserve"> </w:t>
            </w:r>
            <w:r w:rsidR="00EF6EA9">
              <w:rPr>
                <w:sz w:val="22"/>
                <w:szCs w:val="22"/>
              </w:rPr>
              <w:t xml:space="preserve">certain </w:t>
            </w:r>
            <w:r>
              <w:rPr>
                <w:sz w:val="22"/>
                <w:szCs w:val="22"/>
              </w:rPr>
              <w:t xml:space="preserve">costs </w:t>
            </w:r>
            <w:r w:rsidR="00EF6EA9">
              <w:rPr>
                <w:sz w:val="22"/>
                <w:szCs w:val="22"/>
              </w:rPr>
              <w:t xml:space="preserve">they have </w:t>
            </w:r>
            <w:r>
              <w:rPr>
                <w:sz w:val="22"/>
                <w:szCs w:val="22"/>
              </w:rPr>
              <w:t xml:space="preserve">already recovered </w:t>
            </w:r>
            <w:r w:rsidR="00FA087C">
              <w:rPr>
                <w:sz w:val="22"/>
                <w:szCs w:val="22"/>
              </w:rPr>
              <w:t>from others (called make-ready fees)</w:t>
            </w:r>
            <w:r>
              <w:rPr>
                <w:sz w:val="22"/>
                <w:szCs w:val="22"/>
              </w:rPr>
              <w:t>.</w:t>
            </w:r>
          </w:p>
          <w:bookmarkEnd w:id="3"/>
          <w:p w:rsidR="00097AD3" w:rsidRDefault="00097AD3" w:rsidP="00097AD3">
            <w:pPr>
              <w:pStyle w:val="ListParagraph"/>
              <w:numPr>
                <w:ilvl w:val="0"/>
                <w:numId w:val="2"/>
              </w:numPr>
              <w:tabs>
                <w:tab w:val="left" w:pos="8640"/>
              </w:tabs>
              <w:rPr>
                <w:sz w:val="22"/>
                <w:szCs w:val="22"/>
              </w:rPr>
            </w:pPr>
            <w:r>
              <w:rPr>
                <w:sz w:val="22"/>
                <w:szCs w:val="22"/>
              </w:rPr>
              <w:t xml:space="preserve">Speed resolution of pole attachment disputes by the FCC’s Enforcement Bureau through use of a 180-day “shot clock.” </w:t>
            </w:r>
          </w:p>
          <w:p w:rsidR="00097AD3" w:rsidRDefault="00097AD3" w:rsidP="00097AD3">
            <w:pPr>
              <w:pStyle w:val="ListParagraph"/>
              <w:numPr>
                <w:ilvl w:val="0"/>
                <w:numId w:val="2"/>
              </w:numPr>
              <w:tabs>
                <w:tab w:val="left" w:pos="8640"/>
              </w:tabs>
              <w:rPr>
                <w:sz w:val="22"/>
                <w:szCs w:val="22"/>
              </w:rPr>
            </w:pPr>
            <w:r>
              <w:rPr>
                <w:sz w:val="22"/>
                <w:szCs w:val="22"/>
              </w:rPr>
              <w:t xml:space="preserve">Allow local </w:t>
            </w:r>
            <w:r w:rsidR="0043298B">
              <w:rPr>
                <w:sz w:val="22"/>
                <w:szCs w:val="22"/>
              </w:rPr>
              <w:t>providers</w:t>
            </w:r>
            <w:r>
              <w:rPr>
                <w:sz w:val="22"/>
                <w:szCs w:val="22"/>
              </w:rPr>
              <w:t xml:space="preserve"> equal access to each other’s poles</w:t>
            </w:r>
            <w:r w:rsidR="00FA087C">
              <w:rPr>
                <w:sz w:val="22"/>
                <w:szCs w:val="22"/>
              </w:rPr>
              <w:t>.</w:t>
            </w:r>
          </w:p>
          <w:p w:rsidR="00097AD3" w:rsidRPr="00B93850" w:rsidRDefault="00097AD3" w:rsidP="00097AD3">
            <w:pPr>
              <w:tabs>
                <w:tab w:val="left" w:pos="8640"/>
              </w:tabs>
              <w:rPr>
                <w:sz w:val="22"/>
                <w:szCs w:val="22"/>
              </w:rPr>
            </w:pPr>
          </w:p>
          <w:p w:rsidR="00097AD3" w:rsidRDefault="00097AD3" w:rsidP="00097AD3">
            <w:pPr>
              <w:tabs>
                <w:tab w:val="left" w:pos="8640"/>
              </w:tabs>
              <w:rPr>
                <w:sz w:val="22"/>
                <w:szCs w:val="22"/>
              </w:rPr>
            </w:pPr>
            <w:r>
              <w:rPr>
                <w:sz w:val="22"/>
                <w:szCs w:val="22"/>
              </w:rPr>
              <w:t xml:space="preserve">Another set of reforms </w:t>
            </w:r>
            <w:r w:rsidR="00FA087C">
              <w:rPr>
                <w:sz w:val="22"/>
                <w:szCs w:val="22"/>
              </w:rPr>
              <w:t>revise</w:t>
            </w:r>
            <w:r>
              <w:rPr>
                <w:sz w:val="22"/>
                <w:szCs w:val="22"/>
              </w:rPr>
              <w:t xml:space="preserve"> rules that needlessly delay or even stop companies from </w:t>
            </w:r>
            <w:r w:rsidR="00FA087C">
              <w:rPr>
                <w:sz w:val="22"/>
                <w:szCs w:val="22"/>
              </w:rPr>
              <w:t>replacing</w:t>
            </w:r>
            <w:r>
              <w:rPr>
                <w:sz w:val="22"/>
                <w:szCs w:val="22"/>
              </w:rPr>
              <w:t xml:space="preserve"> copper </w:t>
            </w:r>
            <w:r w:rsidR="00FA087C">
              <w:rPr>
                <w:sz w:val="22"/>
                <w:szCs w:val="22"/>
              </w:rPr>
              <w:t>with</w:t>
            </w:r>
            <w:r>
              <w:rPr>
                <w:sz w:val="22"/>
                <w:szCs w:val="22"/>
              </w:rPr>
              <w:t xml:space="preserve"> fiber and that delay discontinua</w:t>
            </w:r>
            <w:r w:rsidR="00EC3AB2">
              <w:rPr>
                <w:sz w:val="22"/>
                <w:szCs w:val="22"/>
              </w:rPr>
              <w:t>nce</w:t>
            </w:r>
            <w:r>
              <w:rPr>
                <w:sz w:val="22"/>
                <w:szCs w:val="22"/>
              </w:rPr>
              <w:t xml:space="preserve"> of </w:t>
            </w:r>
            <w:r w:rsidR="00FA087C">
              <w:rPr>
                <w:sz w:val="22"/>
                <w:szCs w:val="22"/>
              </w:rPr>
              <w:t>technologies from the 1970s</w:t>
            </w:r>
            <w:r>
              <w:rPr>
                <w:sz w:val="22"/>
                <w:szCs w:val="22"/>
              </w:rPr>
              <w:t xml:space="preserve"> </w:t>
            </w:r>
            <w:r w:rsidR="00111654" w:rsidRPr="00111654">
              <w:rPr>
                <w:sz w:val="22"/>
                <w:szCs w:val="22"/>
              </w:rPr>
              <w:t xml:space="preserve">in favor of services </w:t>
            </w:r>
            <w:r w:rsidR="00FA087C">
              <w:rPr>
                <w:sz w:val="22"/>
                <w:szCs w:val="22"/>
              </w:rPr>
              <w:t>using</w:t>
            </w:r>
            <w:r w:rsidR="00FA087C" w:rsidRPr="00111654">
              <w:rPr>
                <w:sz w:val="22"/>
                <w:szCs w:val="22"/>
              </w:rPr>
              <w:t xml:space="preserve"> </w:t>
            </w:r>
            <w:r w:rsidR="00111654" w:rsidRPr="00111654">
              <w:rPr>
                <w:sz w:val="22"/>
                <w:szCs w:val="22"/>
              </w:rPr>
              <w:t>Internet Protocol (IP) technologies</w:t>
            </w:r>
            <w:r>
              <w:rPr>
                <w:sz w:val="22"/>
                <w:szCs w:val="22"/>
              </w:rPr>
              <w:t xml:space="preserve">. </w:t>
            </w:r>
            <w:r w:rsidR="00EC3AB2">
              <w:rPr>
                <w:sz w:val="22"/>
                <w:szCs w:val="22"/>
              </w:rPr>
              <w:t xml:space="preserve"> </w:t>
            </w:r>
            <w:r>
              <w:rPr>
                <w:sz w:val="22"/>
                <w:szCs w:val="22"/>
              </w:rPr>
              <w:t>The reforms will:</w:t>
            </w:r>
          </w:p>
          <w:p w:rsidR="00097AD3" w:rsidRPr="0043298B" w:rsidRDefault="00097AD3" w:rsidP="0043298B">
            <w:pPr>
              <w:pStyle w:val="ListParagraph"/>
              <w:numPr>
                <w:ilvl w:val="0"/>
                <w:numId w:val="3"/>
              </w:numPr>
              <w:tabs>
                <w:tab w:val="left" w:pos="8640"/>
              </w:tabs>
              <w:rPr>
                <w:sz w:val="22"/>
                <w:szCs w:val="22"/>
              </w:rPr>
            </w:pPr>
            <w:r w:rsidRPr="0043298B">
              <w:rPr>
                <w:sz w:val="22"/>
                <w:szCs w:val="22"/>
              </w:rPr>
              <w:t xml:space="preserve">Allow </w:t>
            </w:r>
            <w:r w:rsidR="0043298B" w:rsidRPr="0043298B">
              <w:rPr>
                <w:sz w:val="22"/>
                <w:szCs w:val="22"/>
              </w:rPr>
              <w:t>providers</w:t>
            </w:r>
            <w:r w:rsidRPr="0043298B">
              <w:rPr>
                <w:sz w:val="22"/>
                <w:szCs w:val="22"/>
              </w:rPr>
              <w:t xml:space="preserve"> to </w:t>
            </w:r>
            <w:r w:rsidR="00FA087C">
              <w:rPr>
                <w:sz w:val="22"/>
                <w:szCs w:val="22"/>
              </w:rPr>
              <w:t>notify customers, including federal agencies, earlier of</w:t>
            </w:r>
            <w:r w:rsidRPr="0043298B">
              <w:rPr>
                <w:sz w:val="22"/>
                <w:szCs w:val="22"/>
              </w:rPr>
              <w:t xml:space="preserve"> </w:t>
            </w:r>
            <w:r w:rsidR="007C0ABE" w:rsidRPr="0043298B">
              <w:rPr>
                <w:sz w:val="22"/>
                <w:szCs w:val="22"/>
              </w:rPr>
              <w:t>upcoming</w:t>
            </w:r>
            <w:r w:rsidR="0043298B">
              <w:rPr>
                <w:sz w:val="22"/>
                <w:szCs w:val="22"/>
              </w:rPr>
              <w:t xml:space="preserve"> </w:t>
            </w:r>
            <w:r w:rsidRPr="0043298B">
              <w:rPr>
                <w:sz w:val="22"/>
                <w:szCs w:val="22"/>
              </w:rPr>
              <w:t xml:space="preserve">network changes </w:t>
            </w:r>
            <w:r w:rsidR="00111654" w:rsidRPr="0043298B">
              <w:rPr>
                <w:sz w:val="22"/>
                <w:szCs w:val="22"/>
              </w:rPr>
              <w:t xml:space="preserve">and </w:t>
            </w:r>
            <w:r w:rsidRPr="0043298B">
              <w:rPr>
                <w:sz w:val="22"/>
                <w:szCs w:val="22"/>
              </w:rPr>
              <w:t>copper retirement</w:t>
            </w:r>
            <w:r w:rsidR="00111654" w:rsidRPr="0043298B">
              <w:rPr>
                <w:sz w:val="22"/>
                <w:szCs w:val="22"/>
              </w:rPr>
              <w:t>s</w:t>
            </w:r>
            <w:r w:rsidR="00FA087C">
              <w:rPr>
                <w:sz w:val="22"/>
                <w:szCs w:val="22"/>
              </w:rPr>
              <w:t>.</w:t>
            </w:r>
          </w:p>
          <w:p w:rsidR="00097AD3" w:rsidRDefault="00097AD3" w:rsidP="00097AD3">
            <w:pPr>
              <w:pStyle w:val="ListParagraph"/>
              <w:numPr>
                <w:ilvl w:val="0"/>
                <w:numId w:val="3"/>
              </w:numPr>
              <w:tabs>
                <w:tab w:val="left" w:pos="8640"/>
              </w:tabs>
              <w:rPr>
                <w:sz w:val="22"/>
                <w:szCs w:val="22"/>
              </w:rPr>
            </w:pPr>
            <w:r w:rsidRPr="0026577E">
              <w:rPr>
                <w:sz w:val="22"/>
                <w:szCs w:val="22"/>
              </w:rPr>
              <w:t xml:space="preserve">Reduce consumer confusion and carrier burden caused by duplicative </w:t>
            </w:r>
            <w:r w:rsidR="00111654">
              <w:rPr>
                <w:sz w:val="22"/>
                <w:szCs w:val="22"/>
              </w:rPr>
              <w:t xml:space="preserve">Commission-mandated </w:t>
            </w:r>
            <w:r w:rsidRPr="0026577E">
              <w:rPr>
                <w:sz w:val="22"/>
                <w:szCs w:val="22"/>
              </w:rPr>
              <w:t>copper retirement notices</w:t>
            </w:r>
            <w:r w:rsidR="00B62155">
              <w:rPr>
                <w:sz w:val="22"/>
                <w:szCs w:val="22"/>
              </w:rPr>
              <w:t>.</w:t>
            </w:r>
          </w:p>
          <w:p w:rsidR="00B62155" w:rsidRDefault="00FA087C" w:rsidP="00097AD3">
            <w:pPr>
              <w:pStyle w:val="ListParagraph"/>
              <w:numPr>
                <w:ilvl w:val="0"/>
                <w:numId w:val="3"/>
              </w:numPr>
              <w:tabs>
                <w:tab w:val="left" w:pos="8640"/>
              </w:tabs>
              <w:rPr>
                <w:sz w:val="22"/>
                <w:szCs w:val="22"/>
              </w:rPr>
            </w:pPr>
            <w:r>
              <w:rPr>
                <w:sz w:val="22"/>
                <w:szCs w:val="22"/>
              </w:rPr>
              <w:t xml:space="preserve">Speed </w:t>
            </w:r>
            <w:r w:rsidR="00B62155">
              <w:rPr>
                <w:sz w:val="22"/>
                <w:szCs w:val="22"/>
              </w:rPr>
              <w:t xml:space="preserve">the timeframe for </w:t>
            </w:r>
            <w:r>
              <w:rPr>
                <w:sz w:val="22"/>
                <w:szCs w:val="22"/>
              </w:rPr>
              <w:t>upgrading copper to fiber</w:t>
            </w:r>
            <w:r w:rsidR="00B62155">
              <w:rPr>
                <w:sz w:val="22"/>
                <w:szCs w:val="22"/>
              </w:rPr>
              <w:t>.</w:t>
            </w:r>
          </w:p>
          <w:p w:rsidR="00097AD3" w:rsidRDefault="00FA087C" w:rsidP="00097AD3">
            <w:pPr>
              <w:pStyle w:val="ListParagraph"/>
              <w:numPr>
                <w:ilvl w:val="0"/>
                <w:numId w:val="3"/>
              </w:numPr>
              <w:tabs>
                <w:tab w:val="left" w:pos="8640"/>
              </w:tabs>
              <w:rPr>
                <w:sz w:val="22"/>
                <w:szCs w:val="22"/>
              </w:rPr>
            </w:pPr>
            <w:r>
              <w:rPr>
                <w:sz w:val="22"/>
                <w:szCs w:val="22"/>
              </w:rPr>
              <w:t>Expedite</w:t>
            </w:r>
            <w:r w:rsidR="00097AD3" w:rsidRPr="00B51BC7">
              <w:rPr>
                <w:sz w:val="22"/>
                <w:szCs w:val="22"/>
              </w:rPr>
              <w:t xml:space="preserve"> applications </w:t>
            </w:r>
            <w:r w:rsidR="00097AD3">
              <w:rPr>
                <w:sz w:val="22"/>
                <w:szCs w:val="22"/>
              </w:rPr>
              <w:t>filed by carriers se</w:t>
            </w:r>
            <w:r w:rsidR="00097AD3" w:rsidRPr="00B51BC7">
              <w:rPr>
                <w:sz w:val="22"/>
                <w:szCs w:val="22"/>
              </w:rPr>
              <w:t>eking to</w:t>
            </w:r>
            <w:r w:rsidR="00E47D02">
              <w:rPr>
                <w:sz w:val="22"/>
                <w:szCs w:val="22"/>
              </w:rPr>
              <w:t xml:space="preserve">: </w:t>
            </w:r>
            <w:r w:rsidR="00E47D02" w:rsidRPr="00B51BC7">
              <w:rPr>
                <w:sz w:val="22"/>
                <w:szCs w:val="22"/>
              </w:rPr>
              <w:t>(</w:t>
            </w:r>
            <w:r w:rsidR="00B62155">
              <w:rPr>
                <w:sz w:val="22"/>
                <w:szCs w:val="22"/>
              </w:rPr>
              <w:t xml:space="preserve">1) </w:t>
            </w:r>
            <w:r w:rsidR="00097AD3" w:rsidRPr="00B51BC7">
              <w:rPr>
                <w:sz w:val="22"/>
                <w:szCs w:val="22"/>
              </w:rPr>
              <w:t>stop taking new customers for low-speed voice a</w:t>
            </w:r>
            <w:r w:rsidR="00097AD3">
              <w:rPr>
                <w:sz w:val="22"/>
                <w:szCs w:val="22"/>
              </w:rPr>
              <w:t>nd data services;</w:t>
            </w:r>
            <w:r w:rsidR="00097AD3" w:rsidRPr="00B51BC7">
              <w:rPr>
                <w:sz w:val="22"/>
                <w:szCs w:val="22"/>
              </w:rPr>
              <w:t xml:space="preserve"> </w:t>
            </w:r>
            <w:r w:rsidR="00B62155">
              <w:rPr>
                <w:sz w:val="22"/>
                <w:szCs w:val="22"/>
              </w:rPr>
              <w:t>(</w:t>
            </w:r>
            <w:r w:rsidR="001210DB">
              <w:rPr>
                <w:sz w:val="22"/>
                <w:szCs w:val="22"/>
              </w:rPr>
              <w:t>2</w:t>
            </w:r>
            <w:r w:rsidR="00B62155">
              <w:rPr>
                <w:sz w:val="22"/>
                <w:szCs w:val="22"/>
              </w:rPr>
              <w:t xml:space="preserve">) </w:t>
            </w:r>
            <w:r w:rsidR="00097AD3" w:rsidRPr="00B51BC7">
              <w:rPr>
                <w:sz w:val="22"/>
                <w:szCs w:val="22"/>
              </w:rPr>
              <w:t xml:space="preserve">discontinue </w:t>
            </w:r>
            <w:r w:rsidR="00111654">
              <w:rPr>
                <w:sz w:val="22"/>
                <w:szCs w:val="22"/>
              </w:rPr>
              <w:t>previously</w:t>
            </w:r>
            <w:r w:rsidR="00F23C1D">
              <w:rPr>
                <w:sz w:val="22"/>
                <w:szCs w:val="22"/>
              </w:rPr>
              <w:t xml:space="preserve"> </w:t>
            </w:r>
            <w:r w:rsidR="00097AD3" w:rsidRPr="00B51BC7">
              <w:rPr>
                <w:sz w:val="22"/>
                <w:szCs w:val="22"/>
              </w:rPr>
              <w:t>“grandfathered”</w:t>
            </w:r>
            <w:r w:rsidR="00097AD3">
              <w:rPr>
                <w:sz w:val="22"/>
                <w:szCs w:val="22"/>
              </w:rPr>
              <w:t xml:space="preserve"> </w:t>
            </w:r>
            <w:r w:rsidR="00111654">
              <w:rPr>
                <w:sz w:val="22"/>
                <w:szCs w:val="22"/>
              </w:rPr>
              <w:t xml:space="preserve">low-speed data </w:t>
            </w:r>
            <w:r w:rsidR="00097AD3">
              <w:rPr>
                <w:sz w:val="22"/>
                <w:szCs w:val="22"/>
              </w:rPr>
              <w:t>services;</w:t>
            </w:r>
            <w:r w:rsidR="00097AD3" w:rsidRPr="00B51BC7">
              <w:rPr>
                <w:sz w:val="22"/>
                <w:szCs w:val="22"/>
              </w:rPr>
              <w:t xml:space="preserve"> and </w:t>
            </w:r>
            <w:r w:rsidR="00B62155">
              <w:rPr>
                <w:sz w:val="22"/>
                <w:szCs w:val="22"/>
              </w:rPr>
              <w:t xml:space="preserve">(3) </w:t>
            </w:r>
            <w:r w:rsidR="00097AD3" w:rsidRPr="00B51BC7">
              <w:rPr>
                <w:sz w:val="22"/>
                <w:szCs w:val="22"/>
              </w:rPr>
              <w:t>discontinue low-speed services for which there are no customers</w:t>
            </w:r>
            <w:r w:rsidR="00B62155">
              <w:rPr>
                <w:sz w:val="22"/>
                <w:szCs w:val="22"/>
              </w:rPr>
              <w:t>.</w:t>
            </w:r>
          </w:p>
          <w:p w:rsidR="00111654" w:rsidRDefault="00111654" w:rsidP="00111654">
            <w:pPr>
              <w:pStyle w:val="ListParagraph"/>
              <w:numPr>
                <w:ilvl w:val="0"/>
                <w:numId w:val="3"/>
              </w:numPr>
              <w:tabs>
                <w:tab w:val="left" w:pos="8640"/>
              </w:tabs>
              <w:rPr>
                <w:sz w:val="22"/>
                <w:szCs w:val="22"/>
              </w:rPr>
            </w:pPr>
            <w:r>
              <w:rPr>
                <w:sz w:val="22"/>
                <w:szCs w:val="22"/>
              </w:rPr>
              <w:t>Eliminate section 214(a) discontinuance requirements for solely wholesale services.</w:t>
            </w:r>
          </w:p>
          <w:p w:rsidR="00097AD3" w:rsidRPr="007C0ABE" w:rsidRDefault="00111654">
            <w:pPr>
              <w:pStyle w:val="ListParagraph"/>
              <w:numPr>
                <w:ilvl w:val="0"/>
                <w:numId w:val="3"/>
              </w:numPr>
              <w:tabs>
                <w:tab w:val="left" w:pos="8640"/>
              </w:tabs>
              <w:rPr>
                <w:sz w:val="22"/>
                <w:szCs w:val="22"/>
              </w:rPr>
            </w:pPr>
            <w:r w:rsidRPr="007C0ABE">
              <w:rPr>
                <w:sz w:val="22"/>
                <w:szCs w:val="22"/>
              </w:rPr>
              <w:t xml:space="preserve">Reverse </w:t>
            </w:r>
            <w:r w:rsidR="00097AD3" w:rsidRPr="007C0ABE">
              <w:rPr>
                <w:sz w:val="22"/>
                <w:szCs w:val="22"/>
              </w:rPr>
              <w:t>a 201</w:t>
            </w:r>
            <w:r w:rsidR="00B62155" w:rsidRPr="007C0ABE">
              <w:rPr>
                <w:sz w:val="22"/>
                <w:szCs w:val="22"/>
              </w:rPr>
              <w:t>4</w:t>
            </w:r>
            <w:r w:rsidR="00097AD3" w:rsidRPr="007C0ABE">
              <w:rPr>
                <w:sz w:val="22"/>
                <w:szCs w:val="22"/>
              </w:rPr>
              <w:t xml:space="preserve"> </w:t>
            </w:r>
            <w:r w:rsidR="004C4C35" w:rsidRPr="007C0ABE">
              <w:rPr>
                <w:sz w:val="22"/>
                <w:szCs w:val="22"/>
              </w:rPr>
              <w:t xml:space="preserve">interpretation </w:t>
            </w:r>
            <w:r w:rsidR="005E5E65" w:rsidRPr="007C0ABE">
              <w:rPr>
                <w:sz w:val="22"/>
                <w:szCs w:val="22"/>
              </w:rPr>
              <w:t>that</w:t>
            </w:r>
            <w:r w:rsidR="00DB329F" w:rsidRPr="007C0ABE">
              <w:rPr>
                <w:sz w:val="22"/>
                <w:szCs w:val="22"/>
              </w:rPr>
              <w:t xml:space="preserve"> diverted investment from next-generation networks by requiring </w:t>
            </w:r>
            <w:r w:rsidR="0043298B">
              <w:rPr>
                <w:sz w:val="22"/>
                <w:szCs w:val="22"/>
              </w:rPr>
              <w:t>carriers</w:t>
            </w:r>
            <w:r w:rsidR="007C0ABE" w:rsidRPr="007C0ABE">
              <w:rPr>
                <w:sz w:val="22"/>
                <w:szCs w:val="22"/>
              </w:rPr>
              <w:t xml:space="preserve"> </w:t>
            </w:r>
            <w:r w:rsidR="00DB329F" w:rsidRPr="007C0ABE">
              <w:rPr>
                <w:sz w:val="22"/>
                <w:szCs w:val="22"/>
              </w:rPr>
              <w:t xml:space="preserve">to </w:t>
            </w:r>
            <w:r w:rsidR="007C0ABE">
              <w:rPr>
                <w:sz w:val="22"/>
                <w:szCs w:val="22"/>
              </w:rPr>
              <w:t>receive</w:t>
            </w:r>
            <w:r w:rsidR="00DB329F" w:rsidRPr="007C0ABE">
              <w:rPr>
                <w:sz w:val="22"/>
                <w:szCs w:val="22"/>
              </w:rPr>
              <w:t xml:space="preserve"> FCC approval </w:t>
            </w:r>
            <w:r w:rsidR="000826A1" w:rsidRPr="007C0ABE">
              <w:rPr>
                <w:sz w:val="22"/>
                <w:szCs w:val="22"/>
              </w:rPr>
              <w:t>before upgrading legacy services.</w:t>
            </w:r>
          </w:p>
          <w:p w:rsidR="00097AD3" w:rsidRDefault="00097AD3" w:rsidP="00097AD3">
            <w:pPr>
              <w:pStyle w:val="ListParagraph"/>
              <w:tabs>
                <w:tab w:val="left" w:pos="8640"/>
              </w:tabs>
              <w:rPr>
                <w:sz w:val="22"/>
                <w:szCs w:val="22"/>
              </w:rPr>
            </w:pPr>
          </w:p>
          <w:p w:rsidR="00321A25" w:rsidRDefault="00097AD3" w:rsidP="00097AD3">
            <w:pPr>
              <w:tabs>
                <w:tab w:val="left" w:pos="8640"/>
              </w:tabs>
              <w:rPr>
                <w:sz w:val="22"/>
                <w:szCs w:val="22"/>
              </w:rPr>
            </w:pPr>
            <w:r>
              <w:rPr>
                <w:sz w:val="22"/>
                <w:szCs w:val="22"/>
              </w:rPr>
              <w:t>T</w:t>
            </w:r>
            <w:r w:rsidR="005000E4">
              <w:rPr>
                <w:sz w:val="22"/>
                <w:szCs w:val="22"/>
              </w:rPr>
              <w:t xml:space="preserve">oday’s actions do not affect </w:t>
            </w:r>
            <w:r w:rsidR="007C0ABE">
              <w:rPr>
                <w:sz w:val="22"/>
                <w:szCs w:val="22"/>
              </w:rPr>
              <w:t xml:space="preserve">providers’ </w:t>
            </w:r>
            <w:r w:rsidR="005000E4">
              <w:rPr>
                <w:sz w:val="22"/>
                <w:szCs w:val="22"/>
              </w:rPr>
              <w:t>o</w:t>
            </w:r>
            <w:r w:rsidR="005000E4" w:rsidRPr="005000E4">
              <w:rPr>
                <w:sz w:val="22"/>
                <w:szCs w:val="22"/>
              </w:rPr>
              <w:t>bligations to comply with 911 service requirements regardless of the technology a provider uses</w:t>
            </w:r>
            <w:r w:rsidR="005000E4">
              <w:rPr>
                <w:sz w:val="22"/>
                <w:szCs w:val="22"/>
              </w:rPr>
              <w:t>.</w:t>
            </w:r>
            <w:r>
              <w:rPr>
                <w:sz w:val="22"/>
                <w:szCs w:val="22"/>
              </w:rPr>
              <w:t xml:space="preserve"> </w:t>
            </w:r>
            <w:r w:rsidR="00B62155">
              <w:rPr>
                <w:sz w:val="22"/>
                <w:szCs w:val="22"/>
              </w:rPr>
              <w:t xml:space="preserve"> </w:t>
            </w:r>
            <w:r>
              <w:rPr>
                <w:sz w:val="22"/>
                <w:szCs w:val="22"/>
              </w:rPr>
              <w:t xml:space="preserve">In addition, all </w:t>
            </w:r>
            <w:r w:rsidR="005000E4">
              <w:rPr>
                <w:sz w:val="22"/>
                <w:szCs w:val="22"/>
              </w:rPr>
              <w:t xml:space="preserve">voice </w:t>
            </w:r>
            <w:r>
              <w:rPr>
                <w:sz w:val="22"/>
                <w:szCs w:val="22"/>
              </w:rPr>
              <w:t>services</w:t>
            </w:r>
            <w:r w:rsidR="005000E4">
              <w:rPr>
                <w:sz w:val="22"/>
                <w:szCs w:val="22"/>
              </w:rPr>
              <w:t xml:space="preserve"> remain subject to requirements that they</w:t>
            </w:r>
            <w:r>
              <w:rPr>
                <w:sz w:val="22"/>
                <w:szCs w:val="22"/>
              </w:rPr>
              <w:t xml:space="preserve"> support access </w:t>
            </w:r>
            <w:r w:rsidR="00B62155">
              <w:rPr>
                <w:sz w:val="22"/>
                <w:szCs w:val="22"/>
              </w:rPr>
              <w:t xml:space="preserve">by </w:t>
            </w:r>
            <w:r>
              <w:rPr>
                <w:sz w:val="22"/>
                <w:szCs w:val="22"/>
              </w:rPr>
              <w:t>people with disabilities, regardless of technology.</w:t>
            </w:r>
          </w:p>
          <w:p w:rsidR="00BD19E8" w:rsidRDefault="00BD19E8" w:rsidP="00DA7B44">
            <w:pPr>
              <w:rPr>
                <w:rStyle w:val="Hyperlink"/>
                <w:color w:val="auto"/>
                <w:sz w:val="22"/>
                <w:szCs w:val="22"/>
                <w:u w:val="none"/>
              </w:rPr>
            </w:pPr>
          </w:p>
          <w:p w:rsidR="00DF68CE" w:rsidRPr="00DF68CE" w:rsidRDefault="00DF68CE" w:rsidP="00DF68CE">
            <w:pPr>
              <w:rPr>
                <w:sz w:val="22"/>
                <w:szCs w:val="22"/>
              </w:rPr>
            </w:pPr>
            <w:r w:rsidRPr="00DF68CE">
              <w:rPr>
                <w:sz w:val="22"/>
                <w:szCs w:val="22"/>
              </w:rPr>
              <w:t>Action by the Commission November 16, 2017 by Report and Order, Declaratory Ruling, and Further Notice of Proposed Rulemaking and Order (FCC 17-154). Chairman Pai, Commissioners</w:t>
            </w:r>
            <w:r>
              <w:rPr>
                <w:sz w:val="22"/>
                <w:szCs w:val="22"/>
              </w:rPr>
              <w:t xml:space="preserve"> O’Rielly</w:t>
            </w:r>
            <w:r w:rsidRPr="00DF68CE">
              <w:rPr>
                <w:sz w:val="22"/>
                <w:szCs w:val="22"/>
              </w:rPr>
              <w:t xml:space="preserve"> and Carr approving.  </w:t>
            </w:r>
            <w:r>
              <w:rPr>
                <w:sz w:val="22"/>
                <w:szCs w:val="22"/>
              </w:rPr>
              <w:t>Commissioner</w:t>
            </w:r>
            <w:r w:rsidRPr="00DF68CE">
              <w:rPr>
                <w:sz w:val="22"/>
                <w:szCs w:val="22"/>
              </w:rPr>
              <w:t xml:space="preserve"> Clyburn </w:t>
            </w:r>
            <w:r>
              <w:rPr>
                <w:sz w:val="22"/>
                <w:szCs w:val="22"/>
              </w:rPr>
              <w:t>dissenting.  Commissioner</w:t>
            </w:r>
            <w:r w:rsidRPr="00DF68CE">
              <w:rPr>
                <w:sz w:val="22"/>
                <w:szCs w:val="22"/>
              </w:rPr>
              <w:t xml:space="preserve"> </w:t>
            </w:r>
            <w:r>
              <w:rPr>
                <w:sz w:val="22"/>
                <w:szCs w:val="22"/>
              </w:rPr>
              <w:t>R</w:t>
            </w:r>
            <w:r w:rsidRPr="00DF68CE">
              <w:rPr>
                <w:sz w:val="22"/>
                <w:szCs w:val="22"/>
              </w:rPr>
              <w:t xml:space="preserve">osenworcel </w:t>
            </w:r>
            <w:r w:rsidR="0091738F">
              <w:rPr>
                <w:sz w:val="22"/>
                <w:szCs w:val="22"/>
              </w:rPr>
              <w:lastRenderedPageBreak/>
              <w:t>approving in part and dissenting in part</w:t>
            </w:r>
            <w:r w:rsidRPr="00DF68CE">
              <w:rPr>
                <w:sz w:val="22"/>
                <w:szCs w:val="22"/>
              </w:rPr>
              <w:t>.  Chairman Pai, Commissioners Clyburn, O’Rielly, Carr and Rosenworcel issuing separate statements.</w:t>
            </w:r>
          </w:p>
          <w:p w:rsidR="00DF68CE" w:rsidRPr="00DF68CE" w:rsidRDefault="00DF68CE" w:rsidP="00DF68CE">
            <w:pPr>
              <w:rPr>
                <w:sz w:val="22"/>
                <w:szCs w:val="22"/>
              </w:rPr>
            </w:pPr>
          </w:p>
          <w:p w:rsidR="00DF68CE" w:rsidRPr="00DF68CE" w:rsidRDefault="00DF68CE" w:rsidP="00DF68CE">
            <w:pPr>
              <w:rPr>
                <w:sz w:val="22"/>
                <w:szCs w:val="22"/>
              </w:rPr>
            </w:pPr>
            <w:r w:rsidRPr="00DF68CE">
              <w:rPr>
                <w:sz w:val="22"/>
                <w:szCs w:val="22"/>
              </w:rPr>
              <w:t>WC Docket No. 17-84</w:t>
            </w:r>
          </w:p>
          <w:p w:rsidR="00DF68CE" w:rsidRPr="00A225A9" w:rsidRDefault="00DF68CE" w:rsidP="00DA7B44">
            <w:pPr>
              <w:rPr>
                <w:rStyle w:val="Hyperlink"/>
                <w:color w:val="auto"/>
                <w:sz w:val="22"/>
                <w:szCs w:val="22"/>
                <w:u w:val="none"/>
              </w:rPr>
            </w:pPr>
          </w:p>
          <w:p w:rsidR="004F0F1F" w:rsidRPr="004A729A" w:rsidRDefault="00F708E3" w:rsidP="00850E26">
            <w:pPr>
              <w:ind w:right="72"/>
              <w:jc w:val="center"/>
              <w:rPr>
                <w:sz w:val="22"/>
                <w:szCs w:val="22"/>
              </w:rPr>
            </w:pPr>
            <w:r w:rsidRPr="00A225A9">
              <w:rPr>
                <w:sz w:val="22"/>
                <w:szCs w:val="22"/>
              </w:rPr>
              <w:t>###</w:t>
            </w:r>
          </w:p>
          <w:p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8C" w:rsidRDefault="00C5138C" w:rsidP="00C5138C">
      <w:r>
        <w:separator/>
      </w:r>
    </w:p>
  </w:endnote>
  <w:endnote w:type="continuationSeparator" w:id="0">
    <w:p w:rsidR="00C5138C" w:rsidRDefault="00C5138C" w:rsidP="00C5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8C" w:rsidRDefault="00C5138C" w:rsidP="00C5138C">
      <w:r>
        <w:separator/>
      </w:r>
    </w:p>
  </w:footnote>
  <w:footnote w:type="continuationSeparator" w:id="0">
    <w:p w:rsidR="00C5138C" w:rsidRDefault="00C5138C" w:rsidP="00C5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C" w:rsidRDefault="00C51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083"/>
    <w:multiLevelType w:val="hybridMultilevel"/>
    <w:tmpl w:val="E46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61C92F7C"/>
    <w:multiLevelType w:val="hybridMultilevel"/>
    <w:tmpl w:val="B7E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D3"/>
    <w:rsid w:val="0002500C"/>
    <w:rsid w:val="000311FC"/>
    <w:rsid w:val="00040127"/>
    <w:rsid w:val="00081232"/>
    <w:rsid w:val="000826A1"/>
    <w:rsid w:val="00091E65"/>
    <w:rsid w:val="00096D4A"/>
    <w:rsid w:val="00097AD3"/>
    <w:rsid w:val="000A38EA"/>
    <w:rsid w:val="000C1E47"/>
    <w:rsid w:val="000C26F3"/>
    <w:rsid w:val="000E049E"/>
    <w:rsid w:val="0010799B"/>
    <w:rsid w:val="00111654"/>
    <w:rsid w:val="00113218"/>
    <w:rsid w:val="00117DB2"/>
    <w:rsid w:val="001210DB"/>
    <w:rsid w:val="00123ED2"/>
    <w:rsid w:val="00125BE0"/>
    <w:rsid w:val="00142C13"/>
    <w:rsid w:val="00152776"/>
    <w:rsid w:val="00153222"/>
    <w:rsid w:val="001577D3"/>
    <w:rsid w:val="001733A6"/>
    <w:rsid w:val="001865A9"/>
    <w:rsid w:val="00187DB2"/>
    <w:rsid w:val="001B20BB"/>
    <w:rsid w:val="001C4370"/>
    <w:rsid w:val="001D3779"/>
    <w:rsid w:val="001D5560"/>
    <w:rsid w:val="001D6CCE"/>
    <w:rsid w:val="001F0469"/>
    <w:rsid w:val="00203A98"/>
    <w:rsid w:val="00206EDD"/>
    <w:rsid w:val="0021247E"/>
    <w:rsid w:val="002146F6"/>
    <w:rsid w:val="00231C32"/>
    <w:rsid w:val="00240345"/>
    <w:rsid w:val="002421F0"/>
    <w:rsid w:val="00247274"/>
    <w:rsid w:val="00266966"/>
    <w:rsid w:val="00294C0C"/>
    <w:rsid w:val="002A0934"/>
    <w:rsid w:val="002B1013"/>
    <w:rsid w:val="002C2360"/>
    <w:rsid w:val="002D03E5"/>
    <w:rsid w:val="002E3F1D"/>
    <w:rsid w:val="002F31D0"/>
    <w:rsid w:val="002F76ED"/>
    <w:rsid w:val="00300359"/>
    <w:rsid w:val="0031773E"/>
    <w:rsid w:val="00321A25"/>
    <w:rsid w:val="00333871"/>
    <w:rsid w:val="00347716"/>
    <w:rsid w:val="003506E1"/>
    <w:rsid w:val="0035160F"/>
    <w:rsid w:val="003727E3"/>
    <w:rsid w:val="00385A93"/>
    <w:rsid w:val="003910F1"/>
    <w:rsid w:val="003B4817"/>
    <w:rsid w:val="003E42FC"/>
    <w:rsid w:val="003E5991"/>
    <w:rsid w:val="003F344A"/>
    <w:rsid w:val="00403FF0"/>
    <w:rsid w:val="0042046D"/>
    <w:rsid w:val="0042116E"/>
    <w:rsid w:val="00425AEF"/>
    <w:rsid w:val="00426518"/>
    <w:rsid w:val="00427B06"/>
    <w:rsid w:val="0043298B"/>
    <w:rsid w:val="00441F59"/>
    <w:rsid w:val="00444E07"/>
    <w:rsid w:val="00444FA9"/>
    <w:rsid w:val="00473E9C"/>
    <w:rsid w:val="00480099"/>
    <w:rsid w:val="00497858"/>
    <w:rsid w:val="004A729A"/>
    <w:rsid w:val="004B4FEA"/>
    <w:rsid w:val="004C0ADA"/>
    <w:rsid w:val="004C433E"/>
    <w:rsid w:val="004C4512"/>
    <w:rsid w:val="004C4C35"/>
    <w:rsid w:val="004C4F36"/>
    <w:rsid w:val="004D3D85"/>
    <w:rsid w:val="004E2BD8"/>
    <w:rsid w:val="004F0F1F"/>
    <w:rsid w:val="005000E4"/>
    <w:rsid w:val="005022AA"/>
    <w:rsid w:val="00504845"/>
    <w:rsid w:val="0050757F"/>
    <w:rsid w:val="00516AD2"/>
    <w:rsid w:val="00545DAE"/>
    <w:rsid w:val="00571B83"/>
    <w:rsid w:val="00575A00"/>
    <w:rsid w:val="0058673C"/>
    <w:rsid w:val="005A7972"/>
    <w:rsid w:val="005B17E7"/>
    <w:rsid w:val="005B2643"/>
    <w:rsid w:val="005D17FD"/>
    <w:rsid w:val="005E2D78"/>
    <w:rsid w:val="005E5E6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C0ABE"/>
    <w:rsid w:val="007D21BF"/>
    <w:rsid w:val="007F3C12"/>
    <w:rsid w:val="007F5205"/>
    <w:rsid w:val="008215E7"/>
    <w:rsid w:val="00830FC6"/>
    <w:rsid w:val="00834DAF"/>
    <w:rsid w:val="00850E26"/>
    <w:rsid w:val="00865EAA"/>
    <w:rsid w:val="00866F06"/>
    <w:rsid w:val="008728F5"/>
    <w:rsid w:val="008824C2"/>
    <w:rsid w:val="008960E4"/>
    <w:rsid w:val="008A3940"/>
    <w:rsid w:val="008B13C9"/>
    <w:rsid w:val="008C248C"/>
    <w:rsid w:val="008C5432"/>
    <w:rsid w:val="008C5445"/>
    <w:rsid w:val="008C7BF1"/>
    <w:rsid w:val="008D00D6"/>
    <w:rsid w:val="008D4D00"/>
    <w:rsid w:val="008D4E5E"/>
    <w:rsid w:val="008D7ABD"/>
    <w:rsid w:val="008E55A2"/>
    <w:rsid w:val="008F1609"/>
    <w:rsid w:val="008F78D8"/>
    <w:rsid w:val="0091738F"/>
    <w:rsid w:val="0093373C"/>
    <w:rsid w:val="00961620"/>
    <w:rsid w:val="009734B6"/>
    <w:rsid w:val="0098096F"/>
    <w:rsid w:val="0098437A"/>
    <w:rsid w:val="00986C92"/>
    <w:rsid w:val="009927D7"/>
    <w:rsid w:val="00993C47"/>
    <w:rsid w:val="009972BC"/>
    <w:rsid w:val="009B4B16"/>
    <w:rsid w:val="009C3CC2"/>
    <w:rsid w:val="009E54A1"/>
    <w:rsid w:val="009F4E25"/>
    <w:rsid w:val="009F5B1F"/>
    <w:rsid w:val="00A225A9"/>
    <w:rsid w:val="00A35DFD"/>
    <w:rsid w:val="00A702DF"/>
    <w:rsid w:val="00A775A3"/>
    <w:rsid w:val="00A81700"/>
    <w:rsid w:val="00A81B5B"/>
    <w:rsid w:val="00A82FAD"/>
    <w:rsid w:val="00A95D87"/>
    <w:rsid w:val="00A9673A"/>
    <w:rsid w:val="00A96EF2"/>
    <w:rsid w:val="00AA5C35"/>
    <w:rsid w:val="00AA5ED9"/>
    <w:rsid w:val="00AC0A38"/>
    <w:rsid w:val="00AC4E0E"/>
    <w:rsid w:val="00AC517B"/>
    <w:rsid w:val="00AD0D19"/>
    <w:rsid w:val="00AD5E73"/>
    <w:rsid w:val="00AF051B"/>
    <w:rsid w:val="00B037A2"/>
    <w:rsid w:val="00B31870"/>
    <w:rsid w:val="00B320B8"/>
    <w:rsid w:val="00B35EE2"/>
    <w:rsid w:val="00B36DEF"/>
    <w:rsid w:val="00B3726B"/>
    <w:rsid w:val="00B57131"/>
    <w:rsid w:val="00B62155"/>
    <w:rsid w:val="00B62F2C"/>
    <w:rsid w:val="00B71552"/>
    <w:rsid w:val="00B727C9"/>
    <w:rsid w:val="00B735C8"/>
    <w:rsid w:val="00B76A63"/>
    <w:rsid w:val="00BA1564"/>
    <w:rsid w:val="00BA6350"/>
    <w:rsid w:val="00BB4E29"/>
    <w:rsid w:val="00BB74C9"/>
    <w:rsid w:val="00BC3AB6"/>
    <w:rsid w:val="00BD19E8"/>
    <w:rsid w:val="00BD4273"/>
    <w:rsid w:val="00C432E4"/>
    <w:rsid w:val="00C5138C"/>
    <w:rsid w:val="00C70C26"/>
    <w:rsid w:val="00C72001"/>
    <w:rsid w:val="00C772B7"/>
    <w:rsid w:val="00C80347"/>
    <w:rsid w:val="00C849BB"/>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329F"/>
    <w:rsid w:val="00DB67B7"/>
    <w:rsid w:val="00DC15A9"/>
    <w:rsid w:val="00DC40AA"/>
    <w:rsid w:val="00DD1750"/>
    <w:rsid w:val="00DF48B7"/>
    <w:rsid w:val="00DF68CE"/>
    <w:rsid w:val="00E349AA"/>
    <w:rsid w:val="00E41390"/>
    <w:rsid w:val="00E41CA0"/>
    <w:rsid w:val="00E4366B"/>
    <w:rsid w:val="00E47D02"/>
    <w:rsid w:val="00E50A4A"/>
    <w:rsid w:val="00E606DE"/>
    <w:rsid w:val="00E644FE"/>
    <w:rsid w:val="00E72733"/>
    <w:rsid w:val="00E742FA"/>
    <w:rsid w:val="00E76816"/>
    <w:rsid w:val="00E83DBF"/>
    <w:rsid w:val="00E87C13"/>
    <w:rsid w:val="00E94CD9"/>
    <w:rsid w:val="00EA1A76"/>
    <w:rsid w:val="00EA290B"/>
    <w:rsid w:val="00EC3AB2"/>
    <w:rsid w:val="00EE0E90"/>
    <w:rsid w:val="00EF3BCA"/>
    <w:rsid w:val="00EF6EA9"/>
    <w:rsid w:val="00F01B0D"/>
    <w:rsid w:val="00F1238F"/>
    <w:rsid w:val="00F16485"/>
    <w:rsid w:val="00F228ED"/>
    <w:rsid w:val="00F23C1D"/>
    <w:rsid w:val="00F26E31"/>
    <w:rsid w:val="00F27C6C"/>
    <w:rsid w:val="00F34A8D"/>
    <w:rsid w:val="00F466C3"/>
    <w:rsid w:val="00F50D25"/>
    <w:rsid w:val="00F535D8"/>
    <w:rsid w:val="00F61155"/>
    <w:rsid w:val="00F708E3"/>
    <w:rsid w:val="00F76561"/>
    <w:rsid w:val="00F84736"/>
    <w:rsid w:val="00FA087C"/>
    <w:rsid w:val="00FB76C1"/>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link w:val="ListParagraphChar"/>
    <w:uiPriority w:val="34"/>
    <w:qFormat/>
    <w:rsid w:val="00097AD3"/>
    <w:pPr>
      <w:ind w:left="720"/>
      <w:contextualSpacing/>
    </w:pPr>
  </w:style>
  <w:style w:type="character" w:customStyle="1" w:styleId="ListParagraphChar">
    <w:name w:val="List Paragraph Char"/>
    <w:basedOn w:val="DefaultParagraphFont"/>
    <w:link w:val="ListParagraph"/>
    <w:uiPriority w:val="34"/>
    <w:locked/>
    <w:rsid w:val="00097AD3"/>
    <w:rPr>
      <w:sz w:val="24"/>
      <w:szCs w:val="24"/>
    </w:rPr>
  </w:style>
  <w:style w:type="paragraph" w:styleId="BalloonText">
    <w:name w:val="Balloon Text"/>
    <w:basedOn w:val="Normal"/>
    <w:link w:val="BalloonTextChar"/>
    <w:semiHidden/>
    <w:unhideWhenUsed/>
    <w:rsid w:val="000826A1"/>
    <w:rPr>
      <w:rFonts w:ascii="Segoe UI" w:hAnsi="Segoe UI" w:cs="Segoe UI"/>
      <w:sz w:val="18"/>
      <w:szCs w:val="18"/>
    </w:rPr>
  </w:style>
  <w:style w:type="character" w:customStyle="1" w:styleId="BalloonTextChar">
    <w:name w:val="Balloon Text Char"/>
    <w:basedOn w:val="DefaultParagraphFont"/>
    <w:link w:val="BalloonText"/>
    <w:semiHidden/>
    <w:rsid w:val="000826A1"/>
    <w:rPr>
      <w:rFonts w:ascii="Segoe UI" w:hAnsi="Segoe UI" w:cs="Segoe UI"/>
      <w:sz w:val="18"/>
      <w:szCs w:val="18"/>
    </w:rPr>
  </w:style>
  <w:style w:type="paragraph" w:styleId="Header">
    <w:name w:val="header"/>
    <w:basedOn w:val="Normal"/>
    <w:link w:val="HeaderChar"/>
    <w:unhideWhenUsed/>
    <w:rsid w:val="00C5138C"/>
    <w:pPr>
      <w:tabs>
        <w:tab w:val="center" w:pos="4680"/>
        <w:tab w:val="right" w:pos="9360"/>
      </w:tabs>
    </w:pPr>
  </w:style>
  <w:style w:type="character" w:customStyle="1" w:styleId="HeaderChar">
    <w:name w:val="Header Char"/>
    <w:basedOn w:val="DefaultParagraphFont"/>
    <w:link w:val="Header"/>
    <w:rsid w:val="00C5138C"/>
    <w:rPr>
      <w:sz w:val="24"/>
      <w:szCs w:val="24"/>
    </w:rPr>
  </w:style>
  <w:style w:type="paragraph" w:styleId="Footer">
    <w:name w:val="footer"/>
    <w:basedOn w:val="Normal"/>
    <w:link w:val="FooterChar"/>
    <w:unhideWhenUsed/>
    <w:rsid w:val="00C5138C"/>
    <w:pPr>
      <w:tabs>
        <w:tab w:val="center" w:pos="4680"/>
        <w:tab w:val="right" w:pos="9360"/>
      </w:tabs>
    </w:pPr>
  </w:style>
  <w:style w:type="character" w:customStyle="1" w:styleId="FooterChar">
    <w:name w:val="Footer Char"/>
    <w:basedOn w:val="DefaultParagraphFont"/>
    <w:link w:val="Footer"/>
    <w:rsid w:val="00C513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link w:val="ListParagraphChar"/>
    <w:uiPriority w:val="34"/>
    <w:qFormat/>
    <w:rsid w:val="00097AD3"/>
    <w:pPr>
      <w:ind w:left="720"/>
      <w:contextualSpacing/>
    </w:pPr>
  </w:style>
  <w:style w:type="character" w:customStyle="1" w:styleId="ListParagraphChar">
    <w:name w:val="List Paragraph Char"/>
    <w:basedOn w:val="DefaultParagraphFont"/>
    <w:link w:val="ListParagraph"/>
    <w:uiPriority w:val="34"/>
    <w:locked/>
    <w:rsid w:val="00097AD3"/>
    <w:rPr>
      <w:sz w:val="24"/>
      <w:szCs w:val="24"/>
    </w:rPr>
  </w:style>
  <w:style w:type="paragraph" w:styleId="BalloonText">
    <w:name w:val="Balloon Text"/>
    <w:basedOn w:val="Normal"/>
    <w:link w:val="BalloonTextChar"/>
    <w:semiHidden/>
    <w:unhideWhenUsed/>
    <w:rsid w:val="000826A1"/>
    <w:rPr>
      <w:rFonts w:ascii="Segoe UI" w:hAnsi="Segoe UI" w:cs="Segoe UI"/>
      <w:sz w:val="18"/>
      <w:szCs w:val="18"/>
    </w:rPr>
  </w:style>
  <w:style w:type="character" w:customStyle="1" w:styleId="BalloonTextChar">
    <w:name w:val="Balloon Text Char"/>
    <w:basedOn w:val="DefaultParagraphFont"/>
    <w:link w:val="BalloonText"/>
    <w:semiHidden/>
    <w:rsid w:val="000826A1"/>
    <w:rPr>
      <w:rFonts w:ascii="Segoe UI" w:hAnsi="Segoe UI" w:cs="Segoe UI"/>
      <w:sz w:val="18"/>
      <w:szCs w:val="18"/>
    </w:rPr>
  </w:style>
  <w:style w:type="paragraph" w:styleId="Header">
    <w:name w:val="header"/>
    <w:basedOn w:val="Normal"/>
    <w:link w:val="HeaderChar"/>
    <w:unhideWhenUsed/>
    <w:rsid w:val="00C5138C"/>
    <w:pPr>
      <w:tabs>
        <w:tab w:val="center" w:pos="4680"/>
        <w:tab w:val="right" w:pos="9360"/>
      </w:tabs>
    </w:pPr>
  </w:style>
  <w:style w:type="character" w:customStyle="1" w:styleId="HeaderChar">
    <w:name w:val="Header Char"/>
    <w:basedOn w:val="DefaultParagraphFont"/>
    <w:link w:val="Header"/>
    <w:rsid w:val="00C5138C"/>
    <w:rPr>
      <w:sz w:val="24"/>
      <w:szCs w:val="24"/>
    </w:rPr>
  </w:style>
  <w:style w:type="paragraph" w:styleId="Footer">
    <w:name w:val="footer"/>
    <w:basedOn w:val="Normal"/>
    <w:link w:val="FooterChar"/>
    <w:unhideWhenUsed/>
    <w:rsid w:val="00C5138C"/>
    <w:pPr>
      <w:tabs>
        <w:tab w:val="center" w:pos="4680"/>
        <w:tab w:val="right" w:pos="9360"/>
      </w:tabs>
    </w:pPr>
  </w:style>
  <w:style w:type="character" w:customStyle="1" w:styleId="FooterChar">
    <w:name w:val="Footer Char"/>
    <w:basedOn w:val="DefaultParagraphFont"/>
    <w:link w:val="Footer"/>
    <w:rsid w:val="00C51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60675232">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2842</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2017-11-16T14:39:00Z</cp:lastPrinted>
  <dcterms:created xsi:type="dcterms:W3CDTF">2017-11-16T17:23:00Z</dcterms:created>
  <dcterms:modified xsi:type="dcterms:W3CDTF">2017-11-16T17:23:00Z</dcterms:modified>
  <cp:category> </cp:category>
  <cp:contentStatus> </cp:contentStatus>
</cp:coreProperties>
</file>