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9FBFF" w14:textId="77777777" w:rsidR="004C2EE3" w:rsidRDefault="004C2EE3" w:rsidP="00EA639B">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9D51C56" w14:textId="77777777" w:rsidR="00921803" w:rsidRDefault="00921803" w:rsidP="00EA639B">
      <w:pPr>
        <w:pStyle w:val="StyleBoldCentered"/>
      </w:pPr>
      <w:r>
        <w:t>F</w:t>
      </w:r>
      <w:r>
        <w:rPr>
          <w:caps w:val="0"/>
        </w:rPr>
        <w:t>ederal Communications Commission</w:t>
      </w:r>
    </w:p>
    <w:p w14:paraId="3FACD9A5" w14:textId="77777777" w:rsidR="004C2EE3" w:rsidRDefault="00810B6F" w:rsidP="00EA639B">
      <w:pPr>
        <w:pStyle w:val="StyleBoldCentered"/>
      </w:pPr>
      <w:r>
        <w:rPr>
          <w:caps w:val="0"/>
        </w:rPr>
        <w:t>Washington, D.C. 20554</w:t>
      </w:r>
    </w:p>
    <w:p w14:paraId="652676F1" w14:textId="77777777" w:rsidR="004C2EE3" w:rsidRDefault="004C2EE3" w:rsidP="00EA639B"/>
    <w:p w14:paraId="0FADD9E4" w14:textId="77777777" w:rsidR="004C2EE3" w:rsidRDefault="004C2EE3" w:rsidP="00EA639B"/>
    <w:tbl>
      <w:tblPr>
        <w:tblW w:w="0" w:type="auto"/>
        <w:tblLayout w:type="fixed"/>
        <w:tblLook w:val="0000" w:firstRow="0" w:lastRow="0" w:firstColumn="0" w:lastColumn="0" w:noHBand="0" w:noVBand="0"/>
      </w:tblPr>
      <w:tblGrid>
        <w:gridCol w:w="4698"/>
        <w:gridCol w:w="630"/>
        <w:gridCol w:w="4248"/>
      </w:tblGrid>
      <w:tr w:rsidR="00DE1B0E" w:rsidRPr="00DE1B0E" w14:paraId="69E27BB8" w14:textId="77777777" w:rsidTr="001F2D54">
        <w:tc>
          <w:tcPr>
            <w:tcW w:w="4698" w:type="dxa"/>
          </w:tcPr>
          <w:p w14:paraId="1B8CA73E" w14:textId="77777777" w:rsidR="00DE1B0E" w:rsidRPr="00DE1B0E" w:rsidRDefault="00DE1B0E" w:rsidP="00EA639B">
            <w:pPr>
              <w:tabs>
                <w:tab w:val="center" w:pos="4680"/>
              </w:tabs>
              <w:suppressAutoHyphens/>
              <w:rPr>
                <w:spacing w:val="-2"/>
              </w:rPr>
            </w:pPr>
            <w:r w:rsidRPr="00DE1B0E">
              <w:rPr>
                <w:spacing w:val="-2"/>
              </w:rPr>
              <w:t>In the Matter of</w:t>
            </w:r>
          </w:p>
          <w:p w14:paraId="7DF8BDD3" w14:textId="77777777" w:rsidR="00DE1B0E" w:rsidRPr="00DE1B0E" w:rsidRDefault="00DE1B0E" w:rsidP="00EA639B">
            <w:pPr>
              <w:tabs>
                <w:tab w:val="center" w:pos="4680"/>
              </w:tabs>
              <w:suppressAutoHyphens/>
              <w:rPr>
                <w:spacing w:val="-2"/>
              </w:rPr>
            </w:pPr>
          </w:p>
          <w:p w14:paraId="4A9752B8" w14:textId="77777777" w:rsidR="00DE1B0E" w:rsidRPr="00DE1B0E" w:rsidRDefault="00DE1B0E" w:rsidP="00EA639B">
            <w:pPr>
              <w:tabs>
                <w:tab w:val="center" w:pos="4680"/>
              </w:tabs>
              <w:suppressAutoHyphens/>
              <w:rPr>
                <w:spacing w:val="-2"/>
              </w:rPr>
            </w:pPr>
            <w:r w:rsidRPr="00DE1B0E">
              <w:t>Amendment of Parts 0, 1, 2, 15 and 18 of the Commission’s Rules regarding Authorization of Radiofrequency Equipment</w:t>
            </w:r>
          </w:p>
        </w:tc>
        <w:tc>
          <w:tcPr>
            <w:tcW w:w="630" w:type="dxa"/>
          </w:tcPr>
          <w:p w14:paraId="2A4D3B7B" w14:textId="77777777" w:rsidR="00DE1B0E" w:rsidRPr="00DE1B0E" w:rsidRDefault="00DE1B0E" w:rsidP="00EA639B">
            <w:pPr>
              <w:tabs>
                <w:tab w:val="center" w:pos="4680"/>
              </w:tabs>
              <w:suppressAutoHyphens/>
              <w:rPr>
                <w:b/>
                <w:spacing w:val="-2"/>
              </w:rPr>
            </w:pPr>
            <w:r w:rsidRPr="00DE1B0E">
              <w:rPr>
                <w:b/>
                <w:spacing w:val="-2"/>
              </w:rPr>
              <w:t>)</w:t>
            </w:r>
          </w:p>
          <w:p w14:paraId="6FEFA0F7" w14:textId="77777777" w:rsidR="00DE1B0E" w:rsidRPr="00DE1B0E" w:rsidRDefault="00DE1B0E" w:rsidP="00EA639B">
            <w:pPr>
              <w:tabs>
                <w:tab w:val="center" w:pos="4680"/>
              </w:tabs>
              <w:suppressAutoHyphens/>
              <w:rPr>
                <w:b/>
                <w:spacing w:val="-2"/>
              </w:rPr>
            </w:pPr>
            <w:r w:rsidRPr="00DE1B0E">
              <w:rPr>
                <w:b/>
                <w:spacing w:val="-2"/>
              </w:rPr>
              <w:t>)</w:t>
            </w:r>
          </w:p>
          <w:p w14:paraId="56FF2847" w14:textId="77777777" w:rsidR="00DE1B0E" w:rsidRPr="00DE1B0E" w:rsidRDefault="00DE1B0E" w:rsidP="00EA639B">
            <w:pPr>
              <w:tabs>
                <w:tab w:val="center" w:pos="4680"/>
              </w:tabs>
              <w:suppressAutoHyphens/>
              <w:rPr>
                <w:b/>
                <w:spacing w:val="-2"/>
              </w:rPr>
            </w:pPr>
            <w:r w:rsidRPr="00DE1B0E">
              <w:rPr>
                <w:b/>
                <w:spacing w:val="-2"/>
              </w:rPr>
              <w:t>)</w:t>
            </w:r>
          </w:p>
          <w:p w14:paraId="15B91213" w14:textId="77777777" w:rsidR="00DE1B0E" w:rsidRPr="00DE1B0E" w:rsidRDefault="00DE1B0E" w:rsidP="00EA639B">
            <w:pPr>
              <w:tabs>
                <w:tab w:val="center" w:pos="4680"/>
              </w:tabs>
              <w:suppressAutoHyphens/>
              <w:rPr>
                <w:b/>
                <w:spacing w:val="-2"/>
              </w:rPr>
            </w:pPr>
            <w:r w:rsidRPr="00DE1B0E">
              <w:rPr>
                <w:b/>
                <w:spacing w:val="-2"/>
              </w:rPr>
              <w:t>)</w:t>
            </w:r>
          </w:p>
          <w:p w14:paraId="307AF058" w14:textId="541AAD63" w:rsidR="00DE1B0E" w:rsidRPr="008D105A" w:rsidRDefault="00DE1B0E" w:rsidP="00EA639B">
            <w:pPr>
              <w:tabs>
                <w:tab w:val="center" w:pos="4680"/>
              </w:tabs>
              <w:suppressAutoHyphens/>
              <w:rPr>
                <w:b/>
                <w:spacing w:val="-2"/>
              </w:rPr>
            </w:pPr>
            <w:r w:rsidRPr="00DE1B0E">
              <w:rPr>
                <w:b/>
                <w:spacing w:val="-2"/>
              </w:rPr>
              <w:t>)</w:t>
            </w:r>
          </w:p>
        </w:tc>
        <w:tc>
          <w:tcPr>
            <w:tcW w:w="4248" w:type="dxa"/>
          </w:tcPr>
          <w:p w14:paraId="77631EE8" w14:textId="77777777" w:rsidR="00DE1B0E" w:rsidRPr="00DE1B0E" w:rsidRDefault="00DE1B0E" w:rsidP="00EA639B">
            <w:pPr>
              <w:tabs>
                <w:tab w:val="center" w:pos="4680"/>
              </w:tabs>
              <w:suppressAutoHyphens/>
              <w:rPr>
                <w:spacing w:val="-2"/>
              </w:rPr>
            </w:pPr>
          </w:p>
          <w:p w14:paraId="30A59A4D" w14:textId="77777777" w:rsidR="00DE1B0E" w:rsidRPr="00DE1B0E" w:rsidRDefault="00DE1B0E" w:rsidP="00EA639B">
            <w:pPr>
              <w:tabs>
                <w:tab w:val="center" w:pos="4680"/>
              </w:tabs>
              <w:suppressAutoHyphens/>
              <w:rPr>
                <w:spacing w:val="-2"/>
              </w:rPr>
            </w:pPr>
          </w:p>
          <w:p w14:paraId="5C1D44BA" w14:textId="77777777" w:rsidR="00DE1B0E" w:rsidRPr="00DE1B0E" w:rsidRDefault="00DE1B0E" w:rsidP="00EA639B">
            <w:pPr>
              <w:tabs>
                <w:tab w:val="center" w:pos="4680"/>
              </w:tabs>
              <w:suppressAutoHyphens/>
              <w:rPr>
                <w:spacing w:val="-2"/>
              </w:rPr>
            </w:pPr>
            <w:r w:rsidRPr="00DE1B0E">
              <w:t>ET Docket 15-70</w:t>
            </w:r>
          </w:p>
        </w:tc>
      </w:tr>
    </w:tbl>
    <w:p w14:paraId="30B12E1E" w14:textId="77777777" w:rsidR="00DE1B0E" w:rsidRPr="00DE1B0E" w:rsidRDefault="00DE1B0E" w:rsidP="00EA639B"/>
    <w:p w14:paraId="1842FA6F" w14:textId="77777777" w:rsidR="00DE1B0E" w:rsidRPr="00DE1B0E" w:rsidRDefault="00DE1B0E" w:rsidP="00174928">
      <w:pPr>
        <w:jc w:val="center"/>
        <w:rPr>
          <w:b/>
          <w:spacing w:val="-2"/>
        </w:rPr>
      </w:pPr>
      <w:r w:rsidRPr="00DE1B0E">
        <w:rPr>
          <w:b/>
          <w:spacing w:val="-2"/>
        </w:rPr>
        <w:t xml:space="preserve">ERRATUM </w:t>
      </w:r>
    </w:p>
    <w:p w14:paraId="5C8E3D61" w14:textId="77777777" w:rsidR="00DE1B0E" w:rsidRPr="00DE1B0E" w:rsidRDefault="00DE1B0E" w:rsidP="00EA639B">
      <w:pPr>
        <w:jc w:val="center"/>
        <w:rPr>
          <w:rFonts w:ascii="Times New Roman Bold" w:hAnsi="Times New Roman Bold"/>
          <w:b/>
          <w:bCs/>
          <w:caps/>
          <w:szCs w:val="22"/>
        </w:rPr>
      </w:pPr>
    </w:p>
    <w:p w14:paraId="36FE4658" w14:textId="075DA3E6" w:rsidR="00DE1B0E" w:rsidRPr="00DE1B0E" w:rsidRDefault="006151E2" w:rsidP="00174928">
      <w:pPr>
        <w:tabs>
          <w:tab w:val="left" w:pos="720"/>
        </w:tabs>
        <w:suppressAutoHyphens/>
        <w:jc w:val="right"/>
        <w:rPr>
          <w:spacing w:val="-2"/>
        </w:rPr>
      </w:pPr>
      <w:r>
        <w:rPr>
          <w:b/>
          <w:spacing w:val="-2"/>
        </w:rPr>
        <w:t>Released:  September 28</w:t>
      </w:r>
      <w:r w:rsidR="00DE1B0E" w:rsidRPr="00DE1B0E">
        <w:rPr>
          <w:b/>
          <w:spacing w:val="-2"/>
        </w:rPr>
        <w:t>, 2017</w:t>
      </w:r>
    </w:p>
    <w:p w14:paraId="53DD6500" w14:textId="77777777" w:rsidR="00DE1B0E" w:rsidRPr="00DE1B0E" w:rsidRDefault="00DE1B0E" w:rsidP="00EA639B"/>
    <w:p w14:paraId="6F789254" w14:textId="77777777" w:rsidR="00DE1B0E" w:rsidRPr="00DE1B0E" w:rsidRDefault="00DE1B0E" w:rsidP="00EA639B">
      <w:pPr>
        <w:rPr>
          <w:spacing w:val="-2"/>
        </w:rPr>
      </w:pPr>
      <w:r w:rsidRPr="00DE1B0E">
        <w:t>By the Managing Director, Office of Managing Director:</w:t>
      </w:r>
    </w:p>
    <w:p w14:paraId="36E4A7E6" w14:textId="77777777" w:rsidR="00DE1B0E" w:rsidRPr="00DE1B0E" w:rsidRDefault="00DE1B0E" w:rsidP="00EA639B"/>
    <w:p w14:paraId="7D09FDE4" w14:textId="3F2601D0" w:rsidR="00DE1B0E" w:rsidRPr="00DE1B0E" w:rsidRDefault="00DE1B0E" w:rsidP="00EA639B">
      <w:pPr>
        <w:ind w:firstLine="720"/>
      </w:pPr>
      <w:r w:rsidRPr="00DE1B0E">
        <w:t xml:space="preserve">On July 14, 2017, the Commission released a </w:t>
      </w:r>
      <w:r w:rsidRPr="007E266D">
        <w:rPr>
          <w:i/>
        </w:rPr>
        <w:t>First Report and Order</w:t>
      </w:r>
      <w:r w:rsidRPr="00DE1B0E">
        <w:t xml:space="preserve">, FCC 17-93, in the above captioned proceeding.  This Erratum amends Appendix A of the </w:t>
      </w:r>
      <w:r w:rsidRPr="007E266D">
        <w:rPr>
          <w:i/>
        </w:rPr>
        <w:t>First Report and Order</w:t>
      </w:r>
      <w:r w:rsidR="00A110FC" w:rsidRPr="007E266D">
        <w:t>,</w:t>
      </w:r>
      <w:r w:rsidRPr="00DE1B0E">
        <w:t xml:space="preserve"> as indicated below:  </w:t>
      </w:r>
    </w:p>
    <w:p w14:paraId="035DFDC8" w14:textId="77777777" w:rsidR="00DE1B0E" w:rsidRPr="00DE1B0E" w:rsidRDefault="00DE1B0E" w:rsidP="00EA639B"/>
    <w:p w14:paraId="47DD8F23" w14:textId="18E2DEA7" w:rsidR="00DE1B0E" w:rsidRPr="00DE1B0E" w:rsidRDefault="00BA4354" w:rsidP="00174928">
      <w:pPr>
        <w:pStyle w:val="ParaNum"/>
        <w:tabs>
          <w:tab w:val="clear" w:pos="1080"/>
          <w:tab w:val="num" w:pos="720"/>
        </w:tabs>
        <w:spacing w:after="0"/>
        <w:ind w:firstLine="360"/>
        <w:rPr>
          <w:b/>
          <w:szCs w:val="22"/>
          <w:lang w:eastAsia="ja-JP"/>
        </w:rPr>
      </w:pPr>
      <w:r>
        <w:t>In p</w:t>
      </w:r>
      <w:r w:rsidR="00DE1B0E" w:rsidRPr="00DE1B0E">
        <w:t xml:space="preserve">aragraph </w:t>
      </w:r>
      <w:r>
        <w:t>(a)</w:t>
      </w:r>
      <w:r w:rsidR="00DE1B0E" w:rsidRPr="00DE1B0E">
        <w:t xml:space="preserve">, </w:t>
      </w:r>
      <w:r>
        <w:t>listed below</w:t>
      </w:r>
      <w:r w:rsidR="00DE1B0E" w:rsidRPr="00DE1B0E">
        <w:t xml:space="preserve"> </w:t>
      </w:r>
      <w:r w:rsidR="00EA639B" w:rsidRPr="00174928">
        <w:rPr>
          <w:b/>
          <w:u w:val="single"/>
        </w:rPr>
        <w:t>§</w:t>
      </w:r>
      <w:r w:rsidR="00DE1B0E" w:rsidRPr="00174928">
        <w:rPr>
          <w:b/>
          <w:u w:val="single"/>
        </w:rPr>
        <w:t xml:space="preserve"> 2.1203</w:t>
      </w:r>
      <w:r w:rsidR="00DE1B0E" w:rsidRPr="00DE1B0E">
        <w:t xml:space="preserve">, </w:t>
      </w:r>
      <w:r w:rsidRPr="00DE1B0E">
        <w:t>replace</w:t>
      </w:r>
      <w:r w:rsidRPr="00DE1B0E" w:rsidDel="00BA4354">
        <w:t xml:space="preserve"> </w:t>
      </w:r>
      <w:r w:rsidR="00DE1B0E" w:rsidRPr="00DE1B0E">
        <w:t>“this section” with “§ 2.1204.”</w:t>
      </w:r>
    </w:p>
    <w:p w14:paraId="19C9155F" w14:textId="77777777" w:rsidR="00DE1B0E" w:rsidRPr="00DE1B0E" w:rsidRDefault="00DE1B0E" w:rsidP="00EA639B">
      <w:pPr>
        <w:widowControl/>
        <w:rPr>
          <w:b/>
          <w:szCs w:val="22"/>
          <w:lang w:eastAsia="ja-JP"/>
        </w:rPr>
      </w:pPr>
    </w:p>
    <w:p w14:paraId="26691CB8" w14:textId="63AF2B1A" w:rsidR="00EA639B" w:rsidRDefault="001F2D54" w:rsidP="00174928">
      <w:pPr>
        <w:pStyle w:val="ParaNum"/>
        <w:tabs>
          <w:tab w:val="clear" w:pos="1080"/>
          <w:tab w:val="num" w:pos="720"/>
        </w:tabs>
        <w:spacing w:after="0"/>
        <w:ind w:firstLine="360"/>
        <w:rPr>
          <w:snapToGrid/>
        </w:rPr>
      </w:pPr>
      <w:r>
        <w:rPr>
          <w:snapToGrid/>
        </w:rPr>
        <w:t>In p</w:t>
      </w:r>
      <w:r w:rsidR="00DE1B0E" w:rsidRPr="00DE1B0E">
        <w:rPr>
          <w:snapToGrid/>
        </w:rPr>
        <w:t xml:space="preserve">aragraph 44, </w:t>
      </w:r>
      <w:r>
        <w:rPr>
          <w:snapToGrid/>
        </w:rPr>
        <w:t>in the first sentence,</w:t>
      </w:r>
      <w:r w:rsidR="00DE1B0E" w:rsidRPr="00DE1B0E">
        <w:rPr>
          <w:snapToGrid/>
        </w:rPr>
        <w:t xml:space="preserve"> </w:t>
      </w:r>
      <w:r w:rsidR="00EA639B">
        <w:rPr>
          <w:snapToGrid/>
        </w:rPr>
        <w:t>replace</w:t>
      </w:r>
      <w:r>
        <w:rPr>
          <w:snapToGrid/>
        </w:rPr>
        <w:t xml:space="preserve"> “</w:t>
      </w:r>
      <w:r w:rsidRPr="001F2D54">
        <w:rPr>
          <w:snapToGrid/>
        </w:rPr>
        <w:t>(h), and (k)</w:t>
      </w:r>
      <w:r>
        <w:rPr>
          <w:snapToGrid/>
        </w:rPr>
        <w:t xml:space="preserve">” </w:t>
      </w:r>
      <w:r w:rsidR="00EA639B">
        <w:rPr>
          <w:snapToGrid/>
        </w:rPr>
        <w:t>with</w:t>
      </w:r>
      <w:r>
        <w:rPr>
          <w:snapToGrid/>
        </w:rPr>
        <w:t xml:space="preserve"> </w:t>
      </w:r>
      <w:r w:rsidR="00DE1B0E" w:rsidRPr="001F2D54">
        <w:rPr>
          <w:snapToGrid/>
        </w:rPr>
        <w:t>“(h), (j), and (k)”</w:t>
      </w:r>
    </w:p>
    <w:p w14:paraId="662CB287" w14:textId="77777777" w:rsidR="00EA639B" w:rsidRDefault="00EA639B" w:rsidP="00174928">
      <w:pPr>
        <w:pStyle w:val="ParaNum"/>
        <w:numPr>
          <w:ilvl w:val="0"/>
          <w:numId w:val="0"/>
        </w:numPr>
        <w:spacing w:after="0"/>
        <w:rPr>
          <w:snapToGrid/>
        </w:rPr>
      </w:pPr>
    </w:p>
    <w:p w14:paraId="7E2B14F6" w14:textId="34638942" w:rsidR="00DE1B0E" w:rsidRDefault="00EA639B" w:rsidP="00174928">
      <w:pPr>
        <w:pStyle w:val="ParaNum"/>
        <w:tabs>
          <w:tab w:val="clear" w:pos="1080"/>
          <w:tab w:val="num" w:pos="720"/>
        </w:tabs>
        <w:spacing w:after="0"/>
        <w:ind w:firstLine="360"/>
        <w:rPr>
          <w:snapToGrid/>
        </w:rPr>
      </w:pPr>
      <w:r>
        <w:rPr>
          <w:snapToGrid/>
        </w:rPr>
        <w:t xml:space="preserve">Above paragraph (k), listed below </w:t>
      </w:r>
      <w:r w:rsidRPr="00174928">
        <w:rPr>
          <w:b/>
          <w:snapToGrid/>
          <w:u w:val="single"/>
        </w:rPr>
        <w:t>§ 15.31</w:t>
      </w:r>
      <w:r>
        <w:rPr>
          <w:snapToGrid/>
        </w:rPr>
        <w:t xml:space="preserve">, </w:t>
      </w:r>
      <w:r w:rsidR="00916167">
        <w:rPr>
          <w:snapToGrid/>
        </w:rPr>
        <w:t>add p</w:t>
      </w:r>
      <w:r w:rsidR="00DE1B0E" w:rsidRPr="00DE1B0E">
        <w:rPr>
          <w:snapToGrid/>
        </w:rPr>
        <w:t>aragraph (j) to read as follows:</w:t>
      </w:r>
    </w:p>
    <w:p w14:paraId="7312206E" w14:textId="77777777" w:rsidR="00EA639B" w:rsidRPr="00DE1B0E" w:rsidRDefault="00EA639B" w:rsidP="00174928">
      <w:pPr>
        <w:pStyle w:val="ParaNum"/>
        <w:numPr>
          <w:ilvl w:val="0"/>
          <w:numId w:val="0"/>
        </w:numPr>
        <w:spacing w:after="0"/>
        <w:rPr>
          <w:snapToGrid/>
        </w:rPr>
      </w:pPr>
    </w:p>
    <w:p w14:paraId="6368DA22" w14:textId="63F9872D" w:rsidR="00DE1B0E" w:rsidRDefault="00DE1B0E" w:rsidP="00174928">
      <w:pPr>
        <w:ind w:left="720" w:hanging="90"/>
        <w:rPr>
          <w:snapToGrid/>
          <w:kern w:val="0"/>
        </w:rPr>
      </w:pPr>
      <w:r w:rsidRPr="004B6E8E">
        <w:t>“</w:t>
      </w:r>
      <w:r w:rsidRPr="00DE1B0E">
        <w:t>(j) If the equipment under test consists of a central control unit and an external or internal accessory(ies) (peripheral) and the party declaring compliance of the equipment or applying for a grant of equipment authorization manufactures or assembles the central control unit and at least one of the accessory devices that can be used with that control unit, testing of the control unit and/or the accessory(ies) must be performed using the devices manufactured or assembled by that party, in addition to any other needed devices which the party does not manufacture or assemble. If the party declaring compliance of  the equipment or applying for a grant of equipment authorization does not manufacture or assemble the central control unit and at least one of the accessory devices that can be used with that control unit or the party can demonstrate that the central control unit or accessory(ies) normally would be marketed or used with equipment from a different entity, testing of the central control unit and/or the accessory(ies) must be performed using the specific combination of equipment which is intended to be marketed or used together. Only one test using peripherals or accessories that are representative of the devices that will be employed with the equipment under test is required. All possible equipment combinations are not required to be tested. The accessories or peripherals connected to the device being tested shall be unmodified, commercially available equipment.</w:t>
      </w:r>
      <w:r w:rsidRPr="00DE1B0E">
        <w:rPr>
          <w:snapToGrid/>
          <w:kern w:val="0"/>
        </w:rPr>
        <w:t>”</w:t>
      </w:r>
    </w:p>
    <w:p w14:paraId="1972FF05" w14:textId="77777777" w:rsidR="00EA639B" w:rsidRPr="00DE1B0E" w:rsidRDefault="00EA639B" w:rsidP="00174928">
      <w:pPr>
        <w:rPr>
          <w:snapToGrid/>
          <w:kern w:val="0"/>
        </w:rPr>
      </w:pPr>
    </w:p>
    <w:p w14:paraId="6BAE1B63" w14:textId="76C3BB3C" w:rsidR="00EA639B" w:rsidRDefault="00DE1B0E" w:rsidP="00174928">
      <w:pPr>
        <w:pStyle w:val="ParaNum"/>
        <w:tabs>
          <w:tab w:val="clear" w:pos="1080"/>
          <w:tab w:val="num" w:pos="720"/>
        </w:tabs>
        <w:spacing w:after="0"/>
        <w:ind w:firstLine="360"/>
        <w:rPr>
          <w:snapToGrid/>
        </w:rPr>
      </w:pPr>
      <w:r w:rsidRPr="00DE1B0E">
        <w:rPr>
          <w:snapToGrid/>
        </w:rPr>
        <w:t>A</w:t>
      </w:r>
      <w:r w:rsidR="00EA639B">
        <w:rPr>
          <w:snapToGrid/>
        </w:rPr>
        <w:t>dd</w:t>
      </w:r>
      <w:r w:rsidRPr="00DE1B0E">
        <w:rPr>
          <w:snapToGrid/>
        </w:rPr>
        <w:t xml:space="preserve"> new paragraph </w:t>
      </w:r>
      <w:r w:rsidR="00EA639B">
        <w:rPr>
          <w:snapToGrid/>
        </w:rPr>
        <w:t>48 to read as follows:</w:t>
      </w:r>
    </w:p>
    <w:p w14:paraId="36BC1F39" w14:textId="4DF2F098" w:rsidR="00EA639B" w:rsidRDefault="00EA639B" w:rsidP="00174928">
      <w:pPr>
        <w:pStyle w:val="ParaNum"/>
        <w:numPr>
          <w:ilvl w:val="0"/>
          <w:numId w:val="0"/>
        </w:numPr>
        <w:spacing w:after="0"/>
        <w:rPr>
          <w:snapToGrid/>
        </w:rPr>
      </w:pPr>
    </w:p>
    <w:p w14:paraId="48853B91" w14:textId="08A95061" w:rsidR="00DE1B0E" w:rsidRDefault="00EA639B" w:rsidP="00174928">
      <w:pPr>
        <w:pStyle w:val="ParaNum"/>
        <w:numPr>
          <w:ilvl w:val="0"/>
          <w:numId w:val="0"/>
        </w:numPr>
        <w:spacing w:after="0"/>
        <w:ind w:left="720" w:firstLine="720"/>
        <w:rPr>
          <w:snapToGrid/>
        </w:rPr>
      </w:pPr>
      <w:r>
        <w:rPr>
          <w:snapToGrid/>
        </w:rPr>
        <w:t>“48.</w:t>
      </w:r>
      <w:r>
        <w:rPr>
          <w:snapToGrid/>
        </w:rPr>
        <w:tab/>
      </w:r>
      <w:r w:rsidR="00DE1B0E" w:rsidRPr="00DE1B0E">
        <w:rPr>
          <w:snapToGrid/>
        </w:rPr>
        <w:t xml:space="preserve">Section 15.38 </w:t>
      </w:r>
      <w:r>
        <w:rPr>
          <w:snapToGrid/>
        </w:rPr>
        <w:t xml:space="preserve">is amended </w:t>
      </w:r>
      <w:r w:rsidR="00DE1B0E" w:rsidRPr="00DE1B0E">
        <w:rPr>
          <w:snapToGrid/>
        </w:rPr>
        <w:t xml:space="preserve">by redesignating </w:t>
      </w:r>
      <w:r>
        <w:rPr>
          <w:snapToGrid/>
        </w:rPr>
        <w:t>paragraphs</w:t>
      </w:r>
      <w:r w:rsidRPr="00DE1B0E">
        <w:rPr>
          <w:snapToGrid/>
        </w:rPr>
        <w:t xml:space="preserve"> </w:t>
      </w:r>
      <w:r w:rsidR="00DE1B0E" w:rsidRPr="00DE1B0E">
        <w:rPr>
          <w:snapToGrid/>
        </w:rPr>
        <w:t xml:space="preserve">(g)(1) and (2) as </w:t>
      </w:r>
      <w:r>
        <w:rPr>
          <w:snapToGrid/>
        </w:rPr>
        <w:t>paragraphs</w:t>
      </w:r>
      <w:r w:rsidRPr="00DE1B0E">
        <w:rPr>
          <w:snapToGrid/>
        </w:rPr>
        <w:t xml:space="preserve"> </w:t>
      </w:r>
      <w:r w:rsidR="00DE1B0E" w:rsidRPr="00DE1B0E">
        <w:rPr>
          <w:snapToGrid/>
        </w:rPr>
        <w:t xml:space="preserve">(g)(2) and (3) and adding new </w:t>
      </w:r>
      <w:r>
        <w:rPr>
          <w:snapToGrid/>
        </w:rPr>
        <w:t>paragraph</w:t>
      </w:r>
      <w:r w:rsidRPr="00DE1B0E">
        <w:rPr>
          <w:snapToGrid/>
        </w:rPr>
        <w:t xml:space="preserve"> </w:t>
      </w:r>
      <w:r w:rsidR="00DE1B0E" w:rsidRPr="00DE1B0E">
        <w:rPr>
          <w:snapToGrid/>
        </w:rPr>
        <w:t>(g)(1) to read as follows:</w:t>
      </w:r>
    </w:p>
    <w:p w14:paraId="2404D6A4" w14:textId="77777777" w:rsidR="00EA639B" w:rsidRPr="00DE1B0E" w:rsidRDefault="00EA639B" w:rsidP="00174928">
      <w:pPr>
        <w:pStyle w:val="ParaNum"/>
        <w:numPr>
          <w:ilvl w:val="0"/>
          <w:numId w:val="0"/>
        </w:numPr>
        <w:spacing w:after="0"/>
        <w:ind w:firstLine="720"/>
        <w:rPr>
          <w:snapToGrid/>
        </w:rPr>
      </w:pPr>
    </w:p>
    <w:p w14:paraId="3A4B1520" w14:textId="627D3D5A" w:rsidR="00DE1B0E" w:rsidRPr="00DE1B0E" w:rsidRDefault="00DE1B0E" w:rsidP="00174928">
      <w:pPr>
        <w:widowControl/>
        <w:ind w:left="720"/>
        <w:rPr>
          <w:snapToGrid/>
          <w:kern w:val="0"/>
        </w:rPr>
      </w:pPr>
      <w:r w:rsidRPr="00174928">
        <w:rPr>
          <w:b/>
          <w:snapToGrid/>
          <w:kern w:val="0"/>
          <w:u w:val="single"/>
        </w:rPr>
        <w:t xml:space="preserve">§ </w:t>
      </w:r>
      <w:r w:rsidRPr="00EA639B">
        <w:rPr>
          <w:b/>
          <w:snapToGrid/>
          <w:kern w:val="0"/>
          <w:u w:val="single"/>
        </w:rPr>
        <w:t>1</w:t>
      </w:r>
      <w:r w:rsidRPr="00DE1B0E">
        <w:rPr>
          <w:b/>
          <w:snapToGrid/>
          <w:kern w:val="0"/>
          <w:u w:val="single"/>
        </w:rPr>
        <w:t>5.38 Incorporation by reference</w:t>
      </w:r>
      <w:r w:rsidRPr="00DE1B0E">
        <w:rPr>
          <w:b/>
          <w:snapToGrid/>
          <w:kern w:val="0"/>
        </w:rPr>
        <w:t>.</w:t>
      </w:r>
    </w:p>
    <w:p w14:paraId="4BA28D7A" w14:textId="77777777" w:rsidR="00EA639B" w:rsidRDefault="00EA639B" w:rsidP="00174928">
      <w:pPr>
        <w:widowControl/>
        <w:ind w:left="720"/>
        <w:rPr>
          <w:snapToGrid/>
          <w:kern w:val="0"/>
        </w:rPr>
      </w:pPr>
    </w:p>
    <w:p w14:paraId="6D76323B" w14:textId="77777777" w:rsidR="00DE1B0E" w:rsidRPr="00DE1B0E" w:rsidRDefault="00DE1B0E" w:rsidP="00174928">
      <w:pPr>
        <w:widowControl/>
        <w:ind w:left="720"/>
        <w:rPr>
          <w:snapToGrid/>
          <w:kern w:val="0"/>
        </w:rPr>
      </w:pPr>
      <w:r w:rsidRPr="00DE1B0E">
        <w:rPr>
          <w:snapToGrid/>
          <w:kern w:val="0"/>
        </w:rPr>
        <w:t>* * * * *</w:t>
      </w:r>
    </w:p>
    <w:p w14:paraId="361A5098" w14:textId="77777777" w:rsidR="00EA639B" w:rsidRDefault="00EA639B" w:rsidP="00174928">
      <w:pPr>
        <w:widowControl/>
        <w:ind w:left="720"/>
        <w:rPr>
          <w:snapToGrid/>
          <w:kern w:val="0"/>
        </w:rPr>
      </w:pPr>
    </w:p>
    <w:p w14:paraId="6A71F7D1" w14:textId="77777777" w:rsidR="00DE1B0E" w:rsidRDefault="00DE1B0E" w:rsidP="00174928">
      <w:pPr>
        <w:widowControl/>
        <w:ind w:left="720"/>
        <w:rPr>
          <w:snapToGrid/>
          <w:kern w:val="0"/>
        </w:rPr>
      </w:pPr>
      <w:r w:rsidRPr="00DE1B0E">
        <w:rPr>
          <w:snapToGrid/>
          <w:kern w:val="0"/>
        </w:rPr>
        <w:lastRenderedPageBreak/>
        <w:t>(g) * * *</w:t>
      </w:r>
    </w:p>
    <w:p w14:paraId="2A92B7CE" w14:textId="77777777" w:rsidR="00EA639B" w:rsidRPr="00DE1B0E" w:rsidRDefault="00EA639B" w:rsidP="00174928">
      <w:pPr>
        <w:widowControl/>
        <w:ind w:left="720"/>
        <w:rPr>
          <w:snapToGrid/>
          <w:kern w:val="0"/>
        </w:rPr>
      </w:pPr>
    </w:p>
    <w:p w14:paraId="313D0CD4" w14:textId="39ABDED0" w:rsidR="00DE1B0E" w:rsidRDefault="00DE1B0E" w:rsidP="00174928">
      <w:pPr>
        <w:widowControl/>
        <w:ind w:left="720"/>
      </w:pPr>
      <w:r w:rsidRPr="00DE1B0E">
        <w:rPr>
          <w:snapToGrid/>
          <w:kern w:val="0"/>
        </w:rPr>
        <w:t xml:space="preserve">(1)  ANSI C63.4-2014: “American National Standard for Methods of Measurement of Radio-Noise Emissions from Low-Voltage Electrical and Electronic Equipment in the Range of 9 kHz to 40 GHz,” ANSI approved June 13, 2014, IBR approved for </w:t>
      </w:r>
      <w:r w:rsidRPr="00DE1B0E">
        <w:t>§ 15.35(a).</w:t>
      </w:r>
    </w:p>
    <w:p w14:paraId="59A2127B" w14:textId="77777777" w:rsidR="00EA639B" w:rsidRPr="00DE1B0E" w:rsidRDefault="00EA639B" w:rsidP="00174928">
      <w:pPr>
        <w:widowControl/>
        <w:ind w:left="720"/>
        <w:rPr>
          <w:snapToGrid/>
          <w:kern w:val="0"/>
        </w:rPr>
      </w:pPr>
    </w:p>
    <w:p w14:paraId="0E21FD2E" w14:textId="77777777" w:rsidR="00DE1B0E" w:rsidRDefault="00DE1B0E" w:rsidP="00174928">
      <w:pPr>
        <w:widowControl/>
        <w:ind w:left="720"/>
        <w:rPr>
          <w:snapToGrid/>
          <w:kern w:val="0"/>
        </w:rPr>
      </w:pPr>
      <w:r w:rsidRPr="00DE1B0E">
        <w:rPr>
          <w:snapToGrid/>
          <w:kern w:val="0"/>
        </w:rPr>
        <w:t>* * * * *”</w:t>
      </w:r>
    </w:p>
    <w:p w14:paraId="7DFA4E78" w14:textId="77777777" w:rsidR="00EA639B" w:rsidRDefault="00EA639B" w:rsidP="00174928">
      <w:pPr>
        <w:widowControl/>
        <w:rPr>
          <w:snapToGrid/>
          <w:kern w:val="0"/>
        </w:rPr>
      </w:pPr>
    </w:p>
    <w:p w14:paraId="6D015CF5" w14:textId="79412AA0" w:rsidR="00EA639B" w:rsidRDefault="00EA639B" w:rsidP="00174928">
      <w:pPr>
        <w:widowControl/>
        <w:rPr>
          <w:snapToGrid/>
          <w:kern w:val="0"/>
        </w:rPr>
      </w:pPr>
      <w:r>
        <w:rPr>
          <w:snapToGrid/>
          <w:kern w:val="0"/>
        </w:rPr>
        <w:t>With this addition the remaining paragraphs are renumbered accordingly.</w:t>
      </w:r>
    </w:p>
    <w:p w14:paraId="48FA9139" w14:textId="0AA8FA07" w:rsidR="00DE1B0E" w:rsidRPr="00DE1B0E" w:rsidRDefault="00DE1B0E" w:rsidP="00EA639B">
      <w:pPr>
        <w:widowControl/>
        <w:autoSpaceDE w:val="0"/>
        <w:autoSpaceDN w:val="0"/>
        <w:adjustRightInd w:val="0"/>
        <w:rPr>
          <w:szCs w:val="22"/>
        </w:rPr>
      </w:pPr>
    </w:p>
    <w:p w14:paraId="4FA2046F" w14:textId="3130CA9A" w:rsidR="00DE1B0E" w:rsidRPr="00DE1B0E" w:rsidRDefault="00EA639B" w:rsidP="00174928">
      <w:pPr>
        <w:pStyle w:val="ParaNum"/>
        <w:tabs>
          <w:tab w:val="clear" w:pos="1080"/>
          <w:tab w:val="num" w:pos="720"/>
        </w:tabs>
        <w:spacing w:after="0"/>
        <w:ind w:firstLine="360"/>
        <w:rPr>
          <w:snapToGrid/>
        </w:rPr>
      </w:pPr>
      <w:r>
        <w:rPr>
          <w:snapToGrid/>
        </w:rPr>
        <w:t>In p</w:t>
      </w:r>
      <w:r w:rsidR="00DE1B0E" w:rsidRPr="00DE1B0E">
        <w:rPr>
          <w:snapToGrid/>
        </w:rPr>
        <w:t xml:space="preserve">aragraph </w:t>
      </w:r>
      <w:r w:rsidRPr="00DE1B0E">
        <w:rPr>
          <w:snapToGrid/>
        </w:rPr>
        <w:t>(a)</w:t>
      </w:r>
      <w:r w:rsidR="00DE1B0E" w:rsidRPr="00DE1B0E">
        <w:rPr>
          <w:snapToGrid/>
        </w:rPr>
        <w:t xml:space="preserve">, </w:t>
      </w:r>
      <w:r>
        <w:rPr>
          <w:snapToGrid/>
        </w:rPr>
        <w:t>listed below</w:t>
      </w:r>
      <w:r w:rsidR="00DE1B0E" w:rsidRPr="00DE1B0E">
        <w:rPr>
          <w:snapToGrid/>
        </w:rPr>
        <w:t xml:space="preserve"> </w:t>
      </w:r>
      <w:r w:rsidRPr="00174928">
        <w:rPr>
          <w:b/>
          <w:snapToGrid/>
          <w:u w:val="single"/>
        </w:rPr>
        <w:t>§</w:t>
      </w:r>
      <w:r w:rsidR="00DE1B0E" w:rsidRPr="00174928">
        <w:rPr>
          <w:b/>
          <w:snapToGrid/>
          <w:u w:val="single"/>
        </w:rPr>
        <w:t xml:space="preserve"> 18.212</w:t>
      </w:r>
      <w:r w:rsidR="00DE1B0E" w:rsidRPr="00DE1B0E">
        <w:rPr>
          <w:snapToGrid/>
        </w:rPr>
        <w:t>, delete the word “procedure.”</w:t>
      </w:r>
    </w:p>
    <w:p w14:paraId="1590F02B" w14:textId="77777777" w:rsidR="00DE1B0E" w:rsidRPr="00DE1B0E" w:rsidRDefault="00DE1B0E" w:rsidP="00174928">
      <w:pPr>
        <w:widowControl/>
        <w:autoSpaceDE w:val="0"/>
        <w:autoSpaceDN w:val="0"/>
        <w:adjustRightInd w:val="0"/>
        <w:snapToGrid w:val="0"/>
      </w:pPr>
    </w:p>
    <w:p w14:paraId="745A4CED" w14:textId="07F3B493" w:rsidR="00DE1B0E" w:rsidRPr="00DE1B0E" w:rsidRDefault="00DE1B0E" w:rsidP="00174928">
      <w:pPr>
        <w:pStyle w:val="ParaNum"/>
        <w:tabs>
          <w:tab w:val="clear" w:pos="1080"/>
          <w:tab w:val="num" w:pos="720"/>
        </w:tabs>
        <w:spacing w:after="0"/>
        <w:ind w:firstLine="360"/>
        <w:rPr>
          <w:snapToGrid/>
        </w:rPr>
      </w:pPr>
      <w:bookmarkStart w:id="1" w:name="_Toc454194603"/>
      <w:bookmarkStart w:id="2" w:name="_Toc456616392"/>
      <w:r w:rsidRPr="00DE1B0E">
        <w:rPr>
          <w:snapToGrid/>
        </w:rPr>
        <w:t xml:space="preserve">Paragraph </w:t>
      </w:r>
      <w:r w:rsidR="00EA639B" w:rsidRPr="00DE1B0E">
        <w:rPr>
          <w:snapToGrid/>
        </w:rPr>
        <w:t>(a)</w:t>
      </w:r>
      <w:r w:rsidRPr="00DE1B0E">
        <w:rPr>
          <w:snapToGrid/>
        </w:rPr>
        <w:t xml:space="preserve">, </w:t>
      </w:r>
      <w:r w:rsidR="00EA639B">
        <w:rPr>
          <w:snapToGrid/>
        </w:rPr>
        <w:t>listed below</w:t>
      </w:r>
      <w:r w:rsidRPr="00DE1B0E">
        <w:rPr>
          <w:snapToGrid/>
        </w:rPr>
        <w:t xml:space="preserve"> </w:t>
      </w:r>
      <w:r w:rsidR="00EA639B" w:rsidRPr="00174928">
        <w:rPr>
          <w:b/>
          <w:snapToGrid/>
          <w:u w:val="single"/>
        </w:rPr>
        <w:t>§</w:t>
      </w:r>
      <w:r w:rsidRPr="00174928">
        <w:rPr>
          <w:b/>
          <w:snapToGrid/>
          <w:u w:val="single"/>
        </w:rPr>
        <w:t xml:space="preserve"> 74.655</w:t>
      </w:r>
      <w:r w:rsidRPr="00DE1B0E">
        <w:rPr>
          <w:snapToGrid/>
        </w:rPr>
        <w:t>, is corrected to read as follows:</w:t>
      </w:r>
    </w:p>
    <w:p w14:paraId="47461FDA" w14:textId="77777777" w:rsidR="00DE1B0E" w:rsidRPr="00DE1B0E" w:rsidRDefault="00DE1B0E" w:rsidP="00EA639B"/>
    <w:p w14:paraId="2E91AE39" w14:textId="7766B821" w:rsidR="00DE1B0E" w:rsidRPr="00DE1B0E" w:rsidRDefault="00DE1B0E" w:rsidP="00EA639B">
      <w:pPr>
        <w:ind w:left="720" w:hanging="90"/>
      </w:pPr>
      <w:bookmarkStart w:id="3" w:name="_Toc454194453"/>
      <w:bookmarkStart w:id="4" w:name="_Toc456616341"/>
      <w:r w:rsidRPr="004B6E8E">
        <w:t>“</w:t>
      </w:r>
      <w:bookmarkStart w:id="5" w:name="_Toc454194454"/>
      <w:bookmarkStart w:id="6" w:name="_Toc454365700"/>
      <w:bookmarkStart w:id="7" w:name="_Toc456616342"/>
      <w:bookmarkEnd w:id="3"/>
      <w:bookmarkEnd w:id="4"/>
      <w:r w:rsidRPr="00DE1B0E">
        <w:t>(a) Except as provided in paragraph (b) of this section, all transmitting equipment first marketed for use under this subpart or placed into service after October 1, 1981, must be authorized under the appropriate authorization procedure, as detailed in paragraph (f) of this section. Equipment which is used at a station licensed prior to October 1, 1985, which has not been authorized as detailed in paragraph (f) of this section, may continue to be used by the licensee or its successors or assignees, provided that if operation of such equipment causes harmful interference due to its failure to comply with the technical standards set forth in this subpart, the FCC may, at its discretion, require the licensee to take such corrective action as is necessary to eliminate the interference. However, such equipment may not be fu</w:t>
      </w:r>
      <w:r w:rsidR="007E266D">
        <w:t>rther marketed or reused under P</w:t>
      </w:r>
      <w:r w:rsidRPr="00DE1B0E">
        <w:t xml:space="preserve">art 74 after October 1, 1985.  Note:  The verification procedure has been replaced by Supplier’s Declaration of Conformity.  Equipment previously authorized under subpart J of part 2 of this chapter may remain in use.  See </w:t>
      </w:r>
      <w:r w:rsidRPr="00DE1B0E">
        <w:rPr>
          <w:caps/>
        </w:rPr>
        <w:t>§</w:t>
      </w:r>
      <w:r w:rsidRPr="00DE1B0E">
        <w:rPr>
          <w:b/>
          <w:bCs/>
          <w:caps/>
        </w:rPr>
        <w:t xml:space="preserve"> </w:t>
      </w:r>
      <w:r w:rsidRPr="00DE1B0E">
        <w:t>2.950.</w:t>
      </w:r>
      <w:bookmarkEnd w:id="5"/>
      <w:bookmarkEnd w:id="6"/>
      <w:bookmarkEnd w:id="7"/>
      <w:r w:rsidRPr="00DE1B0E">
        <w:t>”</w:t>
      </w:r>
    </w:p>
    <w:p w14:paraId="25D581BF" w14:textId="77777777" w:rsidR="00DE1B0E" w:rsidRPr="00DE1B0E" w:rsidRDefault="00DE1B0E" w:rsidP="00174928">
      <w:pPr>
        <w:ind w:left="720"/>
        <w:rPr>
          <w:snapToGrid/>
        </w:rPr>
      </w:pPr>
    </w:p>
    <w:p w14:paraId="0ADF4957" w14:textId="71540774" w:rsidR="00DE1B0E" w:rsidRPr="00DE1B0E" w:rsidRDefault="00DE1B0E" w:rsidP="00174928">
      <w:pPr>
        <w:pStyle w:val="ParaNum"/>
        <w:tabs>
          <w:tab w:val="clear" w:pos="1080"/>
          <w:tab w:val="num" w:pos="720"/>
        </w:tabs>
        <w:spacing w:after="0"/>
        <w:ind w:firstLine="360"/>
        <w:rPr>
          <w:snapToGrid/>
        </w:rPr>
      </w:pPr>
      <w:r w:rsidRPr="00DE1B0E">
        <w:rPr>
          <w:snapToGrid/>
        </w:rPr>
        <w:t xml:space="preserve">Paragraph </w:t>
      </w:r>
      <w:r w:rsidR="00EA639B" w:rsidRPr="00DE1B0E">
        <w:rPr>
          <w:snapToGrid/>
        </w:rPr>
        <w:t>(a)</w:t>
      </w:r>
      <w:r w:rsidRPr="00DE1B0E">
        <w:rPr>
          <w:snapToGrid/>
        </w:rPr>
        <w:t xml:space="preserve">, </w:t>
      </w:r>
      <w:r w:rsidR="00EA639B">
        <w:rPr>
          <w:snapToGrid/>
        </w:rPr>
        <w:t>listed below</w:t>
      </w:r>
      <w:r w:rsidRPr="00DE1B0E">
        <w:rPr>
          <w:snapToGrid/>
        </w:rPr>
        <w:t xml:space="preserve"> </w:t>
      </w:r>
      <w:r w:rsidR="00EA639B" w:rsidRPr="00174928">
        <w:rPr>
          <w:b/>
          <w:snapToGrid/>
          <w:u w:val="single"/>
        </w:rPr>
        <w:t>§</w:t>
      </w:r>
      <w:r w:rsidRPr="00174928">
        <w:rPr>
          <w:b/>
          <w:snapToGrid/>
          <w:u w:val="single"/>
        </w:rPr>
        <w:t xml:space="preserve"> 78</w:t>
      </w:r>
      <w:r w:rsidRPr="00174928">
        <w:rPr>
          <w:b/>
          <w:u w:val="single"/>
        </w:rPr>
        <w:t>.</w:t>
      </w:r>
      <w:r w:rsidRPr="00174928">
        <w:rPr>
          <w:b/>
          <w:snapToGrid/>
          <w:u w:val="single"/>
        </w:rPr>
        <w:t>107</w:t>
      </w:r>
      <w:r w:rsidRPr="00DE1B0E">
        <w:rPr>
          <w:snapToGrid/>
        </w:rPr>
        <w:t xml:space="preserve">, is corrected </w:t>
      </w:r>
      <w:r w:rsidR="00A110FC">
        <w:rPr>
          <w:snapToGrid/>
        </w:rPr>
        <w:t xml:space="preserve">to </w:t>
      </w:r>
      <w:r w:rsidRPr="00DE1B0E">
        <w:rPr>
          <w:snapToGrid/>
        </w:rPr>
        <w:t>read as follows:</w:t>
      </w:r>
    </w:p>
    <w:p w14:paraId="330D56FD" w14:textId="77777777" w:rsidR="00DE1B0E" w:rsidRPr="00DE1B0E" w:rsidRDefault="00DE1B0E" w:rsidP="00EA639B">
      <w:pPr>
        <w:rPr>
          <w:szCs w:val="22"/>
        </w:rPr>
      </w:pPr>
    </w:p>
    <w:p w14:paraId="03E27959" w14:textId="5620D732" w:rsidR="00DE1B0E" w:rsidRPr="00DE1B0E" w:rsidRDefault="00DE1B0E" w:rsidP="00EA639B">
      <w:pPr>
        <w:ind w:left="720" w:hanging="90"/>
      </w:pPr>
      <w:r w:rsidRPr="004B6E8E">
        <w:t>“</w:t>
      </w:r>
      <w:bookmarkStart w:id="8" w:name="_Toc454194604"/>
      <w:bookmarkStart w:id="9" w:name="_Toc454365850"/>
      <w:bookmarkStart w:id="10" w:name="_Toc456616393"/>
      <w:bookmarkEnd w:id="1"/>
      <w:bookmarkEnd w:id="2"/>
      <w:r w:rsidRPr="00DE1B0E">
        <w:t>(a) Applications for new cable television relay stations, other than fixed stations, will not be accepted unless the equipment specified therein has been certified in accordance with subpart J of part 2 of this chapter. In the case of fixed stations, the equipment must be authorized under Supplier’s Declaration of Conformity for use pursuant to the provisions of this subpart. Transmitters designed for use in the 31.0 to 31.3 GHz band shall be authorized under Supplier’s Declaration of Conformity.</w:t>
      </w:r>
      <w:bookmarkEnd w:id="8"/>
      <w:bookmarkEnd w:id="9"/>
      <w:bookmarkEnd w:id="10"/>
      <w:r w:rsidRPr="00DE1B0E">
        <w:t xml:space="preserve">  Note:  The verification procedure has been replaced by Supplier’s Declaration of Conformity.  Equipment previously authorized under subpart J of part 2 of the Commission’s rules may remain in use.  See </w:t>
      </w:r>
      <w:r w:rsidRPr="00DE1B0E">
        <w:rPr>
          <w:caps/>
        </w:rPr>
        <w:t>§</w:t>
      </w:r>
      <w:r w:rsidRPr="00DE1B0E">
        <w:rPr>
          <w:b/>
          <w:caps/>
        </w:rPr>
        <w:t xml:space="preserve"> </w:t>
      </w:r>
      <w:r w:rsidRPr="00DE1B0E">
        <w:t>2.950.”</w:t>
      </w:r>
    </w:p>
    <w:p w14:paraId="2255F764" w14:textId="77777777" w:rsidR="00DE1B0E" w:rsidRPr="00DE1B0E" w:rsidRDefault="00DE1B0E" w:rsidP="00EA639B">
      <w:pPr>
        <w:rPr>
          <w:szCs w:val="22"/>
        </w:rPr>
      </w:pPr>
      <w:bookmarkStart w:id="11" w:name="_Toc454194613"/>
      <w:bookmarkStart w:id="12" w:name="_Toc456616398"/>
    </w:p>
    <w:p w14:paraId="570089AC" w14:textId="49716A61" w:rsidR="00DE1B0E" w:rsidRPr="00DE1B0E" w:rsidRDefault="00DE1B0E" w:rsidP="00174928">
      <w:pPr>
        <w:pStyle w:val="ParaNum"/>
        <w:tabs>
          <w:tab w:val="clear" w:pos="1080"/>
          <w:tab w:val="num" w:pos="720"/>
        </w:tabs>
        <w:spacing w:after="0"/>
        <w:ind w:firstLine="360"/>
        <w:rPr>
          <w:snapToGrid/>
        </w:rPr>
      </w:pPr>
      <w:r w:rsidRPr="00DE1B0E">
        <w:rPr>
          <w:snapToGrid/>
        </w:rPr>
        <w:t xml:space="preserve">Paragraph </w:t>
      </w:r>
      <w:r w:rsidR="00EA639B" w:rsidRPr="00DE1B0E">
        <w:rPr>
          <w:snapToGrid/>
        </w:rPr>
        <w:t>(g)</w:t>
      </w:r>
      <w:r w:rsidRPr="00DE1B0E">
        <w:rPr>
          <w:snapToGrid/>
        </w:rPr>
        <w:t xml:space="preserve">, </w:t>
      </w:r>
      <w:r w:rsidR="00EA639B">
        <w:rPr>
          <w:snapToGrid/>
        </w:rPr>
        <w:t>listed below</w:t>
      </w:r>
      <w:r w:rsidRPr="00DE1B0E">
        <w:rPr>
          <w:snapToGrid/>
        </w:rPr>
        <w:t xml:space="preserve"> </w:t>
      </w:r>
      <w:r w:rsidR="00EA639B" w:rsidRPr="00174928">
        <w:rPr>
          <w:b/>
          <w:snapToGrid/>
          <w:u w:val="single"/>
        </w:rPr>
        <w:t>§</w:t>
      </w:r>
      <w:r w:rsidRPr="00174928">
        <w:rPr>
          <w:b/>
          <w:snapToGrid/>
          <w:u w:val="single"/>
        </w:rPr>
        <w:t xml:space="preserve"> 80.203</w:t>
      </w:r>
      <w:r w:rsidRPr="00DE1B0E">
        <w:rPr>
          <w:snapToGrid/>
        </w:rPr>
        <w:t>, is corrected to read as follows:</w:t>
      </w:r>
    </w:p>
    <w:p w14:paraId="4AAE7D3A" w14:textId="77777777" w:rsidR="00DE1B0E" w:rsidRPr="00DE1B0E" w:rsidRDefault="00DE1B0E" w:rsidP="00EA639B">
      <w:pPr>
        <w:rPr>
          <w:szCs w:val="22"/>
        </w:rPr>
      </w:pPr>
    </w:p>
    <w:p w14:paraId="2DD3DF22" w14:textId="2F94758D" w:rsidR="00DE1B0E" w:rsidRPr="00DE1B0E" w:rsidRDefault="00DE1B0E" w:rsidP="00174928">
      <w:pPr>
        <w:widowControl/>
        <w:ind w:left="720" w:hanging="86"/>
      </w:pPr>
      <w:r w:rsidRPr="004B6E8E">
        <w:t>“</w:t>
      </w:r>
      <w:bookmarkStart w:id="13" w:name="_Toc454194629"/>
      <w:bookmarkStart w:id="14" w:name="_Toc454365875"/>
      <w:bookmarkStart w:id="15" w:name="_Toc456616402"/>
      <w:bookmarkEnd w:id="11"/>
      <w:bookmarkEnd w:id="12"/>
      <w:r w:rsidRPr="00DE1B0E">
        <w:t>(g) Manufacturers of ship earth station transmitters intended for use in the INMARSAT space segment are subject to Supplier’s Declaration of Conformity pursuant to the procedures given in subpart J of part 2 of this chapter. Such equipment must be approved in accordance with the technical requirements provided by INMARSAT and must be type approved by INMARSAT for use in the INMARSAT space segment. The ship earth station input/output parameters, the data obtained when the equipment is integrated in a system configuration and the pertinent method of test procedures that are used for type approval of the station model which are essential for the compatible operation of that station in the INMARSAT space segment must be disclosed by the manufacturer upon request of the FCC. Witnessing of the type approval tests and the disclosure of the ship earth station equipment design or any other information of a proprietary nature will be at the discretion of the ship earth station manufacturer.</w:t>
      </w:r>
      <w:bookmarkEnd w:id="13"/>
      <w:bookmarkEnd w:id="14"/>
      <w:bookmarkEnd w:id="15"/>
      <w:r w:rsidRPr="00DE1B0E">
        <w:t xml:space="preserve">  Note:  The verification procedure has been </w:t>
      </w:r>
      <w:r w:rsidRPr="00DE1B0E">
        <w:lastRenderedPageBreak/>
        <w:t xml:space="preserve">replaced by Supplier’s Declaration of Conformity.  Equipment previously authorized under subpart J of part 2 of the Commission’s rules may remain in use.  See </w:t>
      </w:r>
      <w:r w:rsidRPr="00DE1B0E">
        <w:rPr>
          <w:caps/>
        </w:rPr>
        <w:t>§</w:t>
      </w:r>
      <w:r w:rsidRPr="00DE1B0E">
        <w:rPr>
          <w:b/>
          <w:caps/>
        </w:rPr>
        <w:t xml:space="preserve"> </w:t>
      </w:r>
      <w:r w:rsidRPr="00DE1B0E">
        <w:t>2.950.”</w:t>
      </w:r>
    </w:p>
    <w:p w14:paraId="3423E1DC" w14:textId="77777777" w:rsidR="00DE1B0E" w:rsidRPr="00DE1B0E" w:rsidRDefault="00DE1B0E" w:rsidP="00EA639B">
      <w:pPr>
        <w:rPr>
          <w:szCs w:val="22"/>
        </w:rPr>
      </w:pPr>
      <w:bookmarkStart w:id="16" w:name="_Toc454194759"/>
      <w:bookmarkStart w:id="17" w:name="_Toc456616420"/>
    </w:p>
    <w:p w14:paraId="5F9C8BD6" w14:textId="53513BCA" w:rsidR="00DE1B0E" w:rsidRPr="00DE1B0E" w:rsidRDefault="00DE1B0E" w:rsidP="00174928">
      <w:pPr>
        <w:pStyle w:val="ParaNum"/>
        <w:tabs>
          <w:tab w:val="clear" w:pos="1080"/>
          <w:tab w:val="num" w:pos="720"/>
        </w:tabs>
        <w:spacing w:after="0"/>
        <w:ind w:firstLine="360"/>
        <w:rPr>
          <w:snapToGrid/>
        </w:rPr>
      </w:pPr>
      <w:r w:rsidRPr="00DE1B0E">
        <w:rPr>
          <w:snapToGrid/>
        </w:rPr>
        <w:t>Paragraph</w:t>
      </w:r>
      <w:r w:rsidR="006563B0">
        <w:rPr>
          <w:snapToGrid/>
        </w:rPr>
        <w:t>s</w:t>
      </w:r>
      <w:r w:rsidRPr="00DE1B0E">
        <w:rPr>
          <w:snapToGrid/>
        </w:rPr>
        <w:t xml:space="preserve"> </w:t>
      </w:r>
      <w:r w:rsidR="006563B0" w:rsidRPr="00DE1B0E">
        <w:rPr>
          <w:snapToGrid/>
        </w:rPr>
        <w:t>(a) and (c)</w:t>
      </w:r>
      <w:r w:rsidRPr="00DE1B0E">
        <w:rPr>
          <w:snapToGrid/>
        </w:rPr>
        <w:t xml:space="preserve">, </w:t>
      </w:r>
      <w:r w:rsidR="006563B0">
        <w:rPr>
          <w:snapToGrid/>
        </w:rPr>
        <w:t>listed below</w:t>
      </w:r>
      <w:r w:rsidRPr="00DE1B0E">
        <w:rPr>
          <w:snapToGrid/>
        </w:rPr>
        <w:t xml:space="preserve"> </w:t>
      </w:r>
      <w:r w:rsidR="006563B0" w:rsidRPr="00174928">
        <w:rPr>
          <w:b/>
          <w:snapToGrid/>
          <w:u w:val="single"/>
        </w:rPr>
        <w:t>§</w:t>
      </w:r>
      <w:r w:rsidRPr="00174928">
        <w:rPr>
          <w:b/>
          <w:snapToGrid/>
          <w:u w:val="single"/>
        </w:rPr>
        <w:t xml:space="preserve"> 80.1103</w:t>
      </w:r>
      <w:r w:rsidRPr="00DE1B0E">
        <w:rPr>
          <w:snapToGrid/>
        </w:rPr>
        <w:t xml:space="preserve">, </w:t>
      </w:r>
      <w:r w:rsidR="006563B0">
        <w:rPr>
          <w:snapToGrid/>
        </w:rPr>
        <w:t>are</w:t>
      </w:r>
      <w:r w:rsidRPr="00DE1B0E">
        <w:rPr>
          <w:snapToGrid/>
        </w:rPr>
        <w:t xml:space="preserve"> corrected to read as follows:</w:t>
      </w:r>
    </w:p>
    <w:p w14:paraId="13AD858F" w14:textId="77777777" w:rsidR="00DE1B0E" w:rsidRPr="00DE1B0E" w:rsidRDefault="00DE1B0E" w:rsidP="00EA639B">
      <w:pPr>
        <w:rPr>
          <w:szCs w:val="22"/>
        </w:rPr>
      </w:pPr>
    </w:p>
    <w:p w14:paraId="2BF48183" w14:textId="709F5F15" w:rsidR="00DE1B0E" w:rsidRPr="00DE1B0E" w:rsidRDefault="00DE1B0E" w:rsidP="006563B0">
      <w:pPr>
        <w:ind w:left="720" w:hanging="90"/>
      </w:pPr>
      <w:r w:rsidRPr="004B6E8E">
        <w:t>“</w:t>
      </w:r>
      <w:bookmarkEnd w:id="16"/>
      <w:bookmarkEnd w:id="17"/>
      <w:r w:rsidRPr="00DE1B0E">
        <w:t>(a) All equipment specified in § 80.1101 must be certified in accordance with subpart J of part 2 of this chapter specifically for GMDSS use, except for equipment used in the INMARSAT space segment which must be type-approved by INMARSAT and are subject to Supplier’s Declaration of Conformity pursuant to the procedures in subpart J of part 2 of this chapter specifically for GMDSS use. The technical parameters of the equipment must conform to the performance standards as specified in § 80.1101. For emergency position-indicating radiobeacons operating on 406.0-406.1 MHz (406.0-406.1 MHz EPIRBs) that were authorized prior to April 15, 1992, and meet the requirements of § 80.1101, the manufacturer may attest by letter that the equipment (indicate FCC ID#) meets the requirements of § 80.1101 and request that it be denoted as approved for GMDSS use.</w:t>
      </w:r>
    </w:p>
    <w:p w14:paraId="5E19392F" w14:textId="77777777" w:rsidR="00DE1B0E" w:rsidRPr="00DE1B0E" w:rsidRDefault="00DE1B0E" w:rsidP="006563B0">
      <w:pPr>
        <w:ind w:left="720"/>
      </w:pPr>
    </w:p>
    <w:p w14:paraId="08B39B91" w14:textId="77777777" w:rsidR="00DE1B0E" w:rsidRPr="00DE1B0E" w:rsidRDefault="00DE1B0E" w:rsidP="006563B0">
      <w:pPr>
        <w:ind w:left="720"/>
      </w:pPr>
      <w:r w:rsidRPr="00DE1B0E">
        <w:t>* * * * *</w:t>
      </w:r>
    </w:p>
    <w:p w14:paraId="6D63B4D5" w14:textId="77777777" w:rsidR="00DE1B0E" w:rsidRPr="00DE1B0E" w:rsidRDefault="00DE1B0E" w:rsidP="006563B0">
      <w:pPr>
        <w:ind w:left="720"/>
      </w:pPr>
    </w:p>
    <w:p w14:paraId="31F77EBA" w14:textId="51B2C639" w:rsidR="00DE1B0E" w:rsidRPr="00DE1B0E" w:rsidRDefault="00DE1B0E" w:rsidP="006563B0">
      <w:pPr>
        <w:ind w:left="720"/>
      </w:pPr>
      <w:r w:rsidRPr="00DE1B0E">
        <w:t>(c) Applicants using Supplier’s Declaration of Conformity must attest that the equipment complies with performance standards as specified in § 80.1101 and, where applicable, that measurements have been made that demonstrate the necessary compliance. Submission of representative data demonstrating compliance is not required unless requested by the Commission. An application must include the items listed in §§ 2.931 and 2.938 of this chapter and a copy of the type-approval certification indicating that equipment meets GMDSS standards and includes all peripheral equipment associated with the specific unit under review.  Note:  The verification procedure has been replaced by Supplier’s Declaration of Conformity.</w:t>
      </w:r>
      <w:r w:rsidR="00DD0735">
        <w:t xml:space="preserve">  </w:t>
      </w:r>
      <w:r w:rsidRPr="00DE1B0E">
        <w:t xml:space="preserve">Equipment previously authorized under subpart J of part 2 of the Commission’s rules may remain in use.  See </w:t>
      </w:r>
      <w:r w:rsidRPr="00DE1B0E">
        <w:rPr>
          <w:caps/>
        </w:rPr>
        <w:t>§</w:t>
      </w:r>
      <w:r w:rsidRPr="00DE1B0E">
        <w:rPr>
          <w:b/>
          <w:caps/>
        </w:rPr>
        <w:t xml:space="preserve"> </w:t>
      </w:r>
      <w:r w:rsidRPr="00DE1B0E">
        <w:t>2.950.”</w:t>
      </w:r>
    </w:p>
    <w:p w14:paraId="7EC5749E" w14:textId="77777777" w:rsidR="00DE1B0E" w:rsidRPr="00DE1B0E" w:rsidRDefault="00DE1B0E" w:rsidP="00EA639B"/>
    <w:p w14:paraId="7817C370" w14:textId="11B36345" w:rsidR="00DE1B0E" w:rsidRPr="00DE1B0E" w:rsidRDefault="00DE1B0E" w:rsidP="00174928">
      <w:pPr>
        <w:pStyle w:val="ParaNum"/>
        <w:tabs>
          <w:tab w:val="clear" w:pos="1080"/>
          <w:tab w:val="num" w:pos="720"/>
        </w:tabs>
        <w:spacing w:after="0"/>
        <w:ind w:firstLine="360"/>
        <w:rPr>
          <w:snapToGrid/>
        </w:rPr>
      </w:pPr>
      <w:r w:rsidRPr="00DE1B0E">
        <w:rPr>
          <w:snapToGrid/>
        </w:rPr>
        <w:t xml:space="preserve">Paragraph </w:t>
      </w:r>
      <w:r w:rsidR="006563B0" w:rsidRPr="00DE1B0E">
        <w:rPr>
          <w:snapToGrid/>
        </w:rPr>
        <w:t>(c)</w:t>
      </w:r>
      <w:r w:rsidRPr="00DE1B0E">
        <w:rPr>
          <w:snapToGrid/>
        </w:rPr>
        <w:t xml:space="preserve">, </w:t>
      </w:r>
      <w:r w:rsidR="006563B0">
        <w:rPr>
          <w:snapToGrid/>
        </w:rPr>
        <w:t>listed below</w:t>
      </w:r>
      <w:r w:rsidRPr="00DE1B0E">
        <w:rPr>
          <w:snapToGrid/>
        </w:rPr>
        <w:t xml:space="preserve"> </w:t>
      </w:r>
      <w:r w:rsidR="006563B0" w:rsidRPr="00174928">
        <w:rPr>
          <w:b/>
          <w:snapToGrid/>
          <w:u w:val="single"/>
        </w:rPr>
        <w:t>§</w:t>
      </w:r>
      <w:r w:rsidRPr="00174928">
        <w:rPr>
          <w:b/>
          <w:snapToGrid/>
          <w:u w:val="single"/>
        </w:rPr>
        <w:t xml:space="preserve"> 87</w:t>
      </w:r>
      <w:r w:rsidRPr="00174928">
        <w:rPr>
          <w:b/>
          <w:u w:val="single"/>
        </w:rPr>
        <w:t>.</w:t>
      </w:r>
      <w:r w:rsidRPr="00174928">
        <w:rPr>
          <w:b/>
          <w:snapToGrid/>
          <w:u w:val="single"/>
        </w:rPr>
        <w:t>199</w:t>
      </w:r>
      <w:r w:rsidRPr="00DE1B0E">
        <w:rPr>
          <w:snapToGrid/>
        </w:rPr>
        <w:t>, is corrected to read as follows:</w:t>
      </w:r>
    </w:p>
    <w:p w14:paraId="42B18B36" w14:textId="77777777" w:rsidR="00DE1B0E" w:rsidRPr="00DE1B0E" w:rsidRDefault="00DE1B0E" w:rsidP="00EA639B"/>
    <w:p w14:paraId="2707F87D" w14:textId="0B9A421B" w:rsidR="00DE1B0E" w:rsidRPr="00DE1B0E" w:rsidRDefault="00DE1B0E" w:rsidP="00174928">
      <w:pPr>
        <w:ind w:left="720" w:hanging="90"/>
      </w:pPr>
      <w:bookmarkStart w:id="18" w:name="_Toc454194771"/>
      <w:bookmarkStart w:id="19" w:name="_Toc456616430"/>
      <w:r w:rsidRPr="004B6E8E">
        <w:t>“</w:t>
      </w:r>
      <w:bookmarkStart w:id="20" w:name="_Toc454194774"/>
      <w:bookmarkStart w:id="21" w:name="_Toc454366020"/>
      <w:bookmarkStart w:id="22" w:name="_Toc456616432"/>
      <w:bookmarkEnd w:id="18"/>
      <w:bookmarkEnd w:id="19"/>
      <w:r w:rsidRPr="00DE1B0E">
        <w:t>(c) As part of its Supplier’s Declaration of Conformity a 406.0-406.1 MHz ELT, the ELT must be certified by a test facility recognized by one of the COSPAS/SARSAT Partners that the equipment satisfies the design characteristics associated with the COSPAS/SARSAT document COSPAS/SARSAT 406 MHz Distress Beacon Type Approval Standard (C/S T.007). Additionally, an independent test facility must certify that the ELT complies with the electrical and environmental standards associated with the RTCA Recommended Standards.</w:t>
      </w:r>
      <w:bookmarkEnd w:id="20"/>
      <w:bookmarkEnd w:id="21"/>
      <w:bookmarkEnd w:id="22"/>
      <w:r w:rsidRPr="00DE1B0E">
        <w:t xml:space="preserve">  Note:  The verification procedure has been replaced by Supplier’s Declaration of Conformity.  Equipment previously authorized under subpart J of part 2 of the Commission’s rules may remain in use.  See </w:t>
      </w:r>
      <w:r w:rsidRPr="00DE1B0E">
        <w:rPr>
          <w:caps/>
        </w:rPr>
        <w:t>§</w:t>
      </w:r>
      <w:r w:rsidRPr="00DE1B0E">
        <w:rPr>
          <w:b/>
          <w:caps/>
        </w:rPr>
        <w:t xml:space="preserve"> </w:t>
      </w:r>
      <w:r w:rsidRPr="00DE1B0E">
        <w:t>2.950.”</w:t>
      </w:r>
    </w:p>
    <w:p w14:paraId="77D49F89" w14:textId="77777777" w:rsidR="00DE1B0E" w:rsidRPr="00DE1B0E" w:rsidRDefault="00DE1B0E" w:rsidP="00EA639B"/>
    <w:p w14:paraId="37EED5B1" w14:textId="0CCD4D04" w:rsidR="00A110FC" w:rsidRDefault="00DE1B0E" w:rsidP="00174928">
      <w:pPr>
        <w:pStyle w:val="ParaNum"/>
        <w:tabs>
          <w:tab w:val="clear" w:pos="1080"/>
          <w:tab w:val="num" w:pos="720"/>
        </w:tabs>
        <w:spacing w:after="0"/>
        <w:ind w:firstLine="360"/>
        <w:rPr>
          <w:snapToGrid/>
        </w:rPr>
      </w:pPr>
      <w:r w:rsidRPr="00DE1B0E">
        <w:rPr>
          <w:snapToGrid/>
        </w:rPr>
        <w:t xml:space="preserve">Paragraph </w:t>
      </w:r>
      <w:r w:rsidR="006563B0" w:rsidRPr="00DE1B0E">
        <w:rPr>
          <w:snapToGrid/>
        </w:rPr>
        <w:t>(l)</w:t>
      </w:r>
      <w:r w:rsidRPr="00DE1B0E">
        <w:rPr>
          <w:snapToGrid/>
        </w:rPr>
        <w:t xml:space="preserve">, </w:t>
      </w:r>
      <w:r w:rsidR="006563B0">
        <w:rPr>
          <w:snapToGrid/>
        </w:rPr>
        <w:t>listed below</w:t>
      </w:r>
      <w:r w:rsidRPr="00DE1B0E">
        <w:rPr>
          <w:snapToGrid/>
        </w:rPr>
        <w:t xml:space="preserve"> </w:t>
      </w:r>
      <w:r w:rsidR="006563B0" w:rsidRPr="00174928">
        <w:rPr>
          <w:b/>
          <w:snapToGrid/>
          <w:u w:val="single"/>
        </w:rPr>
        <w:t>§</w:t>
      </w:r>
      <w:r w:rsidRPr="00174928">
        <w:rPr>
          <w:b/>
          <w:snapToGrid/>
          <w:u w:val="single"/>
        </w:rPr>
        <w:t xml:space="preserve"> 90.203</w:t>
      </w:r>
      <w:r w:rsidRPr="00DE1B0E">
        <w:rPr>
          <w:snapToGrid/>
        </w:rPr>
        <w:t xml:space="preserve">, is corrected to </w:t>
      </w:r>
      <w:r w:rsidR="00A110FC">
        <w:rPr>
          <w:snapToGrid/>
        </w:rPr>
        <w:t>read as follows:</w:t>
      </w:r>
    </w:p>
    <w:p w14:paraId="5005929C" w14:textId="77777777" w:rsidR="006563B0" w:rsidRDefault="006563B0" w:rsidP="00174928">
      <w:pPr>
        <w:pStyle w:val="ParaNum"/>
        <w:numPr>
          <w:ilvl w:val="0"/>
          <w:numId w:val="0"/>
        </w:numPr>
        <w:spacing w:after="0"/>
        <w:rPr>
          <w:snapToGrid/>
        </w:rPr>
      </w:pPr>
    </w:p>
    <w:p w14:paraId="5B03F5C4" w14:textId="1EFBA797" w:rsidR="00A110FC" w:rsidRPr="00534D14" w:rsidRDefault="00A110FC" w:rsidP="006563B0">
      <w:pPr>
        <w:pStyle w:val="ParaNum"/>
        <w:numPr>
          <w:ilvl w:val="0"/>
          <w:numId w:val="0"/>
        </w:numPr>
        <w:spacing w:after="0"/>
        <w:ind w:left="720" w:hanging="90"/>
      </w:pPr>
      <w:r w:rsidRPr="00174928">
        <w:t>“</w:t>
      </w:r>
      <w:r w:rsidRPr="00534D14">
        <w:t xml:space="preserve">(l) Ocean buoy and wildlife tracking transmitters operating in the band 40.66-40.70 MHz or 216-220 MHz under the provisions of § 90.248 of this part shall be authorized under Supplier’s Declaration of Conformity pursuant to subpart J of part 2 of this chapter.  Note:  The verification procedure has been replaced by Supplier’s Declaration of Conformity.  Equipment previously authorized under subpart J of part 2 of the Commission’s rules may remain in use.  See </w:t>
      </w:r>
      <w:r w:rsidRPr="00534D14">
        <w:rPr>
          <w:b/>
          <w:caps/>
        </w:rPr>
        <w:t xml:space="preserve">§ </w:t>
      </w:r>
      <w:r w:rsidRPr="00534D14">
        <w:t>2.950.</w:t>
      </w:r>
      <w:r w:rsidR="009E6389">
        <w:t>”</w:t>
      </w:r>
    </w:p>
    <w:p w14:paraId="49355227" w14:textId="77777777" w:rsidR="00A110FC" w:rsidRPr="00A110FC" w:rsidRDefault="00A110FC" w:rsidP="00EA639B">
      <w:pPr>
        <w:pStyle w:val="ParaNum"/>
        <w:numPr>
          <w:ilvl w:val="0"/>
          <w:numId w:val="0"/>
        </w:numPr>
        <w:spacing w:after="0"/>
        <w:rPr>
          <w:snapToGrid/>
        </w:rPr>
      </w:pPr>
    </w:p>
    <w:p w14:paraId="1E232236" w14:textId="46850867" w:rsidR="00DE1B0E" w:rsidRPr="00DE1B0E" w:rsidRDefault="006563B0" w:rsidP="00174928">
      <w:pPr>
        <w:pStyle w:val="ParaNum"/>
        <w:keepNext/>
        <w:widowControl/>
        <w:tabs>
          <w:tab w:val="clear" w:pos="1080"/>
          <w:tab w:val="num" w:pos="720"/>
        </w:tabs>
        <w:spacing w:after="0"/>
        <w:ind w:firstLine="360"/>
      </w:pPr>
      <w:r>
        <w:t>In p</w:t>
      </w:r>
      <w:r w:rsidR="00DE1B0E" w:rsidRPr="00DE1B0E">
        <w:t xml:space="preserve">aragraph </w:t>
      </w:r>
      <w:r w:rsidRPr="00DE1B0E">
        <w:t>(b)</w:t>
      </w:r>
      <w:r w:rsidR="00DE1B0E" w:rsidRPr="00DE1B0E">
        <w:t xml:space="preserve">, </w:t>
      </w:r>
      <w:r>
        <w:t xml:space="preserve">listed below </w:t>
      </w:r>
      <w:r w:rsidRPr="00174928">
        <w:rPr>
          <w:b/>
          <w:u w:val="single"/>
        </w:rPr>
        <w:t>§</w:t>
      </w:r>
      <w:r w:rsidR="00DE1B0E" w:rsidRPr="00174928">
        <w:rPr>
          <w:b/>
          <w:u w:val="single"/>
        </w:rPr>
        <w:t xml:space="preserve"> 101.139</w:t>
      </w:r>
      <w:r w:rsidR="00DE1B0E" w:rsidRPr="00DE1B0E">
        <w:t>, delete the phrase “manufacturer of a.”</w:t>
      </w:r>
    </w:p>
    <w:p w14:paraId="7FF6F54F" w14:textId="77777777" w:rsidR="00DE1B0E" w:rsidRPr="00DE1B0E" w:rsidRDefault="00DE1B0E" w:rsidP="00174928">
      <w:pPr>
        <w:keepNext/>
        <w:widowControl/>
      </w:pPr>
    </w:p>
    <w:p w14:paraId="39676E9A" w14:textId="77777777" w:rsidR="00DE1B0E" w:rsidRPr="00DE1B0E" w:rsidRDefault="00DE1B0E" w:rsidP="006563B0">
      <w:pPr>
        <w:keepNext/>
        <w:widowControl/>
      </w:pPr>
      <w:r w:rsidRPr="00DE1B0E">
        <w:tab/>
      </w:r>
      <w:r w:rsidRPr="00DE1B0E">
        <w:tab/>
      </w:r>
      <w:r w:rsidRPr="00DE1B0E">
        <w:tab/>
      </w:r>
      <w:r w:rsidRPr="00DE1B0E">
        <w:tab/>
      </w:r>
      <w:r w:rsidRPr="00DE1B0E">
        <w:tab/>
      </w:r>
      <w:r w:rsidRPr="00DE1B0E">
        <w:tab/>
        <w:t>FEDERAL COMMUNICATIONS COMMISSION</w:t>
      </w:r>
    </w:p>
    <w:p w14:paraId="500AC9A2" w14:textId="77777777" w:rsidR="00DE1B0E" w:rsidRPr="00DE1B0E" w:rsidRDefault="00DE1B0E" w:rsidP="00174928">
      <w:pPr>
        <w:keepNext/>
        <w:widowControl/>
      </w:pPr>
    </w:p>
    <w:p w14:paraId="48E634D3" w14:textId="77777777" w:rsidR="00DE1B0E" w:rsidRPr="00DE1B0E" w:rsidRDefault="00DE1B0E" w:rsidP="00174928">
      <w:pPr>
        <w:keepNext/>
        <w:widowControl/>
      </w:pPr>
    </w:p>
    <w:p w14:paraId="42856ED9" w14:textId="77777777" w:rsidR="00DE1B0E" w:rsidRPr="00DE1B0E" w:rsidRDefault="00DE1B0E" w:rsidP="00174928">
      <w:pPr>
        <w:keepNext/>
        <w:widowControl/>
      </w:pPr>
    </w:p>
    <w:p w14:paraId="13FA5FC3" w14:textId="77777777" w:rsidR="00DE1B0E" w:rsidRPr="00DE1B0E" w:rsidRDefault="00DE1B0E" w:rsidP="00174928">
      <w:pPr>
        <w:keepNext/>
        <w:widowControl/>
      </w:pPr>
    </w:p>
    <w:p w14:paraId="07388905" w14:textId="77777777" w:rsidR="00DE1B0E" w:rsidRPr="00DE1B0E" w:rsidRDefault="00DE1B0E" w:rsidP="00174928">
      <w:pPr>
        <w:keepNext/>
        <w:widowControl/>
      </w:pPr>
      <w:r w:rsidRPr="00DE1B0E">
        <w:tab/>
      </w:r>
      <w:r w:rsidRPr="00DE1B0E">
        <w:tab/>
      </w:r>
      <w:r w:rsidRPr="00DE1B0E">
        <w:tab/>
      </w:r>
      <w:r w:rsidRPr="00DE1B0E">
        <w:tab/>
      </w:r>
      <w:r w:rsidRPr="00DE1B0E">
        <w:tab/>
      </w:r>
      <w:r w:rsidRPr="00DE1B0E">
        <w:tab/>
        <w:t>Mark Stephens</w:t>
      </w:r>
    </w:p>
    <w:p w14:paraId="1EED3BBE" w14:textId="77777777" w:rsidR="00DE1B0E" w:rsidRPr="00DE1B0E" w:rsidRDefault="00DE1B0E" w:rsidP="00174928">
      <w:pPr>
        <w:keepNext/>
        <w:widowControl/>
      </w:pPr>
      <w:r w:rsidRPr="00DE1B0E">
        <w:tab/>
      </w:r>
      <w:r w:rsidRPr="00DE1B0E">
        <w:tab/>
      </w:r>
      <w:r w:rsidRPr="00DE1B0E">
        <w:tab/>
      </w:r>
      <w:r w:rsidRPr="00DE1B0E">
        <w:tab/>
      </w:r>
      <w:r w:rsidRPr="00DE1B0E">
        <w:tab/>
      </w:r>
      <w:r w:rsidRPr="00DE1B0E">
        <w:tab/>
        <w:t>Managing Director</w:t>
      </w:r>
      <w:r w:rsidRPr="00DE1B0E">
        <w:tab/>
      </w:r>
      <w:r w:rsidRPr="00DE1B0E">
        <w:tab/>
      </w:r>
      <w:r w:rsidRPr="00DE1B0E">
        <w:tab/>
      </w:r>
      <w:r w:rsidRPr="00DE1B0E">
        <w:tab/>
      </w:r>
    </w:p>
    <w:p w14:paraId="0E19A0F9" w14:textId="77777777" w:rsidR="00DE1B0E" w:rsidRPr="00DE1B0E" w:rsidRDefault="00DE1B0E" w:rsidP="00174928">
      <w:pPr>
        <w:keepNext/>
        <w:widowControl/>
      </w:pPr>
      <w:r w:rsidRPr="00DE1B0E">
        <w:tab/>
      </w:r>
      <w:r w:rsidRPr="00DE1B0E">
        <w:tab/>
      </w:r>
      <w:r w:rsidRPr="00DE1B0E">
        <w:tab/>
      </w:r>
      <w:r w:rsidRPr="00DE1B0E">
        <w:tab/>
      </w:r>
      <w:r w:rsidRPr="00DE1B0E">
        <w:tab/>
      </w:r>
      <w:r w:rsidRPr="00DE1B0E">
        <w:tab/>
      </w:r>
    </w:p>
    <w:p w14:paraId="084125BC" w14:textId="77777777" w:rsidR="00DE1B0E" w:rsidRPr="00DE1B0E" w:rsidRDefault="00DE1B0E" w:rsidP="00174928">
      <w:pPr>
        <w:keepNext/>
        <w:widowControl/>
      </w:pPr>
    </w:p>
    <w:p w14:paraId="46515664" w14:textId="77777777" w:rsidR="00DE1B0E" w:rsidRPr="00DE1B0E" w:rsidRDefault="00DE1B0E" w:rsidP="00174928">
      <w:pPr>
        <w:keepNext/>
        <w:widowControl/>
      </w:pPr>
    </w:p>
    <w:p w14:paraId="396C23E7" w14:textId="77777777" w:rsidR="00DE1B0E" w:rsidRPr="00DE1B0E" w:rsidRDefault="00DE1B0E" w:rsidP="00174928">
      <w:pPr>
        <w:keepNext/>
        <w:widowControl/>
      </w:pPr>
    </w:p>
    <w:p w14:paraId="04AA2C23" w14:textId="77777777" w:rsidR="00DE1B0E" w:rsidRPr="00DE1B0E" w:rsidRDefault="00DE1B0E" w:rsidP="00174928">
      <w:pPr>
        <w:keepNext/>
        <w:widowControl/>
      </w:pPr>
      <w:r w:rsidRPr="00DE1B0E">
        <w:tab/>
      </w:r>
      <w:r w:rsidRPr="00DE1B0E">
        <w:tab/>
      </w:r>
      <w:r w:rsidRPr="00DE1B0E">
        <w:tab/>
      </w:r>
      <w:r w:rsidRPr="00DE1B0E">
        <w:tab/>
      </w:r>
      <w:r w:rsidRPr="00DE1B0E">
        <w:tab/>
      </w:r>
      <w:r w:rsidRPr="00DE1B0E">
        <w:tab/>
        <w:t>Approved by:</w:t>
      </w:r>
    </w:p>
    <w:p w14:paraId="0F6BFEAE" w14:textId="77777777" w:rsidR="00DE1B0E" w:rsidRPr="00DE1B0E" w:rsidRDefault="00DE1B0E" w:rsidP="00174928">
      <w:pPr>
        <w:keepNext/>
        <w:widowControl/>
      </w:pPr>
    </w:p>
    <w:p w14:paraId="3D160305" w14:textId="77777777" w:rsidR="00DE1B0E" w:rsidRPr="00DE1B0E" w:rsidRDefault="00DE1B0E" w:rsidP="00174928">
      <w:pPr>
        <w:keepNext/>
        <w:widowControl/>
      </w:pPr>
    </w:p>
    <w:p w14:paraId="107EBE4C" w14:textId="77777777" w:rsidR="00DE1B0E" w:rsidRPr="00DE1B0E" w:rsidRDefault="00DE1B0E" w:rsidP="00174928">
      <w:pPr>
        <w:keepNext/>
        <w:widowControl/>
      </w:pPr>
    </w:p>
    <w:p w14:paraId="6957172A" w14:textId="77777777" w:rsidR="00DE1B0E" w:rsidRPr="00DE1B0E" w:rsidRDefault="00DE1B0E" w:rsidP="00174928">
      <w:pPr>
        <w:keepNext/>
        <w:widowControl/>
      </w:pPr>
    </w:p>
    <w:p w14:paraId="4D2090E1" w14:textId="77777777" w:rsidR="00DE1B0E" w:rsidRPr="00DE1B0E" w:rsidRDefault="00DE1B0E" w:rsidP="00174928">
      <w:pPr>
        <w:keepNext/>
        <w:widowControl/>
      </w:pPr>
      <w:r w:rsidRPr="00DE1B0E">
        <w:tab/>
      </w:r>
      <w:r w:rsidRPr="00DE1B0E">
        <w:tab/>
      </w:r>
      <w:r w:rsidRPr="00DE1B0E">
        <w:tab/>
      </w:r>
      <w:r w:rsidRPr="00DE1B0E">
        <w:tab/>
      </w:r>
      <w:r w:rsidRPr="00DE1B0E">
        <w:tab/>
      </w:r>
      <w:r w:rsidRPr="00DE1B0E">
        <w:tab/>
        <w:t>Julius P. Knapp</w:t>
      </w:r>
    </w:p>
    <w:p w14:paraId="7562F3C8" w14:textId="77777777" w:rsidR="00DE1B0E" w:rsidRPr="00DE1B0E" w:rsidRDefault="00DE1B0E" w:rsidP="00174928">
      <w:pPr>
        <w:keepNext/>
        <w:widowControl/>
      </w:pPr>
      <w:r w:rsidRPr="00DE1B0E">
        <w:tab/>
      </w:r>
      <w:r w:rsidRPr="00DE1B0E">
        <w:tab/>
      </w:r>
      <w:r w:rsidRPr="00DE1B0E">
        <w:tab/>
      </w:r>
      <w:r w:rsidRPr="00DE1B0E">
        <w:tab/>
      </w:r>
      <w:r w:rsidRPr="00DE1B0E">
        <w:tab/>
      </w:r>
      <w:r w:rsidRPr="00DE1B0E">
        <w:tab/>
        <w:t>Chief, Office of Engineering and Technology</w:t>
      </w:r>
    </w:p>
    <w:p w14:paraId="702F3D02" w14:textId="77777777" w:rsidR="00DE1B0E" w:rsidRPr="00DE1B0E" w:rsidRDefault="00DE1B0E" w:rsidP="00174928">
      <w:pPr>
        <w:keepNext/>
        <w:widowControl/>
      </w:pPr>
    </w:p>
    <w:p w14:paraId="5F447195" w14:textId="77777777" w:rsidR="00DE1B0E" w:rsidRPr="00DE1B0E" w:rsidRDefault="00DE1B0E" w:rsidP="00174928">
      <w:pPr>
        <w:keepNext/>
        <w:widowControl/>
      </w:pPr>
    </w:p>
    <w:p w14:paraId="5FC644B5" w14:textId="77777777" w:rsidR="00DE1B0E" w:rsidRPr="00DE1B0E" w:rsidRDefault="00DE1B0E" w:rsidP="00174928">
      <w:pPr>
        <w:keepNext/>
        <w:widowControl/>
      </w:pPr>
    </w:p>
    <w:p w14:paraId="5446BCF4" w14:textId="77777777" w:rsidR="00DE1B0E" w:rsidRPr="00DE1B0E" w:rsidRDefault="00DE1B0E" w:rsidP="00174928">
      <w:pPr>
        <w:keepNext/>
        <w:widowControl/>
      </w:pPr>
    </w:p>
    <w:p w14:paraId="7A46DCCD" w14:textId="77777777" w:rsidR="00DE1B0E" w:rsidRPr="00DE1B0E" w:rsidRDefault="00DE1B0E" w:rsidP="00174928">
      <w:pPr>
        <w:keepNext/>
        <w:widowControl/>
      </w:pPr>
      <w:r w:rsidRPr="00DE1B0E">
        <w:tab/>
      </w:r>
      <w:r w:rsidRPr="00DE1B0E">
        <w:tab/>
      </w:r>
      <w:r w:rsidRPr="00DE1B0E">
        <w:tab/>
      </w:r>
      <w:r w:rsidRPr="00DE1B0E">
        <w:tab/>
      </w:r>
      <w:r w:rsidRPr="00DE1B0E">
        <w:tab/>
      </w:r>
      <w:r w:rsidRPr="00DE1B0E">
        <w:tab/>
        <w:t>Michelle M. Carey</w:t>
      </w:r>
    </w:p>
    <w:p w14:paraId="0B919924" w14:textId="77777777" w:rsidR="00DE1B0E" w:rsidRPr="00DE1B0E" w:rsidRDefault="00DE1B0E" w:rsidP="00EA639B">
      <w:r w:rsidRPr="00DE1B0E">
        <w:tab/>
      </w:r>
      <w:r w:rsidRPr="00DE1B0E">
        <w:tab/>
      </w:r>
      <w:r w:rsidRPr="00DE1B0E">
        <w:tab/>
      </w:r>
      <w:r w:rsidRPr="00DE1B0E">
        <w:tab/>
      </w:r>
      <w:r w:rsidRPr="00DE1B0E">
        <w:tab/>
      </w:r>
      <w:r w:rsidRPr="00DE1B0E">
        <w:tab/>
        <w:t>Chief, Media Bureau</w:t>
      </w:r>
    </w:p>
    <w:p w14:paraId="6BACA682" w14:textId="77777777" w:rsidR="00DE1B0E" w:rsidRPr="00DE1B0E" w:rsidRDefault="00DE1B0E" w:rsidP="00EA639B"/>
    <w:p w14:paraId="597CBE6A" w14:textId="77777777" w:rsidR="00DE1B0E" w:rsidRPr="00DE1B0E" w:rsidRDefault="00DE1B0E" w:rsidP="00EA639B"/>
    <w:p w14:paraId="21A1C5A5" w14:textId="77777777" w:rsidR="00DE1B0E" w:rsidRPr="00DE1B0E" w:rsidRDefault="00DE1B0E" w:rsidP="00EA639B"/>
    <w:p w14:paraId="56281C50" w14:textId="77777777" w:rsidR="00DE1B0E" w:rsidRPr="00DE1B0E" w:rsidRDefault="00DE1B0E" w:rsidP="00EA639B"/>
    <w:p w14:paraId="5BD30CF1" w14:textId="77777777" w:rsidR="002C00E8" w:rsidRDefault="00DE1B0E" w:rsidP="00EA639B">
      <w:r w:rsidRPr="00DE1B0E">
        <w:tab/>
      </w:r>
      <w:r w:rsidRPr="00DE1B0E">
        <w:tab/>
      </w:r>
      <w:r w:rsidRPr="00DE1B0E">
        <w:tab/>
      </w:r>
      <w:r w:rsidRPr="00DE1B0E">
        <w:tab/>
      </w:r>
      <w:r w:rsidRPr="00DE1B0E">
        <w:tab/>
      </w:r>
      <w:r w:rsidRPr="00DE1B0E">
        <w:tab/>
        <w:t>Donald Stockdale</w:t>
      </w:r>
      <w:r w:rsidRPr="00DE1B0E">
        <w:tab/>
      </w:r>
      <w:r w:rsidRPr="00DE1B0E">
        <w:tab/>
      </w:r>
      <w:r w:rsidRPr="00DE1B0E">
        <w:tab/>
      </w:r>
      <w:r w:rsidRPr="00DE1B0E">
        <w:tab/>
      </w:r>
      <w:r w:rsidRPr="00DE1B0E">
        <w:tab/>
      </w:r>
      <w:r w:rsidRPr="00DE1B0E">
        <w:tab/>
      </w:r>
      <w:r>
        <w:tab/>
      </w:r>
      <w:r>
        <w:tab/>
      </w:r>
      <w:r>
        <w:tab/>
      </w:r>
      <w:r>
        <w:tab/>
      </w:r>
      <w:r>
        <w:tab/>
      </w:r>
      <w:r w:rsidRPr="00DE1B0E">
        <w:t>Chief, Wireless Telecommunications Bureau</w:t>
      </w:r>
      <w:r w:rsidRPr="00DE1B0E">
        <w:tab/>
      </w:r>
    </w:p>
    <w:sectPr w:rsid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A0ECD" w14:textId="77777777" w:rsidR="00E16F96" w:rsidRDefault="00E16F96">
      <w:pPr>
        <w:spacing w:line="20" w:lineRule="exact"/>
      </w:pPr>
    </w:p>
  </w:endnote>
  <w:endnote w:type="continuationSeparator" w:id="0">
    <w:p w14:paraId="2EE60451" w14:textId="77777777" w:rsidR="00E16F96" w:rsidRDefault="00E16F96">
      <w:r>
        <w:t xml:space="preserve"> </w:t>
      </w:r>
    </w:p>
  </w:endnote>
  <w:endnote w:type="continuationNotice" w:id="1">
    <w:p w14:paraId="44101FDF" w14:textId="77777777" w:rsidR="00E16F96" w:rsidRDefault="00E16F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1031B"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6011E4B"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B321F" w14:textId="4AB3BDD0" w:rsidR="00D25FB5" w:rsidRDefault="00D25FB5" w:rsidP="0055614C">
    <w:pPr>
      <w:pStyle w:val="Footer"/>
      <w:framePr w:wrap="around" w:vAnchor="text" w:hAnchor="margin" w:xAlign="center" w:y="1"/>
    </w:pPr>
    <w:r>
      <w:fldChar w:fldCharType="begin"/>
    </w:r>
    <w:r>
      <w:instrText xml:space="preserve">PAGE  </w:instrText>
    </w:r>
    <w:r>
      <w:fldChar w:fldCharType="separate"/>
    </w:r>
    <w:r w:rsidR="00FC218D">
      <w:rPr>
        <w:noProof/>
      </w:rPr>
      <w:t>2</w:t>
    </w:r>
    <w:r>
      <w:fldChar w:fldCharType="end"/>
    </w:r>
  </w:p>
  <w:p w14:paraId="273E85E3"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A6B7F"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DDCF0" w14:textId="77777777" w:rsidR="00E16F96" w:rsidRDefault="00E16F96">
      <w:r>
        <w:separator/>
      </w:r>
    </w:p>
  </w:footnote>
  <w:footnote w:type="continuationSeparator" w:id="0">
    <w:p w14:paraId="3A5A62C7" w14:textId="77777777" w:rsidR="00E16F96" w:rsidRDefault="00E16F96" w:rsidP="00C721AC">
      <w:pPr>
        <w:spacing w:before="120"/>
        <w:rPr>
          <w:sz w:val="20"/>
        </w:rPr>
      </w:pPr>
      <w:r>
        <w:rPr>
          <w:sz w:val="20"/>
        </w:rPr>
        <w:t xml:space="preserve">(Continued from previous page)  </w:t>
      </w:r>
      <w:r>
        <w:rPr>
          <w:sz w:val="20"/>
        </w:rPr>
        <w:separator/>
      </w:r>
    </w:p>
  </w:footnote>
  <w:footnote w:type="continuationNotice" w:id="1">
    <w:p w14:paraId="78AA952D" w14:textId="77777777" w:rsidR="00E16F96" w:rsidRDefault="00E16F96"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7B135" w14:textId="77777777" w:rsidR="009214EB" w:rsidRDefault="00921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7AABF" w14:textId="47EE4872" w:rsidR="00D25FB5" w:rsidRDefault="00D25FB5" w:rsidP="00810B6F">
    <w:pPr>
      <w:pStyle w:val="Header"/>
      <w:rPr>
        <w:b w:val="0"/>
      </w:rPr>
    </w:pPr>
    <w:r>
      <w:tab/>
      <w:t>Federal Communications Commission</w:t>
    </w:r>
    <w:r>
      <w:tab/>
    </w:r>
  </w:p>
  <w:p w14:paraId="4ABE59A6" w14:textId="77777777" w:rsidR="00D25FB5" w:rsidRDefault="00DE1B0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07B98AE" wp14:editId="309D28CC">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D3264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38208DB"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1BAE" w14:textId="4BE5662E" w:rsidR="00D25FB5" w:rsidRDefault="00DE1B0E" w:rsidP="00810B6F">
    <w:pPr>
      <w:pStyle w:val="Header"/>
      <w:rPr>
        <w:b w:val="0"/>
      </w:rPr>
    </w:pPr>
    <w:r>
      <w:rPr>
        <w:noProof/>
      </w:rPr>
      <mc:AlternateContent>
        <mc:Choice Requires="wps">
          <w:drawing>
            <wp:anchor distT="0" distB="0" distL="114300" distR="114300" simplePos="0" relativeHeight="251658240" behindDoc="1" locked="0" layoutInCell="0" allowOverlap="1" wp14:anchorId="1832EEEE" wp14:editId="7504EB9C">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40F95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DB8F274"/>
    <w:lvl w:ilvl="0">
      <w:start w:val="1"/>
      <w:numFmt w:val="decimal"/>
      <w:pStyle w:val="ParaNum"/>
      <w:lvlText w:val="%1."/>
      <w:lvlJc w:val="left"/>
      <w:pPr>
        <w:tabs>
          <w:tab w:val="num" w:pos="1080"/>
        </w:tabs>
        <w:ind w:left="0" w:firstLine="720"/>
      </w:pPr>
      <w:rPr>
        <w:b w:val="0"/>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0E"/>
    <w:rsid w:val="00036039"/>
    <w:rsid w:val="00037F90"/>
    <w:rsid w:val="000875BF"/>
    <w:rsid w:val="00096D8C"/>
    <w:rsid w:val="000C0B65"/>
    <w:rsid w:val="000E05FE"/>
    <w:rsid w:val="000E3D42"/>
    <w:rsid w:val="00122BD5"/>
    <w:rsid w:val="00133F79"/>
    <w:rsid w:val="00174928"/>
    <w:rsid w:val="001752FD"/>
    <w:rsid w:val="00194A66"/>
    <w:rsid w:val="001D1B19"/>
    <w:rsid w:val="001D6BCF"/>
    <w:rsid w:val="001E01CA"/>
    <w:rsid w:val="001F2D54"/>
    <w:rsid w:val="00231BFD"/>
    <w:rsid w:val="002556E2"/>
    <w:rsid w:val="00275CF5"/>
    <w:rsid w:val="0028301F"/>
    <w:rsid w:val="00285017"/>
    <w:rsid w:val="002A2D2E"/>
    <w:rsid w:val="002C00E8"/>
    <w:rsid w:val="00343749"/>
    <w:rsid w:val="003660ED"/>
    <w:rsid w:val="0037226C"/>
    <w:rsid w:val="003B0550"/>
    <w:rsid w:val="003B694F"/>
    <w:rsid w:val="003F171C"/>
    <w:rsid w:val="00412FC5"/>
    <w:rsid w:val="00422276"/>
    <w:rsid w:val="004242F1"/>
    <w:rsid w:val="00445A00"/>
    <w:rsid w:val="00451B0F"/>
    <w:rsid w:val="004B6E8E"/>
    <w:rsid w:val="004C2EE3"/>
    <w:rsid w:val="004D30A2"/>
    <w:rsid w:val="004E4A22"/>
    <w:rsid w:val="00511968"/>
    <w:rsid w:val="0055614C"/>
    <w:rsid w:val="005E14C2"/>
    <w:rsid w:val="00607BA5"/>
    <w:rsid w:val="0061180A"/>
    <w:rsid w:val="006151E2"/>
    <w:rsid w:val="00626EB6"/>
    <w:rsid w:val="00642BDD"/>
    <w:rsid w:val="00655D03"/>
    <w:rsid w:val="006563B0"/>
    <w:rsid w:val="00683388"/>
    <w:rsid w:val="00683F84"/>
    <w:rsid w:val="006A6A81"/>
    <w:rsid w:val="006F7393"/>
    <w:rsid w:val="0070224F"/>
    <w:rsid w:val="007115F7"/>
    <w:rsid w:val="00785689"/>
    <w:rsid w:val="0079754B"/>
    <w:rsid w:val="007A1E6D"/>
    <w:rsid w:val="007B0EB2"/>
    <w:rsid w:val="007E266D"/>
    <w:rsid w:val="007E7767"/>
    <w:rsid w:val="008043A1"/>
    <w:rsid w:val="00810B6F"/>
    <w:rsid w:val="00822CE0"/>
    <w:rsid w:val="00841AB1"/>
    <w:rsid w:val="008C68F1"/>
    <w:rsid w:val="008D105A"/>
    <w:rsid w:val="00916167"/>
    <w:rsid w:val="009214EB"/>
    <w:rsid w:val="00921803"/>
    <w:rsid w:val="00926503"/>
    <w:rsid w:val="009726D8"/>
    <w:rsid w:val="009B7D15"/>
    <w:rsid w:val="009E004C"/>
    <w:rsid w:val="009E6389"/>
    <w:rsid w:val="009F76DB"/>
    <w:rsid w:val="00A110FC"/>
    <w:rsid w:val="00A32C3B"/>
    <w:rsid w:val="00A45F4F"/>
    <w:rsid w:val="00A600A9"/>
    <w:rsid w:val="00A605D1"/>
    <w:rsid w:val="00AA55B7"/>
    <w:rsid w:val="00AA5B9E"/>
    <w:rsid w:val="00AB2407"/>
    <w:rsid w:val="00AB53DF"/>
    <w:rsid w:val="00B07E5C"/>
    <w:rsid w:val="00B223C5"/>
    <w:rsid w:val="00B3521F"/>
    <w:rsid w:val="00B811F7"/>
    <w:rsid w:val="00BA4354"/>
    <w:rsid w:val="00BA5DC6"/>
    <w:rsid w:val="00BA6196"/>
    <w:rsid w:val="00BC6D8C"/>
    <w:rsid w:val="00BD4C77"/>
    <w:rsid w:val="00C11F1F"/>
    <w:rsid w:val="00C34006"/>
    <w:rsid w:val="00C426B1"/>
    <w:rsid w:val="00C66160"/>
    <w:rsid w:val="00C721AC"/>
    <w:rsid w:val="00C90D6A"/>
    <w:rsid w:val="00CA247E"/>
    <w:rsid w:val="00CC72B6"/>
    <w:rsid w:val="00D0218D"/>
    <w:rsid w:val="00D25FB5"/>
    <w:rsid w:val="00D41638"/>
    <w:rsid w:val="00D44223"/>
    <w:rsid w:val="00DA2529"/>
    <w:rsid w:val="00DB0EBB"/>
    <w:rsid w:val="00DB130A"/>
    <w:rsid w:val="00DB2EBB"/>
    <w:rsid w:val="00DC10A1"/>
    <w:rsid w:val="00DC655F"/>
    <w:rsid w:val="00DD0735"/>
    <w:rsid w:val="00DD0B59"/>
    <w:rsid w:val="00DD7EBD"/>
    <w:rsid w:val="00DE1B0E"/>
    <w:rsid w:val="00DE7217"/>
    <w:rsid w:val="00DF62B6"/>
    <w:rsid w:val="00E07225"/>
    <w:rsid w:val="00E16F96"/>
    <w:rsid w:val="00E5409F"/>
    <w:rsid w:val="00E85E8C"/>
    <w:rsid w:val="00EA639B"/>
    <w:rsid w:val="00EE6488"/>
    <w:rsid w:val="00F021FA"/>
    <w:rsid w:val="00F62E97"/>
    <w:rsid w:val="00F64209"/>
    <w:rsid w:val="00F75651"/>
    <w:rsid w:val="00F93BF5"/>
    <w:rsid w:val="00FC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611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B3521F"/>
    <w:rPr>
      <w:sz w:val="16"/>
      <w:szCs w:val="16"/>
    </w:rPr>
  </w:style>
  <w:style w:type="paragraph" w:styleId="CommentText">
    <w:name w:val="annotation text"/>
    <w:basedOn w:val="Normal"/>
    <w:link w:val="CommentTextChar"/>
    <w:rsid w:val="00B3521F"/>
    <w:rPr>
      <w:sz w:val="20"/>
    </w:rPr>
  </w:style>
  <w:style w:type="character" w:customStyle="1" w:styleId="CommentTextChar">
    <w:name w:val="Comment Text Char"/>
    <w:basedOn w:val="DefaultParagraphFont"/>
    <w:link w:val="CommentText"/>
    <w:rsid w:val="00B3521F"/>
    <w:rPr>
      <w:snapToGrid w:val="0"/>
      <w:kern w:val="28"/>
    </w:rPr>
  </w:style>
  <w:style w:type="paragraph" w:styleId="CommentSubject">
    <w:name w:val="annotation subject"/>
    <w:basedOn w:val="CommentText"/>
    <w:next w:val="CommentText"/>
    <w:link w:val="CommentSubjectChar"/>
    <w:rsid w:val="00B3521F"/>
    <w:rPr>
      <w:b/>
      <w:bCs/>
    </w:rPr>
  </w:style>
  <w:style w:type="character" w:customStyle="1" w:styleId="CommentSubjectChar">
    <w:name w:val="Comment Subject Char"/>
    <w:basedOn w:val="CommentTextChar"/>
    <w:link w:val="CommentSubject"/>
    <w:rsid w:val="00B3521F"/>
    <w:rPr>
      <w:b/>
      <w:bCs/>
      <w:snapToGrid w:val="0"/>
      <w:kern w:val="28"/>
    </w:rPr>
  </w:style>
  <w:style w:type="paragraph" w:styleId="BalloonText">
    <w:name w:val="Balloon Text"/>
    <w:basedOn w:val="Normal"/>
    <w:link w:val="BalloonTextChar"/>
    <w:rsid w:val="00B3521F"/>
    <w:rPr>
      <w:rFonts w:ascii="Segoe UI" w:hAnsi="Segoe UI" w:cs="Segoe UI"/>
      <w:sz w:val="18"/>
      <w:szCs w:val="18"/>
    </w:rPr>
  </w:style>
  <w:style w:type="character" w:customStyle="1" w:styleId="BalloonTextChar">
    <w:name w:val="Balloon Text Char"/>
    <w:basedOn w:val="DefaultParagraphFont"/>
    <w:link w:val="BalloonText"/>
    <w:rsid w:val="00B3521F"/>
    <w:rPr>
      <w:rFonts w:ascii="Segoe UI" w:hAnsi="Segoe UI" w:cs="Segoe UI"/>
      <w:snapToGrid w:val="0"/>
      <w:kern w:val="28"/>
      <w:sz w:val="18"/>
      <w:szCs w:val="18"/>
    </w:rPr>
  </w:style>
  <w:style w:type="paragraph" w:styleId="ListParagraph">
    <w:name w:val="List Paragraph"/>
    <w:basedOn w:val="Normal"/>
    <w:uiPriority w:val="34"/>
    <w:qFormat/>
    <w:rsid w:val="00EA639B"/>
    <w:pPr>
      <w:ind w:left="720"/>
      <w:contextualSpacing/>
    </w:pPr>
  </w:style>
  <w:style w:type="paragraph" w:styleId="Revision">
    <w:name w:val="Revision"/>
    <w:hidden/>
    <w:uiPriority w:val="99"/>
    <w:semiHidden/>
    <w:rsid w:val="00EA639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B3521F"/>
    <w:rPr>
      <w:sz w:val="16"/>
      <w:szCs w:val="16"/>
    </w:rPr>
  </w:style>
  <w:style w:type="paragraph" w:styleId="CommentText">
    <w:name w:val="annotation text"/>
    <w:basedOn w:val="Normal"/>
    <w:link w:val="CommentTextChar"/>
    <w:rsid w:val="00B3521F"/>
    <w:rPr>
      <w:sz w:val="20"/>
    </w:rPr>
  </w:style>
  <w:style w:type="character" w:customStyle="1" w:styleId="CommentTextChar">
    <w:name w:val="Comment Text Char"/>
    <w:basedOn w:val="DefaultParagraphFont"/>
    <w:link w:val="CommentText"/>
    <w:rsid w:val="00B3521F"/>
    <w:rPr>
      <w:snapToGrid w:val="0"/>
      <w:kern w:val="28"/>
    </w:rPr>
  </w:style>
  <w:style w:type="paragraph" w:styleId="CommentSubject">
    <w:name w:val="annotation subject"/>
    <w:basedOn w:val="CommentText"/>
    <w:next w:val="CommentText"/>
    <w:link w:val="CommentSubjectChar"/>
    <w:rsid w:val="00B3521F"/>
    <w:rPr>
      <w:b/>
      <w:bCs/>
    </w:rPr>
  </w:style>
  <w:style w:type="character" w:customStyle="1" w:styleId="CommentSubjectChar">
    <w:name w:val="Comment Subject Char"/>
    <w:basedOn w:val="CommentTextChar"/>
    <w:link w:val="CommentSubject"/>
    <w:rsid w:val="00B3521F"/>
    <w:rPr>
      <w:b/>
      <w:bCs/>
      <w:snapToGrid w:val="0"/>
      <w:kern w:val="28"/>
    </w:rPr>
  </w:style>
  <w:style w:type="paragraph" w:styleId="BalloonText">
    <w:name w:val="Balloon Text"/>
    <w:basedOn w:val="Normal"/>
    <w:link w:val="BalloonTextChar"/>
    <w:rsid w:val="00B3521F"/>
    <w:rPr>
      <w:rFonts w:ascii="Segoe UI" w:hAnsi="Segoe UI" w:cs="Segoe UI"/>
      <w:sz w:val="18"/>
      <w:szCs w:val="18"/>
    </w:rPr>
  </w:style>
  <w:style w:type="character" w:customStyle="1" w:styleId="BalloonTextChar">
    <w:name w:val="Balloon Text Char"/>
    <w:basedOn w:val="DefaultParagraphFont"/>
    <w:link w:val="BalloonText"/>
    <w:rsid w:val="00B3521F"/>
    <w:rPr>
      <w:rFonts w:ascii="Segoe UI" w:hAnsi="Segoe UI" w:cs="Segoe UI"/>
      <w:snapToGrid w:val="0"/>
      <w:kern w:val="28"/>
      <w:sz w:val="18"/>
      <w:szCs w:val="18"/>
    </w:rPr>
  </w:style>
  <w:style w:type="paragraph" w:styleId="ListParagraph">
    <w:name w:val="List Paragraph"/>
    <w:basedOn w:val="Normal"/>
    <w:uiPriority w:val="34"/>
    <w:qFormat/>
    <w:rsid w:val="00EA639B"/>
    <w:pPr>
      <w:ind w:left="720"/>
      <w:contextualSpacing/>
    </w:pPr>
  </w:style>
  <w:style w:type="paragraph" w:styleId="Revision">
    <w:name w:val="Revision"/>
    <w:hidden/>
    <w:uiPriority w:val="99"/>
    <w:semiHidden/>
    <w:rsid w:val="00EA639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8087</Characters>
  <Application>Microsoft Office Word</Application>
  <DocSecurity>0</DocSecurity>
  <Lines>193</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2017-09-28T17:43:00Z</dcterms:created>
  <dcterms:modified xsi:type="dcterms:W3CDTF">2017-09-28T17:43:00Z</dcterms:modified>
  <cp:category> </cp:category>
  <cp:contentStatus> </cp:contentStatus>
</cp:coreProperties>
</file>