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55" w:rsidRDefault="00721855">
      <w:pPr>
        <w:tabs>
          <w:tab w:val="center" w:pos="4680"/>
        </w:tabs>
        <w:suppressAutoHyphens/>
        <w:jc w:val="center"/>
        <w:outlineLvl w:val="0"/>
        <w:rPr>
          <w:rFonts w:ascii="Times New Roman" w:hAnsi="Times New Roman"/>
          <w:b/>
          <w:spacing w:val="-3"/>
          <w:sz w:val="24"/>
          <w:szCs w:val="24"/>
        </w:rPr>
      </w:pPr>
      <w:bookmarkStart w:id="0" w:name="_GoBack"/>
      <w:bookmarkEnd w:id="0"/>
      <w:r>
        <w:rPr>
          <w:rFonts w:ascii="Times New Roman" w:hAnsi="Times New Roman"/>
          <w:b/>
          <w:spacing w:val="-3"/>
          <w:sz w:val="24"/>
          <w:szCs w:val="24"/>
        </w:rPr>
        <w:t>PROCEDURES FOR FILING</w:t>
      </w:r>
    </w:p>
    <w:p w:rsidR="00721855" w:rsidRDefault="00721855">
      <w:pPr>
        <w:tabs>
          <w:tab w:val="center" w:pos="4680"/>
        </w:tabs>
        <w:suppressAutoHyphens/>
        <w:jc w:val="center"/>
        <w:outlineLvl w:val="0"/>
        <w:rPr>
          <w:rFonts w:ascii="Times New Roman" w:hAnsi="Times New Roman"/>
          <w:b/>
          <w:spacing w:val="-3"/>
          <w:sz w:val="24"/>
          <w:szCs w:val="24"/>
        </w:rPr>
      </w:pPr>
    </w:p>
    <w:p w:rsidR="00721855" w:rsidRDefault="00721855">
      <w:pPr>
        <w:tabs>
          <w:tab w:val="center" w:pos="4680"/>
        </w:tabs>
        <w:suppressAutoHyphens/>
        <w:jc w:val="center"/>
        <w:outlineLvl w:val="0"/>
        <w:rPr>
          <w:rFonts w:ascii="Times New Roman" w:hAnsi="Times New Roman"/>
          <w:spacing w:val="-3"/>
          <w:sz w:val="24"/>
          <w:szCs w:val="24"/>
        </w:rPr>
      </w:pPr>
      <w:r>
        <w:rPr>
          <w:rFonts w:ascii="Times New Roman" w:hAnsi="Times New Roman"/>
          <w:b/>
          <w:spacing w:val="-3"/>
          <w:sz w:val="24"/>
          <w:szCs w:val="24"/>
        </w:rPr>
        <w:t>WAIVERS, REDUCTIONS AND DEFERMENTS OF REGULATORY FEES</w:t>
      </w:r>
    </w:p>
    <w:p w:rsidR="00721855" w:rsidRDefault="00721855">
      <w:pPr>
        <w:tabs>
          <w:tab w:val="left" w:pos="-720"/>
        </w:tabs>
        <w:suppressAutoHyphens/>
        <w:rPr>
          <w:rFonts w:ascii="Times New Roman" w:hAnsi="Times New Roman"/>
          <w:spacing w:val="-3"/>
          <w:sz w:val="24"/>
          <w:szCs w:val="24"/>
        </w:rPr>
      </w:pPr>
    </w:p>
    <w:p w:rsidR="00721855" w:rsidRDefault="00721855">
      <w:pPr>
        <w:tabs>
          <w:tab w:val="left" w:pos="-720"/>
        </w:tabs>
        <w:suppressAutoHyphens/>
        <w:rPr>
          <w:rFonts w:ascii="Times New Roman" w:hAnsi="Times New Roman"/>
          <w:spacing w:val="-3"/>
          <w:sz w:val="24"/>
          <w:szCs w:val="24"/>
        </w:rPr>
      </w:pPr>
    </w:p>
    <w:p w:rsidR="00721855" w:rsidRPr="0034313F" w:rsidRDefault="00721855" w:rsidP="00721855">
      <w:pPr>
        <w:shd w:val="clear" w:color="auto" w:fill="FFFFFF"/>
        <w:rPr>
          <w:i/>
          <w:iCs/>
          <w:sz w:val="22"/>
          <w:szCs w:val="22"/>
          <w:u w:val="single"/>
        </w:rPr>
      </w:pPr>
      <w:r w:rsidRPr="00D1044E">
        <w:rPr>
          <w:sz w:val="22"/>
          <w:szCs w:val="22"/>
        </w:rPr>
        <w:t>Each year, the Commission is required to collect regulatory f</w:t>
      </w:r>
      <w:r w:rsidRPr="00D1044E">
        <w:rPr>
          <w:snapToGrid w:val="0"/>
          <w:sz w:val="22"/>
          <w:szCs w:val="22"/>
        </w:rPr>
        <w:t xml:space="preserve">ees.  Licensees </w:t>
      </w:r>
      <w:r w:rsidRPr="00D1044E">
        <w:rPr>
          <w:sz w:val="22"/>
          <w:szCs w:val="22"/>
        </w:rPr>
        <w:t xml:space="preserve">and regulatees are assessed fees as set forth in </w:t>
      </w:r>
      <w:r w:rsidRPr="00D1044E">
        <w:rPr>
          <w:i/>
          <w:sz w:val="22"/>
          <w:szCs w:val="22"/>
        </w:rPr>
        <w:t>Assessment and Collection of Regulatory Fees for Fiscal Year 201</w:t>
      </w:r>
      <w:r w:rsidR="00E62E64">
        <w:rPr>
          <w:i/>
          <w:sz w:val="22"/>
          <w:szCs w:val="22"/>
        </w:rPr>
        <w:t>7</w:t>
      </w:r>
      <w:r w:rsidRPr="00D1044E">
        <w:rPr>
          <w:i/>
          <w:sz w:val="22"/>
          <w:szCs w:val="22"/>
        </w:rPr>
        <w:t>,</w:t>
      </w:r>
      <w:r w:rsidRPr="00D1044E">
        <w:rPr>
          <w:sz w:val="22"/>
          <w:szCs w:val="22"/>
        </w:rPr>
        <w:t xml:space="preserve"> </w:t>
      </w:r>
      <w:r w:rsidRPr="00D1044E">
        <w:rPr>
          <w:i/>
          <w:sz w:val="22"/>
          <w:szCs w:val="22"/>
        </w:rPr>
        <w:t>Report and Orde</w:t>
      </w:r>
      <w:r w:rsidR="00B032A6">
        <w:rPr>
          <w:i/>
          <w:sz w:val="22"/>
          <w:szCs w:val="22"/>
        </w:rPr>
        <w:t>r</w:t>
      </w:r>
      <w:r w:rsidR="00A669FC">
        <w:rPr>
          <w:i/>
          <w:sz w:val="22"/>
          <w:szCs w:val="22"/>
        </w:rPr>
        <w:t xml:space="preserve"> </w:t>
      </w:r>
      <w:r w:rsidR="00A669FC">
        <w:rPr>
          <w:sz w:val="22"/>
          <w:szCs w:val="22"/>
        </w:rPr>
        <w:t xml:space="preserve">and </w:t>
      </w:r>
      <w:r w:rsidR="00A669FC">
        <w:rPr>
          <w:i/>
          <w:sz w:val="22"/>
          <w:szCs w:val="22"/>
        </w:rPr>
        <w:t>Further Notice of Proposed Rulemaking</w:t>
      </w:r>
      <w:r w:rsidRPr="00D1044E">
        <w:rPr>
          <w:sz w:val="22"/>
          <w:szCs w:val="22"/>
        </w:rPr>
        <w:t xml:space="preserve">, (released </w:t>
      </w:r>
      <w:r>
        <w:rPr>
          <w:sz w:val="22"/>
          <w:szCs w:val="22"/>
        </w:rPr>
        <w:t xml:space="preserve">September </w:t>
      </w:r>
      <w:r w:rsidR="0034313F">
        <w:rPr>
          <w:sz w:val="22"/>
          <w:szCs w:val="22"/>
        </w:rPr>
        <w:t>5</w:t>
      </w:r>
      <w:r w:rsidRPr="00D1044E">
        <w:rPr>
          <w:sz w:val="22"/>
          <w:szCs w:val="22"/>
        </w:rPr>
        <w:t>, 201</w:t>
      </w:r>
      <w:r w:rsidR="00E62E64">
        <w:rPr>
          <w:sz w:val="22"/>
          <w:szCs w:val="22"/>
        </w:rPr>
        <w:t>7</w:t>
      </w:r>
      <w:r w:rsidRPr="00D1044E">
        <w:rPr>
          <w:sz w:val="22"/>
          <w:szCs w:val="22"/>
        </w:rPr>
        <w:t xml:space="preserve">) </w:t>
      </w:r>
      <w:r w:rsidRPr="00D1044E">
        <w:rPr>
          <w:i/>
          <w:sz w:val="22"/>
          <w:szCs w:val="22"/>
        </w:rPr>
        <w:t>(“</w:t>
      </w:r>
      <w:r w:rsidRPr="00D1044E">
        <w:rPr>
          <w:sz w:val="22"/>
          <w:szCs w:val="22"/>
        </w:rPr>
        <w:t>FY 201</w:t>
      </w:r>
      <w:r w:rsidR="00A669FC">
        <w:rPr>
          <w:sz w:val="22"/>
          <w:szCs w:val="22"/>
        </w:rPr>
        <w:t>7</w:t>
      </w:r>
      <w:r w:rsidRPr="00D1044E">
        <w:rPr>
          <w:sz w:val="22"/>
          <w:szCs w:val="22"/>
        </w:rPr>
        <w:t xml:space="preserve"> Regulatory Fees</w:t>
      </w:r>
      <w:r w:rsidRPr="00D1044E">
        <w:rPr>
          <w:i/>
          <w:sz w:val="22"/>
          <w:szCs w:val="22"/>
        </w:rPr>
        <w:t xml:space="preserve"> Report and Order</w:t>
      </w:r>
      <w:r w:rsidR="00A669FC">
        <w:rPr>
          <w:i/>
          <w:sz w:val="22"/>
          <w:szCs w:val="22"/>
        </w:rPr>
        <w:t xml:space="preserve"> and Further Notice</w:t>
      </w:r>
      <w:r w:rsidRPr="00D1044E">
        <w:rPr>
          <w:i/>
          <w:sz w:val="22"/>
          <w:szCs w:val="22"/>
        </w:rPr>
        <w:t>”</w:t>
      </w:r>
      <w:r w:rsidRPr="00D1044E">
        <w:rPr>
          <w:sz w:val="22"/>
          <w:szCs w:val="22"/>
        </w:rPr>
        <w:t xml:space="preserve">).  The Commission also publishes industry-specific guidance in </w:t>
      </w:r>
      <w:r w:rsidRPr="00D1044E">
        <w:rPr>
          <w:i/>
          <w:iCs/>
          <w:sz w:val="22"/>
          <w:szCs w:val="22"/>
        </w:rPr>
        <w:t>Who Owes Fees &amp; What Is My FY 201</w:t>
      </w:r>
      <w:r w:rsidR="00A669FC">
        <w:rPr>
          <w:i/>
          <w:iCs/>
          <w:sz w:val="22"/>
          <w:szCs w:val="22"/>
        </w:rPr>
        <w:t>7</w:t>
      </w:r>
      <w:r w:rsidRPr="00D1044E">
        <w:rPr>
          <w:i/>
          <w:iCs/>
          <w:sz w:val="22"/>
          <w:szCs w:val="22"/>
        </w:rPr>
        <w:t xml:space="preserve"> Fee, </w:t>
      </w:r>
      <w:r w:rsidRPr="00D1044E">
        <w:rPr>
          <w:sz w:val="22"/>
          <w:szCs w:val="22"/>
        </w:rPr>
        <w:t xml:space="preserve">which can be found on the Commission website at </w:t>
      </w:r>
      <w:hyperlink r:id="rId8" w:history="1">
        <w:r w:rsidRPr="0034313F">
          <w:rPr>
            <w:rStyle w:val="Hyperlink"/>
            <w:color w:val="auto"/>
            <w:sz w:val="22"/>
            <w:szCs w:val="22"/>
          </w:rPr>
          <w:t>http://www.fcc.gov/regfees</w:t>
        </w:r>
      </w:hyperlink>
      <w:r w:rsidRPr="0034313F">
        <w:rPr>
          <w:i/>
          <w:iCs/>
          <w:sz w:val="22"/>
          <w:szCs w:val="22"/>
          <w:u w:val="single"/>
        </w:rPr>
        <w:t>.</w:t>
      </w:r>
    </w:p>
    <w:p w:rsidR="00721855" w:rsidRPr="00D1044E" w:rsidRDefault="00721855" w:rsidP="00721855">
      <w:pPr>
        <w:shd w:val="clear" w:color="auto" w:fill="FFFFFF"/>
        <w:rPr>
          <w:sz w:val="22"/>
          <w:szCs w:val="22"/>
        </w:rPr>
      </w:pPr>
    </w:p>
    <w:p w:rsidR="00721855" w:rsidRPr="00D1044E" w:rsidRDefault="00721855" w:rsidP="00721855">
      <w:pPr>
        <w:shd w:val="clear" w:color="auto" w:fill="FFFFFF"/>
        <w:rPr>
          <w:b/>
          <w:sz w:val="24"/>
          <w:szCs w:val="24"/>
          <w:u w:val="single"/>
        </w:rPr>
      </w:pPr>
      <w:r w:rsidRPr="00D1044E">
        <w:rPr>
          <w:sz w:val="22"/>
          <w:szCs w:val="22"/>
        </w:rPr>
        <w:t xml:space="preserve">The Commission’s automated filing and payment system (“Fee Filer”) is available for </w:t>
      </w:r>
      <w:r w:rsidRPr="00D1044E">
        <w:rPr>
          <w:sz w:val="22"/>
          <w:szCs w:val="22"/>
          <w:u w:val="single"/>
        </w:rPr>
        <w:t>filing</w:t>
      </w:r>
      <w:r w:rsidRPr="00D1044E">
        <w:rPr>
          <w:sz w:val="22"/>
          <w:szCs w:val="22"/>
        </w:rPr>
        <w:t xml:space="preserve"> and </w:t>
      </w:r>
      <w:r w:rsidRPr="00D1044E">
        <w:rPr>
          <w:sz w:val="22"/>
          <w:szCs w:val="22"/>
          <w:u w:val="single"/>
        </w:rPr>
        <w:t>viewing</w:t>
      </w:r>
      <w:r w:rsidRPr="00D1044E">
        <w:rPr>
          <w:sz w:val="22"/>
          <w:szCs w:val="22"/>
        </w:rPr>
        <w:t xml:space="preserve"> of FY 201</w:t>
      </w:r>
      <w:r w:rsidR="00A669FC">
        <w:rPr>
          <w:sz w:val="22"/>
          <w:szCs w:val="22"/>
        </w:rPr>
        <w:t>7</w:t>
      </w:r>
      <w:r w:rsidRPr="00D1044E">
        <w:rPr>
          <w:sz w:val="22"/>
          <w:szCs w:val="22"/>
        </w:rPr>
        <w:t xml:space="preserve"> regulatory fees.  While FY 201</w:t>
      </w:r>
      <w:r w:rsidR="00A669FC">
        <w:rPr>
          <w:sz w:val="22"/>
          <w:szCs w:val="22"/>
        </w:rPr>
        <w:t>7</w:t>
      </w:r>
      <w:r>
        <w:rPr>
          <w:sz w:val="22"/>
          <w:szCs w:val="22"/>
        </w:rPr>
        <w:t xml:space="preserve"> </w:t>
      </w:r>
      <w:r w:rsidRPr="00D1044E">
        <w:rPr>
          <w:sz w:val="22"/>
          <w:szCs w:val="22"/>
        </w:rPr>
        <w:t xml:space="preserve">regulatory fees will not become effective until the rulemaking is published in the </w:t>
      </w:r>
      <w:r w:rsidRPr="00B032A6">
        <w:rPr>
          <w:i/>
          <w:sz w:val="22"/>
          <w:szCs w:val="22"/>
        </w:rPr>
        <w:t>Federal Register</w:t>
      </w:r>
      <w:r w:rsidRPr="00D1044E">
        <w:rPr>
          <w:sz w:val="22"/>
          <w:szCs w:val="22"/>
        </w:rPr>
        <w:t>, regulatees at their own discretion, may submit payments at any time before the effective due date of FY 201</w:t>
      </w:r>
      <w:r w:rsidR="00A669FC">
        <w:rPr>
          <w:sz w:val="22"/>
          <w:szCs w:val="22"/>
        </w:rPr>
        <w:t>7</w:t>
      </w:r>
      <w:r w:rsidRPr="00D1044E">
        <w:rPr>
          <w:sz w:val="22"/>
          <w:szCs w:val="22"/>
        </w:rPr>
        <w:t xml:space="preserve"> regulatory fees.  </w:t>
      </w:r>
      <w:r w:rsidRPr="00D1044E">
        <w:rPr>
          <w:b/>
          <w:sz w:val="22"/>
          <w:szCs w:val="22"/>
        </w:rPr>
        <w:t xml:space="preserve">Regulatory fee payments </w:t>
      </w:r>
      <w:r w:rsidR="00CC347D">
        <w:rPr>
          <w:b/>
          <w:sz w:val="22"/>
          <w:szCs w:val="22"/>
        </w:rPr>
        <w:t xml:space="preserve">MUST BE </w:t>
      </w:r>
      <w:r w:rsidRPr="00D1044E">
        <w:rPr>
          <w:b/>
          <w:sz w:val="22"/>
          <w:szCs w:val="22"/>
        </w:rPr>
        <w:t xml:space="preserve">RECEIVED </w:t>
      </w:r>
      <w:r w:rsidRPr="00D1044E">
        <w:rPr>
          <w:rStyle w:val="FootnoteReference"/>
          <w:b/>
          <w:sz w:val="22"/>
          <w:szCs w:val="22"/>
        </w:rPr>
        <w:footnoteReference w:id="1"/>
      </w:r>
      <w:r w:rsidRPr="00D1044E">
        <w:rPr>
          <w:b/>
          <w:sz w:val="22"/>
          <w:szCs w:val="22"/>
        </w:rPr>
        <w:t xml:space="preserve"> by the Commission no later than 11:59 PM, Eastern Daylight Time, on September </w:t>
      </w:r>
      <w:r w:rsidR="0034313F">
        <w:rPr>
          <w:b/>
          <w:sz w:val="22"/>
          <w:szCs w:val="22"/>
        </w:rPr>
        <w:t>26</w:t>
      </w:r>
      <w:r w:rsidRPr="00D1044E">
        <w:rPr>
          <w:b/>
          <w:sz w:val="22"/>
          <w:szCs w:val="22"/>
        </w:rPr>
        <w:t>, 201</w:t>
      </w:r>
      <w:r w:rsidR="00A669FC">
        <w:rPr>
          <w:b/>
          <w:sz w:val="22"/>
          <w:szCs w:val="22"/>
        </w:rPr>
        <w:t>7</w:t>
      </w:r>
      <w:r w:rsidRPr="00D1044E">
        <w:rPr>
          <w:b/>
          <w:sz w:val="22"/>
          <w:szCs w:val="22"/>
        </w:rPr>
        <w:t>.</w:t>
      </w:r>
    </w:p>
    <w:p w:rsidR="00721855" w:rsidRDefault="00721855" w:rsidP="00721855">
      <w:pPr>
        <w:shd w:val="clear" w:color="auto" w:fill="FFFFFF"/>
        <w:rPr>
          <w:sz w:val="24"/>
          <w:szCs w:val="24"/>
        </w:rPr>
      </w:pPr>
    </w:p>
    <w:p w:rsidR="00721855" w:rsidRPr="00D1044E" w:rsidRDefault="00721855">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 xml:space="preserve">Licensees are solely responsible for accurately accounting for all licenses and for properly paying regulatory fees before the deadline. Any data omission, erroneous or incomplete data submission, </w:t>
      </w:r>
      <w:r w:rsidR="00496A58">
        <w:rPr>
          <w:rFonts w:ascii="Times New Roman" w:hAnsi="Times New Roman"/>
          <w:spacing w:val="-3"/>
          <w:sz w:val="22"/>
          <w:szCs w:val="22"/>
        </w:rPr>
        <w:t xml:space="preserve">failure to correct data </w:t>
      </w:r>
      <w:r w:rsidRPr="00D1044E">
        <w:rPr>
          <w:rFonts w:ascii="Times New Roman" w:hAnsi="Times New Roman"/>
          <w:spacing w:val="-3"/>
          <w:sz w:val="22"/>
          <w:szCs w:val="22"/>
        </w:rPr>
        <w:t xml:space="preserve">or payment deficiency may result in sanctions permitted under 47 U.S.C. 159(c) and 47 C.F.R. §§ 1.1164 &amp; 1.1910, including, but not limited to, a mandatory 25% late payment penalty, dismissal of pending actions, and/or revocation of any authorization, and charges for collection. </w:t>
      </w:r>
      <w:r w:rsidRPr="00D1044E">
        <w:rPr>
          <w:rFonts w:ascii="Times New Roman" w:hAnsi="Times New Roman"/>
          <w:spacing w:val="-3"/>
          <w:sz w:val="22"/>
          <w:szCs w:val="22"/>
          <w:u w:val="single"/>
        </w:rPr>
        <w:t>The 25% late payment penalty accrues automatically on any portion of the fee unpaid after the deadline.</w:t>
      </w:r>
      <w:r w:rsidRPr="00D1044E">
        <w:rPr>
          <w:rFonts w:ascii="Times New Roman" w:hAnsi="Times New Roman"/>
          <w:spacing w:val="-3"/>
          <w:sz w:val="22"/>
          <w:szCs w:val="22"/>
        </w:rPr>
        <w:t xml:space="preserve"> The Commission will invoke any lawful authority possessed under the Debt Collection Improvement Act of 1996 and the implementing rules to collect fees due or outstanding against licensees failing to meet their regulatory fee payment obligations. </w:t>
      </w:r>
      <w:r w:rsidRPr="00D1044E">
        <w:rPr>
          <w:rFonts w:ascii="Times New Roman" w:hAnsi="Times New Roman"/>
          <w:sz w:val="22"/>
          <w:szCs w:val="22"/>
        </w:rPr>
        <w:t xml:space="preserve">Thus, to avoid a 25% late-payment penalty, licensees must ensure that the Commission receives the </w:t>
      </w:r>
      <w:r w:rsidRPr="00D1044E">
        <w:rPr>
          <w:rFonts w:ascii="Times New Roman" w:hAnsi="Times New Roman"/>
          <w:sz w:val="22"/>
          <w:szCs w:val="22"/>
          <w:u w:val="single"/>
        </w:rPr>
        <w:t>full payment by the due date</w:t>
      </w:r>
      <w:r w:rsidRPr="00D1044E">
        <w:rPr>
          <w:rFonts w:ascii="Times New Roman" w:hAnsi="Times New Roman"/>
          <w:sz w:val="22"/>
          <w:szCs w:val="22"/>
        </w:rPr>
        <w:t xml:space="preserve"> using one of the methods described in the </w:t>
      </w:r>
      <w:r w:rsidRPr="00D1044E">
        <w:rPr>
          <w:rFonts w:ascii="Times New Roman" w:hAnsi="Times New Roman"/>
          <w:i/>
          <w:sz w:val="22"/>
          <w:szCs w:val="22"/>
        </w:rPr>
        <w:t>FY 201</w:t>
      </w:r>
      <w:r w:rsidR="00A669FC">
        <w:rPr>
          <w:rFonts w:ascii="Times New Roman" w:hAnsi="Times New Roman"/>
          <w:i/>
          <w:sz w:val="22"/>
          <w:szCs w:val="22"/>
        </w:rPr>
        <w:t>7</w:t>
      </w:r>
      <w:r w:rsidRPr="00D1044E">
        <w:rPr>
          <w:rFonts w:ascii="Times New Roman" w:hAnsi="Times New Roman"/>
          <w:sz w:val="22"/>
          <w:szCs w:val="22"/>
        </w:rPr>
        <w:t xml:space="preserve"> </w:t>
      </w:r>
      <w:r w:rsidRPr="00D1044E">
        <w:rPr>
          <w:rFonts w:ascii="Times New Roman" w:hAnsi="Times New Roman"/>
          <w:i/>
          <w:sz w:val="22"/>
          <w:szCs w:val="22"/>
        </w:rPr>
        <w:t>Payments and Procedures Public Notice</w:t>
      </w:r>
      <w:r w:rsidRPr="00D1044E">
        <w:rPr>
          <w:rFonts w:ascii="Times New Roman" w:hAnsi="Times New Roman"/>
          <w:sz w:val="22"/>
          <w:szCs w:val="22"/>
        </w:rPr>
        <w:t xml:space="preserve">.  </w:t>
      </w:r>
    </w:p>
    <w:p w:rsidR="00721855" w:rsidRPr="00D1044E" w:rsidRDefault="00721855">
      <w:pPr>
        <w:tabs>
          <w:tab w:val="center" w:pos="4680"/>
        </w:tabs>
        <w:suppressAutoHyphens/>
        <w:jc w:val="both"/>
        <w:outlineLvl w:val="0"/>
        <w:rPr>
          <w:rFonts w:ascii="Times New Roman" w:hAnsi="Times New Roman"/>
          <w:b/>
          <w:spacing w:val="-3"/>
          <w:sz w:val="22"/>
          <w:szCs w:val="22"/>
        </w:rPr>
      </w:pPr>
    </w:p>
    <w:p w:rsidR="00721855" w:rsidRPr="00D1044E" w:rsidRDefault="00721855">
      <w:pPr>
        <w:tabs>
          <w:tab w:val="left" w:pos="-720"/>
        </w:tabs>
        <w:suppressAutoHyphens/>
        <w:outlineLvl w:val="0"/>
        <w:rPr>
          <w:rFonts w:ascii="Times New Roman" w:hAnsi="Times New Roman"/>
          <w:sz w:val="22"/>
          <w:szCs w:val="22"/>
        </w:rPr>
      </w:pPr>
      <w:r w:rsidRPr="00D1044E">
        <w:rPr>
          <w:rFonts w:ascii="Times New Roman" w:hAnsi="Times New Roman"/>
          <w:sz w:val="22"/>
          <w:szCs w:val="22"/>
        </w:rPr>
        <w:t xml:space="preserve">Under 47 U.S.C. 159(d) and 47 C.F.R. § 1.1166, the Commission may waive, reduce, or defer payment of a fee in specific instances, on a case-by-case basis, where good cause is shown </w:t>
      </w:r>
      <w:r w:rsidRPr="00D1044E">
        <w:rPr>
          <w:rFonts w:ascii="Times New Roman" w:hAnsi="Times New Roman"/>
          <w:sz w:val="22"/>
          <w:szCs w:val="22"/>
          <w:u w:val="single"/>
        </w:rPr>
        <w:t>and</w:t>
      </w:r>
      <w:r w:rsidRPr="00D1044E">
        <w:rPr>
          <w:rFonts w:ascii="Times New Roman" w:hAnsi="Times New Roman"/>
          <w:sz w:val="22"/>
          <w:szCs w:val="22"/>
        </w:rPr>
        <w:t xml:space="preserve"> where waiver, reduction or deferral of the fee would promote the public interest. Licensees requesting a waiver or reduction must demonstrate both of those required elements, and licensee either must pay the full fee or submit with the request</w:t>
      </w:r>
      <w:r w:rsidR="00425917">
        <w:rPr>
          <w:rFonts w:ascii="Times New Roman" w:hAnsi="Times New Roman"/>
          <w:sz w:val="22"/>
          <w:szCs w:val="22"/>
        </w:rPr>
        <w:t xml:space="preserve"> for waiver</w:t>
      </w:r>
      <w:r w:rsidRPr="00D1044E">
        <w:rPr>
          <w:rFonts w:ascii="Times New Roman" w:hAnsi="Times New Roman"/>
          <w:sz w:val="22"/>
          <w:szCs w:val="22"/>
        </w:rPr>
        <w:t xml:space="preserve"> a </w:t>
      </w:r>
      <w:r w:rsidRPr="0034313F">
        <w:rPr>
          <w:rFonts w:ascii="Times New Roman" w:hAnsi="Times New Roman"/>
          <w:sz w:val="22"/>
          <w:szCs w:val="22"/>
          <w:u w:val="single"/>
        </w:rPr>
        <w:t>separate</w:t>
      </w:r>
      <w:r w:rsidRPr="00D1044E">
        <w:rPr>
          <w:rFonts w:ascii="Times New Roman" w:hAnsi="Times New Roman"/>
          <w:sz w:val="22"/>
          <w:szCs w:val="22"/>
        </w:rPr>
        <w:t xml:space="preserve"> petition to defer payment due to financial hardship that is fully supported by the required documentation of the financial hardship. </w:t>
      </w:r>
      <w:r>
        <w:rPr>
          <w:rFonts w:ascii="Times New Roman" w:hAnsi="Times New Roman"/>
          <w:sz w:val="22"/>
          <w:szCs w:val="22"/>
        </w:rPr>
        <w:t xml:space="preserve"> </w:t>
      </w:r>
      <w:r w:rsidRPr="00D1044E">
        <w:rPr>
          <w:rFonts w:ascii="Times New Roman" w:hAnsi="Times New Roman"/>
          <w:sz w:val="22"/>
          <w:szCs w:val="22"/>
        </w:rPr>
        <w:t xml:space="preserve">If the licensee pays the fee, and the Commission grants the request, the Commission will refund the appropriate amount. The Commission will dismiss any request to waive or reduce a regulatory fee that does not include full payment or the required separate petition for deferral with supporting documentation, and under 47 U.S.C. 159(c) and 31 U.S.C. 3717, the Commission is </w:t>
      </w:r>
      <w:r w:rsidRPr="00D1044E">
        <w:rPr>
          <w:rFonts w:ascii="Times New Roman" w:hAnsi="Times New Roman"/>
          <w:sz w:val="22"/>
          <w:szCs w:val="22"/>
        </w:rPr>
        <w:lastRenderedPageBreak/>
        <w:t xml:space="preserve">required to impose the 25% penalty and other relevant charges. A request for waiver, reduction or deferral must be received before the fee due date. </w:t>
      </w:r>
      <w:r>
        <w:rPr>
          <w:rFonts w:ascii="Times New Roman" w:hAnsi="Times New Roman"/>
          <w:sz w:val="22"/>
          <w:szCs w:val="22"/>
        </w:rPr>
        <w:t xml:space="preserve"> A request for a waiver or reduction in fees must be accompanied by a fee payment by the due date.  </w:t>
      </w:r>
      <w:r w:rsidRPr="00D1044E">
        <w:rPr>
          <w:rFonts w:ascii="Times New Roman" w:hAnsi="Times New Roman"/>
          <w:sz w:val="22"/>
          <w:szCs w:val="22"/>
        </w:rPr>
        <w:t xml:space="preserve">If </w:t>
      </w:r>
      <w:r>
        <w:rPr>
          <w:rFonts w:ascii="Times New Roman" w:hAnsi="Times New Roman"/>
          <w:sz w:val="22"/>
          <w:szCs w:val="22"/>
        </w:rPr>
        <w:t xml:space="preserve">the </w:t>
      </w:r>
      <w:r w:rsidRPr="00D1044E">
        <w:rPr>
          <w:rFonts w:ascii="Times New Roman" w:hAnsi="Times New Roman"/>
          <w:sz w:val="22"/>
          <w:szCs w:val="22"/>
        </w:rPr>
        <w:t>licensee does not pay the fee, but includes a petition to defer payment, licensee must file both the request and separate petition to defer payment</w:t>
      </w:r>
      <w:r>
        <w:rPr>
          <w:rFonts w:ascii="Times New Roman" w:hAnsi="Times New Roman"/>
          <w:sz w:val="22"/>
          <w:szCs w:val="22"/>
        </w:rPr>
        <w:t xml:space="preserve"> with the Commission’s Secretary</w:t>
      </w:r>
      <w:r w:rsidRPr="00D1044E">
        <w:rPr>
          <w:rFonts w:ascii="Times New Roman" w:hAnsi="Times New Roman"/>
          <w:sz w:val="22"/>
          <w:szCs w:val="22"/>
        </w:rPr>
        <w:t xml:space="preserve">, </w:t>
      </w:r>
      <w:r>
        <w:rPr>
          <w:rFonts w:ascii="Times New Roman" w:hAnsi="Times New Roman"/>
          <w:sz w:val="22"/>
          <w:szCs w:val="22"/>
        </w:rPr>
        <w:t xml:space="preserve">along </w:t>
      </w:r>
      <w:r w:rsidRPr="00D1044E">
        <w:rPr>
          <w:rFonts w:ascii="Times New Roman" w:hAnsi="Times New Roman"/>
          <w:sz w:val="22"/>
          <w:szCs w:val="22"/>
        </w:rPr>
        <w:t xml:space="preserve">with the </w:t>
      </w:r>
      <w:r w:rsidRPr="00D1044E">
        <w:rPr>
          <w:rFonts w:ascii="Times New Roman" w:hAnsi="Times New Roman"/>
          <w:sz w:val="22"/>
          <w:szCs w:val="22"/>
          <w:u w:val="single"/>
        </w:rPr>
        <w:t>required supporting financial documentation.</w:t>
      </w:r>
      <w:r w:rsidRPr="00D1044E">
        <w:rPr>
          <w:rFonts w:ascii="Times New Roman" w:hAnsi="Times New Roman"/>
          <w:sz w:val="22"/>
          <w:szCs w:val="22"/>
        </w:rPr>
        <w:t xml:space="preserve"> </w:t>
      </w:r>
      <w:r>
        <w:rPr>
          <w:rFonts w:ascii="Times New Roman" w:hAnsi="Times New Roman"/>
          <w:sz w:val="22"/>
          <w:szCs w:val="22"/>
        </w:rPr>
        <w:t xml:space="preserve"> </w:t>
      </w:r>
      <w:r w:rsidRPr="00D1044E">
        <w:rPr>
          <w:rFonts w:ascii="Times New Roman" w:hAnsi="Times New Roman"/>
          <w:sz w:val="22"/>
          <w:szCs w:val="22"/>
        </w:rPr>
        <w:t xml:space="preserve">Submissions sent to other locations or directly to Commission staff may be dismissed. </w:t>
      </w:r>
      <w:r>
        <w:rPr>
          <w:rFonts w:ascii="Times New Roman" w:hAnsi="Times New Roman"/>
          <w:sz w:val="22"/>
          <w:szCs w:val="22"/>
        </w:rPr>
        <w:t xml:space="preserve"> </w:t>
      </w:r>
      <w:r w:rsidRPr="00D1044E">
        <w:rPr>
          <w:rFonts w:ascii="Times New Roman" w:hAnsi="Times New Roman"/>
          <w:sz w:val="22"/>
          <w:szCs w:val="22"/>
        </w:rPr>
        <w:t xml:space="preserve">For example, a request sent by email to the Help Desk is improper, </w:t>
      </w:r>
      <w:r>
        <w:rPr>
          <w:rFonts w:ascii="Times New Roman" w:hAnsi="Times New Roman"/>
          <w:sz w:val="22"/>
          <w:szCs w:val="22"/>
        </w:rPr>
        <w:t xml:space="preserve">and </w:t>
      </w:r>
      <w:r w:rsidRPr="00D1044E">
        <w:rPr>
          <w:rFonts w:ascii="Times New Roman" w:hAnsi="Times New Roman"/>
          <w:sz w:val="22"/>
          <w:szCs w:val="22"/>
        </w:rPr>
        <w:t>it is not</w:t>
      </w:r>
      <w:r>
        <w:rPr>
          <w:rFonts w:ascii="Times New Roman" w:hAnsi="Times New Roman"/>
          <w:sz w:val="22"/>
          <w:szCs w:val="22"/>
        </w:rPr>
        <w:t xml:space="preserve"> considered</w:t>
      </w:r>
      <w:r w:rsidRPr="00D1044E">
        <w:rPr>
          <w:rFonts w:ascii="Times New Roman" w:hAnsi="Times New Roman"/>
          <w:sz w:val="22"/>
          <w:szCs w:val="22"/>
        </w:rPr>
        <w:t xml:space="preserve"> </w:t>
      </w:r>
      <w:r w:rsidRPr="00D1044E">
        <w:rPr>
          <w:rFonts w:ascii="Times New Roman" w:hAnsi="Times New Roman"/>
          <w:sz w:val="22"/>
          <w:szCs w:val="22"/>
          <w:u w:val="single"/>
        </w:rPr>
        <w:t>filed</w:t>
      </w:r>
      <w:r w:rsidRPr="00D1044E">
        <w:rPr>
          <w:rFonts w:ascii="Times New Roman" w:hAnsi="Times New Roman"/>
          <w:sz w:val="22"/>
          <w:szCs w:val="22"/>
        </w:rPr>
        <w:t xml:space="preserve">, and if the fee is unpaid, the unpaid fee amount is </w:t>
      </w:r>
      <w:r>
        <w:rPr>
          <w:rFonts w:ascii="Times New Roman" w:hAnsi="Times New Roman"/>
          <w:sz w:val="22"/>
          <w:szCs w:val="22"/>
        </w:rPr>
        <w:t xml:space="preserve">deemed </w:t>
      </w:r>
      <w:r w:rsidRPr="00D1044E">
        <w:rPr>
          <w:rFonts w:ascii="Times New Roman" w:hAnsi="Times New Roman"/>
          <w:sz w:val="22"/>
          <w:szCs w:val="22"/>
        </w:rPr>
        <w:t>delinquent, resulting in accrual of additional charges from the date of delinquency.</w:t>
      </w:r>
      <w:r>
        <w:rPr>
          <w:rFonts w:ascii="Times New Roman" w:hAnsi="Times New Roman"/>
          <w:sz w:val="22"/>
          <w:szCs w:val="22"/>
        </w:rPr>
        <w:t xml:space="preserve"> </w:t>
      </w:r>
      <w:r w:rsidRPr="00D1044E">
        <w:rPr>
          <w:rFonts w:ascii="Times New Roman" w:hAnsi="Times New Roman"/>
          <w:sz w:val="22"/>
          <w:szCs w:val="22"/>
        </w:rPr>
        <w:t xml:space="preserve"> Furthermore, the Commission will dismiss a waiver request filed by a delinquent debtor or a petition that does not have the required financial documentation. </w:t>
      </w:r>
      <w:r>
        <w:rPr>
          <w:rFonts w:ascii="Times New Roman" w:hAnsi="Times New Roman"/>
          <w:sz w:val="22"/>
          <w:szCs w:val="22"/>
        </w:rPr>
        <w:t xml:space="preserve"> </w:t>
      </w:r>
      <w:r w:rsidRPr="00D1044E">
        <w:rPr>
          <w:rFonts w:ascii="Times New Roman" w:hAnsi="Times New Roman"/>
          <w:sz w:val="22"/>
          <w:szCs w:val="22"/>
        </w:rPr>
        <w:t xml:space="preserve">The Commission’s website at </w:t>
      </w:r>
      <w:hyperlink r:id="rId9" w:history="1">
        <w:r w:rsidRPr="00D1044E">
          <w:rPr>
            <w:rStyle w:val="Hyperlink"/>
            <w:rFonts w:ascii="Times New Roman" w:hAnsi="Times New Roman"/>
            <w:sz w:val="22"/>
            <w:szCs w:val="22"/>
          </w:rPr>
          <w:t>http://www.fcc.gov/encyclopedia/electronic-and-hard-copy-filing-address</w:t>
        </w:r>
      </w:hyperlink>
      <w:r w:rsidRPr="00D1044E">
        <w:rPr>
          <w:rFonts w:ascii="Times New Roman" w:hAnsi="Times New Roman"/>
          <w:sz w:val="22"/>
          <w:szCs w:val="22"/>
        </w:rPr>
        <w:t xml:space="preserve"> provides the addresses for filing hardcopy documents. </w:t>
      </w:r>
      <w:r>
        <w:rPr>
          <w:rFonts w:ascii="Times New Roman" w:hAnsi="Times New Roman"/>
          <w:sz w:val="22"/>
          <w:szCs w:val="22"/>
        </w:rPr>
        <w:t xml:space="preserve"> </w:t>
      </w:r>
      <w:r w:rsidRPr="00D1044E">
        <w:rPr>
          <w:rFonts w:ascii="Times New Roman" w:hAnsi="Times New Roman"/>
          <w:sz w:val="22"/>
          <w:szCs w:val="22"/>
        </w:rPr>
        <w:t xml:space="preserve">Requests for waiver of a regulatory fee should be clearly marked </w:t>
      </w:r>
      <w:r w:rsidRPr="00D1044E">
        <w:rPr>
          <w:rFonts w:ascii="Times New Roman" w:hAnsi="Times New Roman"/>
          <w:spacing w:val="-3"/>
          <w:sz w:val="22"/>
          <w:szCs w:val="22"/>
        </w:rPr>
        <w:t xml:space="preserve">Attn: Office of the Managing Director, Regulatory Fee Waiver/Reduction Request, </w:t>
      </w:r>
      <w:r w:rsidRPr="00D1044E">
        <w:rPr>
          <w:rFonts w:ascii="Times New Roman" w:hAnsi="Times New Roman"/>
          <w:i/>
          <w:spacing w:val="-3"/>
          <w:sz w:val="22"/>
          <w:szCs w:val="22"/>
        </w:rPr>
        <w:t>e.g.</w:t>
      </w:r>
      <w:r w:rsidRPr="00D1044E">
        <w:rPr>
          <w:rFonts w:ascii="Times New Roman" w:hAnsi="Times New Roman"/>
          <w:spacing w:val="-3"/>
          <w:sz w:val="22"/>
          <w:szCs w:val="22"/>
        </w:rPr>
        <w:t>:</w:t>
      </w:r>
    </w:p>
    <w:p w:rsidR="00721855" w:rsidRPr="00D1044E" w:rsidRDefault="00721855">
      <w:pPr>
        <w:tabs>
          <w:tab w:val="left" w:pos="-720"/>
        </w:tabs>
        <w:suppressAutoHyphens/>
        <w:rPr>
          <w:rFonts w:ascii="Times New Roman" w:hAnsi="Times New Roman"/>
          <w:sz w:val="22"/>
          <w:szCs w:val="22"/>
        </w:rPr>
      </w:pPr>
    </w:p>
    <w:p w:rsidR="00721855" w:rsidRPr="00D1044E" w:rsidRDefault="00721855">
      <w:pPr>
        <w:tabs>
          <w:tab w:val="left" w:pos="-720"/>
        </w:tabs>
        <w:suppressAutoHyphens/>
        <w:rPr>
          <w:rFonts w:ascii="Times New Roman" w:hAnsi="Times New Roman"/>
          <w:sz w:val="22"/>
          <w:szCs w:val="22"/>
        </w:rPr>
      </w:pP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z w:val="22"/>
          <w:szCs w:val="22"/>
        </w:rPr>
        <w:tab/>
        <w:t>Marlene H. Dortch, Secretary</w:t>
      </w: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z w:val="22"/>
          <w:szCs w:val="22"/>
        </w:rPr>
        <w:tab/>
        <w:t>Federal Communications Commission</w:t>
      </w: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z w:val="22"/>
          <w:szCs w:val="22"/>
        </w:rPr>
        <w:tab/>
        <w:t xml:space="preserve">Attn: </w:t>
      </w:r>
      <w:r w:rsidRPr="00D1044E">
        <w:rPr>
          <w:rFonts w:ascii="Times New Roman" w:hAnsi="Times New Roman"/>
          <w:spacing w:val="-3"/>
          <w:sz w:val="22"/>
          <w:szCs w:val="22"/>
        </w:rPr>
        <w:t>Office of the Managing Director, Regulatory Fee Waiver/Reduction Request</w:t>
      </w:r>
    </w:p>
    <w:p w:rsidR="00721855" w:rsidRPr="00D1044E" w:rsidRDefault="00721855">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ab/>
        <w:t>445 12th Street, S.W., Room TW-B204</w:t>
      </w:r>
    </w:p>
    <w:p w:rsidR="00721855" w:rsidRPr="00D1044E" w:rsidRDefault="00721855">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ab/>
        <w:t>Washington, D.C. 20554</w:t>
      </w: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pacing w:val="-3"/>
          <w:sz w:val="22"/>
          <w:szCs w:val="22"/>
        </w:rPr>
        <w:tab/>
      </w:r>
    </w:p>
    <w:p w:rsidR="00721855" w:rsidRPr="00D1044E" w:rsidRDefault="00721855">
      <w:pPr>
        <w:tabs>
          <w:tab w:val="left" w:pos="-720"/>
        </w:tabs>
        <w:suppressAutoHyphens/>
        <w:rPr>
          <w:rFonts w:ascii="Times New Roman" w:hAnsi="Times New Roman"/>
          <w:sz w:val="22"/>
          <w:szCs w:val="22"/>
        </w:rPr>
      </w:pPr>
    </w:p>
    <w:p w:rsidR="00496A58" w:rsidRPr="0034313F" w:rsidRDefault="00496A58" w:rsidP="0034313F">
      <w:pPr>
        <w:widowControl/>
        <w:rPr>
          <w:rFonts w:ascii="Times New Roman" w:hAnsi="Times New Roman"/>
          <w:color w:val="212121"/>
          <w:sz w:val="22"/>
          <w:szCs w:val="22"/>
        </w:rPr>
      </w:pPr>
      <w:r w:rsidRPr="00425917">
        <w:rPr>
          <w:rFonts w:ascii="Times New Roman" w:hAnsi="Times New Roman"/>
          <w:sz w:val="22"/>
          <w:szCs w:val="22"/>
        </w:rPr>
        <w:t xml:space="preserve">To be clear, </w:t>
      </w:r>
      <w:r>
        <w:rPr>
          <w:rFonts w:ascii="Times New Roman" w:hAnsi="Times New Roman"/>
          <w:sz w:val="22"/>
          <w:szCs w:val="22"/>
        </w:rPr>
        <w:t xml:space="preserve">the Commission has discretion to waive, </w:t>
      </w:r>
      <w:r w:rsidRPr="0034313F">
        <w:rPr>
          <w:rFonts w:ascii="Times New Roman" w:hAnsi="Times New Roman"/>
          <w:color w:val="212121"/>
          <w:sz w:val="22"/>
          <w:szCs w:val="22"/>
        </w:rPr>
        <w:t>reduce</w:t>
      </w:r>
      <w:r>
        <w:rPr>
          <w:rFonts w:ascii="Times New Roman" w:hAnsi="Times New Roman"/>
          <w:color w:val="212121"/>
          <w:sz w:val="22"/>
          <w:szCs w:val="22"/>
        </w:rPr>
        <w:t>,</w:t>
      </w:r>
      <w:r w:rsidRPr="0034313F">
        <w:rPr>
          <w:rFonts w:ascii="Times New Roman" w:hAnsi="Times New Roman"/>
          <w:color w:val="212121"/>
          <w:sz w:val="22"/>
          <w:szCs w:val="22"/>
        </w:rPr>
        <w:t xml:space="preserve"> or defer</w:t>
      </w:r>
      <w:r>
        <w:rPr>
          <w:rFonts w:ascii="Times New Roman" w:hAnsi="Times New Roman"/>
          <w:color w:val="212121"/>
          <w:sz w:val="22"/>
          <w:szCs w:val="22"/>
        </w:rPr>
        <w:t xml:space="preserve"> payment of its regulatory fees</w:t>
      </w:r>
      <w:r w:rsidRPr="0034313F">
        <w:rPr>
          <w:rFonts w:ascii="Times New Roman" w:hAnsi="Times New Roman"/>
          <w:color w:val="212121"/>
          <w:sz w:val="22"/>
          <w:szCs w:val="22"/>
        </w:rPr>
        <w:t xml:space="preserve">, but </w:t>
      </w:r>
      <w:r w:rsidR="007E2581">
        <w:rPr>
          <w:rFonts w:ascii="Times New Roman" w:hAnsi="Times New Roman"/>
          <w:color w:val="212121"/>
          <w:sz w:val="22"/>
          <w:szCs w:val="22"/>
        </w:rPr>
        <w:t xml:space="preserve">it may do so </w:t>
      </w:r>
      <w:r w:rsidRPr="0034313F">
        <w:rPr>
          <w:rFonts w:ascii="Times New Roman" w:hAnsi="Times New Roman"/>
          <w:color w:val="212121"/>
          <w:sz w:val="22"/>
          <w:szCs w:val="22"/>
        </w:rPr>
        <w:t>only upon a showing of good cause and a finding that the</w:t>
      </w:r>
      <w:r>
        <w:rPr>
          <w:rFonts w:ascii="Times New Roman" w:hAnsi="Times New Roman"/>
          <w:color w:val="212121"/>
          <w:sz w:val="22"/>
          <w:szCs w:val="22"/>
        </w:rPr>
        <w:t xml:space="preserve"> public </w:t>
      </w:r>
      <w:r w:rsidRPr="0034313F">
        <w:rPr>
          <w:rFonts w:ascii="Times New Roman" w:hAnsi="Times New Roman"/>
          <w:color w:val="212121"/>
          <w:sz w:val="22"/>
          <w:szCs w:val="22"/>
        </w:rPr>
        <w:t xml:space="preserve">interest will be served thereby. </w:t>
      </w:r>
      <w:hyperlink r:id="rId10" w:history="1">
        <w:r w:rsidRPr="0034313F">
          <w:rPr>
            <w:rFonts w:ascii="Times New Roman" w:hAnsi="Times New Roman"/>
            <w:color w:val="000000" w:themeColor="text1"/>
            <w:sz w:val="22"/>
            <w:szCs w:val="22"/>
          </w:rPr>
          <w:t>47 U.S.C. 159(d)</w:t>
        </w:r>
      </w:hyperlink>
      <w:r w:rsidRPr="0034313F">
        <w:rPr>
          <w:rFonts w:ascii="Times New Roman" w:hAnsi="Times New Roman"/>
          <w:color w:val="000000" w:themeColor="text1"/>
          <w:sz w:val="22"/>
          <w:szCs w:val="22"/>
        </w:rPr>
        <w:t xml:space="preserve">; </w:t>
      </w:r>
      <w:hyperlink r:id="rId11" w:history="1">
        <w:r w:rsidRPr="0034313F">
          <w:rPr>
            <w:rFonts w:ascii="Times New Roman" w:hAnsi="Times New Roman"/>
            <w:color w:val="000000" w:themeColor="text1"/>
            <w:sz w:val="22"/>
            <w:szCs w:val="22"/>
          </w:rPr>
          <w:t>47 C.F.R. §</w:t>
        </w:r>
        <w:r w:rsidR="00540B74">
          <w:rPr>
            <w:rFonts w:ascii="Times New Roman" w:hAnsi="Times New Roman"/>
            <w:color w:val="000000" w:themeColor="text1"/>
            <w:sz w:val="22"/>
            <w:szCs w:val="22"/>
          </w:rPr>
          <w:t xml:space="preserve"> </w:t>
        </w:r>
        <w:r w:rsidRPr="0034313F">
          <w:rPr>
            <w:rFonts w:ascii="Times New Roman" w:hAnsi="Times New Roman"/>
            <w:color w:val="000000" w:themeColor="text1"/>
            <w:sz w:val="22"/>
            <w:szCs w:val="22"/>
          </w:rPr>
          <w:t>1.1166</w:t>
        </w:r>
      </w:hyperlink>
      <w:r w:rsidRPr="0034313F">
        <w:rPr>
          <w:rFonts w:ascii="Times New Roman" w:hAnsi="Times New Roman"/>
          <w:color w:val="000000" w:themeColor="text1"/>
          <w:sz w:val="22"/>
          <w:szCs w:val="22"/>
        </w:rPr>
        <w:t xml:space="preserve">. </w:t>
      </w:r>
      <w:r w:rsidRPr="0034313F">
        <w:rPr>
          <w:rFonts w:ascii="Times New Roman" w:hAnsi="Times New Roman"/>
          <w:i/>
          <w:iCs/>
          <w:color w:val="000000" w:themeColor="text1"/>
          <w:sz w:val="22"/>
          <w:szCs w:val="22"/>
        </w:rPr>
        <w:t xml:space="preserve">See also </w:t>
      </w:r>
      <w:hyperlink r:id="rId12" w:anchor="co_pp_sp_4493_5344" w:history="1">
        <w:r w:rsidRPr="0034313F">
          <w:rPr>
            <w:rFonts w:ascii="Times New Roman" w:hAnsi="Times New Roman"/>
            <w:i/>
            <w:iCs/>
            <w:color w:val="000000" w:themeColor="text1"/>
            <w:sz w:val="22"/>
            <w:szCs w:val="22"/>
          </w:rPr>
          <w:t>Implementation of Section 9 of the Communications Act, Assessment and Collection of Regulatory</w:t>
        </w:r>
        <w:r>
          <w:rPr>
            <w:rFonts w:ascii="Times New Roman" w:hAnsi="Times New Roman"/>
            <w:i/>
            <w:iCs/>
            <w:color w:val="000000" w:themeColor="text1"/>
            <w:sz w:val="22"/>
            <w:szCs w:val="22"/>
          </w:rPr>
          <w:t xml:space="preserve"> Fees</w:t>
        </w:r>
        <w:r w:rsidRPr="0034313F">
          <w:rPr>
            <w:rFonts w:ascii="Times New Roman" w:hAnsi="Times New Roman"/>
            <w:i/>
            <w:iCs/>
            <w:color w:val="000000" w:themeColor="text1"/>
            <w:sz w:val="22"/>
            <w:szCs w:val="22"/>
          </w:rPr>
          <w:t xml:space="preserve"> for Fiscal Year 1994</w:t>
        </w:r>
        <w:r w:rsidRPr="0034313F">
          <w:rPr>
            <w:rFonts w:ascii="Times New Roman" w:hAnsi="Times New Roman"/>
            <w:color w:val="000000" w:themeColor="text1"/>
            <w:sz w:val="22"/>
            <w:szCs w:val="22"/>
          </w:rPr>
          <w:t>, 9 FCC Rcd 5333, 5344 (1994)</w:t>
        </w:r>
      </w:hyperlink>
      <w:r w:rsidRPr="0034313F">
        <w:rPr>
          <w:rFonts w:ascii="Times New Roman" w:hAnsi="Times New Roman"/>
          <w:color w:val="000000" w:themeColor="text1"/>
          <w:sz w:val="22"/>
          <w:szCs w:val="22"/>
        </w:rPr>
        <w:t xml:space="preserve">, </w:t>
      </w:r>
      <w:r w:rsidRPr="0034313F">
        <w:rPr>
          <w:rFonts w:ascii="Times New Roman" w:hAnsi="Times New Roman"/>
          <w:i/>
          <w:iCs/>
          <w:color w:val="000000" w:themeColor="text1"/>
          <w:sz w:val="22"/>
          <w:szCs w:val="22"/>
        </w:rPr>
        <w:t>recon. denied,</w:t>
      </w:r>
      <w:r w:rsidRPr="0034313F">
        <w:rPr>
          <w:rFonts w:ascii="Times New Roman" w:hAnsi="Times New Roman"/>
          <w:color w:val="000000" w:themeColor="text1"/>
          <w:sz w:val="22"/>
          <w:szCs w:val="22"/>
        </w:rPr>
        <w:t xml:space="preserve"> </w:t>
      </w:r>
      <w:hyperlink r:id="rId13" w:history="1">
        <w:r w:rsidRPr="0034313F">
          <w:rPr>
            <w:rFonts w:ascii="Times New Roman" w:hAnsi="Times New Roman"/>
            <w:color w:val="000000" w:themeColor="text1"/>
            <w:sz w:val="22"/>
            <w:szCs w:val="22"/>
          </w:rPr>
          <w:t>10 FCC Rcd 12759 ¶12 (1995)</w:t>
        </w:r>
      </w:hyperlink>
      <w:r w:rsidRPr="0034313F">
        <w:rPr>
          <w:rFonts w:ascii="Times New Roman" w:hAnsi="Times New Roman"/>
          <w:color w:val="000000" w:themeColor="text1"/>
          <w:sz w:val="22"/>
          <w:szCs w:val="22"/>
        </w:rPr>
        <w:t xml:space="preserve">. </w:t>
      </w:r>
      <w:r w:rsidRPr="0034313F">
        <w:rPr>
          <w:rFonts w:ascii="Times New Roman" w:hAnsi="Times New Roman"/>
          <w:color w:val="212121"/>
          <w:sz w:val="22"/>
          <w:szCs w:val="22"/>
        </w:rPr>
        <w:t>The Commission has narrowly interpreted its</w:t>
      </w:r>
      <w:r>
        <w:rPr>
          <w:rFonts w:ascii="Times New Roman" w:hAnsi="Times New Roman"/>
          <w:color w:val="212121"/>
          <w:sz w:val="22"/>
          <w:szCs w:val="22"/>
        </w:rPr>
        <w:t xml:space="preserve"> waiver </w:t>
      </w:r>
      <w:r w:rsidRPr="0034313F">
        <w:rPr>
          <w:rFonts w:ascii="Times New Roman" w:hAnsi="Times New Roman"/>
          <w:color w:val="212121"/>
          <w:sz w:val="22"/>
          <w:szCs w:val="22"/>
        </w:rPr>
        <w:t>authority to require a showing of compelling and extraordinary circumstances that outweigh the</w:t>
      </w:r>
      <w:r>
        <w:rPr>
          <w:rFonts w:ascii="Times New Roman" w:hAnsi="Times New Roman"/>
          <w:color w:val="212121"/>
          <w:sz w:val="22"/>
          <w:szCs w:val="22"/>
        </w:rPr>
        <w:t xml:space="preserve"> public </w:t>
      </w:r>
      <w:r w:rsidRPr="0034313F">
        <w:rPr>
          <w:rFonts w:ascii="Times New Roman" w:hAnsi="Times New Roman"/>
          <w:color w:val="212121"/>
          <w:sz w:val="22"/>
          <w:szCs w:val="22"/>
        </w:rPr>
        <w:t xml:space="preserve">interest in recouping the Commission's regulatory costs. </w:t>
      </w:r>
      <w:hyperlink r:id="rId14" w:anchor="co_pp_sp_4493_5344" w:history="1">
        <w:r w:rsidRPr="0034313F">
          <w:rPr>
            <w:rFonts w:ascii="Times New Roman" w:hAnsi="Times New Roman"/>
            <w:color w:val="000000" w:themeColor="text1"/>
            <w:sz w:val="22"/>
            <w:szCs w:val="22"/>
          </w:rPr>
          <w:t>9 FCC Rcd at 5344 ¶ 29</w:t>
        </w:r>
      </w:hyperlink>
      <w:r w:rsidRPr="0034313F">
        <w:rPr>
          <w:rFonts w:ascii="Times New Roman" w:hAnsi="Times New Roman"/>
          <w:color w:val="000000" w:themeColor="text1"/>
          <w:sz w:val="22"/>
          <w:szCs w:val="22"/>
        </w:rPr>
        <w:t xml:space="preserve">. </w:t>
      </w:r>
    </w:p>
    <w:p w:rsidR="00496A58" w:rsidRPr="0034313F" w:rsidRDefault="00496A58" w:rsidP="0034313F">
      <w:pPr>
        <w:widowControl/>
        <w:rPr>
          <w:rFonts w:ascii="Times New Roman" w:hAnsi="Times New Roman"/>
          <w:color w:val="212121"/>
          <w:sz w:val="22"/>
          <w:szCs w:val="22"/>
        </w:rPr>
      </w:pPr>
      <w:r w:rsidRPr="0034313F">
        <w:rPr>
          <w:rFonts w:ascii="Times New Roman" w:hAnsi="Times New Roman"/>
          <w:color w:val="212121"/>
          <w:sz w:val="22"/>
          <w:szCs w:val="22"/>
        </w:rPr>
        <w:t> </w:t>
      </w:r>
    </w:p>
    <w:p w:rsidR="00721855" w:rsidRPr="00D1044E" w:rsidRDefault="00496A58" w:rsidP="00425917">
      <w:pPr>
        <w:tabs>
          <w:tab w:val="left" w:pos="-720"/>
        </w:tabs>
        <w:suppressAutoHyphens/>
        <w:rPr>
          <w:rFonts w:ascii="Times New Roman" w:hAnsi="Times New Roman"/>
          <w:sz w:val="22"/>
          <w:szCs w:val="22"/>
        </w:rPr>
      </w:pPr>
      <w:r>
        <w:rPr>
          <w:rFonts w:ascii="Times New Roman" w:hAnsi="Times New Roman"/>
          <w:color w:val="212121"/>
          <w:sz w:val="22"/>
          <w:szCs w:val="22"/>
        </w:rPr>
        <w:t xml:space="preserve">The Commission </w:t>
      </w:r>
      <w:r w:rsidRPr="0034313F">
        <w:rPr>
          <w:rFonts w:ascii="Times New Roman" w:hAnsi="Times New Roman"/>
          <w:color w:val="212121"/>
          <w:sz w:val="22"/>
          <w:szCs w:val="22"/>
        </w:rPr>
        <w:t xml:space="preserve">may </w:t>
      </w:r>
      <w:r>
        <w:rPr>
          <w:rFonts w:ascii="Times New Roman" w:hAnsi="Times New Roman"/>
          <w:color w:val="212121"/>
          <w:sz w:val="22"/>
          <w:szCs w:val="22"/>
        </w:rPr>
        <w:t>g</w:t>
      </w:r>
      <w:r w:rsidRPr="0034313F">
        <w:rPr>
          <w:rFonts w:ascii="Times New Roman" w:hAnsi="Times New Roman"/>
          <w:color w:val="212121"/>
          <w:sz w:val="22"/>
          <w:szCs w:val="22"/>
        </w:rPr>
        <w:t>rant</w:t>
      </w:r>
      <w:r>
        <w:rPr>
          <w:rFonts w:ascii="Times New Roman" w:hAnsi="Times New Roman"/>
          <w:color w:val="212121"/>
          <w:sz w:val="22"/>
          <w:szCs w:val="22"/>
        </w:rPr>
        <w:t xml:space="preserve"> fee relief</w:t>
      </w:r>
      <w:r w:rsidRPr="0034313F">
        <w:rPr>
          <w:rFonts w:ascii="Times New Roman" w:hAnsi="Times New Roman"/>
          <w:color w:val="212121"/>
          <w:sz w:val="22"/>
          <w:szCs w:val="22"/>
        </w:rPr>
        <w:t xml:space="preserve"> based on asserted financial hardship, but only upon a documented showing that payment of the</w:t>
      </w:r>
      <w:r>
        <w:rPr>
          <w:rFonts w:ascii="Times New Roman" w:hAnsi="Times New Roman"/>
          <w:color w:val="212121"/>
          <w:sz w:val="22"/>
          <w:szCs w:val="22"/>
        </w:rPr>
        <w:t xml:space="preserve"> fee</w:t>
      </w:r>
      <w:r w:rsidRPr="0034313F">
        <w:rPr>
          <w:rFonts w:ascii="Times New Roman" w:hAnsi="Times New Roman"/>
          <w:color w:val="212121"/>
          <w:sz w:val="22"/>
          <w:szCs w:val="22"/>
        </w:rPr>
        <w:t xml:space="preserve"> will adversely impact the licensee</w:t>
      </w:r>
      <w:r w:rsidR="000029AB">
        <w:rPr>
          <w:rFonts w:ascii="Times New Roman" w:hAnsi="Times New Roman"/>
          <w:color w:val="212121"/>
          <w:sz w:val="22"/>
          <w:szCs w:val="22"/>
        </w:rPr>
        <w:t>’</w:t>
      </w:r>
      <w:r w:rsidRPr="0034313F">
        <w:rPr>
          <w:rFonts w:ascii="Times New Roman" w:hAnsi="Times New Roman"/>
          <w:color w:val="212121"/>
          <w:sz w:val="22"/>
          <w:szCs w:val="22"/>
        </w:rPr>
        <w:t>s ability to serve the</w:t>
      </w:r>
      <w:r>
        <w:rPr>
          <w:rFonts w:ascii="Times New Roman" w:hAnsi="Times New Roman"/>
          <w:color w:val="212121"/>
          <w:sz w:val="22"/>
          <w:szCs w:val="22"/>
        </w:rPr>
        <w:t xml:space="preserve"> public</w:t>
      </w:r>
      <w:r w:rsidRPr="0034313F">
        <w:rPr>
          <w:rFonts w:ascii="Times New Roman" w:hAnsi="Times New Roman"/>
          <w:color w:val="212121"/>
          <w:sz w:val="22"/>
          <w:szCs w:val="22"/>
        </w:rPr>
        <w:t xml:space="preserve">. </w:t>
      </w:r>
      <w:hyperlink r:id="rId15" w:anchor="co_pp_sp_4493_12761" w:history="1">
        <w:r w:rsidRPr="0034313F">
          <w:rPr>
            <w:rFonts w:ascii="Times New Roman" w:hAnsi="Times New Roman"/>
            <w:color w:val="000000" w:themeColor="text1"/>
            <w:sz w:val="22"/>
            <w:szCs w:val="22"/>
          </w:rPr>
          <w:t>10 FCC Rcd at 12761-62 ¶ 13</w:t>
        </w:r>
      </w:hyperlink>
      <w:r w:rsidRPr="0034313F">
        <w:rPr>
          <w:rFonts w:ascii="Times New Roman" w:hAnsi="Times New Roman"/>
          <w:color w:val="212121"/>
          <w:sz w:val="22"/>
          <w:szCs w:val="22"/>
        </w:rPr>
        <w:t xml:space="preserve"> (“[m]ere allegations or documentation of financial loss, standing alone,” does not suffice and “it [is] incumbent upon each regulatee to fully document its financial position and show that it lacks sufficient funds to</w:t>
      </w:r>
      <w:r>
        <w:rPr>
          <w:rFonts w:ascii="Times New Roman" w:hAnsi="Times New Roman"/>
          <w:color w:val="212121"/>
          <w:sz w:val="22"/>
          <w:szCs w:val="22"/>
        </w:rPr>
        <w:t xml:space="preserve"> pay</w:t>
      </w:r>
      <w:r w:rsidRPr="0034313F">
        <w:rPr>
          <w:rFonts w:ascii="Times New Roman" w:hAnsi="Times New Roman"/>
          <w:color w:val="212121"/>
          <w:sz w:val="22"/>
          <w:szCs w:val="22"/>
        </w:rPr>
        <w:t xml:space="preserve"> the regulatory</w:t>
      </w:r>
      <w:r>
        <w:rPr>
          <w:rFonts w:ascii="Times New Roman" w:hAnsi="Times New Roman"/>
          <w:color w:val="212121"/>
          <w:sz w:val="22"/>
          <w:szCs w:val="22"/>
        </w:rPr>
        <w:t xml:space="preserve"> fee</w:t>
      </w:r>
      <w:r w:rsidRPr="0034313F">
        <w:rPr>
          <w:rFonts w:ascii="Times New Roman" w:hAnsi="Times New Roman"/>
          <w:color w:val="212121"/>
          <w:sz w:val="22"/>
          <w:szCs w:val="22"/>
        </w:rPr>
        <w:t xml:space="preserve"> and to maintain its service to the</w:t>
      </w:r>
      <w:r>
        <w:rPr>
          <w:rFonts w:ascii="Times New Roman" w:hAnsi="Times New Roman"/>
          <w:color w:val="212121"/>
          <w:sz w:val="22"/>
          <w:szCs w:val="22"/>
        </w:rPr>
        <w:t xml:space="preserve"> public</w:t>
      </w:r>
      <w:r w:rsidRPr="0034313F">
        <w:rPr>
          <w:rFonts w:ascii="Times New Roman" w:hAnsi="Times New Roman"/>
          <w:color w:val="212121"/>
          <w:sz w:val="22"/>
          <w:szCs w:val="22"/>
        </w:rPr>
        <w:t xml:space="preserve">”). </w:t>
      </w:r>
      <w:r>
        <w:rPr>
          <w:rFonts w:ascii="Times New Roman" w:hAnsi="Times New Roman"/>
          <w:sz w:val="22"/>
          <w:szCs w:val="22"/>
        </w:rPr>
        <w:t>Thus, a request for a waiver based on financial hardship, must include supporting full financial documentation, and a s</w:t>
      </w:r>
      <w:r w:rsidR="00721855" w:rsidRPr="00D1044E">
        <w:rPr>
          <w:rFonts w:ascii="Times New Roman" w:hAnsi="Times New Roman"/>
          <w:sz w:val="22"/>
          <w:szCs w:val="22"/>
        </w:rPr>
        <w:t>ubmi</w:t>
      </w:r>
      <w:r>
        <w:rPr>
          <w:rFonts w:ascii="Times New Roman" w:hAnsi="Times New Roman"/>
          <w:sz w:val="22"/>
          <w:szCs w:val="22"/>
        </w:rPr>
        <w:t xml:space="preserve">ssion for waiver </w:t>
      </w:r>
      <w:r w:rsidR="00721855" w:rsidRPr="00D1044E">
        <w:rPr>
          <w:rFonts w:ascii="Times New Roman" w:hAnsi="Times New Roman"/>
          <w:sz w:val="22"/>
          <w:szCs w:val="22"/>
        </w:rPr>
        <w:t xml:space="preserve">without </w:t>
      </w:r>
      <w:r>
        <w:rPr>
          <w:rFonts w:ascii="Times New Roman" w:hAnsi="Times New Roman"/>
          <w:sz w:val="22"/>
          <w:szCs w:val="22"/>
        </w:rPr>
        <w:t xml:space="preserve">paying </w:t>
      </w:r>
      <w:r w:rsidR="00721855" w:rsidRPr="00D1044E">
        <w:rPr>
          <w:rFonts w:ascii="Times New Roman" w:hAnsi="Times New Roman"/>
          <w:sz w:val="22"/>
          <w:szCs w:val="22"/>
        </w:rPr>
        <w:t xml:space="preserve">the full fee, must include a </w:t>
      </w:r>
      <w:r w:rsidR="00721855" w:rsidRPr="0034313F">
        <w:rPr>
          <w:rFonts w:ascii="Times New Roman" w:hAnsi="Times New Roman"/>
          <w:sz w:val="22"/>
          <w:szCs w:val="22"/>
          <w:u w:val="single"/>
        </w:rPr>
        <w:t>separate petition to defer payment supported by full proper financial documentation</w:t>
      </w:r>
      <w:r w:rsidR="00721855" w:rsidRPr="00D1044E">
        <w:rPr>
          <w:rFonts w:ascii="Times New Roman" w:hAnsi="Times New Roman"/>
          <w:sz w:val="22"/>
          <w:szCs w:val="22"/>
        </w:rPr>
        <w:t xml:space="preserve"> sufficient to demonstrate both good cause shown and that the deferral of payment would promote the public interest.</w:t>
      </w:r>
      <w:r w:rsidR="00721855">
        <w:rPr>
          <w:rFonts w:ascii="Times New Roman" w:hAnsi="Times New Roman"/>
          <w:sz w:val="22"/>
          <w:szCs w:val="22"/>
        </w:rPr>
        <w:t xml:space="preserve"> </w:t>
      </w:r>
      <w:r w:rsidR="00721855" w:rsidRPr="00D1044E">
        <w:rPr>
          <w:rFonts w:ascii="Times New Roman" w:hAnsi="Times New Roman"/>
          <w:sz w:val="22"/>
          <w:szCs w:val="22"/>
        </w:rPr>
        <w:t xml:space="preserve"> Both the complete request for a waiver and the complete petition to defer payment must be received by the deadline, </w:t>
      </w:r>
      <w:r w:rsidR="00721855" w:rsidRPr="00D1044E">
        <w:rPr>
          <w:rFonts w:ascii="Times New Roman" w:hAnsi="Times New Roman"/>
          <w:b/>
          <w:sz w:val="22"/>
          <w:szCs w:val="22"/>
          <w:u w:val="single"/>
        </w:rPr>
        <w:t xml:space="preserve">September </w:t>
      </w:r>
      <w:r w:rsidR="0034313F">
        <w:rPr>
          <w:rFonts w:ascii="Times New Roman" w:hAnsi="Times New Roman"/>
          <w:b/>
          <w:sz w:val="22"/>
          <w:szCs w:val="22"/>
          <w:u w:val="single"/>
        </w:rPr>
        <w:t>26</w:t>
      </w:r>
      <w:r w:rsidR="00721855" w:rsidRPr="00D1044E">
        <w:rPr>
          <w:rFonts w:ascii="Times New Roman" w:hAnsi="Times New Roman"/>
          <w:b/>
          <w:sz w:val="22"/>
          <w:szCs w:val="22"/>
          <w:u w:val="single"/>
        </w:rPr>
        <w:t>, 201</w:t>
      </w:r>
      <w:r w:rsidR="00A669FC">
        <w:rPr>
          <w:rFonts w:ascii="Times New Roman" w:hAnsi="Times New Roman"/>
          <w:b/>
          <w:sz w:val="22"/>
          <w:szCs w:val="22"/>
          <w:u w:val="single"/>
        </w:rPr>
        <w:t>7</w:t>
      </w:r>
      <w:r w:rsidR="00721855" w:rsidRPr="00D1044E">
        <w:rPr>
          <w:rFonts w:ascii="Times New Roman" w:hAnsi="Times New Roman"/>
          <w:b/>
          <w:sz w:val="22"/>
          <w:szCs w:val="22"/>
        </w:rPr>
        <w:t>.</w:t>
      </w:r>
      <w:r w:rsidR="00721855">
        <w:rPr>
          <w:rFonts w:ascii="Times New Roman" w:hAnsi="Times New Roman"/>
          <w:b/>
          <w:sz w:val="22"/>
          <w:szCs w:val="22"/>
        </w:rPr>
        <w:t xml:space="preserve">  </w:t>
      </w:r>
      <w:r w:rsidR="00721855" w:rsidRPr="00D1044E">
        <w:rPr>
          <w:rFonts w:ascii="Times New Roman" w:hAnsi="Times New Roman"/>
          <w:b/>
          <w:sz w:val="22"/>
          <w:szCs w:val="22"/>
        </w:rPr>
        <w:t>Any request for waiver and deferral received after that date will be dismissed, payment of the fee will be delinquent, the statutory 25% penalty will accrue, and licensee will be responsible for paying the full amount of the fee, including the penalty, and charges of collection, interest and additional penalties will accrue from the date of delinquency as permitted under the law.</w:t>
      </w:r>
      <w:r w:rsidR="00721855">
        <w:rPr>
          <w:rFonts w:ascii="Times New Roman" w:hAnsi="Times New Roman"/>
          <w:b/>
          <w:sz w:val="22"/>
          <w:szCs w:val="22"/>
        </w:rPr>
        <w:t xml:space="preserve"> </w:t>
      </w:r>
      <w:r w:rsidR="00721855" w:rsidRPr="00D1044E">
        <w:rPr>
          <w:rFonts w:ascii="Times New Roman" w:hAnsi="Times New Roman"/>
          <w:b/>
          <w:sz w:val="22"/>
          <w:szCs w:val="22"/>
        </w:rPr>
        <w:t xml:space="preserve"> Further, the licensee will be subject to sanctions (</w:t>
      </w:r>
      <w:r w:rsidR="00721855">
        <w:rPr>
          <w:rFonts w:ascii="Times New Roman" w:hAnsi="Times New Roman"/>
          <w:b/>
          <w:sz w:val="22"/>
          <w:szCs w:val="22"/>
        </w:rPr>
        <w:t xml:space="preserve">placed n </w:t>
      </w:r>
      <w:r w:rsidR="00721855" w:rsidRPr="00D1044E">
        <w:rPr>
          <w:rFonts w:ascii="Times New Roman" w:hAnsi="Times New Roman"/>
          <w:b/>
          <w:sz w:val="22"/>
          <w:szCs w:val="22"/>
        </w:rPr>
        <w:t xml:space="preserve">red light) and debt collection procedures.    </w:t>
      </w:r>
    </w:p>
    <w:p w:rsidR="00721855" w:rsidRPr="00D1044E" w:rsidRDefault="00721855">
      <w:pPr>
        <w:tabs>
          <w:tab w:val="left" w:pos="-720"/>
        </w:tabs>
        <w:suppressAutoHyphens/>
        <w:rPr>
          <w:rFonts w:ascii="Times New Roman" w:hAnsi="Times New Roman"/>
          <w:spacing w:val="-3"/>
          <w:sz w:val="22"/>
          <w:szCs w:val="22"/>
        </w:rPr>
      </w:pPr>
    </w:p>
    <w:p w:rsidR="00721855" w:rsidRPr="00D1044E" w:rsidRDefault="00721855">
      <w:pPr>
        <w:pStyle w:val="BodyTextIndent"/>
        <w:ind w:left="0"/>
        <w:jc w:val="center"/>
        <w:rPr>
          <w:sz w:val="22"/>
          <w:szCs w:val="22"/>
        </w:rPr>
      </w:pPr>
      <w:r w:rsidRPr="00D1044E">
        <w:rPr>
          <w:sz w:val="22"/>
          <w:szCs w:val="22"/>
        </w:rPr>
        <w:t>- FCC -</w:t>
      </w:r>
    </w:p>
    <w:sectPr w:rsidR="00721855" w:rsidRPr="00D1044E" w:rsidSect="0072185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296" w:right="1008"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64" w:rsidRDefault="00EA3F64">
      <w:r>
        <w:separator/>
      </w:r>
    </w:p>
  </w:endnote>
  <w:endnote w:type="continuationSeparator" w:id="0">
    <w:p w:rsidR="00EA3F64" w:rsidRDefault="00EA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55" w:rsidRDefault="00721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1855" w:rsidRDefault="0072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55" w:rsidRDefault="00721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332">
      <w:rPr>
        <w:rStyle w:val="PageNumber"/>
        <w:noProof/>
      </w:rPr>
      <w:t>2</w:t>
    </w:r>
    <w:r>
      <w:rPr>
        <w:rStyle w:val="PageNumber"/>
      </w:rPr>
      <w:fldChar w:fldCharType="end"/>
    </w:r>
  </w:p>
  <w:p w:rsidR="00721855" w:rsidRDefault="00721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2A" w:rsidRDefault="0008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64" w:rsidRDefault="00EA3F64">
      <w:r>
        <w:separator/>
      </w:r>
    </w:p>
  </w:footnote>
  <w:footnote w:type="continuationSeparator" w:id="0">
    <w:p w:rsidR="00EA3F64" w:rsidRDefault="00EA3F64">
      <w:r>
        <w:continuationSeparator/>
      </w:r>
    </w:p>
  </w:footnote>
  <w:footnote w:id="1">
    <w:p w:rsidR="00721855" w:rsidRDefault="00721855" w:rsidP="00721855">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w:t>
      </w:r>
      <w:r w:rsidR="00F90265">
        <w:rPr>
          <w:lang w:val="en-US"/>
        </w:rPr>
        <w:t>d</w:t>
      </w:r>
      <w:r>
        <w:t xml:space="preserve"> by the due date of FY 201</w:t>
      </w:r>
      <w:r w:rsidR="00A669FC">
        <w:rPr>
          <w:lang w:val="en-US"/>
        </w:rPr>
        <w:t>7</w:t>
      </w:r>
      <w:r>
        <w:t xml:space="preserve"> regulatory fees.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2A" w:rsidRDefault="0008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2A" w:rsidRDefault="00085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55" w:rsidRDefault="007D787F" w:rsidP="00382624">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59264" behindDoc="0" locked="0" layoutInCell="0" allowOverlap="1" wp14:anchorId="65BAA506" wp14:editId="4459D2F6">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855" w:rsidRPr="00F22398">
      <w:rPr>
        <w:rFonts w:ascii="Times New Roman" w:hAnsi="Times New Roman"/>
        <w:b/>
        <w:kern w:val="28"/>
        <w:sz w:val="44"/>
        <w:szCs w:val="44"/>
      </w:rPr>
      <w:t>REGULATORY FEES FACT SHEET</w:t>
    </w:r>
  </w:p>
  <w:p w:rsidR="00F22398" w:rsidRPr="00F22398" w:rsidRDefault="00F22398" w:rsidP="00382624">
    <w:pPr>
      <w:pStyle w:val="Header"/>
      <w:tabs>
        <w:tab w:val="clear" w:pos="4320"/>
        <w:tab w:val="clear" w:pos="8640"/>
      </w:tabs>
      <w:spacing w:before="40"/>
      <w:jc w:val="center"/>
      <w:rPr>
        <w:rFonts w:ascii="Times New Roman" w:hAnsi="Times New Roman"/>
        <w:b/>
        <w:kern w:val="28"/>
        <w:sz w:val="44"/>
        <w:szCs w:val="44"/>
      </w:rPr>
    </w:pPr>
  </w:p>
  <w:p w:rsidR="00721855" w:rsidRDefault="00382624">
    <w:pPr>
      <w:pStyle w:val="Header"/>
      <w:tabs>
        <w:tab w:val="clear" w:pos="4320"/>
        <w:tab w:val="clear" w:pos="8640"/>
        <w:tab w:val="left" w:pos="108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6192" behindDoc="0" locked="0" layoutInCell="1" allowOverlap="1" wp14:anchorId="45293BFB" wp14:editId="59EEF30F">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855" w:rsidRDefault="00721855">
                          <w:pPr>
                            <w:rPr>
                              <w:rFonts w:ascii="Arial" w:hAnsi="Arial"/>
                              <w:b/>
                            </w:rPr>
                          </w:pPr>
                          <w:r>
                            <w:rPr>
                              <w:rFonts w:ascii="Arial" w:hAnsi="Arial"/>
                              <w:b/>
                            </w:rPr>
                            <w:t>Federal Communications Commission</w:t>
                          </w:r>
                        </w:p>
                        <w:p w:rsidR="00721855" w:rsidRDefault="007218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1855" w:rsidRDefault="0072185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5293BFB" id="_x0000_t202" coordsize="21600,21600" o:spt="202" path="m,l,21600r21600,l21600,xe">
              <v:stroke joinstyle="miter"/>
              <v:path gradientshapeok="t" o:connecttype="rect"/>
            </v:shapetype>
            <v:shape id="Text Box 2" o:spid="_x0000_s1026" type="#_x0000_t202" style="position:absolute;left:0;text-align:left;margin-left:3.75pt;margin-top:5.7pt;width:207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M/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" stroked="f">
              <v:textbox>
                <w:txbxContent>
                  <w:p w:rsidR="00721855" w:rsidRDefault="00721855">
                    <w:pPr>
                      <w:rPr>
                        <w:rFonts w:ascii="Arial" w:hAnsi="Arial"/>
                        <w:b/>
                      </w:rPr>
                    </w:pPr>
                    <w:r>
                      <w:rPr>
                        <w:rFonts w:ascii="Arial" w:hAnsi="Arial"/>
                        <w:b/>
                      </w:rPr>
                      <w:t>Federal Communications Commission</w:t>
                    </w:r>
                  </w:p>
                  <w:p w:rsidR="00721855" w:rsidRDefault="007218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1855" w:rsidRDefault="00721855">
                    <w:pPr>
                      <w:rPr>
                        <w:rFonts w:ascii="Arial" w:hAnsi="Arial"/>
                        <w:sz w:val="24"/>
                      </w:rPr>
                    </w:pPr>
                    <w:r>
                      <w:rPr>
                        <w:rFonts w:ascii="Arial" w:hAnsi="Arial"/>
                        <w:b/>
                      </w:rPr>
                      <w:t>Washington, D.C. 20554</w:t>
                    </w:r>
                  </w:p>
                </w:txbxContent>
              </v:textbox>
            </v:shape>
          </w:pict>
        </mc:Fallback>
      </mc:AlternateContent>
    </w:r>
    <w:r w:rsidR="007D787F">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855" w:rsidRDefault="00721855">
                          <w:pPr>
                            <w:spacing w:before="40"/>
                            <w:jc w:val="right"/>
                            <w:rPr>
                              <w:rFonts w:ascii="Arial" w:hAnsi="Arial"/>
                              <w:b/>
                              <w:sz w:val="16"/>
                            </w:rPr>
                          </w:pPr>
                          <w:r>
                            <w:rPr>
                              <w:rFonts w:ascii="Arial" w:hAnsi="Arial"/>
                              <w:b/>
                            </w:rPr>
                            <w:t xml:space="preserve">September </w:t>
                          </w:r>
                          <w:r w:rsidR="008354C5">
                            <w:rPr>
                              <w:rFonts w:ascii="Arial" w:hAnsi="Arial"/>
                              <w:b/>
                            </w:rPr>
                            <w:t>6</w:t>
                          </w:r>
                          <w:r>
                            <w:rPr>
                              <w:rFonts w:ascii="Arial" w:hAnsi="Arial"/>
                              <w:b/>
                            </w:rPr>
                            <w:t>, 20</w:t>
                          </w:r>
                          <w:r w:rsidR="00E62E64">
                            <w:rPr>
                              <w:rFonts w:ascii="Arial" w:hAnsi="Arial"/>
                              <w:b/>
                            </w:rPr>
                            <w:t>17</w:t>
                          </w:r>
                        </w:p>
                        <w:p w:rsidR="00721855" w:rsidRDefault="0072185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65.05pt;margin-top:5.4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" stroked="f">
              <v:textbox inset=",0,,0">
                <w:txbxContent>
                  <w:p w:rsidR="00721855" w:rsidRDefault="00721855">
                    <w:pPr>
                      <w:spacing w:before="40"/>
                      <w:jc w:val="right"/>
                      <w:rPr>
                        <w:rFonts w:ascii="Arial" w:hAnsi="Arial"/>
                        <w:b/>
                        <w:sz w:val="16"/>
                      </w:rPr>
                    </w:pPr>
                    <w:r>
                      <w:rPr>
                        <w:rFonts w:ascii="Arial" w:hAnsi="Arial"/>
                        <w:b/>
                      </w:rPr>
                      <w:t xml:space="preserve">September </w:t>
                    </w:r>
                    <w:r w:rsidR="008354C5">
                      <w:rPr>
                        <w:rFonts w:ascii="Arial" w:hAnsi="Arial"/>
                        <w:b/>
                      </w:rPr>
                      <w:t>6</w:t>
                    </w:r>
                    <w:r>
                      <w:rPr>
                        <w:rFonts w:ascii="Arial" w:hAnsi="Arial"/>
                        <w:b/>
                      </w:rPr>
                      <w:t>, 20</w:t>
                    </w:r>
                    <w:r w:rsidR="00E62E64">
                      <w:rPr>
                        <w:rFonts w:ascii="Arial" w:hAnsi="Arial"/>
                        <w:b/>
                      </w:rPr>
                      <w:t>17</w:t>
                    </w:r>
                  </w:p>
                  <w:p w:rsidR="00721855" w:rsidRDefault="00721855">
                    <w:pPr>
                      <w:jc w:val="right"/>
                    </w:pPr>
                  </w:p>
                </w:txbxContent>
              </v:textbox>
            </v:shape>
          </w:pict>
        </mc:Fallback>
      </mc:AlternateContent>
    </w:r>
    <w:r w:rsidR="007D787F">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953720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721855" w:rsidRDefault="0072185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25"/>
    <w:rsid w:val="000029AB"/>
    <w:rsid w:val="00023C46"/>
    <w:rsid w:val="0008582A"/>
    <w:rsid w:val="002F09D1"/>
    <w:rsid w:val="0034313F"/>
    <w:rsid w:val="00382624"/>
    <w:rsid w:val="00425917"/>
    <w:rsid w:val="00472467"/>
    <w:rsid w:val="00496A58"/>
    <w:rsid w:val="00540B74"/>
    <w:rsid w:val="00570A01"/>
    <w:rsid w:val="006967AF"/>
    <w:rsid w:val="006A3A87"/>
    <w:rsid w:val="00721855"/>
    <w:rsid w:val="00740E92"/>
    <w:rsid w:val="007D787F"/>
    <w:rsid w:val="007E2581"/>
    <w:rsid w:val="007E6625"/>
    <w:rsid w:val="007F5F54"/>
    <w:rsid w:val="00823C07"/>
    <w:rsid w:val="008354C5"/>
    <w:rsid w:val="008437B3"/>
    <w:rsid w:val="00A669FC"/>
    <w:rsid w:val="00A72FF6"/>
    <w:rsid w:val="00B032A6"/>
    <w:rsid w:val="00CC347D"/>
    <w:rsid w:val="00D22EF4"/>
    <w:rsid w:val="00D71332"/>
    <w:rsid w:val="00E022C8"/>
    <w:rsid w:val="00E62E64"/>
    <w:rsid w:val="00E85B94"/>
    <w:rsid w:val="00EA3F64"/>
    <w:rsid w:val="00F22398"/>
    <w:rsid w:val="00F53F5C"/>
    <w:rsid w:val="00F63099"/>
    <w:rsid w:val="00F70F02"/>
    <w:rsid w:val="00F90265"/>
    <w:rsid w:val="00FC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alloonText">
    <w:name w:val="Balloon Text"/>
    <w:basedOn w:val="Normal"/>
    <w:semiHidden/>
    <w:rsid w:val="002331DF"/>
    <w:rPr>
      <w:rFonts w:ascii="Tahoma" w:hAnsi="Tahoma" w:cs="Tahoma"/>
      <w:sz w:val="16"/>
      <w:szCs w:val="16"/>
    </w:rPr>
  </w:style>
  <w:style w:type="character" w:styleId="CommentReference">
    <w:name w:val="annotation reference"/>
    <w:rsid w:val="00831DA1"/>
    <w:rPr>
      <w:sz w:val="16"/>
      <w:szCs w:val="16"/>
    </w:rPr>
  </w:style>
  <w:style w:type="paragraph" w:styleId="CommentText">
    <w:name w:val="annotation text"/>
    <w:basedOn w:val="Normal"/>
    <w:link w:val="CommentTextChar"/>
    <w:rsid w:val="00831DA1"/>
    <w:rPr>
      <w:lang w:val="x-none" w:eastAsia="x-none"/>
    </w:rPr>
  </w:style>
  <w:style w:type="character" w:customStyle="1" w:styleId="CommentTextChar">
    <w:name w:val="Comment Text Char"/>
    <w:link w:val="CommentText"/>
    <w:rsid w:val="00831DA1"/>
    <w:rPr>
      <w:rFonts w:ascii="Times Roman" w:hAnsi="Times Roman"/>
    </w:rPr>
  </w:style>
  <w:style w:type="paragraph" w:styleId="CommentSubject">
    <w:name w:val="annotation subject"/>
    <w:basedOn w:val="CommentText"/>
    <w:next w:val="CommentText"/>
    <w:link w:val="CommentSubjectChar"/>
    <w:rsid w:val="00831DA1"/>
    <w:rPr>
      <w:b/>
      <w:bCs/>
    </w:rPr>
  </w:style>
  <w:style w:type="character" w:customStyle="1" w:styleId="CommentSubjectChar">
    <w:name w:val="Comment Subject Char"/>
    <w:link w:val="CommentSubject"/>
    <w:rsid w:val="00831DA1"/>
    <w:rPr>
      <w:rFonts w:ascii="Times Roman" w:hAnsi="Times Roman"/>
      <w:b/>
      <w:b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934C5"/>
    <w:rPr>
      <w:rFonts w:ascii="Times Roman" w:hAnsi="Times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alloonText">
    <w:name w:val="Balloon Text"/>
    <w:basedOn w:val="Normal"/>
    <w:semiHidden/>
    <w:rsid w:val="002331DF"/>
    <w:rPr>
      <w:rFonts w:ascii="Tahoma" w:hAnsi="Tahoma" w:cs="Tahoma"/>
      <w:sz w:val="16"/>
      <w:szCs w:val="16"/>
    </w:rPr>
  </w:style>
  <w:style w:type="character" w:styleId="CommentReference">
    <w:name w:val="annotation reference"/>
    <w:rsid w:val="00831DA1"/>
    <w:rPr>
      <w:sz w:val="16"/>
      <w:szCs w:val="16"/>
    </w:rPr>
  </w:style>
  <w:style w:type="paragraph" w:styleId="CommentText">
    <w:name w:val="annotation text"/>
    <w:basedOn w:val="Normal"/>
    <w:link w:val="CommentTextChar"/>
    <w:rsid w:val="00831DA1"/>
    <w:rPr>
      <w:lang w:val="x-none" w:eastAsia="x-none"/>
    </w:rPr>
  </w:style>
  <w:style w:type="character" w:customStyle="1" w:styleId="CommentTextChar">
    <w:name w:val="Comment Text Char"/>
    <w:link w:val="CommentText"/>
    <w:rsid w:val="00831DA1"/>
    <w:rPr>
      <w:rFonts w:ascii="Times Roman" w:hAnsi="Times Roman"/>
    </w:rPr>
  </w:style>
  <w:style w:type="paragraph" w:styleId="CommentSubject">
    <w:name w:val="annotation subject"/>
    <w:basedOn w:val="CommentText"/>
    <w:next w:val="CommentText"/>
    <w:link w:val="CommentSubjectChar"/>
    <w:rsid w:val="00831DA1"/>
    <w:rPr>
      <w:b/>
      <w:bCs/>
    </w:rPr>
  </w:style>
  <w:style w:type="character" w:customStyle="1" w:styleId="CommentSubjectChar">
    <w:name w:val="Comment Subject Char"/>
    <w:link w:val="CommentSubject"/>
    <w:rsid w:val="00831DA1"/>
    <w:rPr>
      <w:rFonts w:ascii="Times Roman" w:hAnsi="Times Roman"/>
      <w:b/>
      <w:b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934C5"/>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64456">
      <w:bodyDiv w:val="1"/>
      <w:marLeft w:val="0"/>
      <w:marRight w:val="0"/>
      <w:marTop w:val="0"/>
      <w:marBottom w:val="0"/>
      <w:divBdr>
        <w:top w:val="none" w:sz="0" w:space="0" w:color="auto"/>
        <w:left w:val="none" w:sz="0" w:space="0" w:color="auto"/>
        <w:bottom w:val="none" w:sz="0" w:space="0" w:color="auto"/>
        <w:right w:val="none" w:sz="0" w:space="0" w:color="auto"/>
      </w:divBdr>
      <w:divsChild>
        <w:div w:id="1013342881">
          <w:marLeft w:val="0"/>
          <w:marRight w:val="0"/>
          <w:marTop w:val="0"/>
          <w:marBottom w:val="0"/>
          <w:divBdr>
            <w:top w:val="none" w:sz="0" w:space="0" w:color="auto"/>
            <w:left w:val="single" w:sz="6" w:space="0" w:color="BBBBBB"/>
            <w:bottom w:val="single" w:sz="6" w:space="0" w:color="BBBBBB"/>
            <w:right w:val="single" w:sz="6" w:space="0" w:color="BBBBBB"/>
          </w:divBdr>
          <w:divsChild>
            <w:div w:id="21518897">
              <w:marLeft w:val="0"/>
              <w:marRight w:val="0"/>
              <w:marTop w:val="0"/>
              <w:marBottom w:val="0"/>
              <w:divBdr>
                <w:top w:val="none" w:sz="0" w:space="0" w:color="auto"/>
                <w:left w:val="none" w:sz="0" w:space="0" w:color="auto"/>
                <w:bottom w:val="none" w:sz="0" w:space="0" w:color="auto"/>
                <w:right w:val="none" w:sz="0" w:space="0" w:color="auto"/>
              </w:divBdr>
              <w:divsChild>
                <w:div w:id="1241014986">
                  <w:marLeft w:val="0"/>
                  <w:marRight w:val="0"/>
                  <w:marTop w:val="75"/>
                  <w:marBottom w:val="0"/>
                  <w:divBdr>
                    <w:top w:val="none" w:sz="0" w:space="0" w:color="auto"/>
                    <w:left w:val="none" w:sz="0" w:space="0" w:color="auto"/>
                    <w:bottom w:val="none" w:sz="0" w:space="0" w:color="auto"/>
                    <w:right w:val="none" w:sz="0" w:space="0" w:color="auto"/>
                  </w:divBdr>
                  <w:divsChild>
                    <w:div w:id="1802190687">
                      <w:marLeft w:val="0"/>
                      <w:marRight w:val="0"/>
                      <w:marTop w:val="0"/>
                      <w:marBottom w:val="0"/>
                      <w:divBdr>
                        <w:top w:val="none" w:sz="0" w:space="0" w:color="auto"/>
                        <w:left w:val="none" w:sz="0" w:space="0" w:color="auto"/>
                        <w:bottom w:val="none" w:sz="0" w:space="0" w:color="auto"/>
                        <w:right w:val="none" w:sz="0" w:space="0" w:color="auto"/>
                      </w:divBdr>
                      <w:divsChild>
                        <w:div w:id="1556165291">
                          <w:marLeft w:val="0"/>
                          <w:marRight w:val="0"/>
                          <w:marTop w:val="0"/>
                          <w:marBottom w:val="0"/>
                          <w:divBdr>
                            <w:top w:val="none" w:sz="0" w:space="0" w:color="auto"/>
                            <w:left w:val="none" w:sz="0" w:space="0" w:color="auto"/>
                            <w:bottom w:val="none" w:sz="0" w:space="0" w:color="auto"/>
                            <w:right w:val="none" w:sz="0" w:space="0" w:color="auto"/>
                          </w:divBdr>
                          <w:divsChild>
                            <w:div w:id="476799305">
                              <w:marLeft w:val="0"/>
                              <w:marRight w:val="0"/>
                              <w:marTop w:val="0"/>
                              <w:marBottom w:val="0"/>
                              <w:divBdr>
                                <w:top w:val="none" w:sz="0" w:space="0" w:color="auto"/>
                                <w:left w:val="none" w:sz="0" w:space="0" w:color="auto"/>
                                <w:bottom w:val="none" w:sz="0" w:space="0" w:color="auto"/>
                                <w:right w:val="none" w:sz="0" w:space="0" w:color="auto"/>
                              </w:divBdr>
                              <w:divsChild>
                                <w:div w:id="724840726">
                                  <w:marLeft w:val="0"/>
                                  <w:marRight w:val="0"/>
                                  <w:marTop w:val="0"/>
                                  <w:marBottom w:val="0"/>
                                  <w:divBdr>
                                    <w:top w:val="none" w:sz="0" w:space="0" w:color="auto"/>
                                    <w:left w:val="none" w:sz="0" w:space="0" w:color="auto"/>
                                    <w:bottom w:val="none" w:sz="0" w:space="0" w:color="auto"/>
                                    <w:right w:val="none" w:sz="0" w:space="0" w:color="auto"/>
                                  </w:divBdr>
                                  <w:divsChild>
                                    <w:div w:id="785395920">
                                      <w:marLeft w:val="0"/>
                                      <w:marRight w:val="0"/>
                                      <w:marTop w:val="0"/>
                                      <w:marBottom w:val="0"/>
                                      <w:divBdr>
                                        <w:top w:val="none" w:sz="0" w:space="0" w:color="auto"/>
                                        <w:left w:val="none" w:sz="0" w:space="0" w:color="auto"/>
                                        <w:bottom w:val="none" w:sz="0" w:space="0" w:color="auto"/>
                                        <w:right w:val="none" w:sz="0" w:space="0" w:color="auto"/>
                                      </w:divBdr>
                                      <w:divsChild>
                                        <w:div w:id="1933471693">
                                          <w:marLeft w:val="1200"/>
                                          <w:marRight w:val="1200"/>
                                          <w:marTop w:val="0"/>
                                          <w:marBottom w:val="0"/>
                                          <w:divBdr>
                                            <w:top w:val="none" w:sz="0" w:space="0" w:color="auto"/>
                                            <w:left w:val="none" w:sz="0" w:space="0" w:color="auto"/>
                                            <w:bottom w:val="none" w:sz="0" w:space="0" w:color="auto"/>
                                            <w:right w:val="none" w:sz="0" w:space="0" w:color="auto"/>
                                          </w:divBdr>
                                          <w:divsChild>
                                            <w:div w:id="672950989">
                                              <w:marLeft w:val="0"/>
                                              <w:marRight w:val="0"/>
                                              <w:marTop w:val="0"/>
                                              <w:marBottom w:val="0"/>
                                              <w:divBdr>
                                                <w:top w:val="none" w:sz="0" w:space="0" w:color="auto"/>
                                                <w:left w:val="none" w:sz="0" w:space="0" w:color="auto"/>
                                                <w:bottom w:val="none" w:sz="0" w:space="0" w:color="auto"/>
                                                <w:right w:val="none" w:sz="0" w:space="0" w:color="auto"/>
                                              </w:divBdr>
                                              <w:divsChild>
                                                <w:div w:id="1087266670">
                                                  <w:marLeft w:val="0"/>
                                                  <w:marRight w:val="0"/>
                                                  <w:marTop w:val="0"/>
                                                  <w:marBottom w:val="0"/>
                                                  <w:divBdr>
                                                    <w:top w:val="none" w:sz="0" w:space="0" w:color="auto"/>
                                                    <w:left w:val="none" w:sz="0" w:space="0" w:color="auto"/>
                                                    <w:bottom w:val="none" w:sz="0" w:space="0" w:color="auto"/>
                                                    <w:right w:val="none" w:sz="0" w:space="0" w:color="auto"/>
                                                  </w:divBdr>
                                                  <w:divsChild>
                                                    <w:div w:id="1913587254">
                                                      <w:marLeft w:val="0"/>
                                                      <w:marRight w:val="0"/>
                                                      <w:marTop w:val="0"/>
                                                      <w:marBottom w:val="0"/>
                                                      <w:divBdr>
                                                        <w:top w:val="none" w:sz="0" w:space="0" w:color="auto"/>
                                                        <w:left w:val="none" w:sz="0" w:space="0" w:color="auto"/>
                                                        <w:bottom w:val="none" w:sz="0" w:space="0" w:color="auto"/>
                                                        <w:right w:val="none" w:sz="0" w:space="0" w:color="auto"/>
                                                      </w:divBdr>
                                                      <w:divsChild>
                                                        <w:div w:id="2077314280">
                                                          <w:marLeft w:val="0"/>
                                                          <w:marRight w:val="0"/>
                                                          <w:marTop w:val="0"/>
                                                          <w:marBottom w:val="0"/>
                                                          <w:divBdr>
                                                            <w:top w:val="none" w:sz="0" w:space="0" w:color="auto"/>
                                                            <w:left w:val="none" w:sz="0" w:space="0" w:color="auto"/>
                                                            <w:bottom w:val="none" w:sz="0" w:space="0" w:color="auto"/>
                                                            <w:right w:val="none" w:sz="0" w:space="0" w:color="auto"/>
                                                          </w:divBdr>
                                                          <w:divsChild>
                                                            <w:div w:id="11427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hyperlink" Target="https://1.next.westlaw.com/Link/Document/FullText?findType=Y&amp;serNum=1995262509&amp;pubNum=4493&amp;originatingDoc=I9ba27d372bf911dbb0d3b726c66cf290&amp;refType=CA&amp;originationContext=document&amp;transitionType=DocumentItem&amp;contextData=(sc.Search)"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1.next.westlaw.com/Link/Document/FullText?findType=Y&amp;serNum=1994265125&amp;pubNum=4493&amp;originatingDoc=I9ba27d372bf911dbb0d3b726c66cf290&amp;refType=CA&amp;fi=co_pp_sp_4493_5344&amp;originationContext=document&amp;transitionType=DocumentItem&amp;contextData=(sc.Sear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next.westlaw.com/Link/Document/FullText?findType=L&amp;pubNum=1000547&amp;cite=47CFRS1.1166&amp;originatingDoc=I9ba27d372bf911dbb0d3b726c66cf290&amp;refType=LQ&amp;originationContext=document&amp;transitionType=DocumentItem&amp;contextData=(sc.Search)"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Y&amp;serNum=1995262509&amp;pubNum=4493&amp;originatingDoc=I9ba27d372bf911dbb0d3b726c66cf290&amp;refType=CA&amp;fi=co_pp_sp_4493_12761&amp;originationContext=document&amp;transitionType=DocumentItem&amp;contextData=(sc.Search)" TargetMode="External"/><Relationship Id="rId23" Type="http://schemas.openxmlformats.org/officeDocument/2006/relationships/theme" Target="theme/theme1.xml"/><Relationship Id="rId10" Type="http://schemas.openxmlformats.org/officeDocument/2006/relationships/hyperlink" Target="https://1.next.westlaw.com/Link/Document/FullText?findType=L&amp;pubNum=1000546&amp;cite=47USCAS159&amp;originatingDoc=I9ba27d372bf911dbb0d3b726c66cf290&amp;refType=LQ&amp;originationContext=document&amp;transitionType=DocumentItem&amp;contextData=(sc.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cc.gov/encyclopedia/electronic-and-hard-copy-filing-address" TargetMode="External"/><Relationship Id="rId14" Type="http://schemas.openxmlformats.org/officeDocument/2006/relationships/hyperlink" Target="https://1.next.westlaw.com/Link/Document/FullText?findType=Y&amp;serNum=1994265125&amp;pubNum=4493&amp;originatingDoc=I9ba27d372bf911dbb0d3b726c66cf290&amp;refType=CA&amp;fi=co_pp_sp_4493_5344&amp;originationContext=document&amp;transitionType=DocumentItem&amp;contextData=(sc.Searc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5758</Characters>
  <Application>Microsoft Office Word</Application>
  <DocSecurity>0</DocSecurity>
  <Lines>83</Lines>
  <Paragraphs>14</Paragraphs>
  <ScaleCrop>false</ScaleCrop>
  <HeadingPairs>
    <vt:vector size="2" baseType="variant">
      <vt:variant>
        <vt:lpstr>Title</vt:lpstr>
      </vt:variant>
      <vt:variant>
        <vt:i4>1</vt:i4>
      </vt:variant>
    </vt:vector>
  </HeadingPairs>
  <TitlesOfParts>
    <vt:vector size="1" baseType="lpstr">
      <vt:lpstr>WAIVERS, REDUCTIONS AND DEFERMENTS OF REGULATORY FEES</vt:lpstr>
    </vt:vector>
  </TitlesOfParts>
  <Manager/>
  <Company/>
  <LinksUpToDate>false</LinksUpToDate>
  <CharactersWithSpaces>6848</CharactersWithSpaces>
  <SharedDoc>false</SharedDoc>
  <HyperlinkBase> </HyperlinkBase>
  <HLinks>
    <vt:vector size="12" baseType="variant">
      <vt:variant>
        <vt:i4>7209075</vt:i4>
      </vt:variant>
      <vt:variant>
        <vt:i4>3</vt:i4>
      </vt:variant>
      <vt:variant>
        <vt:i4>0</vt:i4>
      </vt:variant>
      <vt:variant>
        <vt:i4>5</vt:i4>
      </vt:variant>
      <vt:variant>
        <vt:lpwstr>http://www.fcc.gov/encyclopedia/electronic-and-hard-copy-filing-address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2011-08-10T13:04:00Z</cp:lastPrinted>
  <dcterms:created xsi:type="dcterms:W3CDTF">2017-09-07T16:43:00Z</dcterms:created>
  <dcterms:modified xsi:type="dcterms:W3CDTF">2017-09-07T16:43:00Z</dcterms:modified>
  <cp:category> </cp:category>
  <cp:contentStatus> </cp:contentStatus>
</cp:coreProperties>
</file>