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1D3B3FC9" w14:textId="77777777" w:rsidTr="006D5D22">
        <w:trPr>
          <w:trHeight w:val="2181"/>
        </w:trPr>
        <w:tc>
          <w:tcPr>
            <w:tcW w:w="8856" w:type="dxa"/>
          </w:tcPr>
          <w:p w14:paraId="4FDC21CD" w14:textId="77777777" w:rsidR="00FF232D" w:rsidRDefault="00711831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720D7F8" wp14:editId="1209EA3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99382" w14:textId="77777777" w:rsidR="00426518" w:rsidRDefault="00426518" w:rsidP="00B57131">
            <w:pPr>
              <w:rPr>
                <w:b/>
                <w:bCs/>
              </w:rPr>
            </w:pPr>
          </w:p>
          <w:p w14:paraId="496CBA7E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6B3B4C90" w14:textId="6E7EF0AC" w:rsidR="007A44F8" w:rsidRPr="008A3940" w:rsidRDefault="00E0754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Bruce Romano</w:t>
            </w:r>
            <w:r w:rsidRPr="008A3940">
              <w:rPr>
                <w:bCs/>
                <w:sz w:val="22"/>
                <w:szCs w:val="22"/>
              </w:rPr>
              <w:t xml:space="preserve">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2124</w:t>
            </w:r>
          </w:p>
          <w:p w14:paraId="5CF51384" w14:textId="3DC725CC" w:rsidR="00FF232D" w:rsidRPr="008A3940" w:rsidRDefault="00E0754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bruce</w:t>
            </w:r>
            <w:r w:rsidR="007768C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romano</w:t>
            </w:r>
            <w:r w:rsidR="007768C8">
              <w:rPr>
                <w:bCs/>
                <w:sz w:val="22"/>
                <w:szCs w:val="22"/>
              </w:rPr>
              <w:t>@</w:t>
            </w:r>
            <w:r w:rsidR="007A44F8" w:rsidRPr="008A3940">
              <w:rPr>
                <w:bCs/>
                <w:sz w:val="22"/>
                <w:szCs w:val="22"/>
              </w:rPr>
              <w:t>fcc.gov</w:t>
            </w:r>
          </w:p>
          <w:p w14:paraId="40FA9BAD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693304D3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54D0FB5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7454B1D" w14:textId="77777777" w:rsidR="00E07543" w:rsidRDefault="00E07543" w:rsidP="00E07543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07543">
              <w:rPr>
                <w:b/>
                <w:bCs/>
                <w:sz w:val="26"/>
                <w:szCs w:val="26"/>
              </w:rPr>
              <w:t xml:space="preserve">FCC UPDATES RULES RELATED TO THE </w:t>
            </w:r>
          </w:p>
          <w:p w14:paraId="5395C4AD" w14:textId="0E834815" w:rsidR="00E07543" w:rsidRDefault="00E07543" w:rsidP="00686FD2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  <w:r w:rsidRPr="00E07543">
              <w:rPr>
                <w:b/>
                <w:bCs/>
                <w:sz w:val="26"/>
                <w:szCs w:val="26"/>
              </w:rPr>
              <w:t>AUTHORIZATION OF RADIOFREQUENCY DEVICES</w:t>
            </w:r>
          </w:p>
          <w:p w14:paraId="071BAA6B" w14:textId="5D7104C6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</w:p>
          <w:p w14:paraId="76233631" w14:textId="52B69D6A" w:rsidR="00AA2FC3" w:rsidRPr="00D25F64" w:rsidRDefault="00BA15FC" w:rsidP="00AA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</w:t>
            </w:r>
            <w:r w:rsidR="00721337">
              <w:rPr>
                <w:sz w:val="22"/>
                <w:szCs w:val="22"/>
              </w:rPr>
              <w:t>July</w:t>
            </w:r>
            <w:r>
              <w:rPr>
                <w:sz w:val="22"/>
                <w:szCs w:val="22"/>
              </w:rPr>
              <w:t xml:space="preserve"> </w:t>
            </w:r>
            <w:r w:rsidR="0072133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 2017 –</w:t>
            </w:r>
            <w:r w:rsidR="00BF4CAB" w:rsidRPr="00397707">
              <w:rPr>
                <w:sz w:val="22"/>
                <w:szCs w:val="22"/>
              </w:rPr>
              <w:t xml:space="preserve"> </w:t>
            </w:r>
            <w:r w:rsidR="00AA2FC3">
              <w:rPr>
                <w:sz w:val="22"/>
                <w:szCs w:val="22"/>
              </w:rPr>
              <w:t xml:space="preserve">The Federal Communications Commission today streamlined and modernized the authorization requirements for most </w:t>
            </w:r>
            <w:r w:rsidR="00AA2FC3" w:rsidRPr="00D25F64">
              <w:rPr>
                <w:sz w:val="22"/>
                <w:szCs w:val="22"/>
              </w:rPr>
              <w:t>radiofrequency devices</w:t>
            </w:r>
            <w:r w:rsidR="00E07543">
              <w:rPr>
                <w:sz w:val="22"/>
                <w:szCs w:val="22"/>
              </w:rPr>
              <w:t xml:space="preserve">, such as cell phones or </w:t>
            </w:r>
            <w:r w:rsidR="001D7042">
              <w:rPr>
                <w:sz w:val="22"/>
                <w:szCs w:val="22"/>
              </w:rPr>
              <w:t>TV receivers</w:t>
            </w:r>
            <w:r w:rsidR="00E07543">
              <w:rPr>
                <w:sz w:val="22"/>
                <w:szCs w:val="22"/>
              </w:rPr>
              <w:t>,</w:t>
            </w:r>
            <w:r w:rsidR="00AA2FC3">
              <w:rPr>
                <w:sz w:val="22"/>
                <w:szCs w:val="22"/>
              </w:rPr>
              <w:t xml:space="preserve"> that are </w:t>
            </w:r>
            <w:r w:rsidR="00AA2FC3" w:rsidRPr="00D25F64">
              <w:rPr>
                <w:sz w:val="22"/>
                <w:szCs w:val="22"/>
              </w:rPr>
              <w:t>imported, marketed</w:t>
            </w:r>
            <w:r w:rsidR="00E07543">
              <w:rPr>
                <w:sz w:val="22"/>
                <w:szCs w:val="22"/>
              </w:rPr>
              <w:t>,</w:t>
            </w:r>
            <w:r w:rsidR="00AA2FC3" w:rsidRPr="00D25F64">
              <w:rPr>
                <w:sz w:val="22"/>
                <w:szCs w:val="22"/>
              </w:rPr>
              <w:t xml:space="preserve"> or operated within the United States</w:t>
            </w:r>
            <w:r w:rsidR="00E07543" w:rsidRPr="00D25F64">
              <w:rPr>
                <w:sz w:val="22"/>
                <w:szCs w:val="22"/>
              </w:rPr>
              <w:t>.</w:t>
            </w:r>
            <w:r w:rsidR="00E07543">
              <w:rPr>
                <w:sz w:val="22"/>
                <w:szCs w:val="22"/>
              </w:rPr>
              <w:t xml:space="preserve">  </w:t>
            </w:r>
            <w:r w:rsidR="00AA2FC3">
              <w:rPr>
                <w:sz w:val="22"/>
                <w:szCs w:val="22"/>
              </w:rPr>
              <w:t xml:space="preserve">This decision continues the FCC’s ongoing efforts to provide greater flexibility and </w:t>
            </w:r>
            <w:r w:rsidR="00AA2FC3" w:rsidRPr="00D25F64">
              <w:rPr>
                <w:sz w:val="22"/>
                <w:szCs w:val="22"/>
              </w:rPr>
              <w:t>reduce the burden</w:t>
            </w:r>
            <w:r w:rsidR="00AA2FC3">
              <w:rPr>
                <w:sz w:val="22"/>
                <w:szCs w:val="22"/>
              </w:rPr>
              <w:t>s</w:t>
            </w:r>
            <w:r w:rsidR="00AA2FC3" w:rsidRPr="00D25F64">
              <w:rPr>
                <w:sz w:val="22"/>
                <w:szCs w:val="22"/>
              </w:rPr>
              <w:t xml:space="preserve"> associated with certain equipment authorization rules</w:t>
            </w:r>
            <w:r w:rsidR="00AA2FC3">
              <w:rPr>
                <w:sz w:val="22"/>
                <w:szCs w:val="22"/>
              </w:rPr>
              <w:t xml:space="preserve">.  </w:t>
            </w:r>
          </w:p>
          <w:p w14:paraId="3FE2E140" w14:textId="77777777" w:rsidR="00AA2FC3" w:rsidRDefault="00AA2FC3" w:rsidP="00AA2FC3">
            <w:pPr>
              <w:suppressAutoHyphens/>
              <w:rPr>
                <w:sz w:val="22"/>
                <w:szCs w:val="22"/>
              </w:rPr>
            </w:pPr>
          </w:p>
          <w:p w14:paraId="7DE81A01" w14:textId="21021DCD" w:rsidR="00AA2FC3" w:rsidRPr="00852515" w:rsidRDefault="00AA2FC3" w:rsidP="00AA2F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SymbolMT"/>
                <w:sz w:val="22"/>
                <w:szCs w:val="22"/>
              </w:rPr>
              <w:t>The Commission’s action allows required l</w:t>
            </w:r>
            <w:r w:rsidRPr="00852515">
              <w:rPr>
                <w:sz w:val="22"/>
                <w:szCs w:val="22"/>
              </w:rPr>
              <w:t xml:space="preserve">abeling information to be </w:t>
            </w:r>
            <w:r>
              <w:rPr>
                <w:sz w:val="22"/>
                <w:szCs w:val="22"/>
              </w:rPr>
              <w:t>provided to the consumer via the device’s electronic display</w:t>
            </w:r>
            <w:r w:rsidR="00E0754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This provides an alternative to the requirement for etching or permanent labels on the exterior of devices, and manufacturers expect the</w:t>
            </w:r>
            <w:r w:rsidRPr="00852515">
              <w:rPr>
                <w:sz w:val="22"/>
                <w:szCs w:val="22"/>
              </w:rPr>
              <w:t xml:space="preserve"> use of electronic</w:t>
            </w:r>
            <w:r>
              <w:rPr>
                <w:sz w:val="22"/>
                <w:szCs w:val="22"/>
              </w:rPr>
              <w:t xml:space="preserve"> </w:t>
            </w:r>
            <w:r w:rsidRPr="00852515">
              <w:rPr>
                <w:sz w:val="22"/>
                <w:szCs w:val="22"/>
              </w:rPr>
              <w:t>labelling rather than permanent physical labels</w:t>
            </w:r>
            <w:r>
              <w:rPr>
                <w:sz w:val="22"/>
                <w:szCs w:val="22"/>
              </w:rPr>
              <w:t xml:space="preserve"> to result in a measurable reduction in costs</w:t>
            </w:r>
            <w:r w:rsidR="00E07543" w:rsidRPr="00852515">
              <w:rPr>
                <w:sz w:val="22"/>
                <w:szCs w:val="22"/>
              </w:rPr>
              <w:t>.</w:t>
            </w:r>
            <w:r w:rsidR="00E075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This action is consistent with the objectives of the </w:t>
            </w:r>
            <w:r w:rsidR="00E07543" w:rsidRPr="00E07543">
              <w:rPr>
                <w:sz w:val="22"/>
                <w:szCs w:val="22"/>
              </w:rPr>
              <w:t>Enhance Labeling, Accessing, and Branding of Electronic Licenses Act of 2014 or the E-LABEL Act</w:t>
            </w:r>
            <w:r>
              <w:rPr>
                <w:sz w:val="22"/>
                <w:szCs w:val="22"/>
              </w:rPr>
              <w:t xml:space="preserve">.  </w:t>
            </w:r>
          </w:p>
          <w:p w14:paraId="4C3A9CB0" w14:textId="77777777" w:rsidR="00AA2FC3" w:rsidRPr="00852515" w:rsidRDefault="00AA2FC3" w:rsidP="00AA2F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F99DD62" w14:textId="24744827" w:rsidR="00AA2FC3" w:rsidRDefault="00AA2FC3" w:rsidP="00AA2F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515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Commission also</w:t>
            </w:r>
            <w:r w:rsidRPr="00852515">
              <w:rPr>
                <w:sz w:val="22"/>
                <w:szCs w:val="22"/>
              </w:rPr>
              <w:t xml:space="preserve"> eliminate</w:t>
            </w:r>
            <w:r>
              <w:rPr>
                <w:sz w:val="22"/>
                <w:szCs w:val="22"/>
              </w:rPr>
              <w:t>s</w:t>
            </w:r>
            <w:r w:rsidRPr="00852515">
              <w:rPr>
                <w:sz w:val="22"/>
                <w:szCs w:val="22"/>
              </w:rPr>
              <w:t xml:space="preserve"> the requirement to file with </w:t>
            </w:r>
            <w:r w:rsidRPr="00D25F64">
              <w:rPr>
                <w:sz w:val="22"/>
                <w:szCs w:val="22"/>
              </w:rPr>
              <w:t xml:space="preserve">U.S. Customs and Border Protection </w:t>
            </w:r>
            <w:r>
              <w:rPr>
                <w:sz w:val="22"/>
                <w:szCs w:val="22"/>
              </w:rPr>
              <w:t>(</w:t>
            </w:r>
            <w:r w:rsidRPr="00852515">
              <w:rPr>
                <w:sz w:val="22"/>
                <w:szCs w:val="22"/>
              </w:rPr>
              <w:t>CBP</w:t>
            </w:r>
            <w:r>
              <w:rPr>
                <w:sz w:val="22"/>
                <w:szCs w:val="22"/>
              </w:rPr>
              <w:t xml:space="preserve">) the FCC Form 740 – </w:t>
            </w:r>
            <w:r w:rsidRPr="00852515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FCC’s unique </w:t>
            </w:r>
            <w:r w:rsidRPr="00852515">
              <w:rPr>
                <w:sz w:val="22"/>
                <w:szCs w:val="22"/>
              </w:rPr>
              <w:t>import declaration for RF devices brought into the United States</w:t>
            </w:r>
            <w:r w:rsidR="00E07543" w:rsidRPr="00852515">
              <w:rPr>
                <w:sz w:val="22"/>
                <w:szCs w:val="22"/>
              </w:rPr>
              <w:t>.</w:t>
            </w:r>
            <w:r w:rsidR="00E07543">
              <w:rPr>
                <w:sz w:val="22"/>
                <w:szCs w:val="22"/>
              </w:rPr>
              <w:t xml:space="preserve">  Because of</w:t>
            </w:r>
            <w:r>
              <w:rPr>
                <w:sz w:val="22"/>
                <w:szCs w:val="22"/>
              </w:rPr>
              <w:t xml:space="preserve"> the exponential increase in imported RF devices, this filing requirement has become an unwieldy tool for the FCC and it has placed an increasingly substantial burden on importers</w:t>
            </w:r>
            <w:r w:rsidR="00E0754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At the same time, the CBP’s revised database and the increasing availability of product information on the </w:t>
            </w:r>
            <w:r w:rsidR="00E07543">
              <w:rPr>
                <w:sz w:val="22"/>
                <w:szCs w:val="22"/>
              </w:rPr>
              <w:t xml:space="preserve">Internet </w:t>
            </w:r>
            <w:r>
              <w:rPr>
                <w:sz w:val="22"/>
                <w:szCs w:val="22"/>
              </w:rPr>
              <w:t>and through other means have reduced the practical need for the form.</w:t>
            </w:r>
          </w:p>
          <w:p w14:paraId="4CCEE373" w14:textId="77777777" w:rsidR="00AA2FC3" w:rsidRPr="00852515" w:rsidRDefault="00AA2FC3" w:rsidP="00AA2F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37F88D84" w14:textId="678A5277" w:rsidR="00AA2FC3" w:rsidRPr="00852515" w:rsidRDefault="00AA2FC3" w:rsidP="00AA2F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The Commission is also combining two separate self-approval procedures into one, which will help reduce confusion as to which process applies to any given product</w:t>
            </w:r>
            <w:r w:rsidR="00E07543">
              <w:rPr>
                <w:iCs/>
                <w:sz w:val="22"/>
                <w:szCs w:val="22"/>
              </w:rPr>
              <w:t>.</w:t>
            </w:r>
            <w:r w:rsidR="00E075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The new combined process is call</w:t>
            </w:r>
            <w:r w:rsidR="00E07543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the Suppliers Declaration of Conformity and will allow device manufacturers to bring products to market in a more efficient manner while continuing to ensure compliance with the equipment authorization program</w:t>
            </w:r>
            <w:r w:rsidRPr="00852515">
              <w:rPr>
                <w:sz w:val="22"/>
                <w:szCs w:val="22"/>
              </w:rPr>
              <w:t>.</w:t>
            </w:r>
          </w:p>
          <w:p w14:paraId="5559D984" w14:textId="77777777" w:rsidR="00AA2FC3" w:rsidRPr="00852515" w:rsidRDefault="00AA2FC3" w:rsidP="00AA2F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2FA919D" w14:textId="408A9432" w:rsidR="00AA2FC3" w:rsidRPr="00852515" w:rsidRDefault="00AA2FC3" w:rsidP="00AA2F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Lastly, the First Report and Order u</w:t>
            </w:r>
            <w:r w:rsidRPr="00852515">
              <w:rPr>
                <w:iCs/>
                <w:sz w:val="22"/>
                <w:szCs w:val="22"/>
              </w:rPr>
              <w:t>pdate</w:t>
            </w:r>
            <w:r>
              <w:rPr>
                <w:iCs/>
                <w:sz w:val="22"/>
                <w:szCs w:val="22"/>
              </w:rPr>
              <w:t>s</w:t>
            </w:r>
            <w:r w:rsidRPr="00852515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specific m</w:t>
            </w:r>
            <w:r w:rsidRPr="00852515">
              <w:rPr>
                <w:iCs/>
                <w:sz w:val="22"/>
                <w:szCs w:val="22"/>
              </w:rPr>
              <w:t xml:space="preserve">easurement </w:t>
            </w:r>
            <w:r>
              <w:rPr>
                <w:iCs/>
                <w:sz w:val="22"/>
                <w:szCs w:val="22"/>
              </w:rPr>
              <w:t>p</w:t>
            </w:r>
            <w:r w:rsidRPr="00852515">
              <w:rPr>
                <w:iCs/>
                <w:sz w:val="22"/>
                <w:szCs w:val="22"/>
              </w:rPr>
              <w:t xml:space="preserve">rocedures and </w:t>
            </w:r>
            <w:r>
              <w:rPr>
                <w:iCs/>
                <w:sz w:val="22"/>
                <w:szCs w:val="22"/>
              </w:rPr>
              <w:t>c</w:t>
            </w:r>
            <w:r w:rsidRPr="00852515">
              <w:rPr>
                <w:iCs/>
                <w:sz w:val="22"/>
                <w:szCs w:val="22"/>
              </w:rPr>
              <w:t>larif</w:t>
            </w:r>
            <w:r>
              <w:rPr>
                <w:iCs/>
                <w:sz w:val="22"/>
                <w:szCs w:val="22"/>
              </w:rPr>
              <w:t>ies certain s</w:t>
            </w:r>
            <w:r w:rsidRPr="00852515">
              <w:rPr>
                <w:iCs/>
                <w:sz w:val="22"/>
                <w:szCs w:val="22"/>
              </w:rPr>
              <w:t>tandards</w:t>
            </w:r>
            <w:r>
              <w:rPr>
                <w:iCs/>
                <w:sz w:val="22"/>
                <w:szCs w:val="22"/>
              </w:rPr>
              <w:t xml:space="preserve"> that may be relied on for demonstrating that equipment complies with the rules</w:t>
            </w:r>
            <w:r w:rsidR="00E07543">
              <w:rPr>
                <w:iCs/>
                <w:sz w:val="22"/>
                <w:szCs w:val="22"/>
              </w:rPr>
              <w:t xml:space="preserve">.  </w:t>
            </w:r>
            <w:r>
              <w:rPr>
                <w:iCs/>
                <w:sz w:val="22"/>
                <w:szCs w:val="22"/>
              </w:rPr>
              <w:t>These changes allow</w:t>
            </w:r>
            <w:r w:rsidRPr="008525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Commission</w:t>
            </w:r>
            <w:r w:rsidRPr="00852515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better and more quickly </w:t>
            </w:r>
            <w:r w:rsidRPr="00852515">
              <w:rPr>
                <w:sz w:val="22"/>
                <w:szCs w:val="22"/>
              </w:rPr>
              <w:t xml:space="preserve">respond to changes in technology and </w:t>
            </w:r>
            <w:r>
              <w:rPr>
                <w:sz w:val="22"/>
                <w:szCs w:val="22"/>
              </w:rPr>
              <w:t>international standards, and will aid the development of and speed the approval for new RF devices</w:t>
            </w:r>
            <w:r w:rsidRPr="00852515">
              <w:rPr>
                <w:sz w:val="22"/>
                <w:szCs w:val="22"/>
              </w:rPr>
              <w:t>.</w:t>
            </w:r>
          </w:p>
          <w:p w14:paraId="11B12D1F" w14:textId="77777777" w:rsidR="00AA2FC3" w:rsidRDefault="00AA2FC3" w:rsidP="00AA2FC3">
            <w:pPr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14:paraId="6E7F30D1" w14:textId="1F680857" w:rsidR="00B6547F" w:rsidRPr="00B6547F" w:rsidRDefault="00B6547F" w:rsidP="00B6547F">
            <w:pPr>
              <w:ind w:right="14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6547F">
              <w:rPr>
                <w:rFonts w:eastAsia="MS Mincho"/>
                <w:bCs/>
                <w:sz w:val="22"/>
                <w:szCs w:val="22"/>
                <w:lang w:eastAsia="ja-JP"/>
              </w:rPr>
              <w:t>Action by the Commission July 13, 2017 by First Report and Order (FCC 17-93). Chairman Pai and Commissioner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s Clyburn and</w:t>
            </w:r>
            <w:r w:rsidRPr="00B6547F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O’Rielly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approving and </w:t>
            </w:r>
            <w:r w:rsidRPr="00B6547F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issuing separate statements.  </w:t>
            </w:r>
          </w:p>
          <w:p w14:paraId="2080AB5A" w14:textId="77777777" w:rsidR="00B6547F" w:rsidRPr="00B6547F" w:rsidRDefault="00B6547F" w:rsidP="00B6547F">
            <w:pPr>
              <w:ind w:right="14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14:paraId="033A650E" w14:textId="77777777" w:rsidR="00B6547F" w:rsidRPr="00B6547F" w:rsidRDefault="00B6547F" w:rsidP="00B6547F">
            <w:pPr>
              <w:ind w:right="14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6547F">
              <w:rPr>
                <w:rFonts w:eastAsia="MS Mincho"/>
                <w:bCs/>
                <w:sz w:val="22"/>
                <w:szCs w:val="22"/>
                <w:lang w:eastAsia="ja-JP"/>
              </w:rPr>
              <w:t>ET Docket No. 15-170</w:t>
            </w:r>
          </w:p>
          <w:p w14:paraId="37AD45A8" w14:textId="1395D543" w:rsidR="007F5609" w:rsidRPr="00B9551B" w:rsidRDefault="007F5609" w:rsidP="002E2F7D">
            <w:pPr>
              <w:rPr>
                <w:b/>
                <w:sz w:val="22"/>
                <w:szCs w:val="22"/>
              </w:rPr>
            </w:pPr>
          </w:p>
          <w:p w14:paraId="12CC69CF" w14:textId="77777777" w:rsidR="004F0F1F" w:rsidRPr="008A3940" w:rsidRDefault="00F708E3" w:rsidP="007F5609">
            <w:pPr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4703D548" w14:textId="77777777" w:rsidR="00E644FE" w:rsidRPr="006B0A70" w:rsidRDefault="00E644FE" w:rsidP="007F5609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791A1600" w14:textId="77777777" w:rsidR="00E644FE" w:rsidRPr="006B0A70" w:rsidRDefault="00E644FE" w:rsidP="007F5609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78CAFEF3" w14:textId="77777777" w:rsidR="00CC5E08" w:rsidRPr="006B0A70" w:rsidRDefault="006A2FC5" w:rsidP="007F56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EA3A159" w14:textId="0433AD3D" w:rsidR="00CC5E08" w:rsidRPr="00EE0E90" w:rsidRDefault="00303778" w:rsidP="007F5609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06718A8F" w14:textId="77777777" w:rsidR="00EE0E90" w:rsidRDefault="00EE0E90" w:rsidP="007F560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DD3E68" w14:textId="77777777" w:rsidR="00EE0E90" w:rsidRPr="00986C92" w:rsidRDefault="00EE0E90" w:rsidP="007F5609">
            <w:pPr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14:paraId="5EAFE6EF" w14:textId="77777777"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50AB726" w14:textId="77777777" w:rsidR="00D24C3D" w:rsidRDefault="00D24C3D" w:rsidP="00171E84">
      <w:pPr>
        <w:rPr>
          <w:b/>
          <w:bCs/>
          <w:sz w:val="32"/>
          <w:szCs w:val="32"/>
        </w:rPr>
      </w:pPr>
    </w:p>
    <w:sectPr w:rsidR="00D24C3D" w:rsidSect="007F5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46765" w14:textId="77777777" w:rsidR="00AD197B" w:rsidRDefault="00AD197B" w:rsidP="00AD197B">
      <w:r>
        <w:separator/>
      </w:r>
    </w:p>
  </w:endnote>
  <w:endnote w:type="continuationSeparator" w:id="0">
    <w:p w14:paraId="326B65DD" w14:textId="77777777" w:rsidR="00AD197B" w:rsidRDefault="00AD197B" w:rsidP="00AD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0EB4" w14:textId="77777777" w:rsidR="0040640A" w:rsidRDefault="00406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A1101" w14:textId="77777777" w:rsidR="0040640A" w:rsidRDefault="00406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0293" w14:textId="77777777" w:rsidR="0040640A" w:rsidRDefault="00406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79EC9" w14:textId="77777777" w:rsidR="00AD197B" w:rsidRDefault="00AD197B" w:rsidP="00AD197B">
      <w:r>
        <w:separator/>
      </w:r>
    </w:p>
  </w:footnote>
  <w:footnote w:type="continuationSeparator" w:id="0">
    <w:p w14:paraId="1B078C93" w14:textId="77777777" w:rsidR="00AD197B" w:rsidRDefault="00AD197B" w:rsidP="00AD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DB935" w14:textId="77777777" w:rsidR="0040640A" w:rsidRDefault="00406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0C8B5" w14:textId="77777777" w:rsidR="0040640A" w:rsidRDefault="00406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65F61" w14:textId="77777777" w:rsidR="0040640A" w:rsidRDefault="00406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6218"/>
    <w:rsid w:val="0002500C"/>
    <w:rsid w:val="000311FC"/>
    <w:rsid w:val="00040127"/>
    <w:rsid w:val="00055CAC"/>
    <w:rsid w:val="00081232"/>
    <w:rsid w:val="00091E65"/>
    <w:rsid w:val="00096D4A"/>
    <w:rsid w:val="000A38EA"/>
    <w:rsid w:val="000C1E47"/>
    <w:rsid w:val="000C26F3"/>
    <w:rsid w:val="000E049E"/>
    <w:rsid w:val="001013AC"/>
    <w:rsid w:val="0010799B"/>
    <w:rsid w:val="00117DB2"/>
    <w:rsid w:val="00123ED2"/>
    <w:rsid w:val="00125BE0"/>
    <w:rsid w:val="00142C13"/>
    <w:rsid w:val="00144EC9"/>
    <w:rsid w:val="00152776"/>
    <w:rsid w:val="00153222"/>
    <w:rsid w:val="001577D3"/>
    <w:rsid w:val="00171E84"/>
    <w:rsid w:val="001733A6"/>
    <w:rsid w:val="001755B5"/>
    <w:rsid w:val="001865A9"/>
    <w:rsid w:val="00187DB2"/>
    <w:rsid w:val="001B20BB"/>
    <w:rsid w:val="001C4370"/>
    <w:rsid w:val="001D3779"/>
    <w:rsid w:val="001D7042"/>
    <w:rsid w:val="001F0469"/>
    <w:rsid w:val="00203A98"/>
    <w:rsid w:val="00206EDD"/>
    <w:rsid w:val="0021247E"/>
    <w:rsid w:val="002146F6"/>
    <w:rsid w:val="00230589"/>
    <w:rsid w:val="00231C32"/>
    <w:rsid w:val="00240345"/>
    <w:rsid w:val="002421F0"/>
    <w:rsid w:val="00247274"/>
    <w:rsid w:val="00266966"/>
    <w:rsid w:val="00294C0C"/>
    <w:rsid w:val="002A0934"/>
    <w:rsid w:val="002B1013"/>
    <w:rsid w:val="002C0D3A"/>
    <w:rsid w:val="002D03E5"/>
    <w:rsid w:val="002E2F7D"/>
    <w:rsid w:val="002E3F1D"/>
    <w:rsid w:val="002F31D0"/>
    <w:rsid w:val="00300359"/>
    <w:rsid w:val="00303778"/>
    <w:rsid w:val="0031773E"/>
    <w:rsid w:val="00347716"/>
    <w:rsid w:val="003506E1"/>
    <w:rsid w:val="003727E3"/>
    <w:rsid w:val="00377E79"/>
    <w:rsid w:val="00385A93"/>
    <w:rsid w:val="003910F1"/>
    <w:rsid w:val="00397707"/>
    <w:rsid w:val="003E42FC"/>
    <w:rsid w:val="003E5991"/>
    <w:rsid w:val="003E5BA8"/>
    <w:rsid w:val="003F344A"/>
    <w:rsid w:val="00403FF0"/>
    <w:rsid w:val="0040640A"/>
    <w:rsid w:val="0042046D"/>
    <w:rsid w:val="00425AEF"/>
    <w:rsid w:val="00426518"/>
    <w:rsid w:val="00427B06"/>
    <w:rsid w:val="00441F59"/>
    <w:rsid w:val="00444E07"/>
    <w:rsid w:val="00444FA9"/>
    <w:rsid w:val="004636C7"/>
    <w:rsid w:val="00473E9C"/>
    <w:rsid w:val="00474F33"/>
    <w:rsid w:val="00480099"/>
    <w:rsid w:val="00497858"/>
    <w:rsid w:val="004B4FEA"/>
    <w:rsid w:val="004C0ADA"/>
    <w:rsid w:val="004C433E"/>
    <w:rsid w:val="004C4512"/>
    <w:rsid w:val="004C4F36"/>
    <w:rsid w:val="004C5477"/>
    <w:rsid w:val="004D3D85"/>
    <w:rsid w:val="004E2BD8"/>
    <w:rsid w:val="004F0F1F"/>
    <w:rsid w:val="005022AA"/>
    <w:rsid w:val="00504845"/>
    <w:rsid w:val="0050757F"/>
    <w:rsid w:val="00516AD2"/>
    <w:rsid w:val="00545DAE"/>
    <w:rsid w:val="00565DDF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46989"/>
    <w:rsid w:val="00651B9E"/>
    <w:rsid w:val="00652019"/>
    <w:rsid w:val="00657EC9"/>
    <w:rsid w:val="00665633"/>
    <w:rsid w:val="00674C86"/>
    <w:rsid w:val="0068015E"/>
    <w:rsid w:val="006861AB"/>
    <w:rsid w:val="00686882"/>
    <w:rsid w:val="00686B89"/>
    <w:rsid w:val="00686FD2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1831"/>
    <w:rsid w:val="007167DD"/>
    <w:rsid w:val="00721337"/>
    <w:rsid w:val="0072478B"/>
    <w:rsid w:val="0073414D"/>
    <w:rsid w:val="0075235E"/>
    <w:rsid w:val="007732CC"/>
    <w:rsid w:val="00774079"/>
    <w:rsid w:val="007768C8"/>
    <w:rsid w:val="0077752B"/>
    <w:rsid w:val="00793D6F"/>
    <w:rsid w:val="00794090"/>
    <w:rsid w:val="007A44F8"/>
    <w:rsid w:val="007D21BF"/>
    <w:rsid w:val="007F3C12"/>
    <w:rsid w:val="007F5205"/>
    <w:rsid w:val="007F5609"/>
    <w:rsid w:val="00802EC4"/>
    <w:rsid w:val="008215E7"/>
    <w:rsid w:val="00830FC6"/>
    <w:rsid w:val="00865EAA"/>
    <w:rsid w:val="00866F06"/>
    <w:rsid w:val="008728F5"/>
    <w:rsid w:val="00881C86"/>
    <w:rsid w:val="008824C2"/>
    <w:rsid w:val="00893536"/>
    <w:rsid w:val="008960E4"/>
    <w:rsid w:val="00896B0E"/>
    <w:rsid w:val="008A3940"/>
    <w:rsid w:val="008B13C9"/>
    <w:rsid w:val="008C0C23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5ED9"/>
    <w:rsid w:val="00947BCF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16B6E"/>
    <w:rsid w:val="00A35DFD"/>
    <w:rsid w:val="00A524E6"/>
    <w:rsid w:val="00A702DF"/>
    <w:rsid w:val="00A71E8B"/>
    <w:rsid w:val="00A775A3"/>
    <w:rsid w:val="00A81B5B"/>
    <w:rsid w:val="00A82FAD"/>
    <w:rsid w:val="00A9673A"/>
    <w:rsid w:val="00A96EF2"/>
    <w:rsid w:val="00AA2FC3"/>
    <w:rsid w:val="00AA5C35"/>
    <w:rsid w:val="00AA5ED9"/>
    <w:rsid w:val="00AB7C01"/>
    <w:rsid w:val="00AC0A38"/>
    <w:rsid w:val="00AC4E0E"/>
    <w:rsid w:val="00AC517B"/>
    <w:rsid w:val="00AD0D19"/>
    <w:rsid w:val="00AD197B"/>
    <w:rsid w:val="00AF051B"/>
    <w:rsid w:val="00B037A2"/>
    <w:rsid w:val="00B31870"/>
    <w:rsid w:val="00B320B8"/>
    <w:rsid w:val="00B35EE2"/>
    <w:rsid w:val="00B36DEF"/>
    <w:rsid w:val="00B57131"/>
    <w:rsid w:val="00B62F2C"/>
    <w:rsid w:val="00B6547F"/>
    <w:rsid w:val="00B727C9"/>
    <w:rsid w:val="00B735C8"/>
    <w:rsid w:val="00B76A63"/>
    <w:rsid w:val="00B9551B"/>
    <w:rsid w:val="00BA15FC"/>
    <w:rsid w:val="00BA6350"/>
    <w:rsid w:val="00BA7B43"/>
    <w:rsid w:val="00BB4E29"/>
    <w:rsid w:val="00BB74C9"/>
    <w:rsid w:val="00BC3AB6"/>
    <w:rsid w:val="00BD19E8"/>
    <w:rsid w:val="00BD4273"/>
    <w:rsid w:val="00BF4CAB"/>
    <w:rsid w:val="00C04A06"/>
    <w:rsid w:val="00C432E4"/>
    <w:rsid w:val="00C70C26"/>
    <w:rsid w:val="00C72001"/>
    <w:rsid w:val="00C772B7"/>
    <w:rsid w:val="00C80347"/>
    <w:rsid w:val="00CB7C1A"/>
    <w:rsid w:val="00CC5E08"/>
    <w:rsid w:val="00CD4E6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7503"/>
    <w:rsid w:val="00D46CB1"/>
    <w:rsid w:val="00D723F0"/>
    <w:rsid w:val="00D8133F"/>
    <w:rsid w:val="00D92ECA"/>
    <w:rsid w:val="00D95B05"/>
    <w:rsid w:val="00D97E2D"/>
    <w:rsid w:val="00DA103D"/>
    <w:rsid w:val="00DA45D3"/>
    <w:rsid w:val="00DA4772"/>
    <w:rsid w:val="00DB2667"/>
    <w:rsid w:val="00DB2D18"/>
    <w:rsid w:val="00DB67B7"/>
    <w:rsid w:val="00DC15A9"/>
    <w:rsid w:val="00DC40AA"/>
    <w:rsid w:val="00DD1750"/>
    <w:rsid w:val="00E0260A"/>
    <w:rsid w:val="00E03BDB"/>
    <w:rsid w:val="00E04BE7"/>
    <w:rsid w:val="00E07543"/>
    <w:rsid w:val="00E20DAA"/>
    <w:rsid w:val="00E23FA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323D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CD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86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8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88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6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8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AD1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197B"/>
  </w:style>
  <w:style w:type="character" w:styleId="FootnoteReference">
    <w:name w:val="footnote reference"/>
    <w:basedOn w:val="DefaultParagraphFont"/>
    <w:semiHidden/>
    <w:unhideWhenUsed/>
    <w:rsid w:val="00AD197B"/>
    <w:rPr>
      <w:vertAlign w:val="superscript"/>
    </w:rPr>
  </w:style>
  <w:style w:type="paragraph" w:styleId="Header">
    <w:name w:val="header"/>
    <w:basedOn w:val="Normal"/>
    <w:link w:val="Head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E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E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86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8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88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6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8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AD1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197B"/>
  </w:style>
  <w:style w:type="character" w:styleId="FootnoteReference">
    <w:name w:val="footnote reference"/>
    <w:basedOn w:val="DefaultParagraphFont"/>
    <w:semiHidden/>
    <w:unhideWhenUsed/>
    <w:rsid w:val="00AD197B"/>
    <w:rPr>
      <w:vertAlign w:val="superscript"/>
    </w:rPr>
  </w:style>
  <w:style w:type="paragraph" w:styleId="Header">
    <w:name w:val="header"/>
    <w:basedOn w:val="Normal"/>
    <w:link w:val="Head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E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E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2983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2017-06-14T16:50:00Z</cp:lastPrinted>
  <dcterms:created xsi:type="dcterms:W3CDTF">2017-07-13T15:50:00Z</dcterms:created>
  <dcterms:modified xsi:type="dcterms:W3CDTF">2017-07-13T15:50:00Z</dcterms:modified>
  <cp:category> </cp:category>
  <cp:contentStatus> </cp:contentStatus>
</cp:coreProperties>
</file>