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36BFA796" w14:textId="77777777" w:rsidTr="006D5D22">
        <w:trPr>
          <w:trHeight w:val="2181"/>
        </w:trPr>
        <w:tc>
          <w:tcPr>
            <w:tcW w:w="8856" w:type="dxa"/>
          </w:tcPr>
          <w:p w14:paraId="300F5F4D" w14:textId="77777777" w:rsidR="00FF232D" w:rsidRDefault="00CE14FD" w:rsidP="006A7D75">
            <w:pPr>
              <w:jc w:val="center"/>
              <w:rPr>
                <w:b/>
              </w:rPr>
            </w:pPr>
            <w:bookmarkStart w:id="0" w:name="_GoBack"/>
            <w:bookmarkEnd w:id="0"/>
            <w:r>
              <w:rPr>
                <w:b/>
                <w:i/>
                <w:noProof/>
                <w:sz w:val="28"/>
                <w:szCs w:val="28"/>
              </w:rPr>
              <w:drawing>
                <wp:inline distT="0" distB="0" distL="0" distR="0" wp14:anchorId="49D8A9CA" wp14:editId="17F69934">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58C7EB02" w14:textId="77777777" w:rsidR="00426518" w:rsidRDefault="00426518" w:rsidP="00B57131">
            <w:pPr>
              <w:rPr>
                <w:b/>
                <w:bCs/>
              </w:rPr>
            </w:pPr>
          </w:p>
          <w:p w14:paraId="088F8F7F" w14:textId="77777777" w:rsidR="007A44F8" w:rsidRPr="008A3940" w:rsidRDefault="007A44F8" w:rsidP="00BB4E29">
            <w:pPr>
              <w:rPr>
                <w:b/>
                <w:bCs/>
                <w:sz w:val="22"/>
                <w:szCs w:val="22"/>
              </w:rPr>
            </w:pPr>
            <w:r w:rsidRPr="008A3940">
              <w:rPr>
                <w:b/>
                <w:bCs/>
                <w:sz w:val="22"/>
                <w:szCs w:val="22"/>
              </w:rPr>
              <w:t xml:space="preserve">Media Contact: </w:t>
            </w:r>
          </w:p>
          <w:p w14:paraId="0680BC2E" w14:textId="77777777" w:rsidR="007A44F8" w:rsidRPr="008A3940" w:rsidRDefault="00C511B1"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418-0253</w:t>
            </w:r>
          </w:p>
          <w:p w14:paraId="13BFD74D" w14:textId="77777777" w:rsidR="00FF232D" w:rsidRPr="008A3940" w:rsidRDefault="00C511B1" w:rsidP="00BB4E29">
            <w:pPr>
              <w:rPr>
                <w:bCs/>
                <w:sz w:val="22"/>
                <w:szCs w:val="22"/>
              </w:rPr>
            </w:pPr>
            <w:r>
              <w:rPr>
                <w:bCs/>
                <w:sz w:val="22"/>
                <w:szCs w:val="22"/>
              </w:rPr>
              <w:t>mark.wigfield</w:t>
            </w:r>
            <w:r w:rsidR="007A44F8" w:rsidRPr="008A3940">
              <w:rPr>
                <w:bCs/>
                <w:sz w:val="22"/>
                <w:szCs w:val="22"/>
              </w:rPr>
              <w:t>@fcc.gov</w:t>
            </w:r>
          </w:p>
          <w:p w14:paraId="41B36D5B" w14:textId="77777777" w:rsidR="007A44F8" w:rsidRPr="008A3940" w:rsidRDefault="007A44F8" w:rsidP="00BB4E29">
            <w:pPr>
              <w:rPr>
                <w:bCs/>
                <w:sz w:val="22"/>
                <w:szCs w:val="22"/>
              </w:rPr>
            </w:pPr>
          </w:p>
          <w:p w14:paraId="1B77015F" w14:textId="77777777" w:rsidR="007A44F8" w:rsidRPr="008A3940" w:rsidRDefault="007A44F8" w:rsidP="00BB4E29">
            <w:pPr>
              <w:rPr>
                <w:b/>
                <w:sz w:val="22"/>
                <w:szCs w:val="22"/>
              </w:rPr>
            </w:pPr>
            <w:r w:rsidRPr="008A3940">
              <w:rPr>
                <w:b/>
                <w:sz w:val="22"/>
                <w:szCs w:val="22"/>
              </w:rPr>
              <w:t>For Immediate Release</w:t>
            </w:r>
          </w:p>
          <w:p w14:paraId="3F7C4DAA" w14:textId="77777777" w:rsidR="007A44F8" w:rsidRDefault="007A44F8" w:rsidP="00BB4E29">
            <w:pPr>
              <w:jc w:val="center"/>
              <w:rPr>
                <w:b/>
                <w:bCs/>
                <w:sz w:val="32"/>
                <w:szCs w:val="32"/>
              </w:rPr>
            </w:pPr>
          </w:p>
          <w:p w14:paraId="1EBC366C" w14:textId="77777777" w:rsidR="00C511B1" w:rsidRDefault="00C511B1" w:rsidP="00C511B1">
            <w:pPr>
              <w:tabs>
                <w:tab w:val="left" w:pos="8625"/>
              </w:tabs>
              <w:jc w:val="center"/>
              <w:rPr>
                <w:b/>
                <w:bCs/>
                <w:sz w:val="26"/>
                <w:szCs w:val="26"/>
              </w:rPr>
            </w:pPr>
            <w:r>
              <w:rPr>
                <w:b/>
                <w:bCs/>
                <w:sz w:val="26"/>
                <w:szCs w:val="26"/>
              </w:rPr>
              <w:t>FCC TAKES NEXT STEPS TOWARD EXPANDING RURAL BROADBAND ACCESS</w:t>
            </w:r>
          </w:p>
          <w:p w14:paraId="1DF6365E" w14:textId="77777777" w:rsidR="00C511B1" w:rsidRPr="00353B83" w:rsidRDefault="000E6D70" w:rsidP="00C511B1">
            <w:pPr>
              <w:tabs>
                <w:tab w:val="left" w:pos="8625"/>
              </w:tabs>
              <w:jc w:val="center"/>
              <w:rPr>
                <w:b/>
                <w:bCs/>
                <w:i/>
              </w:rPr>
            </w:pPr>
            <w:r w:rsidRPr="00353B83">
              <w:rPr>
                <w:b/>
                <w:bCs/>
                <w:i/>
              </w:rPr>
              <w:t>Sets Details of Reverse Auction to Maximize Consumer Value</w:t>
            </w:r>
          </w:p>
          <w:p w14:paraId="09908693" w14:textId="77777777" w:rsidR="00C511B1" w:rsidRPr="006B0A70" w:rsidRDefault="00C511B1" w:rsidP="00C511B1">
            <w:pPr>
              <w:tabs>
                <w:tab w:val="left" w:pos="8625"/>
              </w:tabs>
              <w:jc w:val="center"/>
              <w:rPr>
                <w:i/>
                <w:color w:val="F2F2F2" w:themeColor="background1" w:themeShade="F2"/>
                <w:sz w:val="28"/>
              </w:rPr>
            </w:pPr>
            <w:r>
              <w:rPr>
                <w:b/>
                <w:bCs/>
                <w:i/>
                <w:sz w:val="26"/>
                <w:szCs w:val="26"/>
              </w:rPr>
              <w:t xml:space="preserve"> </w:t>
            </w:r>
            <w:r w:rsidRPr="006B0A70">
              <w:rPr>
                <w:b/>
                <w:bCs/>
                <w:i/>
                <w:sz w:val="28"/>
                <w:szCs w:val="32"/>
              </w:rPr>
              <w:t xml:space="preserve">  </w:t>
            </w:r>
            <w:r w:rsidRPr="006B0A70">
              <w:rPr>
                <w:b/>
                <w:bCs/>
                <w:i/>
                <w:color w:val="F2F2F2" w:themeColor="background1" w:themeShade="F2"/>
                <w:sz w:val="28"/>
                <w:szCs w:val="32"/>
              </w:rPr>
              <w:t xml:space="preserve">-- </w:t>
            </w:r>
          </w:p>
          <w:p w14:paraId="08876164" w14:textId="4BA670B6" w:rsidR="00C511B1" w:rsidRDefault="00C511B1" w:rsidP="00353B83">
            <w:pPr>
              <w:rPr>
                <w:sz w:val="22"/>
                <w:szCs w:val="22"/>
              </w:rPr>
            </w:pPr>
            <w:r w:rsidRPr="00482285">
              <w:rPr>
                <w:sz w:val="22"/>
                <w:szCs w:val="22"/>
              </w:rPr>
              <w:t xml:space="preserve">WASHINGTON, </w:t>
            </w:r>
            <w:r w:rsidR="00353B83">
              <w:rPr>
                <w:sz w:val="22"/>
                <w:szCs w:val="22"/>
              </w:rPr>
              <w:t>February</w:t>
            </w:r>
            <w:r w:rsidR="000E6D70">
              <w:rPr>
                <w:sz w:val="22"/>
                <w:szCs w:val="22"/>
              </w:rPr>
              <w:t xml:space="preserve"> 23, 2017</w:t>
            </w:r>
            <w:r w:rsidRPr="00482285">
              <w:rPr>
                <w:sz w:val="22"/>
                <w:szCs w:val="22"/>
              </w:rPr>
              <w:t xml:space="preserve"> – Continuing its push to expand </w:t>
            </w:r>
            <w:r>
              <w:rPr>
                <w:sz w:val="22"/>
                <w:szCs w:val="22"/>
              </w:rPr>
              <w:t xml:space="preserve">access to </w:t>
            </w:r>
            <w:r w:rsidRPr="00482285">
              <w:rPr>
                <w:sz w:val="22"/>
                <w:szCs w:val="22"/>
              </w:rPr>
              <w:t xml:space="preserve">broadband </w:t>
            </w:r>
            <w:r w:rsidR="000E6D70">
              <w:rPr>
                <w:sz w:val="22"/>
                <w:szCs w:val="22"/>
              </w:rPr>
              <w:t xml:space="preserve">in rural America, </w:t>
            </w:r>
            <w:r w:rsidRPr="00482285">
              <w:rPr>
                <w:sz w:val="22"/>
                <w:szCs w:val="22"/>
              </w:rPr>
              <w:t>the Federal Communications Commission</w:t>
            </w:r>
            <w:r w:rsidR="006A5A68">
              <w:rPr>
                <w:sz w:val="22"/>
                <w:szCs w:val="22"/>
              </w:rPr>
              <w:t xml:space="preserve"> today</w:t>
            </w:r>
            <w:r w:rsidRPr="00482285">
              <w:rPr>
                <w:sz w:val="22"/>
                <w:szCs w:val="22"/>
              </w:rPr>
              <w:t xml:space="preserve"> </w:t>
            </w:r>
            <w:r w:rsidR="000E6D70">
              <w:rPr>
                <w:sz w:val="22"/>
                <w:szCs w:val="22"/>
              </w:rPr>
              <w:t xml:space="preserve">set </w:t>
            </w:r>
            <w:r w:rsidR="007D0D28">
              <w:rPr>
                <w:sz w:val="22"/>
                <w:szCs w:val="22"/>
              </w:rPr>
              <w:t xml:space="preserve">key rules for a competitive </w:t>
            </w:r>
            <w:r w:rsidR="000E6D70">
              <w:rPr>
                <w:sz w:val="22"/>
                <w:szCs w:val="22"/>
              </w:rPr>
              <w:t xml:space="preserve">“reverse auction” that will provide nearly $2 billion for </w:t>
            </w:r>
            <w:r w:rsidR="005454AF">
              <w:rPr>
                <w:sz w:val="22"/>
                <w:szCs w:val="22"/>
              </w:rPr>
              <w:t xml:space="preserve">rural </w:t>
            </w:r>
            <w:r w:rsidR="000E6D70">
              <w:rPr>
                <w:sz w:val="22"/>
                <w:szCs w:val="22"/>
              </w:rPr>
              <w:t xml:space="preserve">deployment over the </w:t>
            </w:r>
            <w:r>
              <w:rPr>
                <w:sz w:val="22"/>
                <w:szCs w:val="22"/>
              </w:rPr>
              <w:t>next decade.</w:t>
            </w:r>
          </w:p>
          <w:p w14:paraId="4CAFDE58" w14:textId="77777777" w:rsidR="00C511B1" w:rsidRDefault="00C511B1" w:rsidP="00353B83">
            <w:pPr>
              <w:rPr>
                <w:sz w:val="22"/>
                <w:szCs w:val="22"/>
              </w:rPr>
            </w:pPr>
          </w:p>
          <w:p w14:paraId="11F1A579" w14:textId="77777777" w:rsidR="005454AF" w:rsidRDefault="005454AF" w:rsidP="00353B83">
            <w:pPr>
              <w:rPr>
                <w:sz w:val="22"/>
                <w:szCs w:val="22"/>
              </w:rPr>
            </w:pPr>
            <w:r>
              <w:rPr>
                <w:sz w:val="22"/>
                <w:szCs w:val="22"/>
              </w:rPr>
              <w:t xml:space="preserve">In the upcoming Connect America Fund Phase II auction, providers will compete </w:t>
            </w:r>
            <w:r w:rsidR="006A5A68">
              <w:rPr>
                <w:sz w:val="22"/>
                <w:szCs w:val="22"/>
              </w:rPr>
              <w:t>for support to expand broadband to unserved areas, along with voice service. The auction rules established today aim to maximize the value the American people will receive for the Connect America Fund dollars spent by balancing deployment of higher-quality services with cost efficiencies.</w:t>
            </w:r>
          </w:p>
          <w:p w14:paraId="7E65BBB7" w14:textId="77777777" w:rsidR="006A5A68" w:rsidRDefault="006A5A68" w:rsidP="00353B83">
            <w:pPr>
              <w:rPr>
                <w:sz w:val="22"/>
                <w:szCs w:val="22"/>
              </w:rPr>
            </w:pPr>
          </w:p>
          <w:p w14:paraId="1FDF547E" w14:textId="77777777" w:rsidR="005454AF" w:rsidRDefault="006A5A68" w:rsidP="00353B83">
            <w:pPr>
              <w:rPr>
                <w:sz w:val="22"/>
                <w:szCs w:val="22"/>
              </w:rPr>
            </w:pPr>
            <w:r>
              <w:rPr>
                <w:sz w:val="22"/>
                <w:szCs w:val="22"/>
              </w:rPr>
              <w:t xml:space="preserve">Broadband </w:t>
            </w:r>
            <w:r w:rsidR="00413F07">
              <w:rPr>
                <w:sz w:val="22"/>
                <w:szCs w:val="22"/>
              </w:rPr>
              <w:t>access is essential in the 21</w:t>
            </w:r>
            <w:r w:rsidR="00413F07" w:rsidRPr="00413F07">
              <w:rPr>
                <w:sz w:val="22"/>
                <w:szCs w:val="22"/>
                <w:vertAlign w:val="superscript"/>
              </w:rPr>
              <w:t>st</w:t>
            </w:r>
            <w:r w:rsidR="00413F07">
              <w:rPr>
                <w:sz w:val="22"/>
                <w:szCs w:val="22"/>
              </w:rPr>
              <w:t xml:space="preserve"> Century for jobs, education, information and economic development. Since 2011, the FCC has been working to expand access in rural areas where deployment costs are high by providing support from the Connect America Fund. </w:t>
            </w:r>
          </w:p>
          <w:p w14:paraId="55B926BC" w14:textId="77777777" w:rsidR="00413F07" w:rsidRDefault="00413F07" w:rsidP="00353B83">
            <w:pPr>
              <w:rPr>
                <w:sz w:val="22"/>
                <w:szCs w:val="22"/>
              </w:rPr>
            </w:pPr>
          </w:p>
          <w:p w14:paraId="3B0FE6A5" w14:textId="60020D51" w:rsidR="00413F07" w:rsidRDefault="00413F07" w:rsidP="00353B83">
            <w:pPr>
              <w:rPr>
                <w:sz w:val="22"/>
                <w:szCs w:val="22"/>
              </w:rPr>
            </w:pPr>
            <w:r>
              <w:rPr>
                <w:sz w:val="22"/>
                <w:szCs w:val="22"/>
              </w:rPr>
              <w:t xml:space="preserve">Today’s </w:t>
            </w:r>
            <w:r w:rsidR="007D0D28">
              <w:rPr>
                <w:sz w:val="22"/>
                <w:szCs w:val="22"/>
              </w:rPr>
              <w:t>action</w:t>
            </w:r>
            <w:r>
              <w:rPr>
                <w:sz w:val="22"/>
                <w:szCs w:val="22"/>
              </w:rPr>
              <w:t xml:space="preserve"> </w:t>
            </w:r>
            <w:r w:rsidR="007D0D28">
              <w:rPr>
                <w:sz w:val="22"/>
                <w:szCs w:val="22"/>
              </w:rPr>
              <w:t xml:space="preserve">focuses on </w:t>
            </w:r>
            <w:r>
              <w:rPr>
                <w:sz w:val="22"/>
                <w:szCs w:val="22"/>
              </w:rPr>
              <w:t xml:space="preserve">census blocks unserved by broadband in 20 states where the </w:t>
            </w:r>
            <w:r w:rsidR="007D0D28">
              <w:rPr>
                <w:sz w:val="22"/>
                <w:szCs w:val="22"/>
              </w:rPr>
              <w:t>nation’s largest carriers – known as “</w:t>
            </w:r>
            <w:r>
              <w:rPr>
                <w:sz w:val="22"/>
                <w:szCs w:val="22"/>
              </w:rPr>
              <w:t>price cap</w:t>
            </w:r>
            <w:r w:rsidR="007D0D28">
              <w:rPr>
                <w:sz w:val="22"/>
                <w:szCs w:val="22"/>
              </w:rPr>
              <w:t xml:space="preserve">” </w:t>
            </w:r>
            <w:r>
              <w:rPr>
                <w:sz w:val="22"/>
                <w:szCs w:val="22"/>
              </w:rPr>
              <w:t xml:space="preserve">carriers </w:t>
            </w:r>
            <w:r w:rsidR="00E9015E">
              <w:rPr>
                <w:sz w:val="22"/>
                <w:szCs w:val="22"/>
              </w:rPr>
              <w:t xml:space="preserve">– </w:t>
            </w:r>
            <w:r>
              <w:rPr>
                <w:sz w:val="22"/>
                <w:szCs w:val="22"/>
              </w:rPr>
              <w:t>declined last year’s Connect America Fund offer</w:t>
            </w:r>
            <w:r w:rsidR="007D0D28">
              <w:rPr>
                <w:sz w:val="22"/>
                <w:szCs w:val="22"/>
              </w:rPr>
              <w:t xml:space="preserve"> of support.</w:t>
            </w:r>
            <w:r>
              <w:rPr>
                <w:sz w:val="22"/>
                <w:szCs w:val="22"/>
              </w:rPr>
              <w:t xml:space="preserve"> Also included in the auction are locations across the country with extremely high deployment costs.</w:t>
            </w:r>
          </w:p>
          <w:p w14:paraId="6C101471" w14:textId="77777777" w:rsidR="007D0D28" w:rsidRDefault="007D0D28" w:rsidP="00353B83">
            <w:pPr>
              <w:rPr>
                <w:sz w:val="22"/>
                <w:szCs w:val="22"/>
              </w:rPr>
            </w:pPr>
          </w:p>
          <w:p w14:paraId="3FED1E59" w14:textId="77777777" w:rsidR="007D0D28" w:rsidRPr="008A4BC9" w:rsidRDefault="007D0D28" w:rsidP="00353B83">
            <w:pPr>
              <w:rPr>
                <w:sz w:val="22"/>
                <w:szCs w:val="22"/>
              </w:rPr>
            </w:pPr>
            <w:r>
              <w:rPr>
                <w:sz w:val="22"/>
                <w:szCs w:val="22"/>
              </w:rPr>
              <w:t xml:space="preserve">The Order balances </w:t>
            </w:r>
            <w:r w:rsidRPr="008A4BC9">
              <w:rPr>
                <w:sz w:val="22"/>
                <w:szCs w:val="22"/>
              </w:rPr>
              <w:t>incentives for deployment of higher-quality services with cost efficiencies by establishing auction “weights” that credit bids by companies offering more robust service. Specifically, the Order:</w:t>
            </w:r>
          </w:p>
          <w:p w14:paraId="06B21A5F" w14:textId="77777777" w:rsidR="00AC1DF2" w:rsidRPr="008A4BC9" w:rsidRDefault="00AC1DF2" w:rsidP="002961E4">
            <w:pPr>
              <w:rPr>
                <w:sz w:val="22"/>
                <w:szCs w:val="22"/>
              </w:rPr>
            </w:pPr>
          </w:p>
          <w:p w14:paraId="79AA6069" w14:textId="45BEF8FE" w:rsidR="00AC1DF2" w:rsidRPr="008A4BC9" w:rsidRDefault="00AC1DF2" w:rsidP="002961E4">
            <w:pPr>
              <w:pStyle w:val="ListParagraph"/>
              <w:numPr>
                <w:ilvl w:val="0"/>
                <w:numId w:val="4"/>
              </w:numPr>
              <w:ind w:left="720"/>
              <w:rPr>
                <w:color w:val="000000"/>
                <w:sz w:val="22"/>
                <w:szCs w:val="22"/>
              </w:rPr>
            </w:pPr>
            <w:r w:rsidRPr="008A4BC9">
              <w:rPr>
                <w:sz w:val="22"/>
                <w:szCs w:val="22"/>
              </w:rPr>
              <w:t xml:space="preserve">Establishes bidding weights to compare bids across performance tiers set last year (see </w:t>
            </w:r>
            <w:r w:rsidR="007D5F40" w:rsidRPr="008A4BC9">
              <w:rPr>
                <w:sz w:val="22"/>
                <w:szCs w:val="22"/>
              </w:rPr>
              <w:t xml:space="preserve">2016 </w:t>
            </w:r>
            <w:r w:rsidRPr="008A4BC9">
              <w:rPr>
                <w:sz w:val="22"/>
                <w:szCs w:val="22"/>
              </w:rPr>
              <w:t xml:space="preserve">press release at  </w:t>
            </w:r>
            <w:hyperlink r:id="rId9" w:history="1">
              <w:r w:rsidRPr="008A4BC9">
                <w:rPr>
                  <w:rStyle w:val="Hyperlink"/>
                  <w:sz w:val="22"/>
                  <w:szCs w:val="22"/>
                </w:rPr>
                <w:t>https://apps.fcc.gov/edocs_public/attachmatch/DOC-339550A1.docx</w:t>
              </w:r>
            </w:hyperlink>
            <w:r w:rsidRPr="008A4BC9">
              <w:rPr>
                <w:color w:val="000000"/>
                <w:sz w:val="22"/>
                <w:szCs w:val="22"/>
              </w:rPr>
              <w:t>)</w:t>
            </w:r>
          </w:p>
          <w:p w14:paraId="18419B4D" w14:textId="77777777" w:rsidR="00AC1DF2" w:rsidRPr="008A4BC9" w:rsidRDefault="00AC1DF2" w:rsidP="002961E4">
            <w:pPr>
              <w:pStyle w:val="ListParagraph"/>
              <w:numPr>
                <w:ilvl w:val="0"/>
                <w:numId w:val="4"/>
              </w:numPr>
              <w:ind w:left="720"/>
              <w:rPr>
                <w:rFonts w:ascii="Calibri" w:hAnsi="Calibri"/>
                <w:color w:val="000000"/>
                <w:sz w:val="22"/>
                <w:szCs w:val="22"/>
              </w:rPr>
            </w:pPr>
            <w:r w:rsidRPr="008A4BC9">
              <w:rPr>
                <w:sz w:val="22"/>
                <w:szCs w:val="22"/>
              </w:rPr>
              <w:t>These weights account for the value of higher speeds, higher usage allowances, and low latency</w:t>
            </w:r>
          </w:p>
          <w:p w14:paraId="27EF95E4" w14:textId="77777777" w:rsidR="00AC1DF2" w:rsidRPr="008A4BC9" w:rsidRDefault="00936A5E" w:rsidP="002961E4">
            <w:pPr>
              <w:pStyle w:val="ListParagraph"/>
              <w:numPr>
                <w:ilvl w:val="0"/>
                <w:numId w:val="4"/>
              </w:numPr>
              <w:ind w:left="720"/>
              <w:rPr>
                <w:rFonts w:ascii="Calibri" w:hAnsi="Calibri"/>
                <w:color w:val="000000"/>
                <w:sz w:val="22"/>
                <w:szCs w:val="22"/>
              </w:rPr>
            </w:pPr>
            <w:r w:rsidRPr="008A4BC9">
              <w:rPr>
                <w:sz w:val="22"/>
                <w:szCs w:val="22"/>
              </w:rPr>
              <w:t xml:space="preserve">But the formula used to rank bidders </w:t>
            </w:r>
            <w:r w:rsidR="00AC1DF2" w:rsidRPr="008A4BC9">
              <w:rPr>
                <w:sz w:val="22"/>
                <w:szCs w:val="22"/>
              </w:rPr>
              <w:t>bala</w:t>
            </w:r>
            <w:r w:rsidRPr="008A4BC9">
              <w:rPr>
                <w:sz w:val="22"/>
                <w:szCs w:val="22"/>
              </w:rPr>
              <w:t>nces these performance goals with the need to reach as many consumers as possible within the FCC’s budget for rural universal service support</w:t>
            </w:r>
          </w:p>
          <w:p w14:paraId="2D561928" w14:textId="77777777" w:rsidR="00936A5E" w:rsidRPr="008A4BC9" w:rsidRDefault="00936A5E" w:rsidP="002961E4">
            <w:pPr>
              <w:pStyle w:val="ListParagraph"/>
              <w:rPr>
                <w:rFonts w:ascii="Calibri" w:hAnsi="Calibri"/>
                <w:color w:val="000000"/>
                <w:sz w:val="22"/>
                <w:szCs w:val="22"/>
              </w:rPr>
            </w:pPr>
          </w:p>
          <w:p w14:paraId="5B0FD864" w14:textId="435544B3" w:rsidR="00936A5E" w:rsidRPr="00976D6C" w:rsidRDefault="00936A5E" w:rsidP="00936A5E">
            <w:pPr>
              <w:rPr>
                <w:sz w:val="22"/>
                <w:szCs w:val="22"/>
              </w:rPr>
            </w:pPr>
            <w:r w:rsidRPr="008A4BC9">
              <w:rPr>
                <w:sz w:val="22"/>
                <w:szCs w:val="22"/>
              </w:rPr>
              <w:t>The item builds on the substantial progress the FCC has made in recent years connecting rural America to broadband. In 2015, price</w:t>
            </w:r>
            <w:r w:rsidRPr="00976D6C">
              <w:rPr>
                <w:sz w:val="22"/>
                <w:szCs w:val="22"/>
              </w:rPr>
              <w:t xml:space="preserve"> cap carriers accepted $9 billion over six years from Phase II of the Connect America Fund to expand broadband in their rural service areas. And in March of 2016, the FCC reformed its broadband support for the nation’s smallest carriers, known as “rate-of-return” carriers, providing $20 billion over the next decade</w:t>
            </w:r>
            <w:r w:rsidR="00E9015E" w:rsidRPr="00976D6C">
              <w:rPr>
                <w:sz w:val="22"/>
                <w:szCs w:val="22"/>
              </w:rPr>
              <w:t>.</w:t>
            </w:r>
          </w:p>
          <w:p w14:paraId="09ED4B66" w14:textId="77777777" w:rsidR="00936A5E" w:rsidRPr="00976D6C" w:rsidRDefault="00936A5E" w:rsidP="00936A5E">
            <w:pPr>
              <w:rPr>
                <w:sz w:val="22"/>
                <w:szCs w:val="22"/>
              </w:rPr>
            </w:pPr>
          </w:p>
          <w:p w14:paraId="6F723E13" w14:textId="5CC37777" w:rsidR="00936A5E" w:rsidRPr="00976D6C" w:rsidRDefault="00936A5E" w:rsidP="00936A5E">
            <w:pPr>
              <w:rPr>
                <w:sz w:val="22"/>
                <w:szCs w:val="22"/>
              </w:rPr>
            </w:pPr>
            <w:r w:rsidRPr="00976D6C">
              <w:rPr>
                <w:sz w:val="22"/>
                <w:szCs w:val="22"/>
              </w:rPr>
              <w:t xml:space="preserve">Next steps for the Phase II auction include seeking comment on auction mechanics. After consideration of the record developed, the FCC will </w:t>
            </w:r>
            <w:r w:rsidR="00AC6FEB" w:rsidRPr="00976D6C">
              <w:rPr>
                <w:sz w:val="22"/>
                <w:szCs w:val="22"/>
              </w:rPr>
              <w:t xml:space="preserve">vote on </w:t>
            </w:r>
            <w:r w:rsidRPr="00976D6C">
              <w:rPr>
                <w:sz w:val="22"/>
                <w:szCs w:val="22"/>
              </w:rPr>
              <w:t>final</w:t>
            </w:r>
            <w:r w:rsidR="00963911" w:rsidRPr="00976D6C">
              <w:rPr>
                <w:sz w:val="22"/>
                <w:szCs w:val="22"/>
              </w:rPr>
              <w:t xml:space="preserve"> </w:t>
            </w:r>
            <w:r w:rsidR="007D5F40" w:rsidRPr="00976D6C">
              <w:rPr>
                <w:sz w:val="22"/>
                <w:szCs w:val="22"/>
              </w:rPr>
              <w:t xml:space="preserve">auction </w:t>
            </w:r>
            <w:r w:rsidR="00963911" w:rsidRPr="00976D6C">
              <w:rPr>
                <w:sz w:val="22"/>
                <w:szCs w:val="22"/>
              </w:rPr>
              <w:t>details and set specific deadlines and dates.</w:t>
            </w:r>
          </w:p>
          <w:p w14:paraId="0CC45DAF" w14:textId="77777777" w:rsidR="00963911" w:rsidRPr="00976D6C" w:rsidRDefault="00963911" w:rsidP="00936A5E">
            <w:pPr>
              <w:rPr>
                <w:sz w:val="22"/>
                <w:szCs w:val="22"/>
              </w:rPr>
            </w:pPr>
          </w:p>
          <w:p w14:paraId="644AC2F0" w14:textId="77777777" w:rsidR="00963911" w:rsidRPr="00976D6C" w:rsidRDefault="00963911" w:rsidP="00936A5E">
            <w:pPr>
              <w:rPr>
                <w:sz w:val="22"/>
                <w:szCs w:val="22"/>
              </w:rPr>
            </w:pPr>
            <w:r w:rsidRPr="00976D6C">
              <w:rPr>
                <w:sz w:val="22"/>
                <w:szCs w:val="22"/>
              </w:rPr>
              <w:t>Other resources:</w:t>
            </w:r>
          </w:p>
          <w:p w14:paraId="23254C27" w14:textId="5174D277" w:rsidR="00963911" w:rsidRPr="00976D6C" w:rsidRDefault="00963911" w:rsidP="00936A5E">
            <w:pPr>
              <w:rPr>
                <w:sz w:val="22"/>
                <w:szCs w:val="22"/>
              </w:rPr>
            </w:pPr>
            <w:r w:rsidRPr="00976D6C">
              <w:rPr>
                <w:sz w:val="22"/>
                <w:szCs w:val="22"/>
              </w:rPr>
              <w:t>Preliminary map of areas eli</w:t>
            </w:r>
            <w:r w:rsidR="00F348E5" w:rsidRPr="00976D6C">
              <w:rPr>
                <w:sz w:val="22"/>
                <w:szCs w:val="22"/>
              </w:rPr>
              <w:t>gible for the Phase II auction.</w:t>
            </w:r>
          </w:p>
          <w:p w14:paraId="68E73B46" w14:textId="2E776D18" w:rsidR="00963911" w:rsidRPr="00976D6C" w:rsidRDefault="00B34F87" w:rsidP="00936A5E">
            <w:pPr>
              <w:rPr>
                <w:sz w:val="22"/>
                <w:szCs w:val="22"/>
              </w:rPr>
            </w:pPr>
            <w:hyperlink r:id="rId10" w:history="1">
              <w:r w:rsidR="00963911" w:rsidRPr="00976D6C">
                <w:rPr>
                  <w:rStyle w:val="Hyperlink"/>
                  <w:sz w:val="22"/>
                  <w:szCs w:val="22"/>
                </w:rPr>
                <w:t>https://www.fcc.gov/reports-research/maps/caf-2-auction-preliminary-areas/</w:t>
              </w:r>
            </w:hyperlink>
          </w:p>
          <w:p w14:paraId="09D9D4BC" w14:textId="77777777" w:rsidR="00963911" w:rsidRDefault="00963911" w:rsidP="00936A5E">
            <w:pPr>
              <w:rPr>
                <w:sz w:val="22"/>
                <w:szCs w:val="22"/>
              </w:rPr>
            </w:pPr>
          </w:p>
          <w:p w14:paraId="2EEEC69B" w14:textId="77777777" w:rsidR="002961E4" w:rsidRDefault="002961E4" w:rsidP="00936A5E">
            <w:pPr>
              <w:rPr>
                <w:sz w:val="22"/>
                <w:szCs w:val="22"/>
              </w:rPr>
            </w:pPr>
          </w:p>
          <w:p w14:paraId="221E2AD3" w14:textId="77777777" w:rsidR="008A4BC9" w:rsidRPr="008A4BC9" w:rsidRDefault="008A4BC9" w:rsidP="008A4BC9">
            <w:pPr>
              <w:rPr>
                <w:sz w:val="22"/>
                <w:szCs w:val="22"/>
              </w:rPr>
            </w:pPr>
            <w:r w:rsidRPr="008A4BC9">
              <w:rPr>
                <w:sz w:val="22"/>
                <w:szCs w:val="22"/>
              </w:rPr>
              <w:t>Action by the Commission February 23, 2017 by Report and Order and Order on Reconsideration (FCC 17-12). Chairman Pai, Commissioner Clyburn approving. Commissioner O’Rielly approving in part and dissenting in part. Chairman Pai, Commissioners Clyburn and O’Rielly issuing separate statements.</w:t>
            </w:r>
          </w:p>
          <w:p w14:paraId="7A5DB1DF" w14:textId="77777777" w:rsidR="008A4BC9" w:rsidRPr="008A4BC9" w:rsidRDefault="008A4BC9" w:rsidP="008A4BC9">
            <w:pPr>
              <w:rPr>
                <w:sz w:val="22"/>
                <w:szCs w:val="22"/>
              </w:rPr>
            </w:pPr>
          </w:p>
          <w:p w14:paraId="345D336C" w14:textId="777DB451" w:rsidR="00976D6C" w:rsidRDefault="008A4BC9" w:rsidP="008A4BC9">
            <w:pPr>
              <w:rPr>
                <w:sz w:val="22"/>
                <w:szCs w:val="22"/>
              </w:rPr>
            </w:pPr>
            <w:r w:rsidRPr="008A4BC9">
              <w:rPr>
                <w:sz w:val="22"/>
                <w:szCs w:val="22"/>
              </w:rPr>
              <w:t>WC Docket No. 10-90; WC Docket No. 14-58</w:t>
            </w:r>
          </w:p>
          <w:p w14:paraId="2C474E3F" w14:textId="77777777" w:rsidR="00936A5E" w:rsidRPr="00936A5E" w:rsidRDefault="00936A5E" w:rsidP="00936A5E">
            <w:pPr>
              <w:pStyle w:val="ListParagraph"/>
              <w:ind w:left="1080"/>
              <w:rPr>
                <w:rFonts w:ascii="Calibri" w:hAnsi="Calibri"/>
                <w:color w:val="000000"/>
                <w:sz w:val="22"/>
                <w:szCs w:val="22"/>
              </w:rPr>
            </w:pPr>
          </w:p>
          <w:p w14:paraId="46919FD4" w14:textId="77777777" w:rsidR="004F0F1F" w:rsidRPr="009972BC" w:rsidRDefault="00F708E3" w:rsidP="00BB4E29">
            <w:pPr>
              <w:ind w:right="240"/>
              <w:jc w:val="center"/>
              <w:rPr>
                <w:sz w:val="22"/>
                <w:szCs w:val="22"/>
              </w:rPr>
            </w:pPr>
            <w:r w:rsidRPr="009972BC">
              <w:rPr>
                <w:sz w:val="22"/>
                <w:szCs w:val="22"/>
              </w:rPr>
              <w:t>###</w:t>
            </w:r>
          </w:p>
          <w:p w14:paraId="5BAD52CB"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234E1A3A"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0650ECCE" w14:textId="77777777" w:rsidR="00CC5E08" w:rsidRPr="006B0A70" w:rsidRDefault="006A2FC5" w:rsidP="00BB4E29">
            <w:pPr>
              <w:ind w:right="498"/>
              <w:jc w:val="center"/>
              <w:rPr>
                <w:b/>
                <w:bCs/>
                <w:sz w:val="18"/>
                <w:szCs w:val="18"/>
              </w:rPr>
            </w:pPr>
            <w:r>
              <w:rPr>
                <w:b/>
                <w:bCs/>
                <w:sz w:val="18"/>
                <w:szCs w:val="18"/>
              </w:rPr>
              <w:t>Twitter: @FCC</w:t>
            </w:r>
          </w:p>
          <w:p w14:paraId="6999441F" w14:textId="732841E3" w:rsidR="00CC5E08" w:rsidRDefault="00B34F87" w:rsidP="00BB4E29">
            <w:pPr>
              <w:ind w:right="498"/>
              <w:jc w:val="center"/>
              <w:rPr>
                <w:rStyle w:val="Hyperlink"/>
                <w:b/>
                <w:bCs/>
                <w:color w:val="auto"/>
                <w:sz w:val="18"/>
                <w:szCs w:val="18"/>
              </w:rPr>
            </w:pPr>
            <w:hyperlink r:id="rId11" w:history="1">
              <w:r w:rsidR="00EE0E90" w:rsidRPr="00EE0E90">
                <w:rPr>
                  <w:rStyle w:val="Hyperlink"/>
                  <w:b/>
                  <w:bCs/>
                  <w:color w:val="auto"/>
                  <w:sz w:val="18"/>
                  <w:szCs w:val="18"/>
                </w:rPr>
                <w:t>www.fcc.gov/office-media-relations</w:t>
              </w:r>
            </w:hyperlink>
          </w:p>
          <w:p w14:paraId="37D73653" w14:textId="77777777" w:rsidR="0069420F" w:rsidRPr="00EE0E90" w:rsidRDefault="0069420F" w:rsidP="00BB4E29">
            <w:pPr>
              <w:ind w:right="498"/>
              <w:jc w:val="center"/>
              <w:rPr>
                <w:b/>
                <w:bCs/>
                <w:sz w:val="18"/>
                <w:szCs w:val="18"/>
              </w:rPr>
            </w:pPr>
          </w:p>
          <w:p w14:paraId="564BD88E"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718D03D3" w14:textId="77777777" w:rsidR="00D24C3D" w:rsidRPr="007528A5" w:rsidRDefault="00D24C3D">
      <w:pPr>
        <w:rPr>
          <w:b/>
          <w:bCs/>
          <w:sz w:val="2"/>
          <w:szCs w:val="2"/>
        </w:rPr>
      </w:pPr>
    </w:p>
    <w:sectPr w:rsidR="00D24C3D" w:rsidRPr="007528A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E7FF1" w14:textId="77777777" w:rsidR="004B409C" w:rsidRDefault="004B409C" w:rsidP="004B409C">
      <w:r>
        <w:separator/>
      </w:r>
    </w:p>
  </w:endnote>
  <w:endnote w:type="continuationSeparator" w:id="0">
    <w:p w14:paraId="36ACFDBF" w14:textId="77777777" w:rsidR="004B409C" w:rsidRDefault="004B409C" w:rsidP="004B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A93F4" w14:textId="77777777" w:rsidR="004B409C" w:rsidRDefault="004B4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0898C" w14:textId="77777777" w:rsidR="004B409C" w:rsidRDefault="004B40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48808" w14:textId="77777777" w:rsidR="004B409C" w:rsidRDefault="004B4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B27F2" w14:textId="77777777" w:rsidR="004B409C" w:rsidRDefault="004B409C" w:rsidP="004B409C">
      <w:r>
        <w:separator/>
      </w:r>
    </w:p>
  </w:footnote>
  <w:footnote w:type="continuationSeparator" w:id="0">
    <w:p w14:paraId="70C3A759" w14:textId="77777777" w:rsidR="004B409C" w:rsidRDefault="004B409C" w:rsidP="004B4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1BB6" w14:textId="77777777" w:rsidR="004B409C" w:rsidRDefault="004B4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F85B" w14:textId="77777777" w:rsidR="004B409C" w:rsidRDefault="004B4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01EE1" w14:textId="77777777" w:rsidR="004B409C" w:rsidRDefault="004B4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54A"/>
    <w:multiLevelType w:val="hybridMultilevel"/>
    <w:tmpl w:val="E42C2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F33954"/>
    <w:multiLevelType w:val="hybridMultilevel"/>
    <w:tmpl w:val="04128D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8F"/>
    <w:rsid w:val="0002500C"/>
    <w:rsid w:val="000311FC"/>
    <w:rsid w:val="00040127"/>
    <w:rsid w:val="00081232"/>
    <w:rsid w:val="00091E65"/>
    <w:rsid w:val="00096D4A"/>
    <w:rsid w:val="000A38EA"/>
    <w:rsid w:val="000C1E47"/>
    <w:rsid w:val="000C26F3"/>
    <w:rsid w:val="000E049E"/>
    <w:rsid w:val="000E6D70"/>
    <w:rsid w:val="0010799B"/>
    <w:rsid w:val="00117DB2"/>
    <w:rsid w:val="00123ED2"/>
    <w:rsid w:val="00125BE0"/>
    <w:rsid w:val="00137EE3"/>
    <w:rsid w:val="00142C13"/>
    <w:rsid w:val="00152776"/>
    <w:rsid w:val="00153222"/>
    <w:rsid w:val="001577D3"/>
    <w:rsid w:val="001733A6"/>
    <w:rsid w:val="001865A9"/>
    <w:rsid w:val="00187DB2"/>
    <w:rsid w:val="001A1842"/>
    <w:rsid w:val="001B20BB"/>
    <w:rsid w:val="001C4370"/>
    <w:rsid w:val="001D0A72"/>
    <w:rsid w:val="001D3779"/>
    <w:rsid w:val="001F0469"/>
    <w:rsid w:val="00203A98"/>
    <w:rsid w:val="00206EDD"/>
    <w:rsid w:val="0021247E"/>
    <w:rsid w:val="002146F6"/>
    <w:rsid w:val="00231C32"/>
    <w:rsid w:val="00240345"/>
    <w:rsid w:val="002421F0"/>
    <w:rsid w:val="00247274"/>
    <w:rsid w:val="00266966"/>
    <w:rsid w:val="00294C0C"/>
    <w:rsid w:val="002961E4"/>
    <w:rsid w:val="002A0934"/>
    <w:rsid w:val="002B1013"/>
    <w:rsid w:val="002D03E5"/>
    <w:rsid w:val="002E3F1D"/>
    <w:rsid w:val="002F31D0"/>
    <w:rsid w:val="00300359"/>
    <w:rsid w:val="0031773E"/>
    <w:rsid w:val="00347716"/>
    <w:rsid w:val="003506E1"/>
    <w:rsid w:val="00353B83"/>
    <w:rsid w:val="003727E3"/>
    <w:rsid w:val="00385A93"/>
    <w:rsid w:val="003910F1"/>
    <w:rsid w:val="003E42FC"/>
    <w:rsid w:val="003E5991"/>
    <w:rsid w:val="003F344A"/>
    <w:rsid w:val="00403FF0"/>
    <w:rsid w:val="00413F07"/>
    <w:rsid w:val="0042046D"/>
    <w:rsid w:val="0042116E"/>
    <w:rsid w:val="00425AEF"/>
    <w:rsid w:val="00426518"/>
    <w:rsid w:val="00427B06"/>
    <w:rsid w:val="00441F59"/>
    <w:rsid w:val="00444E07"/>
    <w:rsid w:val="00444FA9"/>
    <w:rsid w:val="00473E9C"/>
    <w:rsid w:val="00480099"/>
    <w:rsid w:val="00497858"/>
    <w:rsid w:val="004B409C"/>
    <w:rsid w:val="004B4FEA"/>
    <w:rsid w:val="004C0ADA"/>
    <w:rsid w:val="004C433E"/>
    <w:rsid w:val="004C4512"/>
    <w:rsid w:val="004C4F36"/>
    <w:rsid w:val="004D3D85"/>
    <w:rsid w:val="004E2BD8"/>
    <w:rsid w:val="004F0F1F"/>
    <w:rsid w:val="005022AA"/>
    <w:rsid w:val="00504845"/>
    <w:rsid w:val="0050757F"/>
    <w:rsid w:val="00516AD2"/>
    <w:rsid w:val="005454AF"/>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5A68"/>
    <w:rsid w:val="006A7D75"/>
    <w:rsid w:val="006B0A70"/>
    <w:rsid w:val="006B606A"/>
    <w:rsid w:val="006C33AF"/>
    <w:rsid w:val="006D5D22"/>
    <w:rsid w:val="006E0324"/>
    <w:rsid w:val="006E4A76"/>
    <w:rsid w:val="006F1DBD"/>
    <w:rsid w:val="006F5BF3"/>
    <w:rsid w:val="00700556"/>
    <w:rsid w:val="007167DD"/>
    <w:rsid w:val="0072478B"/>
    <w:rsid w:val="0073414D"/>
    <w:rsid w:val="0075235E"/>
    <w:rsid w:val="007528A5"/>
    <w:rsid w:val="007732CC"/>
    <w:rsid w:val="00774079"/>
    <w:rsid w:val="0077752B"/>
    <w:rsid w:val="00793D6F"/>
    <w:rsid w:val="00794090"/>
    <w:rsid w:val="007A44F8"/>
    <w:rsid w:val="007D0D28"/>
    <w:rsid w:val="007D21BF"/>
    <w:rsid w:val="007D5F40"/>
    <w:rsid w:val="007F3C12"/>
    <w:rsid w:val="007F5205"/>
    <w:rsid w:val="008215E7"/>
    <w:rsid w:val="00830FC6"/>
    <w:rsid w:val="00865EAA"/>
    <w:rsid w:val="00866F06"/>
    <w:rsid w:val="008728F5"/>
    <w:rsid w:val="008824C2"/>
    <w:rsid w:val="008960E4"/>
    <w:rsid w:val="008A3940"/>
    <w:rsid w:val="008A4BC9"/>
    <w:rsid w:val="008B13C9"/>
    <w:rsid w:val="008C248C"/>
    <w:rsid w:val="008C5432"/>
    <w:rsid w:val="008C7BF1"/>
    <w:rsid w:val="008D00D6"/>
    <w:rsid w:val="008D4D00"/>
    <w:rsid w:val="008D4E5E"/>
    <w:rsid w:val="008D7ABD"/>
    <w:rsid w:val="008E55A2"/>
    <w:rsid w:val="008F1609"/>
    <w:rsid w:val="008F736F"/>
    <w:rsid w:val="008F78D8"/>
    <w:rsid w:val="00936A5E"/>
    <w:rsid w:val="00961620"/>
    <w:rsid w:val="00963911"/>
    <w:rsid w:val="009734B6"/>
    <w:rsid w:val="00976D6C"/>
    <w:rsid w:val="0098096F"/>
    <w:rsid w:val="0098437A"/>
    <w:rsid w:val="00986C92"/>
    <w:rsid w:val="00990E22"/>
    <w:rsid w:val="00993C47"/>
    <w:rsid w:val="009972BC"/>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1DF2"/>
    <w:rsid w:val="00AC4E0E"/>
    <w:rsid w:val="00AC517B"/>
    <w:rsid w:val="00AC6FEB"/>
    <w:rsid w:val="00AD0D19"/>
    <w:rsid w:val="00AF051B"/>
    <w:rsid w:val="00B037A2"/>
    <w:rsid w:val="00B31870"/>
    <w:rsid w:val="00B320B8"/>
    <w:rsid w:val="00B34F87"/>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511B1"/>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015E"/>
    <w:rsid w:val="00E94CD9"/>
    <w:rsid w:val="00EA1A76"/>
    <w:rsid w:val="00EA290B"/>
    <w:rsid w:val="00EE0E90"/>
    <w:rsid w:val="00EF3BCA"/>
    <w:rsid w:val="00F01B0D"/>
    <w:rsid w:val="00F1238F"/>
    <w:rsid w:val="00F16485"/>
    <w:rsid w:val="00F228ED"/>
    <w:rsid w:val="00F26E31"/>
    <w:rsid w:val="00F27C6C"/>
    <w:rsid w:val="00F348E5"/>
    <w:rsid w:val="00F34A8D"/>
    <w:rsid w:val="00F50D25"/>
    <w:rsid w:val="00F535D8"/>
    <w:rsid w:val="00F61155"/>
    <w:rsid w:val="00F708E3"/>
    <w:rsid w:val="00F76561"/>
    <w:rsid w:val="00F84736"/>
    <w:rsid w:val="00F8628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B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C511B1"/>
    <w:pPr>
      <w:ind w:left="720"/>
      <w:contextualSpacing/>
    </w:pPr>
    <w:rPr>
      <w:rFonts w:eastAsiaTheme="minorEastAsia"/>
    </w:rPr>
  </w:style>
  <w:style w:type="paragraph" w:customStyle="1" w:styleId="ParaNum">
    <w:name w:val="ParaNum"/>
    <w:basedOn w:val="Normal"/>
    <w:link w:val="ParaNumCharChar1"/>
    <w:rsid w:val="00C511B1"/>
    <w:pPr>
      <w:widowControl w:val="0"/>
      <w:numPr>
        <w:numId w:val="3"/>
      </w:numPr>
      <w:tabs>
        <w:tab w:val="clear" w:pos="1080"/>
        <w:tab w:val="num" w:pos="1440"/>
      </w:tabs>
      <w:spacing w:after="120"/>
    </w:pPr>
    <w:rPr>
      <w:snapToGrid w:val="0"/>
      <w:kern w:val="28"/>
      <w:sz w:val="22"/>
      <w:szCs w:val="20"/>
    </w:rPr>
  </w:style>
  <w:style w:type="character" w:customStyle="1" w:styleId="ParaNumCharChar1">
    <w:name w:val="ParaNum Char Char1"/>
    <w:link w:val="ParaNum"/>
    <w:locked/>
    <w:rsid w:val="00C511B1"/>
    <w:rPr>
      <w:snapToGrid w:val="0"/>
      <w:kern w:val="28"/>
      <w:sz w:val="22"/>
    </w:rPr>
  </w:style>
  <w:style w:type="paragraph" w:styleId="BalloonText">
    <w:name w:val="Balloon Text"/>
    <w:basedOn w:val="Normal"/>
    <w:link w:val="BalloonTextChar"/>
    <w:semiHidden/>
    <w:unhideWhenUsed/>
    <w:rsid w:val="00E9015E"/>
    <w:rPr>
      <w:rFonts w:ascii="Segoe UI" w:hAnsi="Segoe UI" w:cs="Segoe UI"/>
      <w:sz w:val="18"/>
      <w:szCs w:val="18"/>
    </w:rPr>
  </w:style>
  <w:style w:type="character" w:customStyle="1" w:styleId="BalloonTextChar">
    <w:name w:val="Balloon Text Char"/>
    <w:basedOn w:val="DefaultParagraphFont"/>
    <w:link w:val="BalloonText"/>
    <w:semiHidden/>
    <w:rsid w:val="00E9015E"/>
    <w:rPr>
      <w:rFonts w:ascii="Segoe UI" w:hAnsi="Segoe UI" w:cs="Segoe UI"/>
      <w:sz w:val="18"/>
      <w:szCs w:val="18"/>
    </w:rPr>
  </w:style>
  <w:style w:type="character" w:styleId="CommentReference">
    <w:name w:val="annotation reference"/>
    <w:basedOn w:val="DefaultParagraphFont"/>
    <w:semiHidden/>
    <w:unhideWhenUsed/>
    <w:rsid w:val="00E9015E"/>
    <w:rPr>
      <w:sz w:val="16"/>
      <w:szCs w:val="16"/>
    </w:rPr>
  </w:style>
  <w:style w:type="paragraph" w:styleId="CommentText">
    <w:name w:val="annotation text"/>
    <w:basedOn w:val="Normal"/>
    <w:link w:val="CommentTextChar"/>
    <w:semiHidden/>
    <w:unhideWhenUsed/>
    <w:rsid w:val="00E9015E"/>
    <w:rPr>
      <w:sz w:val="20"/>
      <w:szCs w:val="20"/>
    </w:rPr>
  </w:style>
  <w:style w:type="character" w:customStyle="1" w:styleId="CommentTextChar">
    <w:name w:val="Comment Text Char"/>
    <w:basedOn w:val="DefaultParagraphFont"/>
    <w:link w:val="CommentText"/>
    <w:semiHidden/>
    <w:rsid w:val="00E9015E"/>
  </w:style>
  <w:style w:type="paragraph" w:styleId="CommentSubject">
    <w:name w:val="annotation subject"/>
    <w:basedOn w:val="CommentText"/>
    <w:next w:val="CommentText"/>
    <w:link w:val="CommentSubjectChar"/>
    <w:semiHidden/>
    <w:unhideWhenUsed/>
    <w:rsid w:val="00E9015E"/>
    <w:rPr>
      <w:b/>
      <w:bCs/>
    </w:rPr>
  </w:style>
  <w:style w:type="character" w:customStyle="1" w:styleId="CommentSubjectChar">
    <w:name w:val="Comment Subject Char"/>
    <w:basedOn w:val="CommentTextChar"/>
    <w:link w:val="CommentSubject"/>
    <w:semiHidden/>
    <w:rsid w:val="00E9015E"/>
    <w:rPr>
      <w:b/>
      <w:bCs/>
    </w:rPr>
  </w:style>
  <w:style w:type="paragraph" w:styleId="Header">
    <w:name w:val="header"/>
    <w:basedOn w:val="Normal"/>
    <w:link w:val="HeaderChar"/>
    <w:unhideWhenUsed/>
    <w:rsid w:val="004B409C"/>
    <w:pPr>
      <w:tabs>
        <w:tab w:val="center" w:pos="4680"/>
        <w:tab w:val="right" w:pos="9360"/>
      </w:tabs>
    </w:pPr>
  </w:style>
  <w:style w:type="character" w:customStyle="1" w:styleId="HeaderChar">
    <w:name w:val="Header Char"/>
    <w:basedOn w:val="DefaultParagraphFont"/>
    <w:link w:val="Header"/>
    <w:rsid w:val="004B409C"/>
    <w:rPr>
      <w:sz w:val="24"/>
      <w:szCs w:val="24"/>
    </w:rPr>
  </w:style>
  <w:style w:type="paragraph" w:styleId="Footer">
    <w:name w:val="footer"/>
    <w:basedOn w:val="Normal"/>
    <w:link w:val="FooterChar"/>
    <w:unhideWhenUsed/>
    <w:rsid w:val="004B409C"/>
    <w:pPr>
      <w:tabs>
        <w:tab w:val="center" w:pos="4680"/>
        <w:tab w:val="right" w:pos="9360"/>
      </w:tabs>
    </w:pPr>
  </w:style>
  <w:style w:type="character" w:customStyle="1" w:styleId="FooterChar">
    <w:name w:val="Footer Char"/>
    <w:basedOn w:val="DefaultParagraphFont"/>
    <w:link w:val="Footer"/>
    <w:rsid w:val="004B40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C511B1"/>
    <w:pPr>
      <w:ind w:left="720"/>
      <w:contextualSpacing/>
    </w:pPr>
    <w:rPr>
      <w:rFonts w:eastAsiaTheme="minorEastAsia"/>
    </w:rPr>
  </w:style>
  <w:style w:type="paragraph" w:customStyle="1" w:styleId="ParaNum">
    <w:name w:val="ParaNum"/>
    <w:basedOn w:val="Normal"/>
    <w:link w:val="ParaNumCharChar1"/>
    <w:rsid w:val="00C511B1"/>
    <w:pPr>
      <w:widowControl w:val="0"/>
      <w:numPr>
        <w:numId w:val="3"/>
      </w:numPr>
      <w:tabs>
        <w:tab w:val="clear" w:pos="1080"/>
        <w:tab w:val="num" w:pos="1440"/>
      </w:tabs>
      <w:spacing w:after="120"/>
    </w:pPr>
    <w:rPr>
      <w:snapToGrid w:val="0"/>
      <w:kern w:val="28"/>
      <w:sz w:val="22"/>
      <w:szCs w:val="20"/>
    </w:rPr>
  </w:style>
  <w:style w:type="character" w:customStyle="1" w:styleId="ParaNumCharChar1">
    <w:name w:val="ParaNum Char Char1"/>
    <w:link w:val="ParaNum"/>
    <w:locked/>
    <w:rsid w:val="00C511B1"/>
    <w:rPr>
      <w:snapToGrid w:val="0"/>
      <w:kern w:val="28"/>
      <w:sz w:val="22"/>
    </w:rPr>
  </w:style>
  <w:style w:type="paragraph" w:styleId="BalloonText">
    <w:name w:val="Balloon Text"/>
    <w:basedOn w:val="Normal"/>
    <w:link w:val="BalloonTextChar"/>
    <w:semiHidden/>
    <w:unhideWhenUsed/>
    <w:rsid w:val="00E9015E"/>
    <w:rPr>
      <w:rFonts w:ascii="Segoe UI" w:hAnsi="Segoe UI" w:cs="Segoe UI"/>
      <w:sz w:val="18"/>
      <w:szCs w:val="18"/>
    </w:rPr>
  </w:style>
  <w:style w:type="character" w:customStyle="1" w:styleId="BalloonTextChar">
    <w:name w:val="Balloon Text Char"/>
    <w:basedOn w:val="DefaultParagraphFont"/>
    <w:link w:val="BalloonText"/>
    <w:semiHidden/>
    <w:rsid w:val="00E9015E"/>
    <w:rPr>
      <w:rFonts w:ascii="Segoe UI" w:hAnsi="Segoe UI" w:cs="Segoe UI"/>
      <w:sz w:val="18"/>
      <w:szCs w:val="18"/>
    </w:rPr>
  </w:style>
  <w:style w:type="character" w:styleId="CommentReference">
    <w:name w:val="annotation reference"/>
    <w:basedOn w:val="DefaultParagraphFont"/>
    <w:semiHidden/>
    <w:unhideWhenUsed/>
    <w:rsid w:val="00E9015E"/>
    <w:rPr>
      <w:sz w:val="16"/>
      <w:szCs w:val="16"/>
    </w:rPr>
  </w:style>
  <w:style w:type="paragraph" w:styleId="CommentText">
    <w:name w:val="annotation text"/>
    <w:basedOn w:val="Normal"/>
    <w:link w:val="CommentTextChar"/>
    <w:semiHidden/>
    <w:unhideWhenUsed/>
    <w:rsid w:val="00E9015E"/>
    <w:rPr>
      <w:sz w:val="20"/>
      <w:szCs w:val="20"/>
    </w:rPr>
  </w:style>
  <w:style w:type="character" w:customStyle="1" w:styleId="CommentTextChar">
    <w:name w:val="Comment Text Char"/>
    <w:basedOn w:val="DefaultParagraphFont"/>
    <w:link w:val="CommentText"/>
    <w:semiHidden/>
    <w:rsid w:val="00E9015E"/>
  </w:style>
  <w:style w:type="paragraph" w:styleId="CommentSubject">
    <w:name w:val="annotation subject"/>
    <w:basedOn w:val="CommentText"/>
    <w:next w:val="CommentText"/>
    <w:link w:val="CommentSubjectChar"/>
    <w:semiHidden/>
    <w:unhideWhenUsed/>
    <w:rsid w:val="00E9015E"/>
    <w:rPr>
      <w:b/>
      <w:bCs/>
    </w:rPr>
  </w:style>
  <w:style w:type="character" w:customStyle="1" w:styleId="CommentSubjectChar">
    <w:name w:val="Comment Subject Char"/>
    <w:basedOn w:val="CommentTextChar"/>
    <w:link w:val="CommentSubject"/>
    <w:semiHidden/>
    <w:rsid w:val="00E9015E"/>
    <w:rPr>
      <w:b/>
      <w:bCs/>
    </w:rPr>
  </w:style>
  <w:style w:type="paragraph" w:styleId="Header">
    <w:name w:val="header"/>
    <w:basedOn w:val="Normal"/>
    <w:link w:val="HeaderChar"/>
    <w:unhideWhenUsed/>
    <w:rsid w:val="004B409C"/>
    <w:pPr>
      <w:tabs>
        <w:tab w:val="center" w:pos="4680"/>
        <w:tab w:val="right" w:pos="9360"/>
      </w:tabs>
    </w:pPr>
  </w:style>
  <w:style w:type="character" w:customStyle="1" w:styleId="HeaderChar">
    <w:name w:val="Header Char"/>
    <w:basedOn w:val="DefaultParagraphFont"/>
    <w:link w:val="Header"/>
    <w:rsid w:val="004B409C"/>
    <w:rPr>
      <w:sz w:val="24"/>
      <w:szCs w:val="24"/>
    </w:rPr>
  </w:style>
  <w:style w:type="paragraph" w:styleId="Footer">
    <w:name w:val="footer"/>
    <w:basedOn w:val="Normal"/>
    <w:link w:val="FooterChar"/>
    <w:unhideWhenUsed/>
    <w:rsid w:val="004B409C"/>
    <w:pPr>
      <w:tabs>
        <w:tab w:val="center" w:pos="4680"/>
        <w:tab w:val="right" w:pos="9360"/>
      </w:tabs>
    </w:pPr>
  </w:style>
  <w:style w:type="character" w:customStyle="1" w:styleId="FooterChar">
    <w:name w:val="Footer Char"/>
    <w:basedOn w:val="DefaultParagraphFont"/>
    <w:link w:val="Footer"/>
    <w:rsid w:val="004B40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58806858">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reports-research/maps/caf-2-auction-preliminary-are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fcc.gov/edocs_public/attachmatch/DOC-339550A1.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3010</Characters>
  <Application>Microsoft Office Word</Application>
  <DocSecurity>0</DocSecurity>
  <Lines>74</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2017-02-23T16:27:00Z</dcterms:created>
  <dcterms:modified xsi:type="dcterms:W3CDTF">2017-02-23T16:27:00Z</dcterms:modified>
  <cp:category> </cp:category>
  <cp:contentStatus> </cp:contentStatus>
</cp:coreProperties>
</file>