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EB3" w:rsidRPr="00AF1983" w:rsidRDefault="00124EB3">
      <w:pPr>
        <w:rPr>
          <w:b/>
        </w:rPr>
      </w:pPr>
      <w:bookmarkStart w:id="0" w:name="_GoBack"/>
      <w:bookmarkEnd w:id="0"/>
    </w:p>
    <w:p w:rsidR="00283E5D" w:rsidRDefault="00283E5D">
      <w:pPr>
        <w:rPr>
          <w:b/>
        </w:rPr>
      </w:pPr>
      <w:r>
        <w:rPr>
          <w:b/>
        </w:rPr>
        <w:t>Introduction</w:t>
      </w:r>
    </w:p>
    <w:p w:rsidR="00FC1FDF" w:rsidRDefault="00FC1FDF"/>
    <w:p w:rsidR="00261BF8" w:rsidRDefault="009854CD">
      <w:r>
        <w:t>This paper aims to contribute to the ongoing discussion about a national</w:t>
      </w:r>
      <w:r w:rsidR="00283E5D">
        <w:t>-</w:t>
      </w:r>
      <w:r>
        <w:t xml:space="preserve">infrastructure plan </w:t>
      </w:r>
      <w:r w:rsidR="00261BF8">
        <w:t>by highlighting three points</w:t>
      </w:r>
      <w:r w:rsidR="00984CFE">
        <w:t xml:space="preserve"> </w:t>
      </w:r>
      <w:r w:rsidR="00FA1CB3">
        <w:t>relevant to communications, namely</w:t>
      </w:r>
      <w:r w:rsidR="00261BF8">
        <w:t>:</w:t>
      </w:r>
    </w:p>
    <w:p w:rsidR="0094485C" w:rsidRDefault="0094485C"/>
    <w:p w:rsidR="003D5E26" w:rsidRPr="0094485C" w:rsidRDefault="00D106E4" w:rsidP="003D5E26">
      <w:pPr>
        <w:pStyle w:val="ListParagraph"/>
        <w:numPr>
          <w:ilvl w:val="0"/>
          <w:numId w:val="1"/>
        </w:numPr>
        <w:rPr>
          <w:i/>
        </w:rPr>
      </w:pPr>
      <w:r w:rsidRPr="0094485C">
        <w:rPr>
          <w:i/>
        </w:rPr>
        <w:t xml:space="preserve">Improving the nation’s </w:t>
      </w:r>
      <w:r w:rsidR="00AA6F4B">
        <w:rPr>
          <w:i/>
        </w:rPr>
        <w:t>digital</w:t>
      </w:r>
      <w:r w:rsidRPr="0094485C">
        <w:rPr>
          <w:i/>
        </w:rPr>
        <w:t xml:space="preserve"> infrastructure should be </w:t>
      </w:r>
      <w:r w:rsidR="00D85252">
        <w:rPr>
          <w:i/>
        </w:rPr>
        <w:t xml:space="preserve">a significant </w:t>
      </w:r>
      <w:r w:rsidRPr="0094485C">
        <w:rPr>
          <w:i/>
        </w:rPr>
        <w:t xml:space="preserve">part of any </w:t>
      </w:r>
      <w:r w:rsidR="00AA6F4B">
        <w:rPr>
          <w:i/>
        </w:rPr>
        <w:t>national-</w:t>
      </w:r>
      <w:r w:rsidRPr="0094485C">
        <w:rPr>
          <w:i/>
        </w:rPr>
        <w:t>infrastructure plan</w:t>
      </w:r>
      <w:r w:rsidR="00C2308F">
        <w:rPr>
          <w:i/>
        </w:rPr>
        <w:t>,</w:t>
      </w:r>
      <w:r w:rsidR="00E50B8D">
        <w:rPr>
          <w:i/>
        </w:rPr>
        <w:t xml:space="preserve"> as the economic upside for the country </w:t>
      </w:r>
      <w:r w:rsidR="00C842F3">
        <w:rPr>
          <w:i/>
        </w:rPr>
        <w:t xml:space="preserve">from accelerating investment in broadband </w:t>
      </w:r>
      <w:r w:rsidR="00E50B8D">
        <w:rPr>
          <w:i/>
        </w:rPr>
        <w:t>is likely greater than from most other areas of infrastructure investment</w:t>
      </w:r>
      <w:r w:rsidRPr="0094485C">
        <w:rPr>
          <w:i/>
        </w:rPr>
        <w:t>.</w:t>
      </w:r>
    </w:p>
    <w:p w:rsidR="003C595B" w:rsidRDefault="003C595B" w:rsidP="003C595B">
      <w:pPr>
        <w:pStyle w:val="ListParagraph"/>
      </w:pPr>
    </w:p>
    <w:p w:rsidR="003C595B" w:rsidRPr="0094485C" w:rsidRDefault="00D106E4" w:rsidP="003D5E26">
      <w:pPr>
        <w:pStyle w:val="ListParagraph"/>
        <w:numPr>
          <w:ilvl w:val="0"/>
          <w:numId w:val="1"/>
        </w:numPr>
        <w:rPr>
          <w:i/>
        </w:rPr>
      </w:pPr>
      <w:r w:rsidRPr="0094485C">
        <w:rPr>
          <w:i/>
        </w:rPr>
        <w:t xml:space="preserve">The primary goal </w:t>
      </w:r>
      <w:r w:rsidR="003C595B" w:rsidRPr="0094485C">
        <w:rPr>
          <w:i/>
        </w:rPr>
        <w:t xml:space="preserve">of federal actions </w:t>
      </w:r>
      <w:r w:rsidRPr="0094485C">
        <w:rPr>
          <w:i/>
        </w:rPr>
        <w:t xml:space="preserve">with respect to digital infrastructure should be to </w:t>
      </w:r>
      <w:r w:rsidR="003C595B" w:rsidRPr="0094485C">
        <w:rPr>
          <w:i/>
        </w:rPr>
        <w:t>i</w:t>
      </w:r>
      <w:r w:rsidR="003D5E26" w:rsidRPr="0094485C">
        <w:rPr>
          <w:i/>
        </w:rPr>
        <w:t>ncrease and accelerate profitable, incremental</w:t>
      </w:r>
      <w:r w:rsidR="00853BED">
        <w:rPr>
          <w:i/>
        </w:rPr>
        <w:t>,</w:t>
      </w:r>
      <w:r w:rsidR="003D5E26" w:rsidRPr="0094485C">
        <w:rPr>
          <w:i/>
        </w:rPr>
        <w:t xml:space="preserve"> private-sector investment to achieve at least 98% nationwide deployment of future-proofed</w:t>
      </w:r>
      <w:r w:rsidR="00C842F3">
        <w:rPr>
          <w:i/>
        </w:rPr>
        <w:t>, fixed</w:t>
      </w:r>
      <w:r w:rsidR="003D5E26" w:rsidRPr="0094485C">
        <w:rPr>
          <w:i/>
        </w:rPr>
        <w:t xml:space="preserve"> broadband networks.</w:t>
      </w:r>
    </w:p>
    <w:p w:rsidR="003D5E26" w:rsidRPr="003D5E26" w:rsidRDefault="003D5E26" w:rsidP="003C595B">
      <w:r w:rsidRPr="003D5E26">
        <w:t xml:space="preserve"> </w:t>
      </w:r>
    </w:p>
    <w:p w:rsidR="003C595B" w:rsidRPr="0094485C" w:rsidRDefault="003C595B" w:rsidP="003C595B">
      <w:pPr>
        <w:pStyle w:val="ListParagraph"/>
        <w:numPr>
          <w:ilvl w:val="0"/>
          <w:numId w:val="1"/>
        </w:numPr>
        <w:spacing w:after="160" w:line="259" w:lineRule="auto"/>
        <w:rPr>
          <w:i/>
        </w:rPr>
      </w:pPr>
      <w:r w:rsidRPr="0094485C">
        <w:rPr>
          <w:i/>
        </w:rPr>
        <w:t xml:space="preserve">The policy </w:t>
      </w:r>
      <w:r w:rsidR="006A1D1C">
        <w:rPr>
          <w:i/>
        </w:rPr>
        <w:t>measures</w:t>
      </w:r>
      <w:r w:rsidRPr="0094485C">
        <w:rPr>
          <w:i/>
        </w:rPr>
        <w:t xml:space="preserve"> that </w:t>
      </w:r>
      <w:r w:rsidR="00C842F3">
        <w:rPr>
          <w:i/>
        </w:rPr>
        <w:t>can</w:t>
      </w:r>
      <w:r w:rsidRPr="0094485C">
        <w:rPr>
          <w:i/>
        </w:rPr>
        <w:t xml:space="preserve"> be used </w:t>
      </w:r>
      <w:r w:rsidR="0094485C" w:rsidRPr="0094485C">
        <w:rPr>
          <w:i/>
        </w:rPr>
        <w:t xml:space="preserve">to achieve this goal </w:t>
      </w:r>
      <w:r w:rsidRPr="0094485C">
        <w:rPr>
          <w:i/>
        </w:rPr>
        <w:t>are</w:t>
      </w:r>
      <w:r w:rsidR="00B251E8">
        <w:rPr>
          <w:i/>
        </w:rPr>
        <w:t>: (i</w:t>
      </w:r>
      <w:r w:rsidR="00292588">
        <w:rPr>
          <w:i/>
        </w:rPr>
        <w:t xml:space="preserve">) direct </w:t>
      </w:r>
      <w:r w:rsidR="00853BED">
        <w:rPr>
          <w:i/>
        </w:rPr>
        <w:t xml:space="preserve">funding </w:t>
      </w:r>
      <w:r w:rsidR="00292588">
        <w:rPr>
          <w:i/>
        </w:rPr>
        <w:t xml:space="preserve">support </w:t>
      </w:r>
      <w:r w:rsidRPr="0094485C">
        <w:rPr>
          <w:i/>
        </w:rPr>
        <w:t xml:space="preserve">to reduce the </w:t>
      </w:r>
      <w:r w:rsidR="00B251E8">
        <w:rPr>
          <w:i/>
        </w:rPr>
        <w:t>cost of capital; (ii</w:t>
      </w:r>
      <w:r w:rsidR="00292588">
        <w:rPr>
          <w:i/>
        </w:rPr>
        <w:t xml:space="preserve">) changes to the tax code </w:t>
      </w:r>
      <w:r w:rsidRPr="0094485C">
        <w:rPr>
          <w:i/>
        </w:rPr>
        <w:t>to increase</w:t>
      </w:r>
      <w:r w:rsidR="00292588">
        <w:rPr>
          <w:i/>
        </w:rPr>
        <w:t xml:space="preserve"> the return on invested capital</w:t>
      </w:r>
      <w:r w:rsidRPr="0094485C">
        <w:rPr>
          <w:i/>
        </w:rPr>
        <w:t xml:space="preserve">, and </w:t>
      </w:r>
      <w:r w:rsidR="00B251E8">
        <w:rPr>
          <w:i/>
        </w:rPr>
        <w:t>(iii</w:t>
      </w:r>
      <w:r w:rsidR="00292588">
        <w:rPr>
          <w:i/>
        </w:rPr>
        <w:t xml:space="preserve">) </w:t>
      </w:r>
      <w:r w:rsidR="00F534E3">
        <w:rPr>
          <w:i/>
        </w:rPr>
        <w:t xml:space="preserve">operations-related actions </w:t>
      </w:r>
      <w:r w:rsidR="00853BED">
        <w:rPr>
          <w:i/>
        </w:rPr>
        <w:t>that</w:t>
      </w:r>
      <w:r w:rsidRPr="0094485C">
        <w:rPr>
          <w:i/>
        </w:rPr>
        <w:t xml:space="preserve"> enhance the productivit</w:t>
      </w:r>
      <w:r w:rsidR="00F534E3">
        <w:rPr>
          <w:i/>
        </w:rPr>
        <w:t>y of capex</w:t>
      </w:r>
      <w:r w:rsidR="00C842F3">
        <w:rPr>
          <w:i/>
        </w:rPr>
        <w:t>. A national-</w:t>
      </w:r>
      <w:r w:rsidRPr="0094485C">
        <w:rPr>
          <w:i/>
        </w:rPr>
        <w:t>infrastructure plan should include initiatives in some</w:t>
      </w:r>
      <w:r w:rsidR="007F6B9B">
        <w:rPr>
          <w:i/>
        </w:rPr>
        <w:t>,</w:t>
      </w:r>
      <w:r w:rsidRPr="0094485C">
        <w:rPr>
          <w:i/>
        </w:rPr>
        <w:t xml:space="preserve"> or all</w:t>
      </w:r>
      <w:r w:rsidR="007F6B9B">
        <w:rPr>
          <w:i/>
        </w:rPr>
        <w:t>,</w:t>
      </w:r>
      <w:r w:rsidRPr="0094485C">
        <w:rPr>
          <w:i/>
        </w:rPr>
        <w:t xml:space="preserve"> of these categories.</w:t>
      </w:r>
    </w:p>
    <w:p w:rsidR="0094485C" w:rsidRDefault="0094485C">
      <w:r>
        <w:t>Each of these points is considered in more detail below.</w:t>
      </w:r>
    </w:p>
    <w:p w:rsidR="00261BF8" w:rsidRDefault="00261BF8"/>
    <w:p w:rsidR="0094485C" w:rsidRPr="00C842F3" w:rsidRDefault="0094485C" w:rsidP="0094485C">
      <w:pPr>
        <w:pStyle w:val="ListParagraph"/>
        <w:numPr>
          <w:ilvl w:val="0"/>
          <w:numId w:val="3"/>
        </w:numPr>
        <w:rPr>
          <w:b/>
        </w:rPr>
      </w:pPr>
      <w:r w:rsidRPr="00AA6F4B">
        <w:rPr>
          <w:b/>
        </w:rPr>
        <w:t xml:space="preserve">Improving the nation’s </w:t>
      </w:r>
      <w:r w:rsidR="00AA6F4B">
        <w:rPr>
          <w:b/>
        </w:rPr>
        <w:t>digital-</w:t>
      </w:r>
      <w:r w:rsidRPr="00AA6F4B">
        <w:rPr>
          <w:b/>
        </w:rPr>
        <w:t xml:space="preserve">infrastructure should be </w:t>
      </w:r>
      <w:r w:rsidR="00D85252">
        <w:rPr>
          <w:b/>
        </w:rPr>
        <w:t xml:space="preserve">a significant part of any national-infrastructure </w:t>
      </w:r>
      <w:r w:rsidR="00D85252" w:rsidRPr="00C842F3">
        <w:rPr>
          <w:b/>
        </w:rPr>
        <w:t>plan</w:t>
      </w:r>
      <w:r w:rsidR="00853BED">
        <w:rPr>
          <w:b/>
        </w:rPr>
        <w:t>,</w:t>
      </w:r>
      <w:r w:rsidR="00E50B8D" w:rsidRPr="00C842F3">
        <w:rPr>
          <w:b/>
        </w:rPr>
        <w:t xml:space="preserve"> </w:t>
      </w:r>
      <w:r w:rsidR="00C842F3" w:rsidRPr="00C842F3">
        <w:rPr>
          <w:b/>
        </w:rPr>
        <w:t>as the economic upside for the country from accelerating investment in broadband is likely greater than from most other areas of infrastructure investment.</w:t>
      </w:r>
    </w:p>
    <w:p w:rsidR="00495B84" w:rsidRDefault="00495B84" w:rsidP="00495B84">
      <w:pPr>
        <w:spacing w:line="259" w:lineRule="auto"/>
      </w:pPr>
    </w:p>
    <w:p w:rsidR="00495B84" w:rsidRDefault="00D85252" w:rsidP="00495B84">
      <w:pPr>
        <w:spacing w:line="259" w:lineRule="auto"/>
      </w:pPr>
      <w:r>
        <w:t>Like</w:t>
      </w:r>
      <w:r w:rsidR="00495B84">
        <w:t xml:space="preserve"> other forms of infrastructure </w:t>
      </w:r>
      <w:r w:rsidR="00E97FAB">
        <w:t>that were largely built out in the 20</w:t>
      </w:r>
      <w:r w:rsidR="00E97FAB" w:rsidRPr="00E97FAB">
        <w:rPr>
          <w:vertAlign w:val="superscript"/>
        </w:rPr>
        <w:t>th</w:t>
      </w:r>
      <w:r w:rsidR="00E97FAB">
        <w:t xml:space="preserve"> century </w:t>
      </w:r>
      <w:r w:rsidR="00495B84">
        <w:t xml:space="preserve">– such as </w:t>
      </w:r>
      <w:r>
        <w:t>transporta</w:t>
      </w:r>
      <w:r w:rsidR="00495B84">
        <w:t xml:space="preserve">tion, </w:t>
      </w:r>
      <w:r w:rsidR="00853BED">
        <w:t>energy</w:t>
      </w:r>
      <w:r w:rsidR="00495B84">
        <w:t xml:space="preserve">, water and sewage – </w:t>
      </w:r>
      <w:r>
        <w:t>broadband is a fou</w:t>
      </w:r>
      <w:r w:rsidR="00495B84">
        <w:t>ndation for</w:t>
      </w:r>
      <w:r>
        <w:t xml:space="preserve"> economic activity</w:t>
      </w:r>
      <w:r w:rsidR="00495B84">
        <w:t xml:space="preserve"> </w:t>
      </w:r>
      <w:r w:rsidR="00E97FAB">
        <w:t>across</w:t>
      </w:r>
      <w:r w:rsidR="00495B84">
        <w:t xml:space="preserve"> many sectors</w:t>
      </w:r>
      <w:r w:rsidR="00E97FAB">
        <w:t xml:space="preserve">. </w:t>
      </w:r>
      <w:r w:rsidR="00495B84">
        <w:t xml:space="preserve">But, </w:t>
      </w:r>
      <w:r w:rsidR="00625BCE">
        <w:t xml:space="preserve">unlike other </w:t>
      </w:r>
      <w:r w:rsidR="00853BED">
        <w:t xml:space="preserve">potential </w:t>
      </w:r>
      <w:r w:rsidR="00E97FAB">
        <w:t>infrastructure priorities</w:t>
      </w:r>
      <w:r w:rsidR="00495B84">
        <w:t xml:space="preserve">, the public benefits of broadband </w:t>
      </w:r>
      <w:r w:rsidR="00E97FAB">
        <w:t>could</w:t>
      </w:r>
      <w:r w:rsidR="00495B84">
        <w:t xml:space="preserve"> grow exponentially in the coming decade</w:t>
      </w:r>
      <w:r w:rsidR="00B14396">
        <w:t>s</w:t>
      </w:r>
      <w:r w:rsidR="00C96EB1">
        <w:t>,</w:t>
      </w:r>
      <w:r w:rsidR="00B14396">
        <w:t xml:space="preserve"> as </w:t>
      </w:r>
      <w:r w:rsidR="00853BED">
        <w:t>the nation is</w:t>
      </w:r>
      <w:r w:rsidR="00B14396">
        <w:t xml:space="preserve"> just beginning to realize </w:t>
      </w:r>
      <w:r w:rsidR="00495B84">
        <w:t xml:space="preserve">the </w:t>
      </w:r>
      <w:r w:rsidR="00B14396">
        <w:t xml:space="preserve">potential </w:t>
      </w:r>
      <w:r w:rsidR="00495B84">
        <w:t>innovation a</w:t>
      </w:r>
      <w:r w:rsidR="00E97FAB">
        <w:t xml:space="preserve">nd productivity gains </w:t>
      </w:r>
      <w:r w:rsidR="00495B84">
        <w:t xml:space="preserve">from </w:t>
      </w:r>
      <w:r w:rsidR="006C7051">
        <w:t>combining</w:t>
      </w:r>
      <w:r w:rsidR="00495B84">
        <w:t xml:space="preserve"> high-bandwidth, low-latency connectivity </w:t>
      </w:r>
      <w:r w:rsidR="006C7051">
        <w:t>with massive sensor, compu</w:t>
      </w:r>
      <w:r w:rsidR="005A1A53">
        <w:t xml:space="preserve">ting, and storage capabilities </w:t>
      </w:r>
      <w:r w:rsidR="005D15D1">
        <w:t>in</w:t>
      </w:r>
      <w:r w:rsidR="001951DA">
        <w:t xml:space="preserve"> areas such as</w:t>
      </w:r>
      <w:r w:rsidR="00495B84">
        <w:t xml:space="preserve">: </w:t>
      </w:r>
    </w:p>
    <w:p w:rsidR="00495B84" w:rsidRDefault="00495B84" w:rsidP="00495B84">
      <w:pPr>
        <w:pStyle w:val="ListParagraph"/>
      </w:pPr>
    </w:p>
    <w:p w:rsidR="005D15D1" w:rsidRDefault="00495B84" w:rsidP="00921B5D">
      <w:pPr>
        <w:pStyle w:val="ListParagraph"/>
        <w:numPr>
          <w:ilvl w:val="0"/>
          <w:numId w:val="5"/>
        </w:numPr>
        <w:spacing w:line="259" w:lineRule="auto"/>
        <w:ind w:left="720"/>
      </w:pPr>
      <w:r w:rsidRPr="005D15D1">
        <w:rPr>
          <w:i/>
        </w:rPr>
        <w:t>Industry verticals,</w:t>
      </w:r>
      <w:r w:rsidR="00F17331">
        <w:t xml:space="preserve"> </w:t>
      </w:r>
      <w:r w:rsidR="00853BED">
        <w:t>including</w:t>
      </w:r>
      <w:r>
        <w:t xml:space="preserve"> </w:t>
      </w:r>
      <w:r w:rsidR="005D15D1">
        <w:t>transportation (</w:t>
      </w:r>
      <w:r w:rsidR="00853BED">
        <w:t xml:space="preserve">e.g., </w:t>
      </w:r>
      <w:r w:rsidR="005D15D1">
        <w:t xml:space="preserve">autonomous vehicles including </w:t>
      </w:r>
      <w:r>
        <w:t>trucks, cars, drones), energy, healthcare,</w:t>
      </w:r>
      <w:r w:rsidR="005D15D1">
        <w:t xml:space="preserve"> and manufacturing.</w:t>
      </w:r>
    </w:p>
    <w:p w:rsidR="005A1A53" w:rsidRDefault="00495B84" w:rsidP="00921B5D">
      <w:pPr>
        <w:pStyle w:val="ListParagraph"/>
        <w:numPr>
          <w:ilvl w:val="0"/>
          <w:numId w:val="5"/>
        </w:numPr>
        <w:spacing w:line="259" w:lineRule="auto"/>
        <w:ind w:left="720"/>
      </w:pPr>
      <w:r w:rsidRPr="005A1A53">
        <w:rPr>
          <w:i/>
        </w:rPr>
        <w:t>Consumer sectors</w:t>
      </w:r>
      <w:r w:rsidR="00F17331">
        <w:t xml:space="preserve">, </w:t>
      </w:r>
      <w:r w:rsidR="00853BED">
        <w:t xml:space="preserve">including </w:t>
      </w:r>
      <w:r w:rsidRPr="00511344">
        <w:t>education</w:t>
      </w:r>
      <w:r w:rsidR="00F17331">
        <w:t xml:space="preserve"> and </w:t>
      </w:r>
      <w:r>
        <w:t>job training</w:t>
      </w:r>
      <w:r w:rsidRPr="00511344">
        <w:t xml:space="preserve">, </w:t>
      </w:r>
      <w:r w:rsidR="00F17331">
        <w:t xml:space="preserve">disability access and </w:t>
      </w:r>
      <w:r>
        <w:t xml:space="preserve">empowerment, </w:t>
      </w:r>
      <w:r w:rsidRPr="00511344">
        <w:t>apps, entertainment,</w:t>
      </w:r>
      <w:r w:rsidR="005A1A53">
        <w:t xml:space="preserve"> and augmented/virtual reality.</w:t>
      </w:r>
    </w:p>
    <w:p w:rsidR="00495B84" w:rsidRDefault="00495B84" w:rsidP="00921B5D">
      <w:pPr>
        <w:pStyle w:val="ListParagraph"/>
        <w:numPr>
          <w:ilvl w:val="0"/>
          <w:numId w:val="5"/>
        </w:numPr>
        <w:spacing w:line="259" w:lineRule="auto"/>
        <w:ind w:left="720"/>
      </w:pPr>
      <w:r w:rsidRPr="005A1A53">
        <w:rPr>
          <w:i/>
        </w:rPr>
        <w:lastRenderedPageBreak/>
        <w:t>Government</w:t>
      </w:r>
      <w:r w:rsidR="00F17331">
        <w:t xml:space="preserve">, </w:t>
      </w:r>
      <w:r w:rsidR="00853BED">
        <w:t xml:space="preserve">including </w:t>
      </w:r>
      <w:r w:rsidR="005A1A53">
        <w:t xml:space="preserve">efficient </w:t>
      </w:r>
      <w:r w:rsidR="00853BED">
        <w:t xml:space="preserve">delivery of </w:t>
      </w:r>
      <w:r w:rsidRPr="00511344">
        <w:t>e-services,</w:t>
      </w:r>
      <w:r>
        <w:t xml:space="preserve"> public safety,</w:t>
      </w:r>
      <w:r w:rsidR="00B14396">
        <w:t xml:space="preserve"> </w:t>
      </w:r>
      <w:r w:rsidR="005A1A53">
        <w:t>and smart cities.</w:t>
      </w:r>
    </w:p>
    <w:p w:rsidR="00853BED" w:rsidRPr="00511344" w:rsidRDefault="00853BED" w:rsidP="00853BED">
      <w:pPr>
        <w:pStyle w:val="ListParagraph"/>
        <w:spacing w:line="259" w:lineRule="auto"/>
        <w:ind w:left="360"/>
      </w:pPr>
    </w:p>
    <w:p w:rsidR="00317DB1" w:rsidRDefault="00853BED" w:rsidP="00525AEE">
      <w:r>
        <w:t>U</w:t>
      </w:r>
      <w:r w:rsidR="001951DA">
        <w:t xml:space="preserve">nlike most </w:t>
      </w:r>
      <w:r w:rsidR="00B14396">
        <w:t>other types of infrastructure</w:t>
      </w:r>
      <w:r w:rsidR="001951DA">
        <w:t>,</w:t>
      </w:r>
      <w:r w:rsidR="00B14396">
        <w:t xml:space="preserve"> the nation’s digital </w:t>
      </w:r>
      <w:r w:rsidR="001951DA">
        <w:t>infras</w:t>
      </w:r>
      <w:r w:rsidR="006D1174">
        <w:t xml:space="preserve">tructure is </w:t>
      </w:r>
      <w:r w:rsidR="00B14396">
        <w:t>largely</w:t>
      </w:r>
      <w:r w:rsidR="006D1174">
        <w:t xml:space="preserve"> </w:t>
      </w:r>
      <w:r w:rsidR="00C2308F">
        <w:t>corporate</w:t>
      </w:r>
      <w:r w:rsidR="006D1174">
        <w:t xml:space="preserve"> </w:t>
      </w:r>
      <w:r w:rsidR="00D85252">
        <w:t>owned</w:t>
      </w:r>
      <w:r w:rsidR="00525AEE">
        <w:t xml:space="preserve"> and generates revenues from paying subscribers</w:t>
      </w:r>
      <w:r w:rsidR="003A4142">
        <w:t>. However, t</w:t>
      </w:r>
      <w:r w:rsidR="003A4142" w:rsidRPr="00C72371">
        <w:t>he private carriers who invest in broadband capex do not, in gene</w:t>
      </w:r>
      <w:r w:rsidR="00525AEE">
        <w:t xml:space="preserve">ral, capture the </w:t>
      </w:r>
      <w:r w:rsidR="00CC7E78">
        <w:t>full benefits</w:t>
      </w:r>
      <w:r w:rsidR="00AF1983">
        <w:t xml:space="preserve"> of those investments</w:t>
      </w:r>
      <w:r w:rsidR="00525AEE">
        <w:t xml:space="preserve"> (</w:t>
      </w:r>
      <w:r w:rsidR="00CC7E78">
        <w:t xml:space="preserve">e.g., the positive externalities of </w:t>
      </w:r>
      <w:r w:rsidR="003A4142" w:rsidRPr="00C72371">
        <w:t>the internet economy</w:t>
      </w:r>
      <w:r w:rsidR="00525AEE">
        <w:t xml:space="preserve"> </w:t>
      </w:r>
      <w:r w:rsidR="00CC7E78">
        <w:t>and</w:t>
      </w:r>
      <w:r w:rsidR="00525AEE">
        <w:t xml:space="preserve"> the</w:t>
      </w:r>
      <w:r w:rsidR="00525AEE" w:rsidRPr="00525AEE">
        <w:t xml:space="preserve"> </w:t>
      </w:r>
      <w:r w:rsidR="00525AEE">
        <w:t xml:space="preserve">multipliers from </w:t>
      </w:r>
      <w:r w:rsidR="00CC7E78">
        <w:t>increasing innovation and efficiency in adjacent</w:t>
      </w:r>
      <w:r w:rsidR="00525AEE">
        <w:t xml:space="preserve"> sectors)</w:t>
      </w:r>
      <w:r w:rsidR="003A4142" w:rsidRPr="00C72371">
        <w:t>, so their investment levels are lower and slower than would be optimal for the country.</w:t>
      </w:r>
      <w:r w:rsidR="0043360E">
        <w:rPr>
          <w:rStyle w:val="FootnoteReference"/>
        </w:rPr>
        <w:footnoteReference w:id="1"/>
      </w:r>
      <w:r w:rsidR="00525AEE">
        <w:t xml:space="preserve"> T</w:t>
      </w:r>
      <w:r w:rsidR="00D85252">
        <w:t xml:space="preserve">he </w:t>
      </w:r>
      <w:r w:rsidR="00B14396">
        <w:t>public-policy challenge</w:t>
      </w:r>
      <w:r w:rsidR="00525AEE">
        <w:t>, therefore,</w:t>
      </w:r>
      <w:r w:rsidR="00B14396">
        <w:t xml:space="preserve"> is to </w:t>
      </w:r>
      <w:r w:rsidR="00D85252">
        <w:t xml:space="preserve">increase largely </w:t>
      </w:r>
      <w:r w:rsidR="00D85252" w:rsidRPr="00495B84">
        <w:rPr>
          <w:i/>
        </w:rPr>
        <w:t>private</w:t>
      </w:r>
      <w:r w:rsidR="00D85252">
        <w:t xml:space="preserve"> capital flows to levels consistent with the potential </w:t>
      </w:r>
      <w:r w:rsidR="00D85252" w:rsidRPr="00495B84">
        <w:rPr>
          <w:i/>
        </w:rPr>
        <w:t>public</w:t>
      </w:r>
      <w:r w:rsidR="00525AEE">
        <w:t xml:space="preserve"> benefits </w:t>
      </w:r>
      <w:r w:rsidR="00731A83">
        <w:t xml:space="preserve">of abundant, ubiquitous broadband </w:t>
      </w:r>
      <w:r w:rsidR="00B14396">
        <w:t xml:space="preserve">without </w:t>
      </w:r>
      <w:r w:rsidR="003A4142">
        <w:t>crowding out</w:t>
      </w:r>
      <w:r w:rsidR="00B14396">
        <w:t xml:space="preserve"> existing private-sector investment</w:t>
      </w:r>
      <w:r w:rsidR="00D85252">
        <w:t>.</w:t>
      </w:r>
      <w:r w:rsidR="00D85252">
        <w:rPr>
          <w:rStyle w:val="FootnoteReference"/>
        </w:rPr>
        <w:footnoteReference w:id="2"/>
      </w:r>
    </w:p>
    <w:p w:rsidR="00D85252" w:rsidRDefault="00D85252" w:rsidP="00D85252">
      <w:pPr>
        <w:ind w:left="360"/>
      </w:pPr>
    </w:p>
    <w:p w:rsidR="007155F5" w:rsidRPr="007155F5" w:rsidRDefault="007155F5" w:rsidP="007155F5">
      <w:pPr>
        <w:pStyle w:val="ListParagraph"/>
        <w:numPr>
          <w:ilvl w:val="0"/>
          <w:numId w:val="3"/>
        </w:numPr>
        <w:rPr>
          <w:b/>
        </w:rPr>
      </w:pPr>
      <w:r w:rsidRPr="007155F5">
        <w:rPr>
          <w:b/>
        </w:rPr>
        <w:t>The primary goal of federal actions with respect to digital infrastructure should be to increase and accelerate profitable, incremental private-sector investment to achieve at least 98% nationwide deployment of future-proofed</w:t>
      </w:r>
      <w:r w:rsidR="00C842F3">
        <w:rPr>
          <w:b/>
        </w:rPr>
        <w:t>, fixed</w:t>
      </w:r>
      <w:r w:rsidRPr="007155F5">
        <w:rPr>
          <w:b/>
        </w:rPr>
        <w:t xml:space="preserve"> broadband networks.</w:t>
      </w:r>
    </w:p>
    <w:p w:rsidR="00D85252" w:rsidRDefault="00D85252"/>
    <w:p w:rsidR="003F545D" w:rsidRPr="00E91A96" w:rsidRDefault="003F545D" w:rsidP="00E91A96">
      <w:r>
        <w:t>A</w:t>
      </w:r>
      <w:r w:rsidRPr="003F545D">
        <w:t xml:space="preserve">s of December 2015, </w:t>
      </w:r>
      <w:r>
        <w:t xml:space="preserve">approximately </w:t>
      </w:r>
      <w:r w:rsidRPr="003F545D">
        <w:t>14% of the ~160m U.S. residential and small-and-medium business locations lack access to 25x3 Mbps-capable fiber-to-the-premise (FTTP) and/or cable service.</w:t>
      </w:r>
      <w:r>
        <w:rPr>
          <w:rStyle w:val="FootnoteReference"/>
        </w:rPr>
        <w:footnoteReference w:id="3"/>
      </w:r>
      <w:r w:rsidRPr="003F545D">
        <w:t xml:space="preserve"> </w:t>
      </w:r>
      <w:r w:rsidR="0097236F">
        <w:t xml:space="preserve"> Achieving ubiquitous fixed-</w:t>
      </w:r>
      <w:r>
        <w:t xml:space="preserve">broadband deployment by providing incentives for companies to build out in these areas will have spillover benefits </w:t>
      </w:r>
      <w:r w:rsidRPr="003F545D">
        <w:t>for U.S. leadership in 5G</w:t>
      </w:r>
      <w:r w:rsidR="00317DB1">
        <w:t xml:space="preserve"> mobile broadband – e.g., </w:t>
      </w:r>
      <w:r>
        <w:t xml:space="preserve">because </w:t>
      </w:r>
      <w:r w:rsidR="00317DB1">
        <w:t xml:space="preserve">many of </w:t>
      </w:r>
      <w:r>
        <w:t>the same facilities can be u</w:t>
      </w:r>
      <w:r w:rsidR="00853BED">
        <w:t>sed for high-capacity backhaul</w:t>
      </w:r>
      <w:r>
        <w:t>, part</w:t>
      </w:r>
      <w:r w:rsidR="00317DB1">
        <w:t>icularly</w:t>
      </w:r>
      <w:r w:rsidR="00853BED">
        <w:t xml:space="preserve"> in rural areas </w:t>
      </w:r>
      <w:r w:rsidR="00CE45B4">
        <w:t xml:space="preserve">that would otherwise lack widely-deployed fiber </w:t>
      </w:r>
      <w:r w:rsidR="00317DB1">
        <w:t xml:space="preserve">– </w:t>
      </w:r>
      <w:r>
        <w:t xml:space="preserve">as well as </w:t>
      </w:r>
      <w:r w:rsidR="005B0AD6">
        <w:t xml:space="preserve">for stimulating </w:t>
      </w:r>
      <w:r w:rsidR="00E91A96">
        <w:t>the economy-</w:t>
      </w:r>
      <w:r w:rsidR="00E91A96" w:rsidRPr="00E91A96">
        <w:t>wide</w:t>
      </w:r>
      <w:bookmarkStart w:id="1" w:name="_Ref466294821"/>
      <w:r w:rsidR="00E91A96" w:rsidRPr="00E91A96">
        <w:t xml:space="preserve"> innovation and </w:t>
      </w:r>
      <w:r w:rsidRPr="00E91A96">
        <w:t>productivity gains</w:t>
      </w:r>
      <w:bookmarkEnd w:id="1"/>
      <w:r w:rsidR="00317DB1">
        <w:t xml:space="preserve"> described above.</w:t>
      </w:r>
    </w:p>
    <w:p w:rsidR="00AD18CA" w:rsidRDefault="00AD18CA"/>
    <w:p w:rsidR="0097236F" w:rsidRDefault="0097236F" w:rsidP="0097236F">
      <w:r>
        <w:t>We estimate that t</w:t>
      </w:r>
      <w:r w:rsidRPr="0097236F">
        <w:t>he total upfront capex required to deploy FTTP to the 14% of locations lacking access would be ~$80b</w:t>
      </w:r>
      <w:r w:rsidR="005B0AD6">
        <w:t xml:space="preserve"> </w:t>
      </w:r>
      <w:r w:rsidR="00BC7683">
        <w:t>b</w:t>
      </w:r>
      <w:r w:rsidRPr="0097236F">
        <w:t>ut, because of the shape of the cost curve, ~98% coverage could be attained for ~$40b</w:t>
      </w:r>
      <w:r w:rsidR="00BC7683">
        <w:t xml:space="preserve"> (see </w:t>
      </w:r>
      <w:r w:rsidR="00BC7683">
        <w:rPr>
          <w:i/>
        </w:rPr>
        <w:t>Figure 1</w:t>
      </w:r>
      <w:r w:rsidR="00BC7683">
        <w:t>)</w:t>
      </w:r>
      <w:r w:rsidR="00BC7683" w:rsidRPr="0097236F">
        <w:t>.</w:t>
      </w:r>
      <w:r w:rsidR="00BC7683">
        <w:t xml:space="preserve"> </w:t>
      </w:r>
      <w:r w:rsidR="001175DD">
        <w:t>U</w:t>
      </w:r>
      <w:r w:rsidRPr="0097236F">
        <w:t>nlike the last 2%</w:t>
      </w:r>
      <w:r w:rsidR="001175DD">
        <w:t>, moreover,</w:t>
      </w:r>
      <w:r w:rsidRPr="0097236F">
        <w:t xml:space="preserve"> we do not expect these first 12% of locations will require </w:t>
      </w:r>
      <w:r w:rsidR="00AC3BDB">
        <w:t xml:space="preserve">material </w:t>
      </w:r>
      <w:r w:rsidRPr="0097236F">
        <w:t>ongoing support once the network has been built</w:t>
      </w:r>
      <w:r w:rsidR="001175DD">
        <w:t xml:space="preserve">, </w:t>
      </w:r>
      <w:r>
        <w:t xml:space="preserve">as </w:t>
      </w:r>
      <w:r w:rsidR="006E52AE">
        <w:t>subscriber</w:t>
      </w:r>
      <w:r>
        <w:t xml:space="preserve"> revenues should be sufficient to pay for ongoing network costs</w:t>
      </w:r>
      <w:r w:rsidRPr="0097236F">
        <w:t>.</w:t>
      </w:r>
      <w:r w:rsidR="00241766">
        <w:rPr>
          <w:rStyle w:val="FootnoteReference"/>
        </w:rPr>
        <w:footnoteReference w:id="4"/>
      </w:r>
    </w:p>
    <w:p w:rsidR="00D77D01" w:rsidRDefault="00D77D01" w:rsidP="0097236F"/>
    <w:p w:rsidR="005B0AD6" w:rsidRPr="00F17331" w:rsidRDefault="005B0AD6" w:rsidP="009510C6">
      <w:pPr>
        <w:pStyle w:val="Caption"/>
        <w:keepNext/>
        <w:spacing w:after="0"/>
        <w:ind w:left="720" w:right="810"/>
        <w:jc w:val="center"/>
        <w:rPr>
          <w:b/>
          <w:sz w:val="24"/>
          <w:szCs w:val="22"/>
        </w:rPr>
      </w:pPr>
      <w:r w:rsidRPr="00F17331">
        <w:rPr>
          <w:b/>
          <w:sz w:val="24"/>
          <w:szCs w:val="22"/>
        </w:rPr>
        <w:lastRenderedPageBreak/>
        <w:t xml:space="preserve">Figure </w:t>
      </w:r>
      <w:r w:rsidRPr="00F17331">
        <w:rPr>
          <w:b/>
          <w:sz w:val="24"/>
          <w:szCs w:val="22"/>
        </w:rPr>
        <w:fldChar w:fldCharType="begin"/>
      </w:r>
      <w:r w:rsidRPr="00F17331">
        <w:rPr>
          <w:b/>
          <w:sz w:val="24"/>
          <w:szCs w:val="22"/>
        </w:rPr>
        <w:instrText xml:space="preserve"> SEQ Figure \* ARABIC </w:instrText>
      </w:r>
      <w:r w:rsidRPr="00F17331">
        <w:rPr>
          <w:b/>
          <w:sz w:val="24"/>
          <w:szCs w:val="22"/>
        </w:rPr>
        <w:fldChar w:fldCharType="separate"/>
      </w:r>
      <w:r w:rsidR="00D06CDE">
        <w:rPr>
          <w:b/>
          <w:noProof/>
          <w:sz w:val="24"/>
          <w:szCs w:val="22"/>
        </w:rPr>
        <w:t>1</w:t>
      </w:r>
      <w:r w:rsidRPr="00F17331">
        <w:rPr>
          <w:b/>
          <w:sz w:val="24"/>
          <w:szCs w:val="22"/>
        </w:rPr>
        <w:fldChar w:fldCharType="end"/>
      </w:r>
      <w:r w:rsidRPr="00F17331">
        <w:rPr>
          <w:b/>
          <w:sz w:val="24"/>
          <w:szCs w:val="22"/>
        </w:rPr>
        <w:t xml:space="preserve">: </w:t>
      </w:r>
      <w:r w:rsidR="00F17331">
        <w:rPr>
          <w:b/>
          <w:sz w:val="24"/>
          <w:szCs w:val="22"/>
        </w:rPr>
        <w:t>Estimated c</w:t>
      </w:r>
      <w:r w:rsidR="00006AA2">
        <w:rPr>
          <w:b/>
          <w:sz w:val="24"/>
          <w:szCs w:val="22"/>
        </w:rPr>
        <w:t xml:space="preserve">umulative investment </w:t>
      </w:r>
      <w:r w:rsidRPr="00F17331">
        <w:rPr>
          <w:b/>
          <w:sz w:val="24"/>
          <w:szCs w:val="22"/>
        </w:rPr>
        <w:t xml:space="preserve">required to increase fixed broadband deployment from </w:t>
      </w:r>
      <w:r w:rsidR="00853BED">
        <w:rPr>
          <w:b/>
          <w:sz w:val="24"/>
          <w:szCs w:val="22"/>
        </w:rPr>
        <w:t xml:space="preserve">the current </w:t>
      </w:r>
      <w:r w:rsidRPr="00F17331">
        <w:rPr>
          <w:b/>
          <w:sz w:val="24"/>
          <w:szCs w:val="22"/>
        </w:rPr>
        <w:t>86% to 100% of U.S. locations</w:t>
      </w:r>
      <w:r w:rsidR="00F17331">
        <w:rPr>
          <w:b/>
          <w:sz w:val="24"/>
          <w:szCs w:val="22"/>
        </w:rPr>
        <w:t>.</w:t>
      </w:r>
      <w:r w:rsidRPr="00F17331">
        <w:rPr>
          <w:b/>
          <w:sz w:val="24"/>
          <w:szCs w:val="22"/>
        </w:rPr>
        <w:t xml:space="preserve"> </w:t>
      </w:r>
    </w:p>
    <w:p w:rsidR="005B0AD6" w:rsidRDefault="00006AA2" w:rsidP="005B0AD6">
      <w:pPr>
        <w:keepNext/>
        <w:jc w:val="center"/>
      </w:pPr>
      <w:r>
        <w:rPr>
          <w:noProof/>
        </w:rPr>
        <w:drawing>
          <wp:inline distT="0" distB="0" distL="0" distR="0" wp14:anchorId="49E759F6" wp14:editId="4B7301DE">
            <wp:extent cx="5199931" cy="2825750"/>
            <wp:effectExtent l="0" t="0" r="1270" b="0"/>
            <wp:docPr id="2" name="Picture 2" descr="cid:image002.png@01D26ABD.52DCC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descr="cid:image002.png@01D26ABD.52DCC91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2599" t="18638" r="2580" b="2131"/>
                    <a:stretch/>
                  </pic:blipFill>
                  <pic:spPr bwMode="auto">
                    <a:xfrm>
                      <a:off x="0" y="0"/>
                      <a:ext cx="5202318" cy="2827047"/>
                    </a:xfrm>
                    <a:prstGeom prst="rect">
                      <a:avLst/>
                    </a:prstGeom>
                    <a:noFill/>
                    <a:ln>
                      <a:noFill/>
                    </a:ln>
                    <a:extLst>
                      <a:ext uri="{53640926-AAD7-44D8-BBD7-CCE9431645EC}">
                        <a14:shadowObscured xmlns:a14="http://schemas.microsoft.com/office/drawing/2010/main"/>
                      </a:ext>
                    </a:extLst>
                  </pic:spPr>
                </pic:pic>
              </a:graphicData>
            </a:graphic>
          </wp:inline>
        </w:drawing>
      </w:r>
    </w:p>
    <w:p w:rsidR="005B0AD6" w:rsidRPr="00D32372" w:rsidRDefault="00006AA2" w:rsidP="00D32372">
      <w:pPr>
        <w:pStyle w:val="FootnoteText"/>
        <w:rPr>
          <w:sz w:val="18"/>
        </w:rPr>
      </w:pPr>
      <w:r w:rsidRPr="00006AA2">
        <w:rPr>
          <w:sz w:val="18"/>
          <w:szCs w:val="18"/>
        </w:rPr>
        <w:t xml:space="preserve">Source: </w:t>
      </w:r>
      <w:hyperlink r:id="rId10" w:history="1">
        <w:r w:rsidRPr="00006AA2">
          <w:rPr>
            <w:rStyle w:val="Hyperlink"/>
            <w:sz w:val="18"/>
            <w:szCs w:val="18"/>
          </w:rPr>
          <w:t>www.fcc.gov/general/connect-america-fund-phase-ii-models</w:t>
        </w:r>
      </w:hyperlink>
      <w:r w:rsidR="00D32372">
        <w:rPr>
          <w:rStyle w:val="Hyperlink"/>
          <w:sz w:val="18"/>
          <w:szCs w:val="18"/>
        </w:rPr>
        <w:t xml:space="preserve"> </w:t>
      </w:r>
      <w:r w:rsidR="00D32372" w:rsidRPr="00D32372">
        <w:rPr>
          <w:sz w:val="18"/>
        </w:rPr>
        <w:t>(last visited January 16, 2017).</w:t>
      </w:r>
    </w:p>
    <w:p w:rsidR="005B0AD6" w:rsidRPr="00D32372" w:rsidRDefault="005B0AD6" w:rsidP="00C72371">
      <w:pPr>
        <w:rPr>
          <w:sz w:val="22"/>
        </w:rPr>
      </w:pPr>
    </w:p>
    <w:p w:rsidR="00C72371" w:rsidRDefault="00F17331" w:rsidP="00C72371">
      <w:r>
        <w:t xml:space="preserve">To stimulate infrastructure deployment to these unserved locations, public-policy measures </w:t>
      </w:r>
      <w:r w:rsidR="00525AEE" w:rsidRPr="00C72371">
        <w:t xml:space="preserve">should </w:t>
      </w:r>
      <w:r w:rsidR="00D14959">
        <w:t xml:space="preserve">aim to </w:t>
      </w:r>
      <w:r w:rsidR="00525AEE" w:rsidRPr="00C72371">
        <w:t xml:space="preserve">increase the expected return on incremental </w:t>
      </w:r>
      <w:r w:rsidR="00207413">
        <w:t>investment</w:t>
      </w:r>
      <w:r w:rsidR="007F6B9B" w:rsidRPr="00C72371">
        <w:t xml:space="preserve"> </w:t>
      </w:r>
      <w:r w:rsidR="007F6B9B">
        <w:t xml:space="preserve">in these areas </w:t>
      </w:r>
      <w:r w:rsidR="00525AEE" w:rsidRPr="00C72371">
        <w:t>relative to the cost of capital</w:t>
      </w:r>
      <w:r>
        <w:t>.</w:t>
      </w:r>
      <w:r w:rsidR="00D14959">
        <w:t xml:space="preserve"> Some potential ways to achieve this are discussed below.</w:t>
      </w:r>
    </w:p>
    <w:p w:rsidR="00292588" w:rsidRPr="00C72371" w:rsidRDefault="00292588" w:rsidP="00C72371"/>
    <w:p w:rsidR="00F534E3" w:rsidRPr="00F534E3" w:rsidRDefault="00F534E3" w:rsidP="00F534E3">
      <w:pPr>
        <w:pStyle w:val="ListParagraph"/>
        <w:numPr>
          <w:ilvl w:val="0"/>
          <w:numId w:val="3"/>
        </w:numPr>
        <w:spacing w:after="160" w:line="259" w:lineRule="auto"/>
        <w:rPr>
          <w:b/>
        </w:rPr>
      </w:pPr>
      <w:r w:rsidRPr="00F534E3">
        <w:rPr>
          <w:b/>
        </w:rPr>
        <w:t xml:space="preserve">The policy </w:t>
      </w:r>
      <w:r w:rsidR="006A1D1C">
        <w:rPr>
          <w:b/>
        </w:rPr>
        <w:t>measures</w:t>
      </w:r>
      <w:r w:rsidRPr="00F534E3">
        <w:rPr>
          <w:b/>
        </w:rPr>
        <w:t xml:space="preserve"> that </w:t>
      </w:r>
      <w:r w:rsidR="00C842F3">
        <w:rPr>
          <w:b/>
        </w:rPr>
        <w:t>can</w:t>
      </w:r>
      <w:r w:rsidRPr="00F534E3">
        <w:rPr>
          <w:b/>
        </w:rPr>
        <w:t xml:space="preserve"> be u</w:t>
      </w:r>
      <w:r w:rsidR="00271C88">
        <w:rPr>
          <w:b/>
        </w:rPr>
        <w:t xml:space="preserve">sed to achieve the </w:t>
      </w:r>
      <w:r w:rsidR="00B251E8">
        <w:rPr>
          <w:b/>
        </w:rPr>
        <w:t xml:space="preserve">goal </w:t>
      </w:r>
      <w:r w:rsidR="00271C88">
        <w:rPr>
          <w:b/>
        </w:rPr>
        <w:t xml:space="preserve">of accelerating private-sector investment to achieve ubiquitous digital infrastructure for the nation </w:t>
      </w:r>
      <w:r w:rsidR="00B251E8">
        <w:rPr>
          <w:b/>
        </w:rPr>
        <w:t>are: (i</w:t>
      </w:r>
      <w:r w:rsidRPr="00F534E3">
        <w:rPr>
          <w:b/>
        </w:rPr>
        <w:t xml:space="preserve">) direct </w:t>
      </w:r>
      <w:r w:rsidR="00271C88">
        <w:rPr>
          <w:b/>
        </w:rPr>
        <w:t xml:space="preserve">funding </w:t>
      </w:r>
      <w:r w:rsidRPr="00F534E3">
        <w:rPr>
          <w:b/>
        </w:rPr>
        <w:t>support t</w:t>
      </w:r>
      <w:r w:rsidR="00B251E8">
        <w:rPr>
          <w:b/>
        </w:rPr>
        <w:t>o reduce the cost of capital; (ii</w:t>
      </w:r>
      <w:r w:rsidR="007F6B9B">
        <w:rPr>
          <w:b/>
        </w:rPr>
        <w:t>) </w:t>
      </w:r>
      <w:r w:rsidRPr="00F534E3">
        <w:rPr>
          <w:b/>
        </w:rPr>
        <w:t>changes to the tax code to increase the re</w:t>
      </w:r>
      <w:r w:rsidR="00B251E8">
        <w:rPr>
          <w:b/>
        </w:rPr>
        <w:t>turn on invested capital, and (iii</w:t>
      </w:r>
      <w:r w:rsidRPr="00F534E3">
        <w:rPr>
          <w:b/>
        </w:rPr>
        <w:t>) operations-related actions to enhance the productivity of capex. A nat</w:t>
      </w:r>
      <w:r w:rsidR="00C842F3">
        <w:rPr>
          <w:b/>
        </w:rPr>
        <w:t>ional-</w:t>
      </w:r>
      <w:r w:rsidRPr="00F534E3">
        <w:rPr>
          <w:b/>
        </w:rPr>
        <w:t>infrastructure plan should include initiatives in some</w:t>
      </w:r>
      <w:r w:rsidR="007F6B9B">
        <w:rPr>
          <w:b/>
        </w:rPr>
        <w:t>,</w:t>
      </w:r>
      <w:r w:rsidRPr="00F534E3">
        <w:rPr>
          <w:b/>
        </w:rPr>
        <w:t xml:space="preserve"> or all</w:t>
      </w:r>
      <w:r w:rsidR="007F6B9B">
        <w:rPr>
          <w:b/>
        </w:rPr>
        <w:t>,</w:t>
      </w:r>
      <w:r w:rsidRPr="00F534E3">
        <w:rPr>
          <w:b/>
        </w:rPr>
        <w:t xml:space="preserve"> of these categories.</w:t>
      </w:r>
    </w:p>
    <w:p w:rsidR="001253D0" w:rsidRPr="00921B5D" w:rsidRDefault="00F07783" w:rsidP="00921B5D">
      <w:pPr>
        <w:spacing w:after="160" w:line="259" w:lineRule="auto"/>
        <w:rPr>
          <w:b/>
        </w:rPr>
      </w:pPr>
      <w:r>
        <w:t xml:space="preserve">There are three categories of policy measures that can </w:t>
      </w:r>
      <w:r w:rsidR="001253D0" w:rsidRPr="001253D0">
        <w:t>increase and accelerate profitable, incremental private-sector inve</w:t>
      </w:r>
      <w:r w:rsidR="001253D0">
        <w:t>s</w:t>
      </w:r>
      <w:r>
        <w:t>tment in digital infrastructure</w:t>
      </w:r>
      <w:r w:rsidR="00271C88">
        <w:t xml:space="preserve"> by </w:t>
      </w:r>
      <w:r w:rsidR="00207413">
        <w:t>enhancing</w:t>
      </w:r>
      <w:r w:rsidR="00271C88">
        <w:t xml:space="preserve"> the expected return on incremental invested capital</w:t>
      </w:r>
      <w:r>
        <w:t>, namely:</w:t>
      </w:r>
      <w:r w:rsidR="001253D0">
        <w:rPr>
          <w:rStyle w:val="FootnoteReference"/>
          <w:b/>
        </w:rPr>
        <w:footnoteReference w:id="5"/>
      </w:r>
    </w:p>
    <w:p w:rsidR="001253D0" w:rsidRPr="00B251E8" w:rsidRDefault="00F07783" w:rsidP="00B251E8">
      <w:pPr>
        <w:pStyle w:val="ListParagraph"/>
        <w:numPr>
          <w:ilvl w:val="2"/>
          <w:numId w:val="3"/>
        </w:numPr>
        <w:spacing w:after="160" w:line="259" w:lineRule="auto"/>
        <w:ind w:left="360"/>
        <w:rPr>
          <w:i/>
        </w:rPr>
      </w:pPr>
      <w:r w:rsidRPr="00B251E8">
        <w:rPr>
          <w:i/>
        </w:rPr>
        <w:t>D</w:t>
      </w:r>
      <w:r w:rsidR="001253D0" w:rsidRPr="00B251E8">
        <w:rPr>
          <w:i/>
        </w:rPr>
        <w:t xml:space="preserve">irect funding </w:t>
      </w:r>
      <w:r w:rsidR="00271C88">
        <w:rPr>
          <w:i/>
        </w:rPr>
        <w:t>support</w:t>
      </w:r>
      <w:r w:rsidR="001253D0" w:rsidRPr="00B251E8">
        <w:rPr>
          <w:i/>
        </w:rPr>
        <w:t xml:space="preserve"> to reduce the cost of capital</w:t>
      </w:r>
      <w:r w:rsidR="00271C88">
        <w:rPr>
          <w:i/>
        </w:rPr>
        <w:t>,</w:t>
      </w:r>
      <w:r w:rsidR="001253D0" w:rsidRPr="00B251E8">
        <w:rPr>
          <w:i/>
        </w:rPr>
        <w:t xml:space="preserve"> while avoiding the crowding out of private funding</w:t>
      </w:r>
      <w:r w:rsidR="004617A5" w:rsidRPr="00B251E8">
        <w:rPr>
          <w:i/>
        </w:rPr>
        <w:t>.</w:t>
      </w:r>
    </w:p>
    <w:p w:rsidR="00B251E8" w:rsidRDefault="005C139B" w:rsidP="00B251E8">
      <w:pPr>
        <w:spacing w:after="160" w:line="259" w:lineRule="auto"/>
      </w:pPr>
      <w:r>
        <w:t>As</w:t>
      </w:r>
      <w:r w:rsidR="001253D0">
        <w:t xml:space="preserve"> cash is fungible </w:t>
      </w:r>
      <w:r>
        <w:t xml:space="preserve">from the </w:t>
      </w:r>
      <w:r w:rsidR="008A166E">
        <w:t>recipient’s</w:t>
      </w:r>
      <w:r>
        <w:t xml:space="preserve"> perspective, </w:t>
      </w:r>
      <w:r w:rsidR="00015483">
        <w:t xml:space="preserve">in principle </w:t>
      </w:r>
      <w:r w:rsidR="001253D0">
        <w:t>there is little inherent differ</w:t>
      </w:r>
      <w:r w:rsidR="00015483">
        <w:t>ence between alternative direct-</w:t>
      </w:r>
      <w:r w:rsidR="001253D0">
        <w:t>funding structures (e.g., grants, loans, loan guarantees)</w:t>
      </w:r>
      <w:r w:rsidR="00AF1983">
        <w:t>.</w:t>
      </w:r>
      <w:r>
        <w:rPr>
          <w:rStyle w:val="FootnoteReference"/>
        </w:rPr>
        <w:footnoteReference w:id="6"/>
      </w:r>
      <w:r w:rsidR="00A44DC3">
        <w:t xml:space="preserve"> </w:t>
      </w:r>
      <w:r w:rsidR="00B251E8">
        <w:t xml:space="preserve">The ideal </w:t>
      </w:r>
      <w:r>
        <w:t>approach</w:t>
      </w:r>
      <w:r w:rsidR="00B251E8">
        <w:t xml:space="preserve"> would be </w:t>
      </w:r>
      <w:r w:rsidR="001175DD">
        <w:t>legislation providing</w:t>
      </w:r>
      <w:r w:rsidR="00B251E8">
        <w:t xml:space="preserve"> broad funding authority </w:t>
      </w:r>
      <w:r w:rsidR="00B251E8">
        <w:lastRenderedPageBreak/>
        <w:t xml:space="preserve">with the flexibility to choose the </w:t>
      </w:r>
      <w:r>
        <w:t>public</w:t>
      </w:r>
      <w:r w:rsidR="00015483">
        <w:t>-</w:t>
      </w:r>
      <w:r w:rsidR="00B251E8">
        <w:t xml:space="preserve">financing structure </w:t>
      </w:r>
      <w:r>
        <w:t xml:space="preserve">that would maximize the leverage from private sources </w:t>
      </w:r>
      <w:r w:rsidR="00B251E8">
        <w:t xml:space="preserve">given the capital-market environment at the time of allocation. This flexibility would be easier to institutionalize in </w:t>
      </w:r>
      <w:r w:rsidR="002512D5">
        <w:t xml:space="preserve">some form of </w:t>
      </w:r>
      <w:r w:rsidR="00B251E8">
        <w:t>infrastructure bank</w:t>
      </w:r>
      <w:r w:rsidR="002512D5">
        <w:rPr>
          <w:rStyle w:val="FootnoteReference"/>
        </w:rPr>
        <w:footnoteReference w:id="7"/>
      </w:r>
      <w:r w:rsidR="00B251E8">
        <w:t xml:space="preserve"> </w:t>
      </w:r>
      <w:r w:rsidR="002512D5">
        <w:t xml:space="preserve">rather </w:t>
      </w:r>
      <w:r w:rsidR="00B251E8">
        <w:t>than in a dedicated program such as BTOP/BIP</w:t>
      </w:r>
      <w:r w:rsidR="00B251E8" w:rsidRPr="00B251E8">
        <w:t xml:space="preserve"> </w:t>
      </w:r>
      <w:r w:rsidR="00B251E8">
        <w:t>or USF</w:t>
      </w:r>
      <w:r w:rsidR="001253D0">
        <w:t>.</w:t>
      </w:r>
      <w:r w:rsidR="00AF1983">
        <w:rPr>
          <w:rStyle w:val="FootnoteReference"/>
        </w:rPr>
        <w:footnoteReference w:id="8"/>
      </w:r>
    </w:p>
    <w:p w:rsidR="00B251E8" w:rsidRDefault="00B251E8" w:rsidP="00B251E8">
      <w:pPr>
        <w:spacing w:after="160" w:line="259" w:lineRule="auto"/>
      </w:pPr>
      <w:r>
        <w:t xml:space="preserve">To avoid displacement of existing capex, recipients </w:t>
      </w:r>
      <w:r w:rsidR="005C139B">
        <w:t xml:space="preserve">of public support </w:t>
      </w:r>
      <w:r w:rsidR="00D7192F">
        <w:t>c</w:t>
      </w:r>
      <w:r>
        <w:t xml:space="preserve">ould be required to </w:t>
      </w:r>
      <w:r w:rsidR="005C139B">
        <w:t xml:space="preserve">both </w:t>
      </w:r>
      <w:r>
        <w:t>c</w:t>
      </w:r>
      <w:r w:rsidR="001253D0">
        <w:t>ertify (subject to audit) that projects undertaken with government funding would not have been execute</w:t>
      </w:r>
      <w:r>
        <w:t xml:space="preserve">d under existing business plans and </w:t>
      </w:r>
      <w:r w:rsidR="005C139B">
        <w:t xml:space="preserve">also </w:t>
      </w:r>
      <w:r>
        <w:t>c</w:t>
      </w:r>
      <w:r w:rsidR="001253D0">
        <w:t>ontribute matc</w:t>
      </w:r>
      <w:r>
        <w:t>hing funds (e.g.</w:t>
      </w:r>
      <w:r w:rsidR="008A166E">
        <w:t>, ≥</w:t>
      </w:r>
      <w:r w:rsidR="001253D0">
        <w:t xml:space="preserve"> 20% of total eligible project costs).</w:t>
      </w:r>
    </w:p>
    <w:p w:rsidR="001253D0" w:rsidRDefault="001253D0" w:rsidP="00B251E8">
      <w:pPr>
        <w:spacing w:after="160" w:line="259" w:lineRule="auto"/>
      </w:pPr>
      <w:r>
        <w:t xml:space="preserve">Once the direct funding structure has been decided the three main aspects of a </w:t>
      </w:r>
      <w:r w:rsidR="00B251E8">
        <w:t>digital infrastructure plan are:</w:t>
      </w:r>
    </w:p>
    <w:p w:rsidR="001253D0" w:rsidRDefault="001253D0" w:rsidP="00921B5D">
      <w:pPr>
        <w:pStyle w:val="ListParagraph"/>
        <w:numPr>
          <w:ilvl w:val="1"/>
          <w:numId w:val="8"/>
        </w:numPr>
        <w:spacing w:after="160" w:line="259" w:lineRule="auto"/>
        <w:ind w:left="720"/>
      </w:pPr>
      <w:r w:rsidRPr="00B251E8">
        <w:rPr>
          <w:i/>
        </w:rPr>
        <w:t>Defining the objective of the effort</w:t>
      </w:r>
      <w:r w:rsidR="00AD776D">
        <w:t>: For example, t</w:t>
      </w:r>
      <w:r>
        <w:t>he primary objective could be to provide one-time funding for capex to build FTTP to currently unserved locati</w:t>
      </w:r>
      <w:r w:rsidR="00AD776D">
        <w:t>ons or for fiber deployment in areas where it will have the most effect in accelerating the roll out of small-cell coverage</w:t>
      </w:r>
      <w:r w:rsidR="005C139B">
        <w:t xml:space="preserve"> </w:t>
      </w:r>
      <w:r w:rsidR="00D45C8A">
        <w:t>for mobile 5G.</w:t>
      </w:r>
      <w:r w:rsidR="00D45C8A">
        <w:rPr>
          <w:rStyle w:val="FootnoteReference"/>
        </w:rPr>
        <w:footnoteReference w:id="9"/>
      </w:r>
    </w:p>
    <w:p w:rsidR="001253D0" w:rsidRDefault="001253D0" w:rsidP="00921B5D">
      <w:pPr>
        <w:pStyle w:val="ListParagraph"/>
        <w:numPr>
          <w:ilvl w:val="1"/>
          <w:numId w:val="8"/>
        </w:numPr>
        <w:spacing w:after="160" w:line="259" w:lineRule="auto"/>
        <w:ind w:left="720"/>
      </w:pPr>
      <w:r w:rsidRPr="00121E6E">
        <w:rPr>
          <w:i/>
        </w:rPr>
        <w:t>Allocating the funds</w:t>
      </w:r>
      <w:r>
        <w:t xml:space="preserve">: Funding should be allocated </w:t>
      </w:r>
      <w:r w:rsidR="005C139B">
        <w:t xml:space="preserve">as </w:t>
      </w:r>
      <w:r>
        <w:t>objectively</w:t>
      </w:r>
      <w:r w:rsidR="005C139B">
        <w:t xml:space="preserve"> as possible</w:t>
      </w:r>
      <w:r w:rsidR="00AE3417">
        <w:t xml:space="preserve"> to qualified recipients</w:t>
      </w:r>
      <w:r>
        <w:t xml:space="preserve">, </w:t>
      </w:r>
      <w:r w:rsidR="00E303B1">
        <w:t xml:space="preserve">potentially </w:t>
      </w:r>
      <w:r>
        <w:t>via reverse auctions at a national/regional level to the eligible provider who is willing to meet the service requirements at the lowest cost.</w:t>
      </w:r>
      <w:r w:rsidR="00C80C18">
        <w:t xml:space="preserve"> </w:t>
      </w:r>
    </w:p>
    <w:p w:rsidR="001253D0" w:rsidRDefault="001253D0" w:rsidP="00921B5D">
      <w:pPr>
        <w:pStyle w:val="ListParagraph"/>
        <w:numPr>
          <w:ilvl w:val="1"/>
          <w:numId w:val="8"/>
        </w:numPr>
        <w:spacing w:after="160" w:line="259" w:lineRule="auto"/>
        <w:ind w:left="720"/>
      </w:pPr>
      <w:r w:rsidRPr="00121E6E">
        <w:rPr>
          <w:i/>
        </w:rPr>
        <w:t>Oversight of funding recipients</w:t>
      </w:r>
      <w:r>
        <w:t>: To ensure that recipients are meeting their commitments</w:t>
      </w:r>
      <w:r w:rsidR="00B52DB1">
        <w:t xml:space="preserve"> on an ongoing basis</w:t>
      </w:r>
      <w:r>
        <w:t>, an independent third party</w:t>
      </w:r>
      <w:r w:rsidR="007F6B9B">
        <w:t xml:space="preserve"> with the requisite capabilities</w:t>
      </w:r>
      <w:r>
        <w:t xml:space="preserve"> (e.g., an auditing/accounting firm) should be selected through an RFP and given oversight responsibility.</w:t>
      </w:r>
    </w:p>
    <w:p w:rsidR="001253D0" w:rsidRDefault="001253D0" w:rsidP="001253D0">
      <w:pPr>
        <w:pStyle w:val="ListParagraph"/>
        <w:ind w:left="1728"/>
      </w:pPr>
    </w:p>
    <w:p w:rsidR="001253D0" w:rsidRDefault="001253D0" w:rsidP="00121E6E">
      <w:r>
        <w:t xml:space="preserve">To </w:t>
      </w:r>
      <w:r w:rsidR="005C139B">
        <w:t xml:space="preserve">help </w:t>
      </w:r>
      <w:r w:rsidR="00A16ACB">
        <w:t xml:space="preserve">realize </w:t>
      </w:r>
      <w:r w:rsidR="002249FD">
        <w:t xml:space="preserve">the benefits of the </w:t>
      </w:r>
      <w:r w:rsidR="00A16ACB">
        <w:t>multiplier effect in other sectors from abun</w:t>
      </w:r>
      <w:r w:rsidR="000A7D6E">
        <w:t>dant, ubiquitous broadband, it c</w:t>
      </w:r>
      <w:r w:rsidR="00A16ACB">
        <w:t>ould</w:t>
      </w:r>
      <w:r>
        <w:t xml:space="preserve"> </w:t>
      </w:r>
      <w:r w:rsidR="000A7D6E">
        <w:t xml:space="preserve">also </w:t>
      </w:r>
      <w:r>
        <w:t>m</w:t>
      </w:r>
      <w:r w:rsidR="000A7D6E">
        <w:t xml:space="preserve">ake sense to set up separate </w:t>
      </w:r>
      <w:r w:rsidR="0045002A">
        <w:t>financing</w:t>
      </w:r>
      <w:r>
        <w:t xml:space="preserve"> pool</w:t>
      </w:r>
      <w:r w:rsidR="000A7D6E">
        <w:t>(s)</w:t>
      </w:r>
      <w:r>
        <w:t xml:space="preserve"> for deployment </w:t>
      </w:r>
      <w:r w:rsidR="00A16ACB">
        <w:t xml:space="preserve">that </w:t>
      </w:r>
      <w:r w:rsidR="0045002A">
        <w:t xml:space="preserve">explicitly </w:t>
      </w:r>
      <w:r w:rsidR="00A16ACB">
        <w:t xml:space="preserve">enable </w:t>
      </w:r>
      <w:r w:rsidR="0045002A">
        <w:t xml:space="preserve">communications-based </w:t>
      </w:r>
      <w:r w:rsidR="00A16ACB">
        <w:t>innovation</w:t>
      </w:r>
      <w:r>
        <w:t xml:space="preserve"> in industrial, consumer, and government</w:t>
      </w:r>
      <w:r w:rsidR="00A16ACB">
        <w:t xml:space="preserve"> applications. For example, </w:t>
      </w:r>
      <w:r>
        <w:t>a small percentage o</w:t>
      </w:r>
      <w:r w:rsidR="0045002A">
        <w:t>f existing government funding (e.g., DOT, FAA, and/or state/city</w:t>
      </w:r>
      <w:r w:rsidR="00A16ACB">
        <w:t xml:space="preserve">) could </w:t>
      </w:r>
      <w:r w:rsidR="0045002A">
        <w:t xml:space="preserve">be </w:t>
      </w:r>
      <w:r w:rsidR="00C54770">
        <w:t xml:space="preserve">explicitly </w:t>
      </w:r>
      <w:r w:rsidR="0045002A">
        <w:t>allocated</w:t>
      </w:r>
      <w:r w:rsidR="00A16ACB">
        <w:t xml:space="preserve"> </w:t>
      </w:r>
      <w:r w:rsidR="0045002A">
        <w:t>to support</w:t>
      </w:r>
      <w:r w:rsidR="00121E6E">
        <w:t xml:space="preserve"> infrastructure for 5G wireless c</w:t>
      </w:r>
      <w:r>
        <w:t>onnectivity along road</w:t>
      </w:r>
      <w:r w:rsidR="00121E6E">
        <w:t xml:space="preserve">s to </w:t>
      </w:r>
      <w:r w:rsidR="003146E6">
        <w:t>facilitate</w:t>
      </w:r>
      <w:r w:rsidR="00880A4A">
        <w:t xml:space="preserve"> </w:t>
      </w:r>
      <w:r w:rsidR="00121E6E">
        <w:t>autonomous vehicles</w:t>
      </w:r>
      <w:r w:rsidR="003146E6">
        <w:t>;</w:t>
      </w:r>
      <w:r>
        <w:rPr>
          <w:rStyle w:val="FootnoteReference"/>
        </w:rPr>
        <w:footnoteReference w:id="10"/>
      </w:r>
      <w:r w:rsidR="00121E6E">
        <w:t xml:space="preserve"> </w:t>
      </w:r>
      <w:r w:rsidR="00A16ACB">
        <w:t xml:space="preserve">for </w:t>
      </w:r>
      <w:r w:rsidR="00121E6E">
        <w:t>a</w:t>
      </w:r>
      <w:r>
        <w:t>nchor institutions to enable education, governme</w:t>
      </w:r>
      <w:r w:rsidR="003146E6">
        <w:t>nt,</w:t>
      </w:r>
      <w:r w:rsidR="00121E6E">
        <w:t xml:space="preserve"> and </w:t>
      </w:r>
      <w:r w:rsidR="003146E6">
        <w:t xml:space="preserve">healthcare </w:t>
      </w:r>
      <w:r w:rsidR="003146E6">
        <w:lastRenderedPageBreak/>
        <w:t>applications;</w:t>
      </w:r>
      <w:r w:rsidR="00B52DB1">
        <w:t xml:space="preserve"> and</w:t>
      </w:r>
      <w:r w:rsidR="00121E6E">
        <w:t xml:space="preserve"> </w:t>
      </w:r>
      <w:r w:rsidR="00A16ACB">
        <w:t xml:space="preserve">for </w:t>
      </w:r>
      <w:r w:rsidR="003146E6">
        <w:t>“Smart C</w:t>
      </w:r>
      <w:r w:rsidR="00121E6E">
        <w:t>itie</w:t>
      </w:r>
      <w:r w:rsidR="00A16ACB">
        <w:t>s</w:t>
      </w:r>
      <w:r w:rsidR="003146E6">
        <w:t>,”</w:t>
      </w:r>
      <w:r w:rsidR="00A16ACB">
        <w:t xml:space="preserve"> </w:t>
      </w:r>
      <w:r w:rsidR="003146E6">
        <w:t>expanding current initiatives</w:t>
      </w:r>
      <w:r w:rsidR="003146E6">
        <w:rPr>
          <w:rStyle w:val="FootnoteReference"/>
        </w:rPr>
        <w:footnoteReference w:id="11"/>
      </w:r>
      <w:r w:rsidR="003146E6">
        <w:t xml:space="preserve"> to help local communities tackle </w:t>
      </w:r>
      <w:r w:rsidR="003146E6" w:rsidRPr="003146E6">
        <w:t>challenges such as reducing traffic congestion, fighting cr</w:t>
      </w:r>
      <w:r w:rsidR="003146E6">
        <w:t>ime, fostering economic growth</w:t>
      </w:r>
      <w:r w:rsidR="003146E6" w:rsidRPr="003146E6">
        <w:t>, and improvin</w:t>
      </w:r>
      <w:r w:rsidR="003146E6">
        <w:t>g the delivery of city services</w:t>
      </w:r>
      <w:r>
        <w:t>.</w:t>
      </w:r>
      <w:r w:rsidR="0045002A">
        <w:t xml:space="preserve"> The expertise of </w:t>
      </w:r>
      <w:r w:rsidR="003146E6">
        <w:t>the FCC and NTIA could be made available to a</w:t>
      </w:r>
      <w:r w:rsidR="008D5137">
        <w:t>ssist with project selection and execution</w:t>
      </w:r>
      <w:r w:rsidR="003146E6">
        <w:t>.</w:t>
      </w:r>
    </w:p>
    <w:p w:rsidR="001253D0" w:rsidRPr="00F46D73" w:rsidRDefault="001253D0" w:rsidP="00F46D73">
      <w:pPr>
        <w:rPr>
          <w:i/>
        </w:rPr>
      </w:pPr>
    </w:p>
    <w:p w:rsidR="00AD776D" w:rsidRDefault="00624421" w:rsidP="00AD776D">
      <w:pPr>
        <w:pStyle w:val="ListParagraph"/>
        <w:numPr>
          <w:ilvl w:val="2"/>
          <w:numId w:val="3"/>
        </w:numPr>
        <w:tabs>
          <w:tab w:val="left" w:pos="1620"/>
        </w:tabs>
        <w:spacing w:after="160" w:line="259" w:lineRule="auto"/>
        <w:ind w:left="360"/>
        <w:rPr>
          <w:i/>
        </w:rPr>
      </w:pPr>
      <w:r>
        <w:rPr>
          <w:i/>
        </w:rPr>
        <w:t>T</w:t>
      </w:r>
      <w:r w:rsidR="001253D0" w:rsidRPr="000D156B">
        <w:rPr>
          <w:i/>
        </w:rPr>
        <w:t>ax-related initiatives</w:t>
      </w:r>
      <w:r w:rsidR="001253D0" w:rsidRPr="00C5697A">
        <w:rPr>
          <w:b/>
        </w:rPr>
        <w:t xml:space="preserve"> </w:t>
      </w:r>
      <w:r w:rsidR="001253D0" w:rsidRPr="00C5697A">
        <w:rPr>
          <w:i/>
        </w:rPr>
        <w:t>to increase</w:t>
      </w:r>
      <w:r w:rsidR="004617A5">
        <w:rPr>
          <w:i/>
        </w:rPr>
        <w:t xml:space="preserve"> the return on invested capital</w:t>
      </w:r>
      <w:r w:rsidR="002A4EF8">
        <w:rPr>
          <w:i/>
        </w:rPr>
        <w:t>.</w:t>
      </w:r>
    </w:p>
    <w:p w:rsidR="0090058D" w:rsidRPr="00AD776D" w:rsidRDefault="0090058D" w:rsidP="00AD776D">
      <w:pPr>
        <w:rPr>
          <w:i/>
        </w:rPr>
      </w:pPr>
      <w:r>
        <w:t xml:space="preserve">Changing the way in which digital infrastructure investments are treated under the tax code would increase potential returns and hence stimulate investment. Areas that should be </w:t>
      </w:r>
      <w:r w:rsidR="007D4278">
        <w:t>considered</w:t>
      </w:r>
      <w:r>
        <w:t xml:space="preserve"> include:</w:t>
      </w:r>
    </w:p>
    <w:p w:rsidR="0090058D" w:rsidRPr="0090058D" w:rsidRDefault="0090058D" w:rsidP="0090058D">
      <w:pPr>
        <w:pStyle w:val="ListParagraph"/>
        <w:spacing w:after="160" w:line="259" w:lineRule="auto"/>
        <w:ind w:left="0"/>
      </w:pPr>
    </w:p>
    <w:p w:rsidR="001253D0" w:rsidRDefault="00BD4034" w:rsidP="0090058D">
      <w:pPr>
        <w:pStyle w:val="ListParagraph"/>
        <w:numPr>
          <w:ilvl w:val="0"/>
          <w:numId w:val="10"/>
        </w:numPr>
        <w:spacing w:after="160" w:line="259" w:lineRule="auto"/>
      </w:pPr>
      <w:r>
        <w:rPr>
          <w:i/>
        </w:rPr>
        <w:t xml:space="preserve">Clarifying and </w:t>
      </w:r>
      <w:r w:rsidR="001253D0" w:rsidRPr="0090058D">
        <w:rPr>
          <w:i/>
        </w:rPr>
        <w:t>accelerating depreciation schedules for broadband-related capex</w:t>
      </w:r>
      <w:r w:rsidR="00F551AA">
        <w:t>, e.g., on fiber and fiber-related equipment.</w:t>
      </w:r>
    </w:p>
    <w:p w:rsidR="001253D0" w:rsidRDefault="001253D0" w:rsidP="0090058D">
      <w:pPr>
        <w:pStyle w:val="ListParagraph"/>
        <w:numPr>
          <w:ilvl w:val="0"/>
          <w:numId w:val="10"/>
        </w:numPr>
        <w:spacing w:after="160" w:line="259" w:lineRule="auto"/>
      </w:pPr>
      <w:r w:rsidRPr="0090058D">
        <w:rPr>
          <w:i/>
        </w:rPr>
        <w:t>Targeting tax credits for</w:t>
      </w:r>
      <w:r w:rsidR="0090058D" w:rsidRPr="0090058D">
        <w:rPr>
          <w:i/>
        </w:rPr>
        <w:t xml:space="preserve"> broadband-related investments</w:t>
      </w:r>
      <w:r w:rsidR="0090058D">
        <w:t xml:space="preserve">, e.g., </w:t>
      </w:r>
      <w:r>
        <w:t>by type</w:t>
      </w:r>
      <w:r w:rsidR="0090058D">
        <w:t xml:space="preserve"> of investment and/or geography</w:t>
      </w:r>
      <w:r>
        <w:t>.</w:t>
      </w:r>
    </w:p>
    <w:p w:rsidR="001253D0" w:rsidRPr="00AD776D" w:rsidRDefault="001253D0" w:rsidP="0090058D">
      <w:pPr>
        <w:pStyle w:val="ListParagraph"/>
        <w:numPr>
          <w:ilvl w:val="0"/>
          <w:numId w:val="10"/>
        </w:numPr>
        <w:spacing w:after="160" w:line="259" w:lineRule="auto"/>
      </w:pPr>
      <w:r w:rsidRPr="0090058D">
        <w:rPr>
          <w:i/>
        </w:rPr>
        <w:t xml:space="preserve">Ensuring that direct funding to stimulate capex is treated as a contribution to capital under Section 118 of the Internal Revenue Code </w:t>
      </w:r>
      <w:r w:rsidRPr="00AD776D">
        <w:t>rather than as taxable income.</w:t>
      </w:r>
    </w:p>
    <w:p w:rsidR="001253D0" w:rsidRDefault="001253D0" w:rsidP="001253D0">
      <w:pPr>
        <w:pStyle w:val="ListParagraph"/>
        <w:ind w:left="792"/>
        <w:rPr>
          <w:i/>
        </w:rPr>
      </w:pPr>
    </w:p>
    <w:p w:rsidR="008A075A" w:rsidRDefault="008A075A" w:rsidP="008A075A">
      <w:r>
        <w:t xml:space="preserve">As recently </w:t>
      </w:r>
      <w:r w:rsidR="007F6B9B">
        <w:t xml:space="preserve">suggested </w:t>
      </w:r>
      <w:r>
        <w:t>by Ross &amp; Navarro,</w:t>
      </w:r>
      <w:r w:rsidR="003A541C">
        <w:rPr>
          <w:rStyle w:val="FootnoteReference"/>
        </w:rPr>
        <w:footnoteReference w:id="12"/>
      </w:r>
      <w:r>
        <w:t xml:space="preserve"> the cost of tax credits to encourage infrastructure deployment could be offset against</w:t>
      </w:r>
      <w:r w:rsidR="00FC1FDF">
        <w:t xml:space="preserve"> a repatriation tax on overseas </w:t>
      </w:r>
      <w:r>
        <w:t>retained earnings.</w:t>
      </w:r>
    </w:p>
    <w:p w:rsidR="008A075A" w:rsidRPr="008A075A" w:rsidRDefault="008A075A" w:rsidP="008A075A"/>
    <w:p w:rsidR="00E3118A" w:rsidRDefault="00624421" w:rsidP="00E3118A">
      <w:pPr>
        <w:pStyle w:val="ListParagraph"/>
        <w:numPr>
          <w:ilvl w:val="2"/>
          <w:numId w:val="3"/>
        </w:numPr>
        <w:spacing w:after="160" w:line="259" w:lineRule="auto"/>
        <w:ind w:left="450"/>
        <w:rPr>
          <w:i/>
        </w:rPr>
      </w:pPr>
      <w:r>
        <w:rPr>
          <w:i/>
        </w:rPr>
        <w:t>O</w:t>
      </w:r>
      <w:r w:rsidR="001253D0" w:rsidRPr="0090058D">
        <w:rPr>
          <w:i/>
        </w:rPr>
        <w:t>perations-related initiatives to enhance the producti</w:t>
      </w:r>
      <w:r w:rsidR="004617A5" w:rsidRPr="0090058D">
        <w:rPr>
          <w:i/>
        </w:rPr>
        <w:t>vity of capex</w:t>
      </w:r>
      <w:r w:rsidR="002A4EF8">
        <w:rPr>
          <w:i/>
        </w:rPr>
        <w:t>.</w:t>
      </w:r>
    </w:p>
    <w:p w:rsidR="002A4EF8" w:rsidRDefault="00E7181A" w:rsidP="00E3118A">
      <w:r>
        <w:t>Numerous initiatives could be taken to help remove</w:t>
      </w:r>
      <w:r w:rsidR="00E3118A">
        <w:t xml:space="preserve"> barriers to the efficient deployment of digital infrastru</w:t>
      </w:r>
      <w:r>
        <w:t>cture, including:</w:t>
      </w:r>
    </w:p>
    <w:p w:rsidR="00E7181A" w:rsidRPr="00E3118A" w:rsidRDefault="00E7181A" w:rsidP="00E3118A">
      <w:pPr>
        <w:rPr>
          <w:i/>
        </w:rPr>
      </w:pPr>
    </w:p>
    <w:p w:rsidR="00124EB3" w:rsidRPr="00511344" w:rsidRDefault="001253D0" w:rsidP="00124EB3">
      <w:pPr>
        <w:pStyle w:val="ListParagraph"/>
        <w:numPr>
          <w:ilvl w:val="0"/>
          <w:numId w:val="12"/>
        </w:numPr>
        <w:spacing w:line="259" w:lineRule="auto"/>
        <w:ind w:left="720"/>
      </w:pPr>
      <w:r w:rsidRPr="00477568">
        <w:rPr>
          <w:i/>
        </w:rPr>
        <w:t>Streamlining siting approvals</w:t>
      </w:r>
      <w:r w:rsidR="00477568">
        <w:t xml:space="preserve">, e.g., for </w:t>
      </w:r>
      <w:r w:rsidR="00A02DD8">
        <w:t xml:space="preserve">federal, </w:t>
      </w:r>
      <w:r w:rsidR="00124EB3">
        <w:t xml:space="preserve">municipal, and tribal </w:t>
      </w:r>
      <w:r w:rsidR="00477568">
        <w:t>properties</w:t>
      </w:r>
      <w:r w:rsidR="00124EB3">
        <w:t>. As an example, towers that al</w:t>
      </w:r>
      <w:r w:rsidR="00BB50D1">
        <w:t>ready have at least one antenna</w:t>
      </w:r>
      <w:r w:rsidR="00124EB3">
        <w:t xml:space="preserve"> could be deemed to have complied with NEPA/NHPA requirements for additional collocations.</w:t>
      </w:r>
    </w:p>
    <w:p w:rsidR="001253D0" w:rsidRPr="00511344" w:rsidRDefault="001253D0" w:rsidP="002A4EF8">
      <w:pPr>
        <w:pStyle w:val="ListParagraph"/>
        <w:numPr>
          <w:ilvl w:val="0"/>
          <w:numId w:val="12"/>
        </w:numPr>
        <w:spacing w:line="259" w:lineRule="auto"/>
        <w:ind w:left="720"/>
      </w:pPr>
      <w:r w:rsidRPr="00477568">
        <w:rPr>
          <w:i/>
        </w:rPr>
        <w:t>Reducing local pre-deployment barriers</w:t>
      </w:r>
      <w:r w:rsidR="006F3457">
        <w:rPr>
          <w:i/>
        </w:rPr>
        <w:t xml:space="preserve"> to reduce deployment costs and delays</w:t>
      </w:r>
      <w:r w:rsidR="00477568">
        <w:t xml:space="preserve">, e.g., </w:t>
      </w:r>
      <w:r w:rsidR="00BB50D1">
        <w:t xml:space="preserve">with respect to </w:t>
      </w:r>
      <w:r w:rsidR="00477568">
        <w:t>rights-of-way,</w:t>
      </w:r>
      <w:r w:rsidR="00BB50D1">
        <w:t xml:space="preserve"> dig once</w:t>
      </w:r>
      <w:r w:rsidR="00C166D1">
        <w:t>,</w:t>
      </w:r>
      <w:r>
        <w:t xml:space="preserve"> pole-attachment rates</w:t>
      </w:r>
      <w:r w:rsidR="00477568">
        <w:t>,</w:t>
      </w:r>
      <w:r>
        <w:t xml:space="preserve"> </w:t>
      </w:r>
      <w:r w:rsidR="006F3457">
        <w:t>and one-touch make ready.</w:t>
      </w:r>
    </w:p>
    <w:p w:rsidR="001253D0" w:rsidRDefault="001253D0" w:rsidP="002A4EF8">
      <w:pPr>
        <w:pStyle w:val="ListParagraph"/>
        <w:numPr>
          <w:ilvl w:val="0"/>
          <w:numId w:val="12"/>
        </w:numPr>
        <w:spacing w:line="259" w:lineRule="auto"/>
        <w:ind w:left="720"/>
      </w:pPr>
      <w:r w:rsidRPr="00477568">
        <w:rPr>
          <w:i/>
        </w:rPr>
        <w:t>Promoting shared facilities</w:t>
      </w:r>
      <w:r w:rsidR="00477568">
        <w:t xml:space="preserve">, for example via </w:t>
      </w:r>
      <w:r w:rsidRPr="00511344">
        <w:t xml:space="preserve">municipal-driven </w:t>
      </w:r>
      <w:r w:rsidR="006F3457">
        <w:t>incentives to</w:t>
      </w:r>
      <w:r w:rsidR="00D34669">
        <w:t xml:space="preserve"> </w:t>
      </w:r>
      <w:r w:rsidR="006F3457">
        <w:t>share</w:t>
      </w:r>
      <w:r w:rsidR="00D34669">
        <w:t xml:space="preserve"> wireless equipment and</w:t>
      </w:r>
      <w:r>
        <w:t xml:space="preserve"> </w:t>
      </w:r>
      <w:r w:rsidR="00477568">
        <w:t xml:space="preserve">fiber </w:t>
      </w:r>
      <w:r w:rsidR="00C73202">
        <w:t>facilities</w:t>
      </w:r>
      <w:r>
        <w:t>.</w:t>
      </w:r>
    </w:p>
    <w:p w:rsidR="001253D0" w:rsidRDefault="001253D0" w:rsidP="002A4EF8">
      <w:pPr>
        <w:pStyle w:val="ListParagraph"/>
        <w:numPr>
          <w:ilvl w:val="0"/>
          <w:numId w:val="12"/>
        </w:numPr>
        <w:spacing w:line="259" w:lineRule="auto"/>
        <w:ind w:left="720"/>
      </w:pPr>
      <w:r w:rsidRPr="00D34669">
        <w:rPr>
          <w:i/>
        </w:rPr>
        <w:t>Improving access to information</w:t>
      </w:r>
      <w:r w:rsidR="00D34669">
        <w:t xml:space="preserve">, </w:t>
      </w:r>
      <w:r>
        <w:t xml:space="preserve">e.g., </w:t>
      </w:r>
      <w:r w:rsidR="000A7D6E">
        <w:t xml:space="preserve">about </w:t>
      </w:r>
      <w:r w:rsidR="00D34669">
        <w:t>the location of fiber and rights-of-way access facilities</w:t>
      </w:r>
      <w:r w:rsidR="00FC1FDF">
        <w:t xml:space="preserve"> </w:t>
      </w:r>
      <w:r w:rsidR="00C73202">
        <w:t>and</w:t>
      </w:r>
      <w:r w:rsidR="00FC1FDF">
        <w:t xml:space="preserve"> the procedures, timing, and point of contact for any required governmental reviews.</w:t>
      </w:r>
    </w:p>
    <w:p w:rsidR="001253D0" w:rsidRDefault="00D34669" w:rsidP="002A4EF8">
      <w:pPr>
        <w:pStyle w:val="ListParagraph"/>
        <w:numPr>
          <w:ilvl w:val="0"/>
          <w:numId w:val="12"/>
        </w:numPr>
        <w:spacing w:line="259" w:lineRule="auto"/>
        <w:ind w:left="720"/>
      </w:pPr>
      <w:r>
        <w:rPr>
          <w:i/>
        </w:rPr>
        <w:t>Smart buying by government</w:t>
      </w:r>
      <w:r>
        <w:t xml:space="preserve">, </w:t>
      </w:r>
      <w:r w:rsidR="00D318DC">
        <w:t>e.g.,</w:t>
      </w:r>
      <w:r w:rsidR="001253D0">
        <w:t xml:space="preserve"> </w:t>
      </w:r>
      <w:r w:rsidR="00FC1FDF">
        <w:t xml:space="preserve">facilitating commercial </w:t>
      </w:r>
      <w:r w:rsidR="008A166E">
        <w:t>deployment in</w:t>
      </w:r>
      <w:r w:rsidR="00FC1FDF">
        <w:t xml:space="preserve"> areas that can be served using </w:t>
      </w:r>
      <w:r w:rsidR="001253D0">
        <w:t xml:space="preserve">network builds organized around </w:t>
      </w:r>
      <w:r w:rsidR="00FC1FDF">
        <w:t xml:space="preserve">public </w:t>
      </w:r>
      <w:r>
        <w:t>anchor institutions</w:t>
      </w:r>
      <w:r w:rsidR="001253D0">
        <w:t>.</w:t>
      </w:r>
    </w:p>
    <w:p w:rsidR="001253D0" w:rsidRDefault="001253D0" w:rsidP="002A4EF8">
      <w:pPr>
        <w:pStyle w:val="ListParagraph"/>
        <w:numPr>
          <w:ilvl w:val="0"/>
          <w:numId w:val="12"/>
        </w:numPr>
        <w:spacing w:line="259" w:lineRule="auto"/>
        <w:ind w:left="720"/>
      </w:pPr>
      <w:r w:rsidRPr="00D34669">
        <w:rPr>
          <w:i/>
        </w:rPr>
        <w:t>Establishing more effective build-out conditions</w:t>
      </w:r>
      <w:r w:rsidR="00D34669">
        <w:t xml:space="preserve">, </w:t>
      </w:r>
      <w:r>
        <w:t>so that spectrum as</w:t>
      </w:r>
      <w:r w:rsidR="00D34669">
        <w:t>set</w:t>
      </w:r>
      <w:r w:rsidR="006F3457">
        <w:t>s are put to productive use and redlining is prevented.</w:t>
      </w:r>
    </w:p>
    <w:p w:rsidR="00F534E3" w:rsidRDefault="001253D0" w:rsidP="002A4EF8">
      <w:pPr>
        <w:pStyle w:val="ListParagraph"/>
        <w:numPr>
          <w:ilvl w:val="0"/>
          <w:numId w:val="12"/>
        </w:numPr>
        <w:spacing w:line="259" w:lineRule="auto"/>
        <w:ind w:left="720"/>
      </w:pPr>
      <w:r w:rsidRPr="00D34669">
        <w:rPr>
          <w:i/>
        </w:rPr>
        <w:t>I</w:t>
      </w:r>
      <w:r w:rsidR="00D34669">
        <w:rPr>
          <w:i/>
        </w:rPr>
        <w:t xml:space="preserve">mproving inter-agency processes and </w:t>
      </w:r>
      <w:r w:rsidRPr="00D34669">
        <w:rPr>
          <w:i/>
        </w:rPr>
        <w:t>cooperation</w:t>
      </w:r>
      <w:r>
        <w:t xml:space="preserve"> targeted at realizing benefits from incorporating broadband</w:t>
      </w:r>
      <w:r w:rsidR="00CB26F3">
        <w:t xml:space="preserve"> in other areas of the economy – </w:t>
      </w:r>
      <w:r>
        <w:t>in</w:t>
      </w:r>
      <w:r w:rsidR="00CB26F3">
        <w:t>dustrial, consumer, government –</w:t>
      </w:r>
      <w:r w:rsidR="00AD776D">
        <w:t xml:space="preserve"> for example via closer coordination between the FCC and DOT to accelerate the deployment of mobile coverage along roads.</w:t>
      </w:r>
    </w:p>
    <w:p w:rsidR="001175DD" w:rsidRDefault="001175DD" w:rsidP="001175DD">
      <w:pPr>
        <w:spacing w:line="259" w:lineRule="auto"/>
      </w:pPr>
    </w:p>
    <w:p w:rsidR="00053631" w:rsidRDefault="00D06CDE" w:rsidP="00D761FB">
      <w:pPr>
        <w:spacing w:line="259" w:lineRule="auto"/>
      </w:pPr>
      <w:r>
        <w:t>The FCC can undertake many of these initiatives</w:t>
      </w:r>
      <w:r w:rsidR="00053631">
        <w:t xml:space="preserve"> without any change in law – for example, </w:t>
      </w:r>
      <w:r w:rsidR="000A7D6E">
        <w:t>t</w:t>
      </w:r>
      <w:r w:rsidR="001175DD">
        <w:t xml:space="preserve">he </w:t>
      </w:r>
      <w:r w:rsidR="00053631">
        <w:t>Commission</w:t>
      </w:r>
      <w:r w:rsidR="000A7D6E">
        <w:t xml:space="preserve">’s </w:t>
      </w:r>
      <w:r w:rsidR="001175DD">
        <w:t xml:space="preserve">Wireless Telecommunications Bureau recently sought comment on </w:t>
      </w:r>
      <w:r w:rsidR="00D761FB" w:rsidRPr="00D761FB">
        <w:t>how federal law applies to local government review of wireless facility siting applications and local</w:t>
      </w:r>
      <w:r w:rsidR="00D761FB">
        <w:t xml:space="preserve"> </w:t>
      </w:r>
      <w:r w:rsidR="00D761FB" w:rsidRPr="00D761FB">
        <w:t>requirements for gaining access to rights of way</w:t>
      </w:r>
      <w:r w:rsidR="00053631">
        <w:t>.</w:t>
      </w:r>
      <w:r w:rsidR="001175DD">
        <w:rPr>
          <w:rStyle w:val="FootnoteReference"/>
        </w:rPr>
        <w:footnoteReference w:id="13"/>
      </w:r>
      <w:r w:rsidR="00053631">
        <w:t xml:space="preserve"> </w:t>
      </w:r>
    </w:p>
    <w:p w:rsidR="00053631" w:rsidRDefault="00053631" w:rsidP="00D761FB">
      <w:pPr>
        <w:spacing w:line="259" w:lineRule="auto"/>
      </w:pPr>
    </w:p>
    <w:p w:rsidR="001175DD" w:rsidRDefault="00EE2F77" w:rsidP="00D761FB">
      <w:pPr>
        <w:spacing w:line="259" w:lineRule="auto"/>
      </w:pPr>
      <w:r>
        <w:t xml:space="preserve">Congress may wish to consider additional initiatives to </w:t>
      </w:r>
      <w:r w:rsidR="00F92E41">
        <w:t>remove barriers to broadband deployment</w:t>
      </w:r>
      <w:r w:rsidR="00053631">
        <w:t>.</w:t>
      </w:r>
      <w:r>
        <w:t xml:space="preserve"> </w:t>
      </w:r>
      <w:r w:rsidR="000339DC">
        <w:t>The Appendix</w:t>
      </w:r>
      <w:r w:rsidR="00F92E41">
        <w:t xml:space="preserve"> to this paper </w:t>
      </w:r>
      <w:r w:rsidR="000339DC">
        <w:t>contains</w:t>
      </w:r>
      <w:r w:rsidR="009B0316">
        <w:t xml:space="preserve"> several areas </w:t>
      </w:r>
      <w:r>
        <w:t xml:space="preserve">for </w:t>
      </w:r>
      <w:r w:rsidR="009B0316">
        <w:t xml:space="preserve">potential </w:t>
      </w:r>
      <w:r>
        <w:t>legislative action.</w:t>
      </w:r>
    </w:p>
    <w:p w:rsidR="00F70C33" w:rsidRDefault="00F70C33" w:rsidP="00D761FB">
      <w:pPr>
        <w:spacing w:line="259" w:lineRule="auto"/>
      </w:pPr>
    </w:p>
    <w:p w:rsidR="00AF1983" w:rsidRDefault="00AF1983" w:rsidP="00D761FB">
      <w:pPr>
        <w:spacing w:line="259" w:lineRule="auto"/>
      </w:pPr>
      <w:r>
        <w:t>January 17, 2017</w:t>
      </w:r>
    </w:p>
    <w:p w:rsidR="00F70C33" w:rsidRDefault="00F70C33">
      <w:r>
        <w:br w:type="page"/>
      </w:r>
    </w:p>
    <w:p w:rsidR="00F70C33" w:rsidRPr="00F70C33" w:rsidRDefault="00F70C33" w:rsidP="00F70C33">
      <w:pPr>
        <w:spacing w:line="259" w:lineRule="auto"/>
        <w:jc w:val="center"/>
        <w:rPr>
          <w:b/>
          <w:smallCaps/>
          <w:sz w:val="28"/>
          <w:u w:val="single"/>
        </w:rPr>
      </w:pPr>
      <w:r w:rsidRPr="00F70C33">
        <w:rPr>
          <w:b/>
          <w:smallCaps/>
          <w:sz w:val="28"/>
          <w:u w:val="single"/>
        </w:rPr>
        <w:t xml:space="preserve">Appendix: </w:t>
      </w:r>
      <w:r w:rsidRPr="00F70C33">
        <w:rPr>
          <w:rFonts w:cs="Times New Roman"/>
          <w:b/>
          <w:smallCaps/>
          <w:sz w:val="28"/>
          <w:u w:val="single"/>
        </w:rPr>
        <w:t>Potential Legislative Proposals to Promote Wireless Infrastructure</w:t>
      </w:r>
    </w:p>
    <w:p w:rsidR="00F70C33" w:rsidRPr="00F70C33" w:rsidRDefault="00F70C33" w:rsidP="00F70C33">
      <w:pPr>
        <w:pStyle w:val="ListParagraph"/>
        <w:spacing w:after="120"/>
        <w:ind w:left="2160"/>
        <w:rPr>
          <w:rFonts w:cs="Times New Roman"/>
        </w:rPr>
      </w:pPr>
    </w:p>
    <w:p w:rsidR="00F70C33" w:rsidRPr="00F70C33" w:rsidRDefault="00F70C33" w:rsidP="00F70C33">
      <w:pPr>
        <w:pStyle w:val="ListParagraph"/>
        <w:numPr>
          <w:ilvl w:val="0"/>
          <w:numId w:val="13"/>
        </w:numPr>
        <w:spacing w:after="120"/>
        <w:ind w:left="360"/>
        <w:rPr>
          <w:rFonts w:cs="Times New Roman"/>
          <w:b/>
        </w:rPr>
      </w:pPr>
      <w:r w:rsidRPr="00F70C33">
        <w:rPr>
          <w:rFonts w:cs="Times New Roman"/>
          <w:b/>
        </w:rPr>
        <w:t>“Deemed Granted” Reme</w:t>
      </w:r>
      <w:r w:rsidR="00696275">
        <w:rPr>
          <w:rFonts w:cs="Times New Roman"/>
          <w:b/>
        </w:rPr>
        <w:t>dy for Local Reviews n</w:t>
      </w:r>
      <w:r w:rsidRPr="00F70C33">
        <w:rPr>
          <w:rFonts w:cs="Times New Roman"/>
          <w:b/>
        </w:rPr>
        <w:t xml:space="preserve">ot Completed Within a Reasonable Period of Time. </w:t>
      </w:r>
    </w:p>
    <w:p w:rsidR="00F70C33" w:rsidRPr="00F70C33" w:rsidRDefault="0057599C" w:rsidP="00F70C33">
      <w:pPr>
        <w:spacing w:after="120"/>
        <w:ind w:left="360"/>
        <w:rPr>
          <w:rFonts w:cs="Times New Roman"/>
        </w:rPr>
      </w:pPr>
      <w:r>
        <w:rPr>
          <w:rFonts w:cs="Times New Roman"/>
        </w:rPr>
        <w:t>47 U.S.C. §</w:t>
      </w:r>
      <w:r w:rsidR="00F70C33" w:rsidRPr="00F70C33">
        <w:rPr>
          <w:rFonts w:cs="Times New Roman"/>
        </w:rPr>
        <w:t>332(c)(7)(B) requires State and local</w:t>
      </w:r>
      <w:r w:rsidR="007A39C4">
        <w:rPr>
          <w:rFonts w:cs="Times New Roman"/>
        </w:rPr>
        <w:t xml:space="preserve"> governments to act on wireless-infrastructure-</w:t>
      </w:r>
      <w:r w:rsidR="00F70C33" w:rsidRPr="00F70C33">
        <w:rPr>
          <w:rFonts w:cs="Times New Roman"/>
        </w:rPr>
        <w:t xml:space="preserve">deployment applications “within a reasonable </w:t>
      </w:r>
      <w:r w:rsidR="008B43A5">
        <w:rPr>
          <w:rFonts w:cs="Times New Roman"/>
        </w:rPr>
        <w:t xml:space="preserve">period of time,” and the FCC </w:t>
      </w:r>
      <w:r w:rsidR="00F70C33" w:rsidRPr="00F70C33">
        <w:rPr>
          <w:rFonts w:cs="Times New Roman"/>
        </w:rPr>
        <w:t xml:space="preserve">has established that, as a general matter, the maximum “reasonable” amounts of time for action are 90 days for collocation applications and 150 days for applications involving facilities other than collocations.  </w:t>
      </w:r>
    </w:p>
    <w:p w:rsidR="00F70C33" w:rsidRPr="00F70C33" w:rsidRDefault="00F70C33" w:rsidP="00F70C33">
      <w:pPr>
        <w:spacing w:after="120"/>
        <w:ind w:left="360"/>
        <w:rPr>
          <w:rFonts w:cs="Times New Roman"/>
        </w:rPr>
      </w:pPr>
      <w:r w:rsidRPr="00F70C33">
        <w:rPr>
          <w:rFonts w:cs="Times New Roman"/>
        </w:rPr>
        <w:t xml:space="preserve">In large part because the statute specifies a judicial remedy for anyone “adversely affected by any final action or failure to act by a State or local government,” the </w:t>
      </w:r>
      <w:r w:rsidR="008B43A5">
        <w:rPr>
          <w:rFonts w:cs="Times New Roman"/>
        </w:rPr>
        <w:t>FCC</w:t>
      </w:r>
      <w:r w:rsidRPr="00F70C33">
        <w:rPr>
          <w:rFonts w:cs="Times New Roman"/>
        </w:rPr>
        <w:t xml:space="preserve"> has not adopted a “deemed granted” remedy for failure to act within a reasonable time.  The siting proponent therefore has the burden of obtaining a judicial ruling.  Shifting that burden to the tower opponent would promote certainty and expeditious resolutions.</w:t>
      </w:r>
    </w:p>
    <w:p w:rsidR="00F70C33" w:rsidRPr="00F70C33" w:rsidRDefault="00F70C33" w:rsidP="00F70C33">
      <w:pPr>
        <w:spacing w:after="120"/>
        <w:ind w:left="360"/>
        <w:rPr>
          <w:rFonts w:cs="Times New Roman"/>
          <w:i/>
        </w:rPr>
      </w:pPr>
      <w:r w:rsidRPr="00F70C33">
        <w:rPr>
          <w:rFonts w:cs="Times New Roman"/>
          <w:b/>
          <w:i/>
        </w:rPr>
        <w:t xml:space="preserve">Proposed legislative approach: </w:t>
      </w:r>
      <w:r w:rsidR="007A39C4">
        <w:rPr>
          <w:rFonts w:cs="Times New Roman"/>
          <w:i/>
        </w:rPr>
        <w:t>Amend S</w:t>
      </w:r>
      <w:r w:rsidR="0057599C">
        <w:rPr>
          <w:rFonts w:cs="Times New Roman"/>
          <w:i/>
        </w:rPr>
        <w:t>ection</w:t>
      </w:r>
      <w:r w:rsidRPr="00F70C33">
        <w:rPr>
          <w:rFonts w:cs="Times New Roman"/>
          <w:i/>
        </w:rPr>
        <w:t xml:space="preserve"> 332(c)(7)(B)(v) to remove the judicial remedy as the avenue for relief, replacing it with an express “deemed grant</w:t>
      </w:r>
      <w:r w:rsidR="00320A01">
        <w:rPr>
          <w:rFonts w:cs="Times New Roman"/>
          <w:i/>
        </w:rPr>
        <w:t>ed</w:t>
      </w:r>
      <w:r w:rsidRPr="00F70C33">
        <w:rPr>
          <w:rFonts w:cs="Times New Roman"/>
          <w:i/>
        </w:rPr>
        <w:t>” remedy together with a provision allowing any party opposed to the “deemed grant</w:t>
      </w:r>
      <w:r w:rsidR="00320A01">
        <w:rPr>
          <w:rFonts w:cs="Times New Roman"/>
          <w:i/>
        </w:rPr>
        <w:t>ed</w:t>
      </w:r>
      <w:r w:rsidRPr="00F70C33">
        <w:rPr>
          <w:rFonts w:cs="Times New Roman"/>
          <w:i/>
        </w:rPr>
        <w:t>” to seek judicial relief.</w:t>
      </w:r>
    </w:p>
    <w:p w:rsidR="00F70C33" w:rsidRPr="00F70C33" w:rsidRDefault="00F70C33" w:rsidP="00F70C33">
      <w:pPr>
        <w:pStyle w:val="ListParagraph"/>
        <w:spacing w:after="120"/>
        <w:ind w:left="1080"/>
        <w:rPr>
          <w:rFonts w:cs="Times New Roman"/>
        </w:rPr>
      </w:pPr>
    </w:p>
    <w:p w:rsidR="00317D95" w:rsidRPr="00317D95" w:rsidRDefault="00C75C9D" w:rsidP="00317D95">
      <w:pPr>
        <w:pStyle w:val="ListParagraph"/>
        <w:numPr>
          <w:ilvl w:val="0"/>
          <w:numId w:val="13"/>
        </w:numPr>
        <w:spacing w:after="120"/>
        <w:ind w:left="360"/>
        <w:rPr>
          <w:rFonts w:cs="Times New Roman"/>
        </w:rPr>
      </w:pPr>
      <w:r>
        <w:rPr>
          <w:rFonts w:cs="Times New Roman"/>
          <w:b/>
        </w:rPr>
        <w:t>Touch Once Make-Ready/</w:t>
      </w:r>
      <w:r w:rsidR="00F70C33" w:rsidRPr="00F70C33">
        <w:rPr>
          <w:rFonts w:cs="Times New Roman"/>
          <w:b/>
        </w:rPr>
        <w:t>Climb Once</w:t>
      </w:r>
      <w:r>
        <w:rPr>
          <w:rFonts w:cs="Times New Roman"/>
          <w:b/>
        </w:rPr>
        <w:t>/Dig Once.</w:t>
      </w:r>
    </w:p>
    <w:p w:rsidR="00F70C33" w:rsidRPr="00317D95" w:rsidRDefault="007A39C4" w:rsidP="00317D95">
      <w:pPr>
        <w:spacing w:after="120"/>
        <w:ind w:left="360"/>
        <w:rPr>
          <w:rFonts w:cs="Times New Roman"/>
        </w:rPr>
      </w:pPr>
      <w:r>
        <w:rPr>
          <w:rFonts w:cs="Times New Roman"/>
        </w:rPr>
        <w:t>Broadband-</w:t>
      </w:r>
      <w:r w:rsidR="00F70C33" w:rsidRPr="00317D95">
        <w:rPr>
          <w:rFonts w:cs="Times New Roman"/>
        </w:rPr>
        <w:t>infrastructure deployment projects often entail significant excavation and construction, and multiple parties may undertake construction in the same place at different times.  One-touch make ready policies (sometimes referred to as “climb once”</w:t>
      </w:r>
      <w:r w:rsidR="008B43A5">
        <w:rPr>
          <w:rFonts w:cs="Times New Roman"/>
        </w:rPr>
        <w:t xml:space="preserve"> or “dig once”</w:t>
      </w:r>
      <w:r w:rsidR="00F70C33" w:rsidRPr="00317D95">
        <w:rPr>
          <w:rFonts w:cs="Times New Roman"/>
        </w:rPr>
        <w:t>) try to avoid delay an</w:t>
      </w:r>
      <w:r>
        <w:rPr>
          <w:rFonts w:cs="Times New Roman"/>
        </w:rPr>
        <w:t>d redundancy by having all make-</w:t>
      </w:r>
      <w:r w:rsidR="00F70C33" w:rsidRPr="00317D95">
        <w:rPr>
          <w:rFonts w:cs="Times New Roman"/>
        </w:rPr>
        <w:t xml:space="preserve">ready work (such as rearranging several existing attachments) performed at the same time by a single crew. </w:t>
      </w:r>
    </w:p>
    <w:p w:rsidR="00F70C33" w:rsidRPr="00F70C33" w:rsidRDefault="00F70C33" w:rsidP="00F70C33">
      <w:pPr>
        <w:spacing w:after="120"/>
        <w:ind w:left="360"/>
        <w:rPr>
          <w:rFonts w:cs="Times New Roman"/>
          <w:i/>
        </w:rPr>
      </w:pPr>
      <w:r w:rsidRPr="00F70C33">
        <w:rPr>
          <w:rFonts w:cs="Times New Roman"/>
          <w:b/>
          <w:i/>
        </w:rPr>
        <w:t>Proposed legislative approach:</w:t>
      </w:r>
      <w:r w:rsidR="00C75C9D">
        <w:rPr>
          <w:rFonts w:cs="Times New Roman"/>
          <w:i/>
        </w:rPr>
        <w:t xml:space="preserve"> </w:t>
      </w:r>
      <w:r w:rsidRPr="00F70C33">
        <w:rPr>
          <w:rFonts w:cs="Times New Roman"/>
          <w:i/>
        </w:rPr>
        <w:t xml:space="preserve">Support one-touch legislation that has previously been introduced.  </w:t>
      </w:r>
    </w:p>
    <w:p w:rsidR="00F70C33" w:rsidRPr="00F70C33" w:rsidRDefault="00F70C33" w:rsidP="00F70C33">
      <w:pPr>
        <w:pStyle w:val="ListParagraph"/>
        <w:spacing w:after="120"/>
        <w:ind w:left="1080"/>
        <w:rPr>
          <w:rFonts w:cs="Times New Roman"/>
        </w:rPr>
      </w:pPr>
    </w:p>
    <w:p w:rsidR="00317D95" w:rsidRPr="00317D95" w:rsidRDefault="00F70C33" w:rsidP="00317D95">
      <w:pPr>
        <w:pStyle w:val="ListParagraph"/>
        <w:numPr>
          <w:ilvl w:val="0"/>
          <w:numId w:val="13"/>
        </w:numPr>
        <w:spacing w:after="120"/>
        <w:ind w:left="360"/>
        <w:rPr>
          <w:rFonts w:cs="Times New Roman"/>
        </w:rPr>
      </w:pPr>
      <w:r w:rsidRPr="00F70C33">
        <w:rPr>
          <w:rFonts w:cs="Times New Roman"/>
          <w:b/>
        </w:rPr>
        <w:t>Ex</w:t>
      </w:r>
      <w:r w:rsidR="00C75C9D">
        <w:rPr>
          <w:rFonts w:cs="Times New Roman"/>
          <w:b/>
        </w:rPr>
        <w:t>empting Small Cell Deployments f</w:t>
      </w:r>
      <w:r w:rsidRPr="00F70C33">
        <w:rPr>
          <w:rFonts w:cs="Times New Roman"/>
          <w:b/>
        </w:rPr>
        <w:t>rom Historic and Environmental Review</w:t>
      </w:r>
      <w:r w:rsidR="00C75C9D">
        <w:rPr>
          <w:rFonts w:cs="Times New Roman"/>
          <w:b/>
        </w:rPr>
        <w:t>.</w:t>
      </w:r>
    </w:p>
    <w:p w:rsidR="00317D95" w:rsidRDefault="007A39C4" w:rsidP="00317D95">
      <w:pPr>
        <w:spacing w:after="120"/>
        <w:ind w:left="360"/>
        <w:rPr>
          <w:rFonts w:cs="Times New Roman"/>
        </w:rPr>
      </w:pPr>
      <w:r>
        <w:rPr>
          <w:rFonts w:cs="Times New Roman"/>
        </w:rPr>
        <w:t>Small-</w:t>
      </w:r>
      <w:r w:rsidR="00F70C33" w:rsidRPr="00317D95">
        <w:rPr>
          <w:rFonts w:cs="Times New Roman"/>
        </w:rPr>
        <w:t xml:space="preserve">cell and DAS antennas are much smaller and less obtrusive than traditional macro-cell deployments.  For that reason, the </w:t>
      </w:r>
      <w:r w:rsidR="008B43A5">
        <w:rPr>
          <w:rFonts w:cs="Times New Roman"/>
        </w:rPr>
        <w:t>FCC</w:t>
      </w:r>
      <w:r w:rsidR="00F70C33" w:rsidRPr="00317D95">
        <w:rPr>
          <w:rFonts w:cs="Times New Roman"/>
        </w:rPr>
        <w:t xml:space="preserve"> has already taken steps to streamline the historic and environmental review of such antennas, and to exclude some from review altogether, but is limited in what it can do without agreement from the Advisory Council on Historic Preservation.</w:t>
      </w:r>
    </w:p>
    <w:p w:rsidR="00F70C33" w:rsidRDefault="00F70C33" w:rsidP="00317D95">
      <w:pPr>
        <w:spacing w:after="120"/>
        <w:ind w:left="360"/>
        <w:rPr>
          <w:rFonts w:cs="Times New Roman"/>
        </w:rPr>
      </w:pPr>
      <w:r w:rsidRPr="00317D95">
        <w:rPr>
          <w:rFonts w:cs="Times New Roman"/>
          <w:b/>
          <w:i/>
        </w:rPr>
        <w:t>Proposed legislative approach:</w:t>
      </w:r>
      <w:r w:rsidR="00C75C9D">
        <w:rPr>
          <w:rFonts w:cs="Times New Roman"/>
          <w:i/>
        </w:rPr>
        <w:t xml:space="preserve"> </w:t>
      </w:r>
      <w:r w:rsidRPr="00317D95">
        <w:rPr>
          <w:rFonts w:cs="Times New Roman"/>
          <w:i/>
        </w:rPr>
        <w:t>Exclude from the historic and environmental review processes all collocations on existing structures that meet a size threshold, or are minimally visible from public spaces</w:t>
      </w:r>
      <w:r w:rsidRPr="00317D95">
        <w:rPr>
          <w:rFonts w:cs="Times New Roman"/>
        </w:rPr>
        <w:t>.</w:t>
      </w:r>
    </w:p>
    <w:p w:rsidR="007B435C" w:rsidRPr="00317D95" w:rsidRDefault="007B435C" w:rsidP="00317D95">
      <w:pPr>
        <w:spacing w:after="120"/>
        <w:ind w:left="360"/>
        <w:rPr>
          <w:rFonts w:cs="Times New Roman"/>
        </w:rPr>
      </w:pPr>
    </w:p>
    <w:p w:rsidR="00F70C33" w:rsidRPr="00F70C33" w:rsidRDefault="00F70C33" w:rsidP="00F70C33">
      <w:pPr>
        <w:pStyle w:val="ListParagraph"/>
        <w:numPr>
          <w:ilvl w:val="0"/>
          <w:numId w:val="13"/>
        </w:numPr>
        <w:spacing w:after="120"/>
        <w:ind w:left="360"/>
        <w:rPr>
          <w:rFonts w:cs="Times New Roman"/>
          <w:b/>
        </w:rPr>
      </w:pPr>
      <w:r w:rsidRPr="00F70C33">
        <w:rPr>
          <w:rFonts w:cs="Times New Roman"/>
          <w:b/>
        </w:rPr>
        <w:t>Municipally-Owned Poles</w:t>
      </w:r>
      <w:r w:rsidR="00C75C9D">
        <w:rPr>
          <w:rFonts w:cs="Times New Roman"/>
          <w:b/>
        </w:rPr>
        <w:t>.</w:t>
      </w:r>
    </w:p>
    <w:p w:rsidR="00F70C33" w:rsidRPr="00F70C33" w:rsidRDefault="00F70C33" w:rsidP="00F70C33">
      <w:pPr>
        <w:spacing w:after="120"/>
        <w:ind w:left="360"/>
        <w:rPr>
          <w:rFonts w:cs="Times New Roman"/>
        </w:rPr>
      </w:pPr>
      <w:r w:rsidRPr="00F70C33">
        <w:rPr>
          <w:rFonts w:cs="Times New Roman"/>
        </w:rPr>
        <w:t>Section 224</w:t>
      </w:r>
      <w:r w:rsidR="008B43A5">
        <w:rPr>
          <w:rFonts w:cs="Times New Roman"/>
        </w:rPr>
        <w:t xml:space="preserve"> of the Communications Act</w:t>
      </w:r>
      <w:r w:rsidRPr="00F70C33">
        <w:rPr>
          <w:rFonts w:cs="Times New Roman"/>
        </w:rPr>
        <w:t xml:space="preserve"> requires investor-owned utilities to provide telecom carriers and cable systems with access to poles, ducts, conduits</w:t>
      </w:r>
      <w:r w:rsidR="0057599C">
        <w:rPr>
          <w:rFonts w:cs="Times New Roman"/>
        </w:rPr>
        <w:t>,</w:t>
      </w:r>
      <w:r w:rsidRPr="00F70C33">
        <w:rPr>
          <w:rFonts w:cs="Times New Roman"/>
        </w:rPr>
        <w:t xml:space="preserve"> and rights of way, but municipally and coop-owned poles are not subject to those requirements.</w:t>
      </w:r>
    </w:p>
    <w:p w:rsidR="00F70C33" w:rsidRPr="00F70C33" w:rsidRDefault="00F70C33" w:rsidP="00F70C33">
      <w:pPr>
        <w:spacing w:after="120"/>
        <w:ind w:left="360"/>
        <w:rPr>
          <w:rFonts w:cs="Times New Roman"/>
          <w:b/>
        </w:rPr>
      </w:pPr>
      <w:r w:rsidRPr="00F70C33">
        <w:rPr>
          <w:rFonts w:cs="Times New Roman"/>
          <w:b/>
          <w:i/>
        </w:rPr>
        <w:t xml:space="preserve">Proposed legislative approach: </w:t>
      </w:r>
      <w:r w:rsidRPr="00F70C33">
        <w:rPr>
          <w:rFonts w:cs="Times New Roman"/>
          <w:i/>
        </w:rPr>
        <w:t>Remove the exemption for municipal and coop-owned facilities</w:t>
      </w:r>
      <w:r w:rsidRPr="00F70C33">
        <w:rPr>
          <w:rFonts w:cs="Times New Roman"/>
        </w:rPr>
        <w:t>.</w:t>
      </w:r>
    </w:p>
    <w:p w:rsidR="00F70C33" w:rsidRPr="00F70C33" w:rsidRDefault="00F70C33" w:rsidP="00F70C33">
      <w:pPr>
        <w:pStyle w:val="ListParagraph"/>
        <w:spacing w:after="120"/>
        <w:ind w:left="1440"/>
        <w:rPr>
          <w:rFonts w:cs="Times New Roman"/>
          <w:b/>
        </w:rPr>
      </w:pPr>
    </w:p>
    <w:p w:rsidR="00F70C33" w:rsidRPr="00F70C33" w:rsidRDefault="00C75C9D" w:rsidP="00F70C33">
      <w:pPr>
        <w:pStyle w:val="ListParagraph"/>
        <w:numPr>
          <w:ilvl w:val="0"/>
          <w:numId w:val="13"/>
        </w:numPr>
        <w:spacing w:after="120"/>
        <w:ind w:left="360"/>
        <w:rPr>
          <w:rFonts w:cs="Times New Roman"/>
          <w:b/>
        </w:rPr>
      </w:pPr>
      <w:r>
        <w:rPr>
          <w:rFonts w:cs="Times New Roman"/>
          <w:b/>
        </w:rPr>
        <w:t>Pole-</w:t>
      </w:r>
      <w:r w:rsidR="00F70C33" w:rsidRPr="00F70C33">
        <w:rPr>
          <w:rFonts w:cs="Times New Roman"/>
          <w:b/>
        </w:rPr>
        <w:t>Attachment Fees</w:t>
      </w:r>
      <w:r>
        <w:rPr>
          <w:rFonts w:cs="Times New Roman"/>
          <w:b/>
        </w:rPr>
        <w:t>.</w:t>
      </w:r>
    </w:p>
    <w:p w:rsidR="00F70C33" w:rsidRPr="00F70C33" w:rsidRDefault="00F70C33" w:rsidP="00F70C33">
      <w:pPr>
        <w:spacing w:after="120"/>
        <w:ind w:left="360"/>
        <w:rPr>
          <w:rFonts w:eastAsia="Times New Roman" w:cs="Times New Roman"/>
          <w:color w:val="000000" w:themeColor="text1"/>
        </w:rPr>
      </w:pPr>
      <w:r w:rsidRPr="00F70C33">
        <w:rPr>
          <w:rFonts w:eastAsia="Times New Roman" w:cs="Times New Roman"/>
          <w:color w:val="000000" w:themeColor="text1"/>
        </w:rPr>
        <w:t>Having different statutory rate formulas for pole attachments by cable systems and telecom carriers has led to many is</w:t>
      </w:r>
      <w:r w:rsidR="008B43A5">
        <w:rPr>
          <w:rFonts w:eastAsia="Times New Roman" w:cs="Times New Roman"/>
          <w:color w:val="000000" w:themeColor="text1"/>
        </w:rPr>
        <w:t xml:space="preserve">sues over the years.  The FCC </w:t>
      </w:r>
      <w:r w:rsidRPr="00F70C33">
        <w:rPr>
          <w:rFonts w:eastAsia="Times New Roman" w:cs="Times New Roman"/>
          <w:color w:val="000000" w:themeColor="text1"/>
        </w:rPr>
        <w:t>has acted to harmonize the two formulas, but litigation on this matter is ongoing.  Eliminating the disparity in the statute would eliminate any dispute over how to calculate attachment fees.</w:t>
      </w:r>
    </w:p>
    <w:p w:rsidR="00F70C33" w:rsidRPr="00F70C33" w:rsidRDefault="00F70C33" w:rsidP="00F70C33">
      <w:pPr>
        <w:spacing w:after="120"/>
        <w:ind w:left="360"/>
        <w:rPr>
          <w:rFonts w:cs="Times New Roman"/>
          <w:i/>
        </w:rPr>
      </w:pPr>
      <w:r w:rsidRPr="00F70C33">
        <w:rPr>
          <w:rFonts w:cs="Times New Roman"/>
          <w:b/>
          <w:i/>
        </w:rPr>
        <w:t xml:space="preserve">Proposed legislative approach: </w:t>
      </w:r>
      <w:r w:rsidRPr="00F70C33">
        <w:rPr>
          <w:rFonts w:cs="Times New Roman"/>
          <w:i/>
        </w:rPr>
        <w:t xml:space="preserve">Amend </w:t>
      </w:r>
      <w:r w:rsidR="0057599C">
        <w:rPr>
          <w:rFonts w:eastAsia="Times New Roman" w:cs="Times New Roman"/>
          <w:i/>
          <w:color w:val="000000" w:themeColor="text1"/>
        </w:rPr>
        <w:t>S</w:t>
      </w:r>
      <w:r w:rsidRPr="00F70C33">
        <w:rPr>
          <w:rFonts w:eastAsia="Times New Roman" w:cs="Times New Roman"/>
          <w:i/>
          <w:color w:val="000000" w:themeColor="text1"/>
        </w:rPr>
        <w:t xml:space="preserve">ection 224 </w:t>
      </w:r>
      <w:r w:rsidR="0057599C">
        <w:rPr>
          <w:rFonts w:eastAsia="Times New Roman" w:cs="Times New Roman"/>
          <w:i/>
          <w:color w:val="000000" w:themeColor="text1"/>
        </w:rPr>
        <w:t>to eliminate the telecom rate (S</w:t>
      </w:r>
      <w:r w:rsidRPr="00F70C33">
        <w:rPr>
          <w:rFonts w:eastAsia="Times New Roman" w:cs="Times New Roman"/>
          <w:i/>
          <w:color w:val="000000" w:themeColor="text1"/>
        </w:rPr>
        <w:t>ection 22</w:t>
      </w:r>
      <w:r w:rsidR="0057599C">
        <w:rPr>
          <w:rFonts w:eastAsia="Times New Roman" w:cs="Times New Roman"/>
          <w:i/>
          <w:color w:val="000000" w:themeColor="text1"/>
        </w:rPr>
        <w:t>4(e)) and make the cable rate (S</w:t>
      </w:r>
      <w:r w:rsidRPr="00F70C33">
        <w:rPr>
          <w:rFonts w:eastAsia="Times New Roman" w:cs="Times New Roman"/>
          <w:i/>
          <w:color w:val="000000" w:themeColor="text1"/>
        </w:rPr>
        <w:t>ection 224(d)) applicable to all pole attachments. </w:t>
      </w:r>
    </w:p>
    <w:p w:rsidR="00F70C33" w:rsidRPr="00F70C33" w:rsidRDefault="00F70C33" w:rsidP="00F70C33"/>
    <w:p w:rsidR="00F70C33" w:rsidRPr="00F70C33" w:rsidRDefault="00F70C33" w:rsidP="00F70C33"/>
    <w:p w:rsidR="00F70C33" w:rsidRPr="00F70C33" w:rsidRDefault="00F70C33" w:rsidP="00F70C33"/>
    <w:p w:rsidR="00F70C33" w:rsidRPr="00F70C33" w:rsidRDefault="00F70C33" w:rsidP="00F70C33"/>
    <w:p w:rsidR="00F70C33" w:rsidRPr="00F70C33" w:rsidRDefault="00F70C33" w:rsidP="00F70C33"/>
    <w:p w:rsidR="00F70C33" w:rsidRPr="00F70C33" w:rsidRDefault="00F70C33" w:rsidP="00F70C33"/>
    <w:p w:rsidR="00F70C33" w:rsidRPr="00F70C33" w:rsidRDefault="00F70C33" w:rsidP="00F70C33"/>
    <w:p w:rsidR="00F70C33" w:rsidRPr="00F70C33" w:rsidRDefault="00F70C33" w:rsidP="00F70C33"/>
    <w:p w:rsidR="00F70C33" w:rsidRPr="00F70C33" w:rsidRDefault="00F70C33" w:rsidP="00F70C33"/>
    <w:p w:rsidR="00F70C33" w:rsidRPr="00F70C33" w:rsidRDefault="00F70C33" w:rsidP="00F70C33">
      <w:pPr>
        <w:jc w:val="center"/>
        <w:rPr>
          <w:rFonts w:cs="Times New Roman"/>
        </w:rPr>
      </w:pPr>
    </w:p>
    <w:p w:rsidR="00F70C33" w:rsidRPr="00F70C33" w:rsidRDefault="00F70C33" w:rsidP="00D761FB">
      <w:pPr>
        <w:spacing w:line="259" w:lineRule="auto"/>
      </w:pPr>
    </w:p>
    <w:sectPr w:rsidR="00F70C33" w:rsidRPr="00F70C33" w:rsidSect="007E419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2CE" w:rsidRDefault="00C852CE" w:rsidP="003C595B">
      <w:r>
        <w:separator/>
      </w:r>
    </w:p>
  </w:endnote>
  <w:endnote w:type="continuationSeparator" w:id="0">
    <w:p w:rsidR="00C852CE" w:rsidRDefault="00C852CE" w:rsidP="003C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6E" w:rsidRDefault="000A7D6E" w:rsidP="00625B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7D6E" w:rsidRDefault="000A7D6E" w:rsidP="00A573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6E" w:rsidRDefault="000A7D6E" w:rsidP="00625B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0A2B">
      <w:rPr>
        <w:rStyle w:val="PageNumber"/>
        <w:noProof/>
      </w:rPr>
      <w:t>4</w:t>
    </w:r>
    <w:r>
      <w:rPr>
        <w:rStyle w:val="PageNumber"/>
      </w:rPr>
      <w:fldChar w:fldCharType="end"/>
    </w:r>
  </w:p>
  <w:p w:rsidR="000A7D6E" w:rsidRDefault="000A7D6E" w:rsidP="00A5734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9E" w:rsidRDefault="009A6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2CE" w:rsidRDefault="00C852CE" w:rsidP="003C595B">
      <w:r>
        <w:separator/>
      </w:r>
    </w:p>
  </w:footnote>
  <w:footnote w:type="continuationSeparator" w:id="0">
    <w:p w:rsidR="00C852CE" w:rsidRDefault="00C852CE" w:rsidP="003C595B">
      <w:r>
        <w:continuationSeparator/>
      </w:r>
    </w:p>
  </w:footnote>
  <w:footnote w:id="1">
    <w:p w:rsidR="000A7D6E" w:rsidRDefault="000A7D6E" w:rsidP="0043360E">
      <w:r>
        <w:rPr>
          <w:rStyle w:val="FootnoteReference"/>
        </w:rPr>
        <w:footnoteRef/>
      </w:r>
      <w:r>
        <w:t xml:space="preserve"> </w:t>
      </w:r>
      <w:r w:rsidRPr="00E91A96">
        <w:rPr>
          <w:sz w:val="20"/>
        </w:rPr>
        <w:t xml:space="preserve">As the focus of this </w:t>
      </w:r>
      <w:r>
        <w:rPr>
          <w:sz w:val="20"/>
        </w:rPr>
        <w:t>paper</w:t>
      </w:r>
      <w:r w:rsidRPr="00E91A96">
        <w:rPr>
          <w:sz w:val="20"/>
        </w:rPr>
        <w:t xml:space="preserve"> is on infrastructure </w:t>
      </w:r>
      <w:r>
        <w:rPr>
          <w:sz w:val="20"/>
        </w:rPr>
        <w:t xml:space="preserve">deployment </w:t>
      </w:r>
      <w:r w:rsidRPr="00E91A96">
        <w:rPr>
          <w:sz w:val="20"/>
        </w:rPr>
        <w:t xml:space="preserve">(i.e., supply), it does not </w:t>
      </w:r>
      <w:r>
        <w:rPr>
          <w:sz w:val="20"/>
        </w:rPr>
        <w:t xml:space="preserve">directly </w:t>
      </w:r>
      <w:r w:rsidRPr="00E91A96">
        <w:rPr>
          <w:sz w:val="20"/>
        </w:rPr>
        <w:t xml:space="preserve">address competition, pricing, or adoption, which are </w:t>
      </w:r>
      <w:r>
        <w:rPr>
          <w:sz w:val="20"/>
        </w:rPr>
        <w:t>critical</w:t>
      </w:r>
      <w:r w:rsidRPr="00E91A96">
        <w:rPr>
          <w:sz w:val="20"/>
        </w:rPr>
        <w:t xml:space="preserve"> components of a national broadband</w:t>
      </w:r>
      <w:r>
        <w:rPr>
          <w:sz w:val="20"/>
        </w:rPr>
        <w:t xml:space="preserve"> agenda.</w:t>
      </w:r>
    </w:p>
  </w:footnote>
  <w:footnote w:id="2">
    <w:p w:rsidR="000A7D6E" w:rsidRDefault="000A7D6E" w:rsidP="00525AEE">
      <w:r>
        <w:rPr>
          <w:rStyle w:val="FootnoteReference"/>
        </w:rPr>
        <w:footnoteRef/>
      </w:r>
      <w:r>
        <w:t xml:space="preserve"> </w:t>
      </w:r>
      <w:r w:rsidRPr="00755653">
        <w:rPr>
          <w:sz w:val="20"/>
        </w:rPr>
        <w:t xml:space="preserve">Though states and localities should be free to raise money for government-owned last-mile networks </w:t>
      </w:r>
      <w:r>
        <w:rPr>
          <w:sz w:val="20"/>
        </w:rPr>
        <w:t xml:space="preserve">if they so choose </w:t>
      </w:r>
      <w:r w:rsidRPr="00755653">
        <w:rPr>
          <w:sz w:val="20"/>
        </w:rPr>
        <w:t xml:space="preserve">(e.g., via general obligation bonds, revenue bonds, and/or tax increases) there are few examples of </w:t>
      </w:r>
      <w:r>
        <w:rPr>
          <w:sz w:val="20"/>
        </w:rPr>
        <w:t xml:space="preserve">such initiatives being </w:t>
      </w:r>
      <w:r w:rsidRPr="00755653">
        <w:rPr>
          <w:sz w:val="20"/>
        </w:rPr>
        <w:t>success</w:t>
      </w:r>
      <w:r>
        <w:rPr>
          <w:sz w:val="20"/>
        </w:rPr>
        <w:t>ful</w:t>
      </w:r>
      <w:r w:rsidRPr="00755653">
        <w:rPr>
          <w:sz w:val="20"/>
        </w:rPr>
        <w:t>, and no evidence that such efforts will scale-up nationally in the face of the current industry structure in which almost all</w:t>
      </w:r>
      <w:r>
        <w:rPr>
          <w:sz w:val="20"/>
        </w:rPr>
        <w:t xml:space="preserve"> broadband</w:t>
      </w:r>
      <w:r w:rsidRPr="00755653">
        <w:rPr>
          <w:sz w:val="20"/>
        </w:rPr>
        <w:t xml:space="preserve"> infrastructure is privately designed, deployed, operated, and owned. </w:t>
      </w:r>
    </w:p>
  </w:footnote>
  <w:footnote w:id="3">
    <w:p w:rsidR="000A7D6E" w:rsidRDefault="000A7D6E" w:rsidP="003F545D">
      <w:r>
        <w:rPr>
          <w:rStyle w:val="FootnoteReference"/>
        </w:rPr>
        <w:footnoteRef/>
      </w:r>
      <w:r>
        <w:t xml:space="preserve"> </w:t>
      </w:r>
      <w:r w:rsidRPr="003F545D">
        <w:rPr>
          <w:sz w:val="20"/>
        </w:rPr>
        <w:t xml:space="preserve">Locations that currently have 25x3 Mbps-capable FTTP or cable likely have a commercial upgrade path to low-latency, gigabit (or faster) service, e.g., as DOCSIS 3.1 is rolled out. </w:t>
      </w:r>
    </w:p>
  </w:footnote>
  <w:footnote w:id="4">
    <w:p w:rsidR="000A7D6E" w:rsidRDefault="000A7D6E" w:rsidP="00D77D01">
      <w:r>
        <w:rPr>
          <w:rStyle w:val="FootnoteReference"/>
        </w:rPr>
        <w:footnoteRef/>
      </w:r>
      <w:r>
        <w:t xml:space="preserve"> </w:t>
      </w:r>
      <w:r w:rsidRPr="00D77D01">
        <w:rPr>
          <w:sz w:val="20"/>
        </w:rPr>
        <w:t xml:space="preserve">Taking </w:t>
      </w:r>
      <w:r>
        <w:rPr>
          <w:sz w:val="20"/>
        </w:rPr>
        <w:t xml:space="preserve">the </w:t>
      </w:r>
      <w:r w:rsidRPr="00D77D01">
        <w:rPr>
          <w:sz w:val="20"/>
        </w:rPr>
        <w:t xml:space="preserve">revenue and cost assumptions used in the Connect </w:t>
      </w:r>
      <w:r>
        <w:rPr>
          <w:sz w:val="20"/>
        </w:rPr>
        <w:t>America Fund cost models (</w:t>
      </w:r>
      <w:r w:rsidRPr="00D77D01">
        <w:rPr>
          <w:sz w:val="20"/>
        </w:rPr>
        <w:t xml:space="preserve">$52.50 average monthly revenue per location passed – equivalent to a 70% take rate of </w:t>
      </w:r>
      <w:r>
        <w:rPr>
          <w:sz w:val="20"/>
        </w:rPr>
        <w:t xml:space="preserve">a </w:t>
      </w:r>
      <w:r w:rsidRPr="00D77D01">
        <w:rPr>
          <w:sz w:val="20"/>
        </w:rPr>
        <w:t>$75 average-revenue package –</w:t>
      </w:r>
      <w:r>
        <w:rPr>
          <w:sz w:val="20"/>
        </w:rPr>
        <w:t xml:space="preserve"> and </w:t>
      </w:r>
      <w:r w:rsidRPr="00D77D01">
        <w:rPr>
          <w:sz w:val="20"/>
        </w:rPr>
        <w:t>ongoing annua</w:t>
      </w:r>
      <w:r>
        <w:rPr>
          <w:sz w:val="20"/>
        </w:rPr>
        <w:t xml:space="preserve">l replacement/maintenance capex </w:t>
      </w:r>
      <w:r>
        <w:rPr>
          <w:rFonts w:ascii="Cambria" w:hAnsi="Cambria"/>
          <w:sz w:val="20"/>
        </w:rPr>
        <w:t xml:space="preserve">≈ </w:t>
      </w:r>
      <w:r w:rsidRPr="00D77D01">
        <w:rPr>
          <w:sz w:val="20"/>
        </w:rPr>
        <w:t xml:space="preserve">3% of </w:t>
      </w:r>
      <w:r>
        <w:rPr>
          <w:sz w:val="20"/>
        </w:rPr>
        <w:t xml:space="preserve">the </w:t>
      </w:r>
      <w:r w:rsidRPr="00D77D01">
        <w:rPr>
          <w:sz w:val="20"/>
        </w:rPr>
        <w:t xml:space="preserve">initial investment). For the locations between 98% and 100%, however, there is not enough addressable revenue to cover ongoing costs, so – in addition to the initial capex – an annual subsidy of ~$2b would be required to keep the networks operating. </w:t>
      </w:r>
    </w:p>
  </w:footnote>
  <w:footnote w:id="5">
    <w:p w:rsidR="000A7D6E" w:rsidRDefault="000A7D6E" w:rsidP="001253D0">
      <w:pPr>
        <w:pStyle w:val="FootnoteText"/>
      </w:pPr>
      <w:r>
        <w:rPr>
          <w:rStyle w:val="FootnoteReference"/>
        </w:rPr>
        <w:footnoteRef/>
      </w:r>
      <w:r>
        <w:t xml:space="preserve"> Not all the initiatives in this section are in the purview of the FCC – some would require Congressional, other federal agency, state, and/or municipal actions.  </w:t>
      </w:r>
    </w:p>
  </w:footnote>
  <w:footnote w:id="6">
    <w:p w:rsidR="000A7D6E" w:rsidRDefault="000A7D6E" w:rsidP="005C139B">
      <w:pPr>
        <w:pStyle w:val="FootnoteText"/>
      </w:pPr>
      <w:r>
        <w:rPr>
          <w:rStyle w:val="FootnoteReference"/>
        </w:rPr>
        <w:footnoteRef/>
      </w:r>
      <w:r>
        <w:t xml:space="preserve"> </w:t>
      </w:r>
      <w:r w:rsidR="00AF1983">
        <w:t>From the government’s perspective it is likely more efficient to subsidize capex directly rather than provide opex support in the hope that i</w:t>
      </w:r>
      <w:r w:rsidR="00A44DC3">
        <w:t>t will lead to increased capex.</w:t>
      </w:r>
    </w:p>
  </w:footnote>
  <w:footnote w:id="7">
    <w:p w:rsidR="000A7D6E" w:rsidRDefault="000A7D6E">
      <w:pPr>
        <w:pStyle w:val="FootnoteText"/>
      </w:pPr>
      <w:r>
        <w:rPr>
          <w:rStyle w:val="FootnoteReference"/>
        </w:rPr>
        <w:footnoteRef/>
      </w:r>
      <w:r>
        <w:t xml:space="preserve"> For a review of alternative infrastructure-bank structures based on proposals introduced in the 114</w:t>
      </w:r>
      <w:r w:rsidRPr="00F46D73">
        <w:rPr>
          <w:vertAlign w:val="superscript"/>
        </w:rPr>
        <w:t>th</w:t>
      </w:r>
      <w:r>
        <w:t xml:space="preserve"> Congress see “How a National Infrastructure Bank Might Work,” Congressional Research Service Insight (September 15, 2016) available at </w:t>
      </w:r>
      <w:hyperlink r:id="rId1" w:history="1">
        <w:r w:rsidRPr="001534ED">
          <w:rPr>
            <w:rStyle w:val="Hyperlink"/>
          </w:rPr>
          <w:t>https://fas.org/sgp/crs/misc/IN10572.pdf</w:t>
        </w:r>
      </w:hyperlink>
      <w:r>
        <w:t xml:space="preserve"> (last visited January 16, 2017).</w:t>
      </w:r>
    </w:p>
  </w:footnote>
  <w:footnote w:id="8">
    <w:p w:rsidR="00AF1983" w:rsidRDefault="00AF1983">
      <w:pPr>
        <w:pStyle w:val="FootnoteText"/>
      </w:pPr>
      <w:r>
        <w:rPr>
          <w:rStyle w:val="FootnoteReference"/>
        </w:rPr>
        <w:footnoteRef/>
      </w:r>
      <w:r>
        <w:t xml:space="preserve"> Note that many recipients of USF have significant amounts of debt and so effectively add leverage to the public funding, but likely not in the most efficient way given the pools of capital to which they have access (e.g., requiring high dividend yields).</w:t>
      </w:r>
    </w:p>
  </w:footnote>
  <w:footnote w:id="9">
    <w:p w:rsidR="000A7D6E" w:rsidRDefault="000A7D6E" w:rsidP="008F7379">
      <w:pPr>
        <w:pStyle w:val="FootnoteText"/>
      </w:pPr>
      <w:r>
        <w:rPr>
          <w:rStyle w:val="FootnoteReference"/>
        </w:rPr>
        <w:footnoteRef/>
      </w:r>
      <w:r>
        <w:t xml:space="preserve"> </w:t>
      </w:r>
      <w:r w:rsidRPr="00D45C8A">
        <w:t xml:space="preserve">Estimates of the </w:t>
      </w:r>
      <w:r>
        <w:t xml:space="preserve">cost of ubiquitous 5G coverage under different supply and demand assumptions can be found, for example, at: </w:t>
      </w:r>
      <w:hyperlink r:id="rId2" w:history="1">
        <w:r w:rsidRPr="00B05FAD">
          <w:rPr>
            <w:rStyle w:val="Hyperlink"/>
          </w:rPr>
          <w:t>www.costquest.com/blog/news-and-events/post/the-5g-mobile-ubiquity-price-tag</w:t>
        </w:r>
      </w:hyperlink>
      <w:r w:rsidRPr="00D45C8A">
        <w:t xml:space="preserve"> </w:t>
      </w:r>
      <w:r>
        <w:t>(last visited January 16, 2017).</w:t>
      </w:r>
    </w:p>
  </w:footnote>
  <w:footnote w:id="10">
    <w:p w:rsidR="000A7D6E" w:rsidRDefault="000A7D6E" w:rsidP="001253D0">
      <w:pPr>
        <w:pStyle w:val="FootnoteText"/>
      </w:pPr>
      <w:r>
        <w:rPr>
          <w:rStyle w:val="FootnoteReference"/>
        </w:rPr>
        <w:footnoteRef/>
      </w:r>
      <w:r>
        <w:t xml:space="preserve"> This should include sensors, as the resulting massive datasets generated on traffic flows – by being open for any third party to analyze (rather than being the proprietary property of the connectivity provider) – would create a virtuous circle for vehicle/application innovation.</w:t>
      </w:r>
    </w:p>
  </w:footnote>
  <w:footnote w:id="11">
    <w:p w:rsidR="000A7D6E" w:rsidRDefault="000A7D6E" w:rsidP="003146E6">
      <w:pPr>
        <w:pStyle w:val="FootnoteText"/>
      </w:pPr>
      <w:r>
        <w:rPr>
          <w:rStyle w:val="FootnoteReference"/>
        </w:rPr>
        <w:footnoteRef/>
      </w:r>
      <w:r>
        <w:t xml:space="preserve"> </w:t>
      </w:r>
      <w:hyperlink r:id="rId3" w:history="1">
        <w:r w:rsidRPr="00D322EE">
          <w:rPr>
            <w:rStyle w:val="Hyperlink"/>
          </w:rPr>
          <w:t>www.whitehouse.gov/the-press-office/2015/09/14/fact-sheet-administration-announces-new-smart-cities-initiative-help</w:t>
        </w:r>
      </w:hyperlink>
      <w:r>
        <w:t xml:space="preserve"> (last visited January 16, 2017).</w:t>
      </w:r>
    </w:p>
  </w:footnote>
  <w:footnote w:id="12">
    <w:p w:rsidR="000A7D6E" w:rsidRDefault="000A7D6E">
      <w:pPr>
        <w:pStyle w:val="FootnoteText"/>
      </w:pPr>
      <w:r>
        <w:rPr>
          <w:rStyle w:val="FootnoteReference"/>
        </w:rPr>
        <w:footnoteRef/>
      </w:r>
      <w:r>
        <w:t xml:space="preserve"> See </w:t>
      </w:r>
      <w:hyperlink r:id="rId4" w:history="1">
        <w:r w:rsidRPr="00794F81">
          <w:rPr>
            <w:rStyle w:val="Hyperlink"/>
          </w:rPr>
          <w:t>http://peternavarro.com/sitebuildercontent/sitebuilderfiles/infrastructurereport.pdf</w:t>
        </w:r>
      </w:hyperlink>
      <w:r>
        <w:t xml:space="preserve"> (last visited January 16, 2017).</w:t>
      </w:r>
    </w:p>
  </w:footnote>
  <w:footnote w:id="13">
    <w:p w:rsidR="000A7D6E" w:rsidRDefault="000A7D6E" w:rsidP="00F46D73">
      <w:pPr>
        <w:pStyle w:val="FootnoteText"/>
      </w:pPr>
      <w:r>
        <w:rPr>
          <w:rStyle w:val="FootnoteReference"/>
        </w:rPr>
        <w:footnoteRef/>
      </w:r>
      <w:r>
        <w:t xml:space="preserve"> </w:t>
      </w:r>
      <w:r w:rsidRPr="000A7D6E">
        <w:t>See</w:t>
      </w:r>
      <w:r>
        <w:rPr>
          <w:i/>
        </w:rPr>
        <w:t xml:space="preserve"> </w:t>
      </w:r>
      <w:r w:rsidRPr="00D761FB">
        <w:rPr>
          <w:i/>
        </w:rPr>
        <w:t>Comments Sought on Mobilitie, LLC Petition for Declaratory Ruling and Possible Ways to Streamline Deployment Of Small Cell Infrastructure</w:t>
      </w:r>
      <w:r>
        <w:t>, Public Notice, DA</w:t>
      </w:r>
      <w:r w:rsidRPr="000F12A9">
        <w:t xml:space="preserve"> </w:t>
      </w:r>
      <w:r w:rsidR="007A39C4">
        <w:t>16-1427 (Wireline Tel. Bur. December</w:t>
      </w:r>
      <w:r>
        <w:t xml:space="preserve"> 22, 2016), available at: </w:t>
      </w:r>
      <w:hyperlink r:id="rId5" w:history="1">
        <w:r w:rsidRPr="00B048EE">
          <w:rPr>
            <w:rStyle w:val="Hyperlink"/>
          </w:rPr>
          <w:t>www.fcc.gov/document/fcc-seeks-comment-mobilitie-petition-small-cell-deployment</w:t>
        </w:r>
      </w:hyperlink>
      <w:r>
        <w:t xml:space="preserve"> (last visited January 16, 2017).</w:t>
      </w:r>
    </w:p>
    <w:p w:rsidR="000A7D6E" w:rsidRDefault="000A7D6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9E" w:rsidRDefault="009A66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9E" w:rsidRDefault="009A66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19D" w:rsidRDefault="00A50A2B" w:rsidP="00A44DC3">
    <w:pPr>
      <w:rPr>
        <w:b/>
        <w:bCs/>
        <w:smallCaps/>
        <w:sz w:val="28"/>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5.95pt;margin-top:12.6pt;width:64.85pt;height:64.85pt;z-index:251658240;visibility:visible;mso-wrap-edited:f;mso-position-horizontal-relative:text;mso-position-vertical-relative:text" o:allowincell="f" filled="t" fillcolor="white [3212]">
          <v:imagedata r:id="rId1" o:title="" gain="69719f"/>
        </v:shape>
        <o:OLEObject Type="Embed" ProgID="Word.Picture.8" ShapeID="_x0000_s2050" DrawAspect="Content" ObjectID="_1546335882" r:id="rId2"/>
      </w:pict>
    </w:r>
  </w:p>
  <w:p w:rsidR="007E419D" w:rsidRDefault="007E419D" w:rsidP="007E419D">
    <w:pPr>
      <w:jc w:val="center"/>
      <w:rPr>
        <w:b/>
        <w:bCs/>
        <w:smallCaps/>
        <w:sz w:val="28"/>
        <w:u w:val="single"/>
      </w:rPr>
    </w:pPr>
  </w:p>
  <w:p w:rsidR="007E419D" w:rsidRDefault="007E419D" w:rsidP="007E419D">
    <w:pPr>
      <w:jc w:val="center"/>
      <w:rPr>
        <w:b/>
        <w:bCs/>
        <w:smallCaps/>
        <w:sz w:val="28"/>
        <w:u w:val="single"/>
      </w:rPr>
    </w:pPr>
    <w:r>
      <w:rPr>
        <w:b/>
        <w:bCs/>
        <w:smallCaps/>
        <w:sz w:val="28"/>
        <w:u w:val="single"/>
      </w:rPr>
      <w:t>I</w:t>
    </w:r>
    <w:r w:rsidRPr="008A166E">
      <w:rPr>
        <w:b/>
        <w:bCs/>
        <w:smallCaps/>
        <w:sz w:val="28"/>
        <w:u w:val="single"/>
      </w:rPr>
      <w:t>mproving the Nation’s Digital Infrastructure</w:t>
    </w:r>
  </w:p>
  <w:p w:rsidR="00A44DC3" w:rsidRDefault="00A44DC3" w:rsidP="007E419D">
    <w:pPr>
      <w:jc w:val="center"/>
      <w:rPr>
        <w:b/>
        <w:bCs/>
        <w:smallCaps/>
        <w:sz w:val="28"/>
        <w:u w:val="single"/>
      </w:rPr>
    </w:pPr>
  </w:p>
  <w:p w:rsidR="007E419D" w:rsidRPr="00A44DC3" w:rsidRDefault="007E419D" w:rsidP="007E419D">
    <w:pPr>
      <w:jc w:val="center"/>
      <w:rPr>
        <w:bCs/>
      </w:rPr>
    </w:pPr>
    <w:r w:rsidRPr="00A44DC3">
      <w:rPr>
        <w:bCs/>
      </w:rPr>
      <w:t>Paul de Sa, Chief, FCC Office of Strategic Planning and Policy Analysis</w:t>
    </w:r>
  </w:p>
  <w:p w:rsidR="007E419D" w:rsidRDefault="007E4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6E5"/>
    <w:multiLevelType w:val="hybridMultilevel"/>
    <w:tmpl w:val="7DBAE2AE"/>
    <w:lvl w:ilvl="0" w:tplc="309E90C6">
      <w:start w:val="1"/>
      <w:numFmt w:val="decimal"/>
      <w:lvlText w:val="%1."/>
      <w:lvlJc w:val="left"/>
      <w:pPr>
        <w:ind w:left="720" w:hanging="360"/>
      </w:pPr>
      <w:rPr>
        <w:rFonts w:hint="default"/>
        <w:b/>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46602"/>
    <w:multiLevelType w:val="hybridMultilevel"/>
    <w:tmpl w:val="F3AEEC3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574FE1"/>
    <w:multiLevelType w:val="hybridMultilevel"/>
    <w:tmpl w:val="F3AEE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6845C1"/>
    <w:multiLevelType w:val="hybridMultilevel"/>
    <w:tmpl w:val="6CF0A41A"/>
    <w:lvl w:ilvl="0" w:tplc="04090001">
      <w:start w:val="1"/>
      <w:numFmt w:val="bullet"/>
      <w:lvlText w:val=""/>
      <w:lvlJc w:val="left"/>
      <w:pPr>
        <w:ind w:left="1350" w:hanging="360"/>
      </w:pPr>
      <w:rPr>
        <w:rFonts w:ascii="Symbol" w:hAnsi="Symbol" w:hint="default"/>
      </w:rPr>
    </w:lvl>
    <w:lvl w:ilvl="1" w:tplc="04090019">
      <w:start w:val="1"/>
      <w:numFmt w:val="lowerLetter"/>
      <w:lvlText w:val="%2."/>
      <w:lvlJc w:val="left"/>
      <w:pPr>
        <w:ind w:left="2070" w:hanging="360"/>
      </w:pPr>
    </w:lvl>
    <w:lvl w:ilvl="2" w:tplc="04090001">
      <w:start w:val="1"/>
      <w:numFmt w:val="bullet"/>
      <w:lvlText w:val=""/>
      <w:lvlJc w:val="left"/>
      <w:pPr>
        <w:ind w:left="2790" w:hanging="180"/>
      </w:pPr>
      <w:rPr>
        <w:rFonts w:ascii="Symbol" w:hAnsi="Symbol" w:hint="default"/>
      </w:r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328A1E6B"/>
    <w:multiLevelType w:val="hybridMultilevel"/>
    <w:tmpl w:val="4886A1B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72A16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2C149B"/>
    <w:multiLevelType w:val="hybridMultilevel"/>
    <w:tmpl w:val="6EA897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4616CE5"/>
    <w:multiLevelType w:val="hybridMultilevel"/>
    <w:tmpl w:val="D2464F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1852F8"/>
    <w:multiLevelType w:val="hybridMultilevel"/>
    <w:tmpl w:val="63DA1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4D6741"/>
    <w:multiLevelType w:val="multilevel"/>
    <w:tmpl w:val="A86E0C4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317BFC"/>
    <w:multiLevelType w:val="hybridMultilevel"/>
    <w:tmpl w:val="F3AEE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C14854"/>
    <w:multiLevelType w:val="hybridMultilevel"/>
    <w:tmpl w:val="F3AEE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3F4B2C"/>
    <w:multiLevelType w:val="hybridMultilevel"/>
    <w:tmpl w:val="180ABD7A"/>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01">
      <w:start w:val="1"/>
      <w:numFmt w:val="bullet"/>
      <w:lvlText w:val=""/>
      <w:lvlJc w:val="left"/>
      <w:pPr>
        <w:ind w:left="1980" w:hanging="180"/>
      </w:pPr>
      <w:rPr>
        <w:rFonts w:ascii="Symbol" w:hAnsi="Symbol" w:hint="default"/>
      </w:r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1"/>
  </w:num>
  <w:num w:numId="2">
    <w:abstractNumId w:val="5"/>
  </w:num>
  <w:num w:numId="3">
    <w:abstractNumId w:val="1"/>
  </w:num>
  <w:num w:numId="4">
    <w:abstractNumId w:val="9"/>
  </w:num>
  <w:num w:numId="5">
    <w:abstractNumId w:val="6"/>
  </w:num>
  <w:num w:numId="6">
    <w:abstractNumId w:val="10"/>
  </w:num>
  <w:num w:numId="7">
    <w:abstractNumId w:val="2"/>
  </w:num>
  <w:num w:numId="8">
    <w:abstractNumId w:val="4"/>
  </w:num>
  <w:num w:numId="9">
    <w:abstractNumId w:val="8"/>
  </w:num>
  <w:num w:numId="10">
    <w:abstractNumId w:val="7"/>
  </w:num>
  <w:num w:numId="11">
    <w:abstractNumId w:val="1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39"/>
    <w:rsid w:val="00006AA2"/>
    <w:rsid w:val="00015483"/>
    <w:rsid w:val="000339DC"/>
    <w:rsid w:val="00050184"/>
    <w:rsid w:val="00053631"/>
    <w:rsid w:val="00087BD4"/>
    <w:rsid w:val="000949D9"/>
    <w:rsid w:val="000A7D6E"/>
    <w:rsid w:val="000B17B3"/>
    <w:rsid w:val="000B2258"/>
    <w:rsid w:val="000F12A9"/>
    <w:rsid w:val="001175DD"/>
    <w:rsid w:val="00121E6E"/>
    <w:rsid w:val="00124EB3"/>
    <w:rsid w:val="001253D0"/>
    <w:rsid w:val="001737F7"/>
    <w:rsid w:val="00175BE0"/>
    <w:rsid w:val="001951DA"/>
    <w:rsid w:val="001B24EA"/>
    <w:rsid w:val="001E0664"/>
    <w:rsid w:val="001E2798"/>
    <w:rsid w:val="00207413"/>
    <w:rsid w:val="002249FD"/>
    <w:rsid w:val="00241766"/>
    <w:rsid w:val="0024717D"/>
    <w:rsid w:val="002512D5"/>
    <w:rsid w:val="002521C0"/>
    <w:rsid w:val="00261BF8"/>
    <w:rsid w:val="00271C88"/>
    <w:rsid w:val="00283E5D"/>
    <w:rsid w:val="00292588"/>
    <w:rsid w:val="002A4EF8"/>
    <w:rsid w:val="002A636C"/>
    <w:rsid w:val="002B5384"/>
    <w:rsid w:val="003001FF"/>
    <w:rsid w:val="003146E6"/>
    <w:rsid w:val="00317D95"/>
    <w:rsid w:val="00317DB1"/>
    <w:rsid w:val="00320A01"/>
    <w:rsid w:val="0036556B"/>
    <w:rsid w:val="003861BF"/>
    <w:rsid w:val="003A4142"/>
    <w:rsid w:val="003A541C"/>
    <w:rsid w:val="003C595B"/>
    <w:rsid w:val="003D5E26"/>
    <w:rsid w:val="003D7727"/>
    <w:rsid w:val="003F545D"/>
    <w:rsid w:val="004049D4"/>
    <w:rsid w:val="0043360E"/>
    <w:rsid w:val="0045002A"/>
    <w:rsid w:val="004617A5"/>
    <w:rsid w:val="004668A5"/>
    <w:rsid w:val="00477568"/>
    <w:rsid w:val="00495B84"/>
    <w:rsid w:val="004B162B"/>
    <w:rsid w:val="00525AEE"/>
    <w:rsid w:val="0057599C"/>
    <w:rsid w:val="005A1A53"/>
    <w:rsid w:val="005A6A95"/>
    <w:rsid w:val="005B0AD6"/>
    <w:rsid w:val="005C139B"/>
    <w:rsid w:val="005D15D1"/>
    <w:rsid w:val="005E719F"/>
    <w:rsid w:val="00624421"/>
    <w:rsid w:val="00625BCE"/>
    <w:rsid w:val="00636783"/>
    <w:rsid w:val="006519F7"/>
    <w:rsid w:val="00694D6C"/>
    <w:rsid w:val="00696275"/>
    <w:rsid w:val="006A1D1C"/>
    <w:rsid w:val="006C7051"/>
    <w:rsid w:val="006D1174"/>
    <w:rsid w:val="006E52AE"/>
    <w:rsid w:val="006F3457"/>
    <w:rsid w:val="007155F5"/>
    <w:rsid w:val="00716648"/>
    <w:rsid w:val="00731A83"/>
    <w:rsid w:val="00755653"/>
    <w:rsid w:val="00767AE8"/>
    <w:rsid w:val="007A39C4"/>
    <w:rsid w:val="007B435C"/>
    <w:rsid w:val="007C0DD0"/>
    <w:rsid w:val="007C7BF5"/>
    <w:rsid w:val="007D4278"/>
    <w:rsid w:val="007E419D"/>
    <w:rsid w:val="007F1E6A"/>
    <w:rsid w:val="007F6B9B"/>
    <w:rsid w:val="00822FF8"/>
    <w:rsid w:val="00853BED"/>
    <w:rsid w:val="00880A4A"/>
    <w:rsid w:val="00892048"/>
    <w:rsid w:val="008A075A"/>
    <w:rsid w:val="008A166E"/>
    <w:rsid w:val="008B00F6"/>
    <w:rsid w:val="008B43A5"/>
    <w:rsid w:val="008D5137"/>
    <w:rsid w:val="008E3405"/>
    <w:rsid w:val="008F7379"/>
    <w:rsid w:val="0090058D"/>
    <w:rsid w:val="00910258"/>
    <w:rsid w:val="00921B5D"/>
    <w:rsid w:val="0094485C"/>
    <w:rsid w:val="009510C6"/>
    <w:rsid w:val="009572A2"/>
    <w:rsid w:val="00967CF7"/>
    <w:rsid w:val="0097236F"/>
    <w:rsid w:val="00984CFE"/>
    <w:rsid w:val="009854CD"/>
    <w:rsid w:val="009A4A0F"/>
    <w:rsid w:val="009A669E"/>
    <w:rsid w:val="009B0316"/>
    <w:rsid w:val="00A02DD8"/>
    <w:rsid w:val="00A1555E"/>
    <w:rsid w:val="00A16ACB"/>
    <w:rsid w:val="00A44DC3"/>
    <w:rsid w:val="00A50A2B"/>
    <w:rsid w:val="00A57346"/>
    <w:rsid w:val="00AA6F4B"/>
    <w:rsid w:val="00AC101B"/>
    <w:rsid w:val="00AC3BDB"/>
    <w:rsid w:val="00AD18CA"/>
    <w:rsid w:val="00AD776D"/>
    <w:rsid w:val="00AE3417"/>
    <w:rsid w:val="00AF1983"/>
    <w:rsid w:val="00B137AF"/>
    <w:rsid w:val="00B14396"/>
    <w:rsid w:val="00B251E8"/>
    <w:rsid w:val="00B52DB1"/>
    <w:rsid w:val="00B56941"/>
    <w:rsid w:val="00B7515F"/>
    <w:rsid w:val="00B86A9E"/>
    <w:rsid w:val="00BB50D1"/>
    <w:rsid w:val="00BC7683"/>
    <w:rsid w:val="00BD4034"/>
    <w:rsid w:val="00C02601"/>
    <w:rsid w:val="00C166D1"/>
    <w:rsid w:val="00C2308F"/>
    <w:rsid w:val="00C54770"/>
    <w:rsid w:val="00C72371"/>
    <w:rsid w:val="00C73202"/>
    <w:rsid w:val="00C75C9D"/>
    <w:rsid w:val="00C80C18"/>
    <w:rsid w:val="00C842F3"/>
    <w:rsid w:val="00C852CE"/>
    <w:rsid w:val="00C96EB1"/>
    <w:rsid w:val="00CA4C17"/>
    <w:rsid w:val="00CB26F3"/>
    <w:rsid w:val="00CC7E78"/>
    <w:rsid w:val="00CD543D"/>
    <w:rsid w:val="00CE45B4"/>
    <w:rsid w:val="00D06CDE"/>
    <w:rsid w:val="00D07708"/>
    <w:rsid w:val="00D106E4"/>
    <w:rsid w:val="00D14959"/>
    <w:rsid w:val="00D318DC"/>
    <w:rsid w:val="00D32372"/>
    <w:rsid w:val="00D34669"/>
    <w:rsid w:val="00D45C8A"/>
    <w:rsid w:val="00D50868"/>
    <w:rsid w:val="00D7192F"/>
    <w:rsid w:val="00D761FB"/>
    <w:rsid w:val="00D77D01"/>
    <w:rsid w:val="00D85252"/>
    <w:rsid w:val="00DD29F0"/>
    <w:rsid w:val="00E303B1"/>
    <w:rsid w:val="00E3118A"/>
    <w:rsid w:val="00E44E39"/>
    <w:rsid w:val="00E50B8D"/>
    <w:rsid w:val="00E63A73"/>
    <w:rsid w:val="00E7181A"/>
    <w:rsid w:val="00E91A96"/>
    <w:rsid w:val="00E97FAB"/>
    <w:rsid w:val="00EA451E"/>
    <w:rsid w:val="00EB24E8"/>
    <w:rsid w:val="00EB2C7E"/>
    <w:rsid w:val="00EB60F1"/>
    <w:rsid w:val="00EE2E1A"/>
    <w:rsid w:val="00EE2F77"/>
    <w:rsid w:val="00F07783"/>
    <w:rsid w:val="00F14AC4"/>
    <w:rsid w:val="00F17331"/>
    <w:rsid w:val="00F46D73"/>
    <w:rsid w:val="00F534E3"/>
    <w:rsid w:val="00F551AA"/>
    <w:rsid w:val="00F70C33"/>
    <w:rsid w:val="00F8201C"/>
    <w:rsid w:val="00F92E41"/>
    <w:rsid w:val="00FA1CB3"/>
    <w:rsid w:val="00FC0D87"/>
    <w:rsid w:val="00FC1FDF"/>
    <w:rsid w:val="00FE7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6E4"/>
    <w:pPr>
      <w:ind w:left="720"/>
      <w:contextualSpacing/>
    </w:pPr>
  </w:style>
  <w:style w:type="paragraph" w:styleId="FootnoteText">
    <w:name w:val="footnote text"/>
    <w:basedOn w:val="Normal"/>
    <w:link w:val="FootnoteTextChar"/>
    <w:uiPriority w:val="99"/>
    <w:unhideWhenUsed/>
    <w:rsid w:val="003C595B"/>
    <w:rPr>
      <w:rFonts w:eastAsiaTheme="minorHAnsi"/>
      <w:sz w:val="20"/>
      <w:szCs w:val="20"/>
    </w:rPr>
  </w:style>
  <w:style w:type="character" w:customStyle="1" w:styleId="FootnoteTextChar">
    <w:name w:val="Footnote Text Char"/>
    <w:basedOn w:val="DefaultParagraphFont"/>
    <w:link w:val="FootnoteText"/>
    <w:uiPriority w:val="99"/>
    <w:rsid w:val="003C595B"/>
    <w:rPr>
      <w:rFonts w:eastAsiaTheme="minorHAnsi"/>
      <w:sz w:val="20"/>
      <w:szCs w:val="20"/>
    </w:rPr>
  </w:style>
  <w:style w:type="character" w:styleId="FootnoteReference">
    <w:name w:val="footnote reference"/>
    <w:basedOn w:val="DefaultParagraphFont"/>
    <w:uiPriority w:val="99"/>
    <w:unhideWhenUsed/>
    <w:rsid w:val="003C595B"/>
    <w:rPr>
      <w:vertAlign w:val="superscript"/>
    </w:rPr>
  </w:style>
  <w:style w:type="paragraph" w:styleId="Footer">
    <w:name w:val="footer"/>
    <w:basedOn w:val="Normal"/>
    <w:link w:val="FooterChar"/>
    <w:uiPriority w:val="99"/>
    <w:unhideWhenUsed/>
    <w:rsid w:val="00A57346"/>
    <w:pPr>
      <w:tabs>
        <w:tab w:val="center" w:pos="4320"/>
        <w:tab w:val="right" w:pos="8640"/>
      </w:tabs>
    </w:pPr>
  </w:style>
  <w:style w:type="character" w:customStyle="1" w:styleId="FooterChar">
    <w:name w:val="Footer Char"/>
    <w:basedOn w:val="DefaultParagraphFont"/>
    <w:link w:val="Footer"/>
    <w:uiPriority w:val="99"/>
    <w:rsid w:val="00A57346"/>
  </w:style>
  <w:style w:type="character" w:styleId="PageNumber">
    <w:name w:val="page number"/>
    <w:basedOn w:val="DefaultParagraphFont"/>
    <w:uiPriority w:val="99"/>
    <w:semiHidden/>
    <w:unhideWhenUsed/>
    <w:rsid w:val="00A57346"/>
  </w:style>
  <w:style w:type="paragraph" w:styleId="BalloonText">
    <w:name w:val="Balloon Text"/>
    <w:basedOn w:val="Normal"/>
    <w:link w:val="BalloonTextChar"/>
    <w:uiPriority w:val="99"/>
    <w:semiHidden/>
    <w:unhideWhenUsed/>
    <w:rsid w:val="009723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236F"/>
    <w:rPr>
      <w:rFonts w:ascii="Lucida Grande" w:hAnsi="Lucida Grande" w:cs="Lucida Grande"/>
      <w:sz w:val="18"/>
      <w:szCs w:val="18"/>
    </w:rPr>
  </w:style>
  <w:style w:type="character" w:styleId="Hyperlink">
    <w:name w:val="Hyperlink"/>
    <w:basedOn w:val="DefaultParagraphFont"/>
    <w:uiPriority w:val="99"/>
    <w:unhideWhenUsed/>
    <w:rsid w:val="001253D0"/>
    <w:rPr>
      <w:color w:val="0000FF" w:themeColor="hyperlink"/>
      <w:u w:val="single"/>
    </w:rPr>
  </w:style>
  <w:style w:type="paragraph" w:styleId="Caption">
    <w:name w:val="caption"/>
    <w:basedOn w:val="Normal"/>
    <w:next w:val="Normal"/>
    <w:uiPriority w:val="35"/>
    <w:unhideWhenUsed/>
    <w:qFormat/>
    <w:rsid w:val="005B0AD6"/>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1175DD"/>
    <w:rPr>
      <w:sz w:val="16"/>
      <w:szCs w:val="16"/>
    </w:rPr>
  </w:style>
  <w:style w:type="paragraph" w:styleId="CommentText">
    <w:name w:val="annotation text"/>
    <w:basedOn w:val="Normal"/>
    <w:link w:val="CommentTextChar"/>
    <w:uiPriority w:val="99"/>
    <w:semiHidden/>
    <w:unhideWhenUsed/>
    <w:rsid w:val="001175DD"/>
    <w:rPr>
      <w:sz w:val="20"/>
      <w:szCs w:val="20"/>
    </w:rPr>
  </w:style>
  <w:style w:type="character" w:customStyle="1" w:styleId="CommentTextChar">
    <w:name w:val="Comment Text Char"/>
    <w:basedOn w:val="DefaultParagraphFont"/>
    <w:link w:val="CommentText"/>
    <w:uiPriority w:val="99"/>
    <w:semiHidden/>
    <w:rsid w:val="001175DD"/>
    <w:rPr>
      <w:sz w:val="20"/>
      <w:szCs w:val="20"/>
    </w:rPr>
  </w:style>
  <w:style w:type="paragraph" w:styleId="CommentSubject">
    <w:name w:val="annotation subject"/>
    <w:basedOn w:val="CommentText"/>
    <w:next w:val="CommentText"/>
    <w:link w:val="CommentSubjectChar"/>
    <w:uiPriority w:val="99"/>
    <w:semiHidden/>
    <w:unhideWhenUsed/>
    <w:rsid w:val="001175DD"/>
    <w:rPr>
      <w:b/>
      <w:bCs/>
    </w:rPr>
  </w:style>
  <w:style w:type="character" w:customStyle="1" w:styleId="CommentSubjectChar">
    <w:name w:val="Comment Subject Char"/>
    <w:basedOn w:val="CommentTextChar"/>
    <w:link w:val="CommentSubject"/>
    <w:uiPriority w:val="99"/>
    <w:semiHidden/>
    <w:rsid w:val="001175DD"/>
    <w:rPr>
      <w:b/>
      <w:bCs/>
      <w:sz w:val="20"/>
      <w:szCs w:val="20"/>
    </w:rPr>
  </w:style>
  <w:style w:type="character" w:styleId="FollowedHyperlink">
    <w:name w:val="FollowedHyperlink"/>
    <w:basedOn w:val="DefaultParagraphFont"/>
    <w:uiPriority w:val="99"/>
    <w:semiHidden/>
    <w:unhideWhenUsed/>
    <w:rsid w:val="000949D9"/>
    <w:rPr>
      <w:color w:val="800080" w:themeColor="followedHyperlink"/>
      <w:u w:val="single"/>
    </w:rPr>
  </w:style>
  <w:style w:type="paragraph" w:styleId="Header">
    <w:name w:val="header"/>
    <w:basedOn w:val="Normal"/>
    <w:link w:val="HeaderChar"/>
    <w:uiPriority w:val="99"/>
    <w:unhideWhenUsed/>
    <w:rsid w:val="007E419D"/>
    <w:pPr>
      <w:tabs>
        <w:tab w:val="center" w:pos="4680"/>
        <w:tab w:val="right" w:pos="9360"/>
      </w:tabs>
    </w:pPr>
  </w:style>
  <w:style w:type="character" w:customStyle="1" w:styleId="HeaderChar">
    <w:name w:val="Header Char"/>
    <w:basedOn w:val="DefaultParagraphFont"/>
    <w:link w:val="Header"/>
    <w:uiPriority w:val="99"/>
    <w:rsid w:val="007E4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6E4"/>
    <w:pPr>
      <w:ind w:left="720"/>
      <w:contextualSpacing/>
    </w:pPr>
  </w:style>
  <w:style w:type="paragraph" w:styleId="FootnoteText">
    <w:name w:val="footnote text"/>
    <w:basedOn w:val="Normal"/>
    <w:link w:val="FootnoteTextChar"/>
    <w:uiPriority w:val="99"/>
    <w:unhideWhenUsed/>
    <w:rsid w:val="003C595B"/>
    <w:rPr>
      <w:rFonts w:eastAsiaTheme="minorHAnsi"/>
      <w:sz w:val="20"/>
      <w:szCs w:val="20"/>
    </w:rPr>
  </w:style>
  <w:style w:type="character" w:customStyle="1" w:styleId="FootnoteTextChar">
    <w:name w:val="Footnote Text Char"/>
    <w:basedOn w:val="DefaultParagraphFont"/>
    <w:link w:val="FootnoteText"/>
    <w:uiPriority w:val="99"/>
    <w:rsid w:val="003C595B"/>
    <w:rPr>
      <w:rFonts w:eastAsiaTheme="minorHAnsi"/>
      <w:sz w:val="20"/>
      <w:szCs w:val="20"/>
    </w:rPr>
  </w:style>
  <w:style w:type="character" w:styleId="FootnoteReference">
    <w:name w:val="footnote reference"/>
    <w:basedOn w:val="DefaultParagraphFont"/>
    <w:uiPriority w:val="99"/>
    <w:unhideWhenUsed/>
    <w:rsid w:val="003C595B"/>
    <w:rPr>
      <w:vertAlign w:val="superscript"/>
    </w:rPr>
  </w:style>
  <w:style w:type="paragraph" w:styleId="Footer">
    <w:name w:val="footer"/>
    <w:basedOn w:val="Normal"/>
    <w:link w:val="FooterChar"/>
    <w:uiPriority w:val="99"/>
    <w:unhideWhenUsed/>
    <w:rsid w:val="00A57346"/>
    <w:pPr>
      <w:tabs>
        <w:tab w:val="center" w:pos="4320"/>
        <w:tab w:val="right" w:pos="8640"/>
      </w:tabs>
    </w:pPr>
  </w:style>
  <w:style w:type="character" w:customStyle="1" w:styleId="FooterChar">
    <w:name w:val="Footer Char"/>
    <w:basedOn w:val="DefaultParagraphFont"/>
    <w:link w:val="Footer"/>
    <w:uiPriority w:val="99"/>
    <w:rsid w:val="00A57346"/>
  </w:style>
  <w:style w:type="character" w:styleId="PageNumber">
    <w:name w:val="page number"/>
    <w:basedOn w:val="DefaultParagraphFont"/>
    <w:uiPriority w:val="99"/>
    <w:semiHidden/>
    <w:unhideWhenUsed/>
    <w:rsid w:val="00A57346"/>
  </w:style>
  <w:style w:type="paragraph" w:styleId="BalloonText">
    <w:name w:val="Balloon Text"/>
    <w:basedOn w:val="Normal"/>
    <w:link w:val="BalloonTextChar"/>
    <w:uiPriority w:val="99"/>
    <w:semiHidden/>
    <w:unhideWhenUsed/>
    <w:rsid w:val="009723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236F"/>
    <w:rPr>
      <w:rFonts w:ascii="Lucida Grande" w:hAnsi="Lucida Grande" w:cs="Lucida Grande"/>
      <w:sz w:val="18"/>
      <w:szCs w:val="18"/>
    </w:rPr>
  </w:style>
  <w:style w:type="character" w:styleId="Hyperlink">
    <w:name w:val="Hyperlink"/>
    <w:basedOn w:val="DefaultParagraphFont"/>
    <w:uiPriority w:val="99"/>
    <w:unhideWhenUsed/>
    <w:rsid w:val="001253D0"/>
    <w:rPr>
      <w:color w:val="0000FF" w:themeColor="hyperlink"/>
      <w:u w:val="single"/>
    </w:rPr>
  </w:style>
  <w:style w:type="paragraph" w:styleId="Caption">
    <w:name w:val="caption"/>
    <w:basedOn w:val="Normal"/>
    <w:next w:val="Normal"/>
    <w:uiPriority w:val="35"/>
    <w:unhideWhenUsed/>
    <w:qFormat/>
    <w:rsid w:val="005B0AD6"/>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1175DD"/>
    <w:rPr>
      <w:sz w:val="16"/>
      <w:szCs w:val="16"/>
    </w:rPr>
  </w:style>
  <w:style w:type="paragraph" w:styleId="CommentText">
    <w:name w:val="annotation text"/>
    <w:basedOn w:val="Normal"/>
    <w:link w:val="CommentTextChar"/>
    <w:uiPriority w:val="99"/>
    <w:semiHidden/>
    <w:unhideWhenUsed/>
    <w:rsid w:val="001175DD"/>
    <w:rPr>
      <w:sz w:val="20"/>
      <w:szCs w:val="20"/>
    </w:rPr>
  </w:style>
  <w:style w:type="character" w:customStyle="1" w:styleId="CommentTextChar">
    <w:name w:val="Comment Text Char"/>
    <w:basedOn w:val="DefaultParagraphFont"/>
    <w:link w:val="CommentText"/>
    <w:uiPriority w:val="99"/>
    <w:semiHidden/>
    <w:rsid w:val="001175DD"/>
    <w:rPr>
      <w:sz w:val="20"/>
      <w:szCs w:val="20"/>
    </w:rPr>
  </w:style>
  <w:style w:type="paragraph" w:styleId="CommentSubject">
    <w:name w:val="annotation subject"/>
    <w:basedOn w:val="CommentText"/>
    <w:next w:val="CommentText"/>
    <w:link w:val="CommentSubjectChar"/>
    <w:uiPriority w:val="99"/>
    <w:semiHidden/>
    <w:unhideWhenUsed/>
    <w:rsid w:val="001175DD"/>
    <w:rPr>
      <w:b/>
      <w:bCs/>
    </w:rPr>
  </w:style>
  <w:style w:type="character" w:customStyle="1" w:styleId="CommentSubjectChar">
    <w:name w:val="Comment Subject Char"/>
    <w:basedOn w:val="CommentTextChar"/>
    <w:link w:val="CommentSubject"/>
    <w:uiPriority w:val="99"/>
    <w:semiHidden/>
    <w:rsid w:val="001175DD"/>
    <w:rPr>
      <w:b/>
      <w:bCs/>
      <w:sz w:val="20"/>
      <w:szCs w:val="20"/>
    </w:rPr>
  </w:style>
  <w:style w:type="character" w:styleId="FollowedHyperlink">
    <w:name w:val="FollowedHyperlink"/>
    <w:basedOn w:val="DefaultParagraphFont"/>
    <w:uiPriority w:val="99"/>
    <w:semiHidden/>
    <w:unhideWhenUsed/>
    <w:rsid w:val="000949D9"/>
    <w:rPr>
      <w:color w:val="800080" w:themeColor="followedHyperlink"/>
      <w:u w:val="single"/>
    </w:rPr>
  </w:style>
  <w:style w:type="paragraph" w:styleId="Header">
    <w:name w:val="header"/>
    <w:basedOn w:val="Normal"/>
    <w:link w:val="HeaderChar"/>
    <w:uiPriority w:val="99"/>
    <w:unhideWhenUsed/>
    <w:rsid w:val="007E419D"/>
    <w:pPr>
      <w:tabs>
        <w:tab w:val="center" w:pos="4680"/>
        <w:tab w:val="right" w:pos="9360"/>
      </w:tabs>
    </w:pPr>
  </w:style>
  <w:style w:type="character" w:customStyle="1" w:styleId="HeaderChar">
    <w:name w:val="Header Char"/>
    <w:basedOn w:val="DefaultParagraphFont"/>
    <w:link w:val="Header"/>
    <w:uiPriority w:val="99"/>
    <w:rsid w:val="007E4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08703">
      <w:bodyDiv w:val="1"/>
      <w:marLeft w:val="0"/>
      <w:marRight w:val="0"/>
      <w:marTop w:val="0"/>
      <w:marBottom w:val="0"/>
      <w:divBdr>
        <w:top w:val="none" w:sz="0" w:space="0" w:color="auto"/>
        <w:left w:val="none" w:sz="0" w:space="0" w:color="auto"/>
        <w:bottom w:val="none" w:sz="0" w:space="0" w:color="auto"/>
        <w:right w:val="none" w:sz="0" w:space="0" w:color="auto"/>
      </w:divBdr>
    </w:div>
    <w:div w:id="1884364657">
      <w:bodyDiv w:val="1"/>
      <w:marLeft w:val="0"/>
      <w:marRight w:val="0"/>
      <w:marTop w:val="0"/>
      <w:marBottom w:val="0"/>
      <w:divBdr>
        <w:top w:val="none" w:sz="0" w:space="0" w:color="auto"/>
        <w:left w:val="none" w:sz="0" w:space="0" w:color="auto"/>
        <w:bottom w:val="none" w:sz="0" w:space="0" w:color="auto"/>
        <w:right w:val="none" w:sz="0" w:space="0" w:color="auto"/>
      </w:divBdr>
    </w:div>
    <w:div w:id="1924727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general/connect-america-fund-phase-ii-models" TargetMode="External"/><Relationship Id="rId4" Type="http://schemas.openxmlformats.org/officeDocument/2006/relationships/settings" Target="settings.xml"/><Relationship Id="rId9" Type="http://schemas.openxmlformats.org/officeDocument/2006/relationships/image" Target="cid:image002.png@01D26ABD.52DCC910"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whitehouse.gov/the-press-office/2015/09/14/fact-sheet-administration-announces-new-smart-cities-initiative-help" TargetMode="External"/><Relationship Id="rId2" Type="http://schemas.openxmlformats.org/officeDocument/2006/relationships/hyperlink" Target="http://www.costquest.com/blog/news-and-events/post/the-5g-mobile-ubiquity-price-tag" TargetMode="External"/><Relationship Id="rId1" Type="http://schemas.openxmlformats.org/officeDocument/2006/relationships/hyperlink" Target="https://fas.org/sgp/crs/misc/IN10572.pdf" TargetMode="External"/><Relationship Id="rId5" Type="http://schemas.openxmlformats.org/officeDocument/2006/relationships/hyperlink" Target="http://www.fcc.gov/document/fcc-seeks-comment-mobilitie-petition-small-cell-deployment" TargetMode="External"/><Relationship Id="rId4" Type="http://schemas.openxmlformats.org/officeDocument/2006/relationships/hyperlink" Target="http://peternavarro.com/sitebuildercontent/sitebuilderfiles/infrastructurereport.pdf"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2098</Words>
  <Characters>12700</Characters>
  <Application>Microsoft Office Word</Application>
  <DocSecurity>0</DocSecurity>
  <Lines>246</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2017-01-07T00:27:00Z</cp:lastPrinted>
  <dcterms:created xsi:type="dcterms:W3CDTF">2017-01-19T17:58:00Z</dcterms:created>
  <dcterms:modified xsi:type="dcterms:W3CDTF">2017-01-19T17:58:00Z</dcterms:modified>
  <cp:category> </cp:category>
  <cp:contentStatus> </cp:contentStatus>
</cp:coreProperties>
</file>