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C1DDF" w14:textId="77777777" w:rsidR="006A7466" w:rsidRPr="00F51389" w:rsidRDefault="006A7466" w:rsidP="006A7466">
      <w:pPr>
        <w:spacing w:after="240"/>
        <w:jc w:val="center"/>
        <w:rPr>
          <w:rFonts w:eastAsia="Times New Roman" w:cs="Times New Roman"/>
          <w:b/>
          <w:i/>
        </w:rPr>
      </w:pPr>
      <w:bookmarkStart w:id="0" w:name="_GoBack"/>
      <w:bookmarkEnd w:id="0"/>
      <w:r w:rsidRPr="20F8CBC5">
        <w:rPr>
          <w:rFonts w:eastAsia="Times New Roman" w:cs="Times New Roman"/>
          <w:b/>
          <w:i/>
        </w:rPr>
        <w:t>Wireless Telecommunications Bureau Report:</w:t>
      </w:r>
    </w:p>
    <w:p w14:paraId="3482B31A" w14:textId="77777777" w:rsidR="006A7466" w:rsidRPr="00F51389" w:rsidRDefault="006A7466" w:rsidP="006A7466">
      <w:pPr>
        <w:spacing w:after="240"/>
        <w:jc w:val="center"/>
        <w:rPr>
          <w:rFonts w:eastAsia="Times New Roman" w:cs="Times New Roman"/>
          <w:b/>
        </w:rPr>
      </w:pPr>
      <w:r w:rsidRPr="20F8CBC5">
        <w:rPr>
          <w:rFonts w:eastAsia="Times New Roman" w:cs="Times New Roman"/>
          <w:b/>
        </w:rPr>
        <w:t xml:space="preserve">Policy Review of Mobile Broadband Operators’ </w:t>
      </w:r>
      <w:r w:rsidRPr="00F51389">
        <w:rPr>
          <w:rFonts w:cs="Times New Roman"/>
          <w:b/>
          <w:szCs w:val="24"/>
        </w:rPr>
        <w:br/>
      </w:r>
      <w:r w:rsidRPr="20F8CBC5">
        <w:rPr>
          <w:rFonts w:eastAsia="Times New Roman" w:cs="Times New Roman"/>
          <w:b/>
        </w:rPr>
        <w:t>Sponsored Data Offerings for Zero-Rated Content and Services</w:t>
      </w:r>
    </w:p>
    <w:p w14:paraId="151DC40A" w14:textId="77777777" w:rsidR="006A7466" w:rsidRPr="00F51389" w:rsidRDefault="006A7466" w:rsidP="006A7466">
      <w:pPr>
        <w:pStyle w:val="ListParagraph"/>
        <w:numPr>
          <w:ilvl w:val="0"/>
          <w:numId w:val="2"/>
        </w:numPr>
        <w:spacing w:after="240"/>
        <w:ind w:left="360"/>
        <w:rPr>
          <w:rFonts w:eastAsia="Times New Roman" w:cs="Times New Roman"/>
          <w:b/>
          <w:caps/>
        </w:rPr>
      </w:pPr>
      <w:r w:rsidRPr="20F8CBC5">
        <w:rPr>
          <w:rFonts w:eastAsia="Times New Roman" w:cs="Times New Roman"/>
          <w:b/>
          <w:caps/>
        </w:rPr>
        <w:t>Introduction</w:t>
      </w:r>
    </w:p>
    <w:p w14:paraId="31F67413" w14:textId="60F1CD77"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 xml:space="preserve">This report presents the results of the Wireless Telecommunications Bureau (WTB or the Bureau) staff review during 2016 </w:t>
      </w:r>
      <w:r>
        <w:rPr>
          <w:rFonts w:eastAsia="Times New Roman" w:cs="Times New Roman"/>
        </w:rPr>
        <w:t xml:space="preserve">of </w:t>
      </w:r>
      <w:r w:rsidRPr="20F8CBC5">
        <w:rPr>
          <w:rFonts w:eastAsia="Times New Roman" w:cs="Times New Roman"/>
        </w:rPr>
        <w:t xml:space="preserve">sponsored data and zero-rating practices in the mobile broadband market.  Based on this review of these offerings, the report puts forward a draft framework for evaluating </w:t>
      </w:r>
      <w:r>
        <w:rPr>
          <w:rFonts w:eastAsia="Times New Roman" w:cs="Times New Roman"/>
        </w:rPr>
        <w:t xml:space="preserve">mobile </w:t>
      </w:r>
      <w:r w:rsidRPr="20F8CBC5">
        <w:rPr>
          <w:rFonts w:eastAsia="Times New Roman" w:cs="Times New Roman"/>
        </w:rPr>
        <w:t>zero</w:t>
      </w:r>
      <w:r w:rsidR="004E3F94">
        <w:rPr>
          <w:rFonts w:eastAsia="Times New Roman" w:cs="Times New Roman"/>
        </w:rPr>
        <w:t xml:space="preserve"> </w:t>
      </w:r>
      <w:r w:rsidRPr="20F8CBC5">
        <w:rPr>
          <w:rFonts w:eastAsia="Times New Roman" w:cs="Times New Roman"/>
        </w:rPr>
        <w:t>rated</w:t>
      </w:r>
      <w:r w:rsidR="004E3F94">
        <w:rPr>
          <w:rFonts w:eastAsia="Times New Roman" w:cs="Times New Roman"/>
        </w:rPr>
        <w:t xml:space="preserve"> </w:t>
      </w:r>
      <w:r w:rsidRPr="20F8CBC5">
        <w:rPr>
          <w:rFonts w:eastAsia="Times New Roman" w:cs="Times New Roman"/>
        </w:rPr>
        <w:t>data offerings generally.</w:t>
      </w:r>
      <w:r w:rsidRPr="20F8CBC5">
        <w:rPr>
          <w:rStyle w:val="FootnoteReference"/>
          <w:rFonts w:eastAsia="Times New Roman" w:cs="Times New Roman"/>
        </w:rPr>
        <w:footnoteReference w:id="2"/>
      </w:r>
      <w:r w:rsidRPr="20F8CBC5">
        <w:rPr>
          <w:rFonts w:eastAsia="Times New Roman" w:cs="Times New Roman"/>
        </w:rPr>
        <w:t xml:space="preserve">  WTB issues this report in fulfillment of its established responsibility to “advise[ ] and make[ ] recommendations to the Commission” regarding “policy goals, objectives, programs and plans for the Commission on matters concerning wireless telecommunications, drawing upon relevant economic, technological, legislative, regulatory and judicial information and developments.”</w:t>
      </w:r>
      <w:r w:rsidRPr="20F8CBC5">
        <w:rPr>
          <w:rStyle w:val="FootnoteReference"/>
          <w:rFonts w:eastAsia="Times New Roman" w:cs="Times New Roman"/>
        </w:rPr>
        <w:footnoteReference w:id="3"/>
      </w:r>
    </w:p>
    <w:p w14:paraId="56CFB878" w14:textId="499FD52D" w:rsidR="006A7466" w:rsidRPr="00F51389" w:rsidRDefault="006A7466" w:rsidP="006A7466">
      <w:pPr>
        <w:spacing w:after="240"/>
        <w:ind w:firstLine="720"/>
        <w:rPr>
          <w:rFonts w:eastAsia="Times New Roman" w:cs="Times New Roman"/>
        </w:rPr>
      </w:pPr>
      <w:r w:rsidRPr="20F8CBC5">
        <w:rPr>
          <w:rFonts w:eastAsia="Times New Roman" w:cs="Times New Roman"/>
        </w:rPr>
        <w:t xml:space="preserve">We note that this report expresses no concern with retail zero-rating </w:t>
      </w:r>
      <w:r w:rsidRPr="20F8CBC5">
        <w:rPr>
          <w:rFonts w:eastAsia="Times New Roman" w:cs="Times New Roman"/>
          <w:i/>
        </w:rPr>
        <w:t>per se</w:t>
      </w:r>
      <w:r w:rsidRPr="20F8CBC5">
        <w:rPr>
          <w:rFonts w:eastAsia="Times New Roman" w:cs="Times New Roman"/>
        </w:rPr>
        <w:t xml:space="preserve">.  To the contrary, the Commission acknowledged in its </w:t>
      </w:r>
      <w:r w:rsidRPr="20F8CBC5">
        <w:rPr>
          <w:rFonts w:eastAsia="Times New Roman" w:cs="Times New Roman"/>
          <w:i/>
        </w:rPr>
        <w:t>2015 Open Internet</w:t>
      </w:r>
      <w:r w:rsidRPr="20F8CBC5">
        <w:rPr>
          <w:rFonts w:eastAsia="Times New Roman" w:cs="Times New Roman"/>
        </w:rPr>
        <w:t xml:space="preserve"> </w:t>
      </w:r>
      <w:r w:rsidRPr="20F8CBC5">
        <w:rPr>
          <w:rFonts w:eastAsia="Times New Roman" w:cs="Times New Roman"/>
          <w:i/>
        </w:rPr>
        <w:t>Order</w:t>
      </w:r>
      <w:r w:rsidRPr="20F8CBC5">
        <w:rPr>
          <w:rFonts w:eastAsia="Times New Roman" w:cs="Times New Roman"/>
        </w:rPr>
        <w:t xml:space="preserve"> that zero-rating-based business models may, in some instances, provide consumer and competitive benefits.</w:t>
      </w:r>
      <w:r w:rsidRPr="20F8CBC5">
        <w:rPr>
          <w:rStyle w:val="FootnoteReference"/>
          <w:rFonts w:eastAsia="Times New Roman" w:cs="Times New Roman"/>
        </w:rPr>
        <w:footnoteReference w:id="4"/>
      </w:r>
      <w:r w:rsidRPr="20F8CBC5">
        <w:rPr>
          <w:rFonts w:eastAsia="Times New Roman" w:cs="Times New Roman"/>
        </w:rPr>
        <w:t xml:space="preserve">  These benefits may include </w:t>
      </w:r>
      <w:r w:rsidR="0074400F">
        <w:rPr>
          <w:rFonts w:eastAsia="Times New Roman" w:cs="Times New Roman"/>
        </w:rPr>
        <w:t xml:space="preserve">increased </w:t>
      </w:r>
      <w:r w:rsidRPr="20F8CBC5">
        <w:rPr>
          <w:rFonts w:eastAsia="Times New Roman" w:cs="Times New Roman"/>
        </w:rPr>
        <w:t xml:space="preserve">video competition </w:t>
      </w:r>
      <w:r w:rsidR="0074400F">
        <w:rPr>
          <w:rFonts w:eastAsia="Times New Roman" w:cs="Times New Roman"/>
        </w:rPr>
        <w:t xml:space="preserve">by facilitating </w:t>
      </w:r>
      <w:r w:rsidRPr="20F8CBC5">
        <w:rPr>
          <w:rFonts w:eastAsia="Times New Roman" w:cs="Times New Roman"/>
        </w:rPr>
        <w:t xml:space="preserve">the availability of over-the-top (OTT) offerings.  Rather than a </w:t>
      </w:r>
      <w:r w:rsidRPr="20F8CBC5">
        <w:rPr>
          <w:rFonts w:eastAsia="Times New Roman" w:cs="Times New Roman"/>
          <w:i/>
        </w:rPr>
        <w:t>per se</w:t>
      </w:r>
      <w:r w:rsidRPr="20F8CBC5">
        <w:rPr>
          <w:rFonts w:eastAsia="Times New Roman" w:cs="Times New Roman"/>
        </w:rPr>
        <w:t xml:space="preserve"> approach, the Commission explained that it would “look at and assess such practices under the no-unreasonable interference/disadvantage standard, based on the facts of each individual case, and take action as necessary.”</w:t>
      </w:r>
      <w:r w:rsidRPr="20F8CBC5">
        <w:rPr>
          <w:rStyle w:val="FootnoteReference"/>
          <w:rFonts w:eastAsia="Times New Roman" w:cs="Times New Roman"/>
        </w:rPr>
        <w:footnoteReference w:id="5"/>
      </w:r>
      <w:r w:rsidRPr="20F8CBC5">
        <w:rPr>
          <w:rFonts w:eastAsia="Times New Roman" w:cs="Times New Roman"/>
        </w:rPr>
        <w:t xml:space="preserve">  Consistent with this guidance, we reviewed operators’</w:t>
      </w:r>
      <w:r w:rsidR="00312A82">
        <w:rPr>
          <w:rFonts w:eastAsia="Times New Roman" w:cs="Times New Roman"/>
        </w:rPr>
        <w:t xml:space="preserve"> </w:t>
      </w:r>
      <w:r w:rsidRPr="20F8CBC5">
        <w:rPr>
          <w:rFonts w:eastAsia="Times New Roman" w:cs="Times New Roman"/>
        </w:rPr>
        <w:t>offerings</w:t>
      </w:r>
      <w:r w:rsidR="00312A82">
        <w:rPr>
          <w:rFonts w:eastAsia="Times New Roman" w:cs="Times New Roman"/>
        </w:rPr>
        <w:t xml:space="preserve"> over the course of 2016</w:t>
      </w:r>
      <w:r w:rsidRPr="20F8CBC5">
        <w:rPr>
          <w:rFonts w:eastAsia="Times New Roman" w:cs="Times New Roman"/>
        </w:rPr>
        <w:t xml:space="preserve"> </w:t>
      </w:r>
      <w:r>
        <w:rPr>
          <w:rFonts w:eastAsia="Times New Roman" w:cs="Times New Roman"/>
        </w:rPr>
        <w:t>and</w:t>
      </w:r>
      <w:r w:rsidRPr="20F8CBC5">
        <w:rPr>
          <w:rFonts w:eastAsia="Times New Roman" w:cs="Times New Roman"/>
        </w:rPr>
        <w:t xml:space="preserve"> </w:t>
      </w:r>
      <w:r w:rsidR="00312A82">
        <w:rPr>
          <w:rFonts w:eastAsia="Times New Roman" w:cs="Times New Roman"/>
        </w:rPr>
        <w:t>have found</w:t>
      </w:r>
      <w:r w:rsidR="00312A82" w:rsidRPr="20F8CBC5">
        <w:rPr>
          <w:rFonts w:eastAsia="Times New Roman" w:cs="Times New Roman"/>
        </w:rPr>
        <w:t xml:space="preserve"> </w:t>
      </w:r>
      <w:r w:rsidRPr="20F8CBC5">
        <w:rPr>
          <w:rFonts w:eastAsia="Times New Roman" w:cs="Times New Roman"/>
        </w:rPr>
        <w:t xml:space="preserve">that two of the plans present significant risks to consumers and competition in downstream industry sectors because of network operators’ </w:t>
      </w:r>
      <w:r w:rsidR="00FC0E3A">
        <w:rPr>
          <w:rFonts w:eastAsia="Times New Roman" w:cs="Times New Roman"/>
        </w:rPr>
        <w:t xml:space="preserve">potentially </w:t>
      </w:r>
      <w:r w:rsidRPr="20F8CBC5">
        <w:rPr>
          <w:rFonts w:eastAsia="Times New Roman" w:cs="Times New Roman"/>
        </w:rPr>
        <w:t>unreasonable discrimination in favor of their own affiliates.  Given the powerful economic incentives of network operators to employ these practices to advantage themselves and their affiliates in various edge service markets, we are equally concerned that – absent effective oversight – these practices will become more widespread in the future.</w:t>
      </w:r>
    </w:p>
    <w:p w14:paraId="79E4BCF1" w14:textId="77777777" w:rsidR="006A7466" w:rsidRPr="00F51389" w:rsidRDefault="006A7466" w:rsidP="006A7466">
      <w:pPr>
        <w:pStyle w:val="ListParagraph"/>
        <w:numPr>
          <w:ilvl w:val="0"/>
          <w:numId w:val="2"/>
        </w:numPr>
        <w:spacing w:after="240"/>
        <w:ind w:left="360"/>
        <w:contextualSpacing w:val="0"/>
        <w:rPr>
          <w:rFonts w:eastAsia="Times New Roman" w:cs="Times New Roman"/>
          <w:b/>
          <w:caps/>
        </w:rPr>
      </w:pPr>
      <w:r w:rsidRPr="20F8CBC5">
        <w:rPr>
          <w:rFonts w:eastAsia="Times New Roman" w:cs="Times New Roman"/>
        </w:rPr>
        <w:lastRenderedPageBreak/>
        <w:t xml:space="preserve"> </w:t>
      </w:r>
      <w:r w:rsidRPr="20F8CBC5">
        <w:rPr>
          <w:rFonts w:eastAsia="Times New Roman" w:cs="Times New Roman"/>
          <w:b/>
          <w:caps/>
        </w:rPr>
        <w:t>a framework for considering Zero-Rated Services and Sponsored Data Arrangements</w:t>
      </w:r>
    </w:p>
    <w:p w14:paraId="57315239" w14:textId="77777777" w:rsidR="006A7466" w:rsidRPr="00F51389" w:rsidRDefault="006A7466" w:rsidP="006A7466">
      <w:pPr>
        <w:pStyle w:val="ListParagraph"/>
        <w:numPr>
          <w:ilvl w:val="1"/>
          <w:numId w:val="2"/>
        </w:numPr>
        <w:spacing w:after="240"/>
        <w:ind w:left="720"/>
        <w:contextualSpacing w:val="0"/>
        <w:rPr>
          <w:rFonts w:eastAsia="Times New Roman" w:cs="Times New Roman"/>
          <w:b/>
          <w:caps/>
        </w:rPr>
      </w:pPr>
      <w:r w:rsidRPr="20F8CBC5">
        <w:rPr>
          <w:rFonts w:eastAsia="Times New Roman" w:cs="Times New Roman"/>
          <w:b/>
        </w:rPr>
        <w:t>Background</w:t>
      </w:r>
    </w:p>
    <w:p w14:paraId="1A2C4B79" w14:textId="77777777" w:rsidR="006A7466" w:rsidRPr="00F51389" w:rsidRDefault="006A7466" w:rsidP="006A7466">
      <w:pPr>
        <w:spacing w:after="240"/>
        <w:rPr>
          <w:rFonts w:eastAsia="Times New Roman" w:cs="Times New Roman"/>
        </w:rPr>
      </w:pPr>
      <w:r w:rsidRPr="00F51389">
        <w:rPr>
          <w:rFonts w:cs="Times New Roman"/>
          <w:bCs/>
          <w:szCs w:val="24"/>
        </w:rPr>
        <w:tab/>
      </w:r>
      <w:r w:rsidRPr="20F8CBC5">
        <w:rPr>
          <w:rFonts w:eastAsia="Times New Roman" w:cs="Times New Roman"/>
        </w:rPr>
        <w:t>“Zero-rated” content, applications, and services are those that end users can access without the data consumed being counted toward the usage allowances or data caps imposed by an operator’s service plans.  Thus, for example, if a consumer has subscribed to a broadband service plan that allows usage of 10 gigabytes of data per month, but then uses more than 10 gigabytes of cellular data</w:t>
      </w:r>
      <w:r w:rsidRPr="20F8CBC5">
        <w:rPr>
          <w:rStyle w:val="FootnoteReference"/>
          <w:rFonts w:eastAsia="Times New Roman" w:cs="Times New Roman"/>
        </w:rPr>
        <w:footnoteReference w:id="6"/>
      </w:r>
      <w:r w:rsidRPr="20F8CBC5">
        <w:rPr>
          <w:rFonts w:eastAsia="Times New Roman" w:cs="Times New Roman"/>
        </w:rPr>
        <w:t xml:space="preserve"> in a given month, the provider may impose surcharges for excess data usage or may reduce the consumer’s data usage to a slower speed for the remainder of that monthly billing cycle.  That consumer’s use of data to access </w:t>
      </w:r>
      <w:r w:rsidRPr="20F8CBC5">
        <w:rPr>
          <w:rFonts w:eastAsia="Times New Roman" w:cs="Times New Roman"/>
          <w:i/>
        </w:rPr>
        <w:t>zero-rated</w:t>
      </w:r>
      <w:r w:rsidRPr="20F8CBC5">
        <w:rPr>
          <w:rFonts w:eastAsia="Times New Roman" w:cs="Times New Roman"/>
        </w:rPr>
        <w:t xml:space="preserve"> edge services, however, does not count toward her monthly data usage allowance under her mobile broadband service plan.  A zero-rated edge service therefore becomes inherently more attractive to the consumer as compared to a non-zero-rated service, other factors held constant, because it costs less.</w:t>
      </w:r>
    </w:p>
    <w:p w14:paraId="3058109D" w14:textId="69D9AF80" w:rsidR="006A7466" w:rsidRPr="00F51389" w:rsidRDefault="006A7466" w:rsidP="006A7466">
      <w:pPr>
        <w:spacing w:after="240"/>
        <w:rPr>
          <w:rFonts w:eastAsia="Times New Roman" w:cs="Times New Roman"/>
        </w:rPr>
      </w:pPr>
      <w:r w:rsidRPr="00F51389">
        <w:rPr>
          <w:rFonts w:cs="Times New Roman"/>
          <w:bCs/>
          <w:szCs w:val="24"/>
        </w:rPr>
        <w:tab/>
      </w:r>
      <w:r w:rsidRPr="20F8CBC5">
        <w:rPr>
          <w:rFonts w:eastAsia="Times New Roman" w:cs="Times New Roman"/>
        </w:rPr>
        <w:t xml:space="preserve">Some mobile broadband providers offer “sponsored data” arrangements to edge providers that seek to </w:t>
      </w:r>
      <w:r w:rsidR="0074400F">
        <w:rPr>
          <w:rFonts w:eastAsia="Times New Roman" w:cs="Times New Roman"/>
        </w:rPr>
        <w:t>provide</w:t>
      </w:r>
      <w:r w:rsidR="002828DA">
        <w:rPr>
          <w:rFonts w:eastAsia="Times New Roman" w:cs="Times New Roman"/>
        </w:rPr>
        <w:t xml:space="preserve"> their services on a</w:t>
      </w:r>
      <w:r w:rsidR="002828DA" w:rsidRPr="20F8CBC5">
        <w:rPr>
          <w:rFonts w:eastAsia="Times New Roman" w:cs="Times New Roman"/>
        </w:rPr>
        <w:t xml:space="preserve"> </w:t>
      </w:r>
      <w:r w:rsidRPr="20F8CBC5">
        <w:rPr>
          <w:rFonts w:eastAsia="Times New Roman" w:cs="Times New Roman"/>
        </w:rPr>
        <w:t xml:space="preserve">zero-rated </w:t>
      </w:r>
      <w:r w:rsidR="002828DA">
        <w:rPr>
          <w:rFonts w:eastAsia="Times New Roman" w:cs="Times New Roman"/>
        </w:rPr>
        <w:t>basis</w:t>
      </w:r>
      <w:r w:rsidRPr="20F8CBC5">
        <w:rPr>
          <w:rFonts w:eastAsia="Times New Roman" w:cs="Times New Roman"/>
        </w:rPr>
        <w:t xml:space="preserve">.  Under these arrangements, edge providers offer their services to consumers on a zero-rated basis by arranging to “buy down,” or “sponsor,” the data these consumers use.  This enables consumers to utilize those edge services without worrying that such usage could cause them to exceed the applicable data allowances under their broadband providers’ service plans.    </w:t>
      </w:r>
    </w:p>
    <w:p w14:paraId="3D821E98" w14:textId="05A1AE5E" w:rsidR="006A7466" w:rsidRPr="00903D04"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 xml:space="preserve">2016 was a year of significant creativity and experimentation in mobile broadband offerings by wireless carriers.  </w:t>
      </w:r>
      <w:r w:rsidR="002828DA">
        <w:rPr>
          <w:rFonts w:eastAsia="Times New Roman" w:cs="Times New Roman"/>
        </w:rPr>
        <w:t xml:space="preserve">Over </w:t>
      </w:r>
      <w:r w:rsidR="00790D8C">
        <w:rPr>
          <w:rFonts w:eastAsia="Times New Roman" w:cs="Times New Roman"/>
        </w:rPr>
        <w:t>the course of 2016</w:t>
      </w:r>
      <w:r w:rsidR="002828DA">
        <w:rPr>
          <w:rFonts w:eastAsia="Times New Roman" w:cs="Times New Roman"/>
        </w:rPr>
        <w:t>, c</w:t>
      </w:r>
      <w:r w:rsidR="002828DA" w:rsidRPr="20F8CBC5">
        <w:rPr>
          <w:rFonts w:eastAsia="Times New Roman" w:cs="Times New Roman"/>
        </w:rPr>
        <w:t xml:space="preserve">arriers </w:t>
      </w:r>
      <w:r w:rsidRPr="20F8CBC5">
        <w:rPr>
          <w:rFonts w:eastAsia="Times New Roman" w:cs="Times New Roman"/>
        </w:rPr>
        <w:t>introduced numerous</w:t>
      </w:r>
      <w:r w:rsidR="002828DA">
        <w:rPr>
          <w:rFonts w:eastAsia="Times New Roman" w:cs="Times New Roman"/>
        </w:rPr>
        <w:t xml:space="preserve"> unlimited data programs, as well as launched a variety of</w:t>
      </w:r>
      <w:r w:rsidRPr="20F8CBC5">
        <w:rPr>
          <w:rFonts w:eastAsia="Times New Roman" w:cs="Times New Roman"/>
        </w:rPr>
        <w:t xml:space="preserve"> zero-rated services and sponsored data arrangements. </w:t>
      </w:r>
      <w:r w:rsidR="002828DA">
        <w:rPr>
          <w:rFonts w:eastAsia="Times New Roman" w:cs="Times New Roman"/>
        </w:rPr>
        <w:t>During the year,</w:t>
      </w:r>
      <w:r w:rsidRPr="20F8CBC5">
        <w:rPr>
          <w:rFonts w:eastAsia="Times New Roman" w:cs="Times New Roman"/>
        </w:rPr>
        <w:t xml:space="preserve"> </w:t>
      </w:r>
      <w:r w:rsidR="00790D8C">
        <w:rPr>
          <w:rFonts w:eastAsia="Times New Roman" w:cs="Times New Roman"/>
        </w:rPr>
        <w:t xml:space="preserve">for example, </w:t>
      </w:r>
      <w:r>
        <w:rPr>
          <w:rFonts w:eastAsia="Times New Roman" w:cs="Times New Roman"/>
        </w:rPr>
        <w:t xml:space="preserve">T-Mobile significantly expanded the number of </w:t>
      </w:r>
      <w:r w:rsidR="00C23DE1">
        <w:rPr>
          <w:rFonts w:eastAsia="Times New Roman" w:cs="Times New Roman"/>
        </w:rPr>
        <w:t>participating, zero-rated</w:t>
      </w:r>
      <w:r>
        <w:rPr>
          <w:rFonts w:eastAsia="Times New Roman" w:cs="Times New Roman"/>
        </w:rPr>
        <w:t xml:space="preserve"> edge providers </w:t>
      </w:r>
      <w:r w:rsidR="002828DA">
        <w:rPr>
          <w:rFonts w:eastAsia="Times New Roman" w:cs="Times New Roman"/>
        </w:rPr>
        <w:t>in Binge On, an offering introduced in November 2015 that zero-rated standard definition video.</w:t>
      </w:r>
      <w:r w:rsidR="002A67D5">
        <w:rPr>
          <w:rStyle w:val="FootnoteReference"/>
          <w:rFonts w:eastAsia="Times New Roman" w:cs="Times New Roman"/>
        </w:rPr>
        <w:footnoteReference w:id="7"/>
      </w:r>
      <w:r w:rsidR="002828DA">
        <w:rPr>
          <w:rFonts w:eastAsia="Times New Roman" w:cs="Times New Roman"/>
        </w:rPr>
        <w:t xml:space="preserve">  </w:t>
      </w:r>
      <w:r>
        <w:rPr>
          <w:rFonts w:eastAsia="Times New Roman" w:cs="Times New Roman"/>
        </w:rPr>
        <w:t>T-Mobile later introduced its ONE, ONE Plus and ONE Plus International plans, which offer unlimited data and other features, depending on the particular plan.</w:t>
      </w:r>
      <w:r w:rsidR="00020CB6">
        <w:rPr>
          <w:rStyle w:val="FootnoteReference"/>
          <w:rFonts w:eastAsia="Times New Roman" w:cs="Times New Roman"/>
        </w:rPr>
        <w:footnoteReference w:id="8"/>
      </w:r>
      <w:r>
        <w:rPr>
          <w:rFonts w:eastAsia="Times New Roman" w:cs="Times New Roman"/>
        </w:rPr>
        <w:t xml:space="preserve"> </w:t>
      </w:r>
      <w:r w:rsidR="00BE6CD2">
        <w:rPr>
          <w:rFonts w:eastAsia="Times New Roman" w:cs="Times New Roman"/>
        </w:rPr>
        <w:t xml:space="preserve"> </w:t>
      </w:r>
      <w:r>
        <w:rPr>
          <w:rFonts w:eastAsia="Times New Roman" w:cs="Times New Roman"/>
        </w:rPr>
        <w:t xml:space="preserve">Sprint has also introduced unlimited data through its Unlimited Freedom and Unlimited Freedom Premium plans, and experimented with zero-rating of the </w:t>
      </w:r>
      <w:r w:rsidR="00C23DE1">
        <w:rPr>
          <w:rFonts w:eastAsia="Times New Roman" w:cs="Times New Roman"/>
        </w:rPr>
        <w:t xml:space="preserve">2016 </w:t>
      </w:r>
      <w:r>
        <w:rPr>
          <w:rFonts w:eastAsia="Times New Roman" w:cs="Times New Roman"/>
        </w:rPr>
        <w:t>Copa America soccer tournament.</w:t>
      </w:r>
      <w:r w:rsidR="0005737B">
        <w:rPr>
          <w:rStyle w:val="FootnoteReference"/>
          <w:rFonts w:eastAsia="Times New Roman" w:cs="Times New Roman"/>
        </w:rPr>
        <w:footnoteReference w:id="9"/>
      </w:r>
      <w:r>
        <w:rPr>
          <w:rFonts w:eastAsia="Times New Roman" w:cs="Times New Roman"/>
        </w:rPr>
        <w:t xml:space="preserve"> </w:t>
      </w:r>
      <w:r w:rsidR="009F46F2">
        <w:rPr>
          <w:rFonts w:eastAsia="Times New Roman" w:cs="Times New Roman"/>
        </w:rPr>
        <w:t xml:space="preserve"> </w:t>
      </w:r>
      <w:r>
        <w:rPr>
          <w:rFonts w:eastAsia="Times New Roman" w:cs="Times New Roman"/>
        </w:rPr>
        <w:t xml:space="preserve">AT&amp;T and Verizon </w:t>
      </w:r>
      <w:r w:rsidR="002828DA">
        <w:rPr>
          <w:rFonts w:eastAsia="Times New Roman" w:cs="Times New Roman"/>
        </w:rPr>
        <w:t>did</w:t>
      </w:r>
      <w:r>
        <w:rPr>
          <w:rFonts w:eastAsia="Times New Roman" w:cs="Times New Roman"/>
        </w:rPr>
        <w:t xml:space="preserve"> not introduce </w:t>
      </w:r>
      <w:r w:rsidR="002828DA">
        <w:rPr>
          <w:rFonts w:eastAsia="Times New Roman" w:cs="Times New Roman"/>
        </w:rPr>
        <w:t xml:space="preserve">stand-alone </w:t>
      </w:r>
      <w:r>
        <w:rPr>
          <w:rFonts w:eastAsia="Times New Roman" w:cs="Times New Roman"/>
        </w:rPr>
        <w:t xml:space="preserve">unlimited data </w:t>
      </w:r>
      <w:r>
        <w:rPr>
          <w:rFonts w:eastAsia="Times New Roman" w:cs="Times New Roman"/>
        </w:rPr>
        <w:lastRenderedPageBreak/>
        <w:t>plans</w:t>
      </w:r>
      <w:r w:rsidR="00AA4BB1">
        <w:rPr>
          <w:rFonts w:eastAsia="Times New Roman" w:cs="Times New Roman"/>
        </w:rPr>
        <w:t>,</w:t>
      </w:r>
      <w:r>
        <w:rPr>
          <w:rFonts w:eastAsia="Times New Roman" w:cs="Times New Roman"/>
        </w:rPr>
        <w:t xml:space="preserve"> but have eliminated overage fees in some instances for customers who exceed their data caps and </w:t>
      </w:r>
      <w:r w:rsidR="00790D8C">
        <w:rPr>
          <w:rFonts w:eastAsia="Times New Roman" w:cs="Times New Roman"/>
        </w:rPr>
        <w:t xml:space="preserve">launched </w:t>
      </w:r>
      <w:r w:rsidR="00C23DE1">
        <w:rPr>
          <w:rFonts w:eastAsia="Times New Roman" w:cs="Times New Roman"/>
        </w:rPr>
        <w:t>their own</w:t>
      </w:r>
      <w:r>
        <w:rPr>
          <w:rFonts w:eastAsia="Times New Roman" w:cs="Times New Roman"/>
        </w:rPr>
        <w:t xml:space="preserve"> </w:t>
      </w:r>
      <w:r w:rsidR="00776FDF">
        <w:rPr>
          <w:rFonts w:eastAsia="Times New Roman" w:cs="Times New Roman"/>
        </w:rPr>
        <w:t>zero-rating and sponsored data</w:t>
      </w:r>
      <w:r>
        <w:rPr>
          <w:rFonts w:eastAsia="Times New Roman" w:cs="Times New Roman"/>
        </w:rPr>
        <w:t xml:space="preserve"> programs.</w:t>
      </w:r>
      <w:r w:rsidR="00172512" w:rsidRPr="00172512">
        <w:rPr>
          <w:rStyle w:val="FootnoteReference"/>
          <w:rFonts w:eastAsia="Times New Roman" w:cs="Times New Roman"/>
        </w:rPr>
        <w:t xml:space="preserve"> </w:t>
      </w:r>
      <w:r w:rsidR="00172512">
        <w:rPr>
          <w:rStyle w:val="FootnoteReference"/>
          <w:rFonts w:eastAsia="Times New Roman" w:cs="Times New Roman"/>
        </w:rPr>
        <w:footnoteReference w:id="10"/>
      </w:r>
      <w:r>
        <w:rPr>
          <w:rFonts w:eastAsia="Times New Roman" w:cs="Times New Roman"/>
        </w:rPr>
        <w:t xml:space="preserve"> </w:t>
      </w:r>
      <w:r w:rsidRPr="20F8CBC5">
        <w:rPr>
          <w:rFonts w:eastAsia="Times New Roman" w:cs="Times New Roman"/>
        </w:rPr>
        <w:t xml:space="preserve"> For example, AT&amp;T Mobility offers a “Data Free TV” feature on its DIRECTV app that enables its broadband consumers who also subscribe to direct broadcast satellite service from AT&amp;T’s wholly-owned affiliate, DIRECTV, to view unlimited DIRECTV video content</w:t>
      </w:r>
      <w:r w:rsidR="00790D8C">
        <w:rPr>
          <w:rFonts w:eastAsia="Times New Roman" w:cs="Times New Roman"/>
        </w:rPr>
        <w:t xml:space="preserve"> with no impact on the user’s mobile data monthly allotment</w:t>
      </w:r>
      <w:r w:rsidRPr="20F8CBC5">
        <w:rPr>
          <w:rFonts w:eastAsia="Times New Roman" w:cs="Times New Roman"/>
        </w:rPr>
        <w:t xml:space="preserve">. </w:t>
      </w:r>
      <w:r>
        <w:rPr>
          <w:rFonts w:eastAsia="Times New Roman" w:cs="Times New Roman"/>
        </w:rPr>
        <w:t xml:space="preserve"> In addition,</w:t>
      </w:r>
      <w:r w:rsidRPr="20F8CBC5" w:rsidDel="000973F2">
        <w:rPr>
          <w:rFonts w:eastAsia="Times New Roman" w:cs="Times New Roman"/>
        </w:rPr>
        <w:t xml:space="preserve"> </w:t>
      </w:r>
      <w:r w:rsidRPr="20F8CBC5">
        <w:rPr>
          <w:rFonts w:eastAsia="Times New Roman" w:cs="Times New Roman"/>
        </w:rPr>
        <w:t>AT&amp;T Mobility</w:t>
      </w:r>
      <w:r w:rsidR="009F46F2">
        <w:rPr>
          <w:rFonts w:eastAsia="Times New Roman" w:cs="Times New Roman"/>
        </w:rPr>
        <w:t xml:space="preserve"> zero-rates its subscriber</w:t>
      </w:r>
      <w:r>
        <w:rPr>
          <w:rFonts w:eastAsia="Times New Roman" w:cs="Times New Roman"/>
        </w:rPr>
        <w:t>s</w:t>
      </w:r>
      <w:r w:rsidR="009F46F2">
        <w:rPr>
          <w:rFonts w:eastAsia="Times New Roman" w:cs="Times New Roman"/>
        </w:rPr>
        <w:t>’</w:t>
      </w:r>
      <w:r>
        <w:rPr>
          <w:rFonts w:eastAsia="Times New Roman" w:cs="Times New Roman"/>
        </w:rPr>
        <w:t xml:space="preserve"> use of </w:t>
      </w:r>
      <w:r w:rsidR="00F96058">
        <w:rPr>
          <w:rFonts w:eastAsia="Times New Roman" w:cs="Times New Roman"/>
        </w:rPr>
        <w:t xml:space="preserve">cellular data </w:t>
      </w:r>
      <w:r w:rsidRPr="20F8CBC5">
        <w:rPr>
          <w:rFonts w:eastAsia="Times New Roman" w:cs="Times New Roman"/>
        </w:rPr>
        <w:t>to watch DIRECTV Now</w:t>
      </w:r>
      <w:r>
        <w:rPr>
          <w:rFonts w:eastAsia="Times New Roman" w:cs="Times New Roman"/>
        </w:rPr>
        <w:t xml:space="preserve"> –</w:t>
      </w:r>
      <w:r w:rsidRPr="000973F2">
        <w:rPr>
          <w:rFonts w:eastAsia="Times New Roman" w:cs="Times New Roman"/>
        </w:rPr>
        <w:t xml:space="preserve"> </w:t>
      </w:r>
      <w:r w:rsidRPr="20F8CBC5">
        <w:rPr>
          <w:rFonts w:eastAsia="Times New Roman" w:cs="Times New Roman"/>
        </w:rPr>
        <w:t>DIRECTV</w:t>
      </w:r>
      <w:r>
        <w:rPr>
          <w:rFonts w:eastAsia="Times New Roman" w:cs="Times New Roman"/>
        </w:rPr>
        <w:t>’s</w:t>
      </w:r>
      <w:r w:rsidRPr="20F8CBC5">
        <w:rPr>
          <w:rFonts w:eastAsia="Times New Roman" w:cs="Times New Roman"/>
        </w:rPr>
        <w:t xml:space="preserve"> recently launched multi-channel streaming video programming service which consumers can access over a variety of mobile and fixed broadband platforms.</w:t>
      </w:r>
      <w:r w:rsidRPr="20F8CBC5">
        <w:rPr>
          <w:rStyle w:val="FootnoteReference"/>
          <w:rFonts w:eastAsia="Times New Roman" w:cs="Times New Roman"/>
        </w:rPr>
        <w:footnoteReference w:id="11"/>
      </w:r>
      <w:r w:rsidRPr="20F8CBC5">
        <w:rPr>
          <w:rFonts w:eastAsia="Times New Roman" w:cs="Times New Roman"/>
        </w:rPr>
        <w:t xml:space="preserve">  </w:t>
      </w:r>
      <w:r w:rsidR="00776FDF" w:rsidRPr="00776FDF">
        <w:rPr>
          <w:rFonts w:eastAsia="Times New Roman" w:cs="Times New Roman"/>
        </w:rPr>
        <w:t>Verizon launched its FreeBee Data and FreeBee Data 360 sponsored data programs in January 2016.</w:t>
      </w:r>
      <w:r w:rsidR="00295D98" w:rsidRPr="00D19988">
        <w:rPr>
          <w:rStyle w:val="FootnoteReference"/>
          <w:rFonts w:eastAsia="Times New Roman" w:cs="Times New Roman"/>
        </w:rPr>
        <w:footnoteReference w:id="12"/>
      </w:r>
      <w:r w:rsidR="00776FDF" w:rsidRPr="00776FDF">
        <w:rPr>
          <w:rFonts w:eastAsia="Times New Roman" w:cs="Times New Roman"/>
        </w:rPr>
        <w:t xml:space="preserve">  Through the FreeBee Data 360 program,</w:t>
      </w:r>
      <w:r w:rsidRPr="20F8CBC5">
        <w:rPr>
          <w:rFonts w:eastAsia="Times New Roman" w:cs="Times New Roman"/>
        </w:rPr>
        <w:t xml:space="preserve"> Verizon Wireless offers </w:t>
      </w:r>
      <w:r>
        <w:rPr>
          <w:rFonts w:eastAsia="Times New Roman" w:cs="Times New Roman"/>
        </w:rPr>
        <w:t>zero</w:t>
      </w:r>
      <w:r w:rsidR="004E3F94">
        <w:rPr>
          <w:rFonts w:eastAsia="Times New Roman" w:cs="Times New Roman"/>
        </w:rPr>
        <w:t>-</w:t>
      </w:r>
      <w:r>
        <w:rPr>
          <w:rFonts w:eastAsia="Times New Roman" w:cs="Times New Roman"/>
        </w:rPr>
        <w:t xml:space="preserve">rating to its subscribers when they use </w:t>
      </w:r>
      <w:r w:rsidRPr="20F8CBC5">
        <w:rPr>
          <w:rFonts w:eastAsia="Times New Roman" w:cs="Times New Roman"/>
        </w:rPr>
        <w:t>“go90,” a video platform featuring original programming, short clips from TV shows and movies, sports programming, and other content</w:t>
      </w:r>
      <w:r w:rsidR="002828DA">
        <w:rPr>
          <w:rFonts w:eastAsia="Times New Roman" w:cs="Times New Roman"/>
        </w:rPr>
        <w:t>, over the Verizon Wireless network</w:t>
      </w:r>
      <w:r w:rsidR="00112344">
        <w:rPr>
          <w:rFonts w:eastAsia="Times New Roman" w:cs="Times New Roman"/>
        </w:rPr>
        <w:t>.</w:t>
      </w:r>
      <w:r w:rsidR="00295D98" w:rsidRPr="20F8CBC5">
        <w:rPr>
          <w:rFonts w:eastAsia="Times New Roman" w:cs="Times New Roman"/>
          <w:vertAlign w:val="superscript"/>
        </w:rPr>
        <w:footnoteReference w:id="13"/>
      </w:r>
      <w:r w:rsidR="00112344">
        <w:rPr>
          <w:rFonts w:eastAsia="Times New Roman" w:cs="Times New Roman"/>
        </w:rPr>
        <w:t xml:space="preserve">  In this white paper, we discuss </w:t>
      </w:r>
      <w:r w:rsidR="00112344" w:rsidRPr="00112344">
        <w:rPr>
          <w:rFonts w:eastAsia="Times New Roman" w:cs="Times New Roman"/>
        </w:rPr>
        <w:t>four</w:t>
      </w:r>
      <w:r w:rsidR="00112344">
        <w:rPr>
          <w:rFonts w:eastAsia="Times New Roman" w:cs="Times New Roman"/>
        </w:rPr>
        <w:t xml:space="preserve"> of these</w:t>
      </w:r>
      <w:r w:rsidR="00112344" w:rsidRPr="00112344">
        <w:rPr>
          <w:rFonts w:eastAsia="Times New Roman" w:cs="Times New Roman"/>
        </w:rPr>
        <w:t xml:space="preserve"> programs </w:t>
      </w:r>
      <w:r w:rsidR="00112344">
        <w:rPr>
          <w:rFonts w:eastAsia="Times New Roman" w:cs="Times New Roman"/>
        </w:rPr>
        <w:t>that</w:t>
      </w:r>
      <w:r w:rsidR="00112344" w:rsidRPr="00112344">
        <w:rPr>
          <w:rFonts w:eastAsia="Times New Roman" w:cs="Times New Roman"/>
        </w:rPr>
        <w:t xml:space="preserve"> illustrate the main issues in our evaluation of zero-rating practices</w:t>
      </w:r>
      <w:r w:rsidR="00776FDF">
        <w:rPr>
          <w:rFonts w:eastAsia="Times New Roman" w:cs="Times New Roman"/>
        </w:rPr>
        <w:t>.</w:t>
      </w:r>
      <w:r w:rsidR="00112344">
        <w:rPr>
          <w:rFonts w:eastAsia="Times New Roman" w:cs="Times New Roman"/>
        </w:rPr>
        <w:t xml:space="preserve">  </w:t>
      </w:r>
    </w:p>
    <w:p w14:paraId="00282AA5" w14:textId="14D062E6" w:rsidR="006A7466" w:rsidRPr="00F51389" w:rsidRDefault="006A7466" w:rsidP="006A7466">
      <w:pPr>
        <w:pStyle w:val="ListParagraph"/>
        <w:numPr>
          <w:ilvl w:val="1"/>
          <w:numId w:val="2"/>
        </w:numPr>
        <w:spacing w:after="240"/>
        <w:ind w:left="720"/>
        <w:rPr>
          <w:rFonts w:eastAsia="Times New Roman" w:cs="Times New Roman"/>
          <w:b/>
        </w:rPr>
      </w:pPr>
      <w:r w:rsidRPr="20F8CBC5">
        <w:rPr>
          <w:rFonts w:eastAsia="Times New Roman" w:cs="Times New Roman"/>
          <w:b/>
        </w:rPr>
        <w:t>Evaluating Zero</w:t>
      </w:r>
      <w:r w:rsidR="004E3F94">
        <w:rPr>
          <w:rFonts w:eastAsia="Times New Roman" w:cs="Times New Roman"/>
          <w:b/>
        </w:rPr>
        <w:t>-</w:t>
      </w:r>
      <w:r w:rsidRPr="20F8CBC5">
        <w:rPr>
          <w:rFonts w:eastAsia="Times New Roman" w:cs="Times New Roman"/>
          <w:b/>
        </w:rPr>
        <w:t xml:space="preserve">Rating </w:t>
      </w:r>
      <w:r w:rsidR="002A67D5">
        <w:rPr>
          <w:rFonts w:eastAsia="Times New Roman" w:cs="Times New Roman"/>
          <w:b/>
        </w:rPr>
        <w:t>Practices</w:t>
      </w:r>
    </w:p>
    <w:p w14:paraId="41E25CAB" w14:textId="0B4555F8" w:rsidR="00B36311" w:rsidRPr="00F51389" w:rsidRDefault="006A7466" w:rsidP="006A7466">
      <w:pPr>
        <w:spacing w:after="240"/>
        <w:ind w:firstLine="720"/>
        <w:rPr>
          <w:rFonts w:eastAsia="Times New Roman" w:cs="Times New Roman"/>
        </w:rPr>
      </w:pPr>
      <w:r>
        <w:rPr>
          <w:rFonts w:eastAsia="Times New Roman" w:cs="Times New Roman"/>
        </w:rPr>
        <w:t>I</w:t>
      </w:r>
      <w:r w:rsidRPr="20F8CBC5">
        <w:rPr>
          <w:rFonts w:eastAsia="Times New Roman" w:cs="Times New Roman"/>
        </w:rPr>
        <w:t xml:space="preserve">n the </w:t>
      </w:r>
      <w:r w:rsidRPr="000903C8">
        <w:rPr>
          <w:i/>
        </w:rPr>
        <w:t>2015</w:t>
      </w:r>
      <w:r w:rsidRPr="20F8CBC5">
        <w:rPr>
          <w:rFonts w:eastAsia="Times New Roman" w:cs="Times New Roman"/>
        </w:rPr>
        <w:t xml:space="preserve"> </w:t>
      </w:r>
      <w:r w:rsidRPr="20F8CBC5">
        <w:rPr>
          <w:rFonts w:eastAsia="Times New Roman" w:cs="Times New Roman"/>
          <w:i/>
        </w:rPr>
        <w:t>Open Internet</w:t>
      </w:r>
      <w:r w:rsidRPr="20F8CBC5">
        <w:rPr>
          <w:rFonts w:eastAsia="Times New Roman" w:cs="Times New Roman"/>
        </w:rPr>
        <w:t xml:space="preserve"> </w:t>
      </w:r>
      <w:r w:rsidRPr="20F8CBC5">
        <w:rPr>
          <w:rFonts w:eastAsia="Times New Roman" w:cs="Times New Roman"/>
          <w:i/>
        </w:rPr>
        <w:t>Order</w:t>
      </w:r>
      <w:r w:rsidRPr="20F8CBC5">
        <w:rPr>
          <w:rFonts w:eastAsia="Times New Roman" w:cs="Times New Roman"/>
        </w:rPr>
        <w:t>, the Commission observed that some sponsored data offerings might benefit consumers and competition, but others, depending on their structure, might restrict consumer choice, distort competition, and hamper innovation.</w:t>
      </w:r>
      <w:r w:rsidRPr="20F8CBC5">
        <w:rPr>
          <w:rStyle w:val="FootnoteReference"/>
          <w:rFonts w:eastAsia="Times New Roman" w:cs="Times New Roman"/>
        </w:rPr>
        <w:footnoteReference w:id="14"/>
      </w:r>
      <w:r w:rsidR="006860D7">
        <w:rPr>
          <w:rFonts w:eastAsia="Times New Roman" w:cs="Times New Roman"/>
        </w:rPr>
        <w:t xml:space="preserve">  </w:t>
      </w:r>
      <w:r w:rsidRPr="20F8CBC5">
        <w:rPr>
          <w:rFonts w:eastAsia="Times New Roman" w:cs="Times New Roman"/>
        </w:rPr>
        <w:t>The Commission stated that it would assess sponsored data and zero-rating practices on a case-by-case basis under the General Conduct Rule.</w:t>
      </w:r>
      <w:r w:rsidRPr="20F8CBC5">
        <w:rPr>
          <w:rStyle w:val="FootnoteReference"/>
          <w:rFonts w:eastAsia="Times New Roman" w:cs="Times New Roman"/>
        </w:rPr>
        <w:footnoteReference w:id="15"/>
      </w:r>
      <w:r w:rsidRPr="20F8CBC5">
        <w:rPr>
          <w:rFonts w:eastAsia="Times New Roman" w:cs="Times New Roman"/>
        </w:rPr>
        <w:t xml:space="preserve">  In addition, sponsored data and zero-rating plans </w:t>
      </w:r>
      <w:r>
        <w:rPr>
          <w:rFonts w:eastAsia="Times New Roman" w:cs="Times New Roman"/>
        </w:rPr>
        <w:t>are</w:t>
      </w:r>
      <w:r w:rsidRPr="20F8CBC5">
        <w:rPr>
          <w:rFonts w:eastAsia="Times New Roman" w:cs="Times New Roman"/>
        </w:rPr>
        <w:t xml:space="preserve"> not </w:t>
      </w:r>
      <w:r>
        <w:rPr>
          <w:rFonts w:eastAsia="Times New Roman" w:cs="Times New Roman"/>
        </w:rPr>
        <w:t xml:space="preserve">permitted to </w:t>
      </w:r>
      <w:r w:rsidRPr="20F8CBC5">
        <w:rPr>
          <w:rFonts w:eastAsia="Times New Roman" w:cs="Times New Roman"/>
        </w:rPr>
        <w:t xml:space="preserve">violate the three </w:t>
      </w:r>
      <w:r w:rsidRPr="20F8CBC5">
        <w:rPr>
          <w:rFonts w:eastAsia="Times New Roman" w:cs="Times New Roman"/>
          <w:i/>
        </w:rPr>
        <w:t>ex ante</w:t>
      </w:r>
      <w:r w:rsidRPr="20F8CBC5">
        <w:rPr>
          <w:rFonts w:eastAsia="Times New Roman" w:cs="Times New Roman"/>
        </w:rPr>
        <w:t xml:space="preserve"> “bright line” rules that narrowly target specific practices known to be harmful in the broadband Internet access context:  the “no blocking,” “no throttling,” and “no paid prioritization” rules.</w:t>
      </w:r>
      <w:r w:rsidRPr="20F8CBC5">
        <w:rPr>
          <w:rStyle w:val="FootnoteReference"/>
          <w:rFonts w:eastAsia="Times New Roman" w:cs="Times New Roman"/>
        </w:rPr>
        <w:footnoteReference w:id="16"/>
      </w:r>
      <w:r w:rsidRPr="20F8CBC5">
        <w:rPr>
          <w:rFonts w:eastAsia="Times New Roman" w:cs="Times New Roman"/>
        </w:rPr>
        <w:t xml:space="preserve"> </w:t>
      </w:r>
      <w:r w:rsidR="00BE6CD2">
        <w:rPr>
          <w:rFonts w:eastAsia="Times New Roman" w:cs="Times New Roman"/>
        </w:rPr>
        <w:t xml:space="preserve"> </w:t>
      </w:r>
      <w:r w:rsidRPr="20F8CBC5">
        <w:rPr>
          <w:rFonts w:eastAsia="Times New Roman" w:cs="Times New Roman"/>
        </w:rPr>
        <w:t>Zero-rating and sponsored data plans must also comport with the Commission’s broadband transparency rule.</w:t>
      </w:r>
      <w:r w:rsidRPr="20F8CBC5">
        <w:rPr>
          <w:rStyle w:val="FootnoteReference"/>
          <w:rFonts w:eastAsia="Times New Roman" w:cs="Times New Roman"/>
        </w:rPr>
        <w:footnoteReference w:id="17"/>
      </w:r>
      <w:r w:rsidRPr="20F8CBC5">
        <w:rPr>
          <w:rFonts w:eastAsia="Times New Roman" w:cs="Times New Roman"/>
        </w:rPr>
        <w:t xml:space="preserve"> </w:t>
      </w:r>
      <w:r w:rsidR="00BE6CD2">
        <w:rPr>
          <w:rFonts w:eastAsia="Times New Roman" w:cs="Times New Roman"/>
        </w:rPr>
        <w:t xml:space="preserve"> </w:t>
      </w:r>
      <w:r w:rsidRPr="20F8CBC5">
        <w:rPr>
          <w:rFonts w:eastAsia="Times New Roman" w:cs="Times New Roman"/>
        </w:rPr>
        <w:t xml:space="preserve">Below we offer a set of </w:t>
      </w:r>
      <w:r w:rsidR="008F7653">
        <w:rPr>
          <w:rFonts w:eastAsia="Times New Roman" w:cs="Times New Roman"/>
        </w:rPr>
        <w:t xml:space="preserve">overall </w:t>
      </w:r>
      <w:r w:rsidR="00CB5F6A">
        <w:rPr>
          <w:rFonts w:eastAsia="Times New Roman" w:cs="Times New Roman"/>
        </w:rPr>
        <w:t>considerations</w:t>
      </w:r>
      <w:r w:rsidR="00CB5F6A" w:rsidRPr="20F8CBC5">
        <w:rPr>
          <w:rFonts w:eastAsia="Times New Roman" w:cs="Times New Roman"/>
        </w:rPr>
        <w:t xml:space="preserve"> </w:t>
      </w:r>
      <w:r w:rsidRPr="20F8CBC5">
        <w:rPr>
          <w:rFonts w:eastAsia="Times New Roman" w:cs="Times New Roman"/>
        </w:rPr>
        <w:t>that may assist providers, the public, and the Commission in analyzing claims that a part</w:t>
      </w:r>
      <w:r w:rsidR="009F46F2">
        <w:rPr>
          <w:rFonts w:eastAsia="Times New Roman" w:cs="Times New Roman"/>
        </w:rPr>
        <w:t xml:space="preserve">icular zero-rating or sponsored </w:t>
      </w:r>
      <w:r w:rsidRPr="20F8CBC5">
        <w:rPr>
          <w:rFonts w:eastAsia="Times New Roman" w:cs="Times New Roman"/>
        </w:rPr>
        <w:t>data plan violates</w:t>
      </w:r>
      <w:r>
        <w:rPr>
          <w:rFonts w:eastAsia="Times New Roman" w:cs="Times New Roman"/>
        </w:rPr>
        <w:t xml:space="preserve"> the </w:t>
      </w:r>
      <w:r w:rsidRPr="007040EE">
        <w:rPr>
          <w:rFonts w:eastAsia="Times New Roman" w:cs="Times New Roman"/>
          <w:i/>
        </w:rPr>
        <w:t xml:space="preserve">2015 </w:t>
      </w:r>
      <w:r>
        <w:rPr>
          <w:rFonts w:eastAsia="Times New Roman" w:cs="Times New Roman"/>
          <w:i/>
        </w:rPr>
        <w:t>Open Internet Order</w:t>
      </w:r>
      <w:r w:rsidRPr="20F8CBC5">
        <w:rPr>
          <w:rFonts w:eastAsia="Times New Roman" w:cs="Times New Roman"/>
        </w:rPr>
        <w:t xml:space="preserve">.  We emphasize that in describing these </w:t>
      </w:r>
      <w:r w:rsidR="00CB5F6A">
        <w:rPr>
          <w:rFonts w:eastAsia="Times New Roman" w:cs="Times New Roman"/>
        </w:rPr>
        <w:t>considerations,</w:t>
      </w:r>
      <w:r w:rsidR="00CB5F6A" w:rsidRPr="20F8CBC5">
        <w:rPr>
          <w:rFonts w:eastAsia="Times New Roman" w:cs="Times New Roman"/>
        </w:rPr>
        <w:t xml:space="preserve"> </w:t>
      </w:r>
      <w:r w:rsidRPr="20F8CBC5">
        <w:rPr>
          <w:rFonts w:eastAsia="Times New Roman" w:cs="Times New Roman"/>
        </w:rPr>
        <w:t>we do not intend to suggest any departure from the Commission’s approach of “permission</w:t>
      </w:r>
      <w:r w:rsidR="009C6D43">
        <w:rPr>
          <w:rFonts w:eastAsia="Times New Roman" w:cs="Times New Roman"/>
        </w:rPr>
        <w:t>-</w:t>
      </w:r>
      <w:r w:rsidRPr="20F8CBC5">
        <w:rPr>
          <w:rFonts w:eastAsia="Times New Roman" w:cs="Times New Roman"/>
        </w:rPr>
        <w:t xml:space="preserve">less innovation” in broadband offerings.  </w:t>
      </w:r>
    </w:p>
    <w:p w14:paraId="594BC2C2" w14:textId="71A547D1" w:rsidR="001B626F" w:rsidRPr="00F51389" w:rsidRDefault="001B626F" w:rsidP="006A7466">
      <w:pPr>
        <w:rPr>
          <w:rFonts w:cs="Times New Roman"/>
          <w:b/>
          <w:bCs/>
          <w:szCs w:val="24"/>
        </w:rPr>
      </w:pPr>
      <w:r w:rsidRPr="0069543B">
        <w:rPr>
          <w:rFonts w:cs="Times New Roman"/>
          <w:b/>
          <w:bCs/>
          <w:szCs w:val="24"/>
          <w:u w:val="single"/>
        </w:rPr>
        <w:t>Overall considerations underlying evaluation of how a practice affects Internet openness</w:t>
      </w:r>
      <w:r>
        <w:rPr>
          <w:rFonts w:cs="Times New Roman"/>
          <w:b/>
          <w:bCs/>
          <w:szCs w:val="24"/>
        </w:rPr>
        <w:t>:</w:t>
      </w:r>
    </w:p>
    <w:p w14:paraId="60DA8F9A" w14:textId="6CC0FEE4" w:rsidR="006A7466" w:rsidRPr="00B36311" w:rsidRDefault="006A7466" w:rsidP="001B626F">
      <w:pPr>
        <w:pStyle w:val="ListParagraph"/>
        <w:numPr>
          <w:ilvl w:val="0"/>
          <w:numId w:val="22"/>
        </w:numPr>
        <w:ind w:left="360"/>
        <w:contextualSpacing w:val="0"/>
        <w:rPr>
          <w:rFonts w:eastAsia="Times New Roman" w:cs="Times New Roman"/>
        </w:rPr>
      </w:pPr>
      <w:r w:rsidRPr="00B36311">
        <w:rPr>
          <w:rFonts w:eastAsia="Times New Roman" w:cs="Times New Roman"/>
        </w:rPr>
        <w:t xml:space="preserve">Is the </w:t>
      </w:r>
      <w:r w:rsidR="004E3F94" w:rsidRPr="00B36311">
        <w:rPr>
          <w:rFonts w:eastAsia="Times New Roman" w:cs="Times New Roman"/>
        </w:rPr>
        <w:t xml:space="preserve">BIAS provider </w:t>
      </w:r>
      <w:r w:rsidRPr="00B36311">
        <w:rPr>
          <w:rFonts w:eastAsia="Times New Roman" w:cs="Times New Roman"/>
        </w:rPr>
        <w:t xml:space="preserve">altering or influencing the unfettered flow of lawful Internet traffic between edge providers and end-users?  </w:t>
      </w:r>
    </w:p>
    <w:p w14:paraId="3BC3E162" w14:textId="41496422" w:rsidR="006A7466" w:rsidRPr="00F51389" w:rsidRDefault="006A7466" w:rsidP="006A7466">
      <w:pPr>
        <w:pStyle w:val="ListParagraph"/>
        <w:numPr>
          <w:ilvl w:val="0"/>
          <w:numId w:val="22"/>
        </w:numPr>
        <w:ind w:left="360"/>
        <w:contextualSpacing w:val="0"/>
        <w:rPr>
          <w:rFonts w:eastAsia="Times New Roman" w:cs="Times New Roman"/>
        </w:rPr>
      </w:pPr>
      <w:r w:rsidRPr="20F8CBC5">
        <w:rPr>
          <w:rFonts w:eastAsia="Times New Roman" w:cs="Times New Roman"/>
        </w:rPr>
        <w:t>Does the activity or practice in question have the effect (implicit or explicit) of favoring services provided by its affiliates, creating exclusionary relationships that benefit only selected edge providers, discriminating on the basis of content</w:t>
      </w:r>
      <w:r w:rsidR="001B626F">
        <w:rPr>
          <w:rFonts w:eastAsia="Times New Roman" w:cs="Times New Roman"/>
        </w:rPr>
        <w:t xml:space="preserve"> or other improper basis</w:t>
      </w:r>
      <w:r w:rsidRPr="20F8CBC5">
        <w:rPr>
          <w:rFonts w:eastAsia="Times New Roman" w:cs="Times New Roman"/>
        </w:rPr>
        <w:t>?</w:t>
      </w:r>
    </w:p>
    <w:p w14:paraId="6D88E497" w14:textId="77777777" w:rsidR="001B626F" w:rsidRDefault="001B626F" w:rsidP="001B626F">
      <w:pPr>
        <w:pStyle w:val="ListParagraph"/>
        <w:ind w:left="360"/>
        <w:contextualSpacing w:val="0"/>
        <w:rPr>
          <w:rFonts w:eastAsia="Times New Roman" w:cs="Times New Roman"/>
        </w:rPr>
      </w:pPr>
    </w:p>
    <w:p w14:paraId="6D7934FC" w14:textId="2121487A" w:rsidR="001B626F" w:rsidRPr="00B36311" w:rsidRDefault="001B626F" w:rsidP="001B626F">
      <w:pPr>
        <w:rPr>
          <w:rFonts w:eastAsia="Times New Roman" w:cs="Times New Roman"/>
          <w:u w:val="single"/>
        </w:rPr>
      </w:pPr>
      <w:r w:rsidRPr="00B36311">
        <w:rPr>
          <w:rFonts w:eastAsia="Times New Roman" w:cs="Times New Roman"/>
          <w:b/>
          <w:u w:val="single"/>
        </w:rPr>
        <w:t>Do these practices amount to</w:t>
      </w:r>
      <w:r w:rsidR="00133F87">
        <w:rPr>
          <w:rFonts w:eastAsia="Times New Roman" w:cs="Times New Roman"/>
          <w:b/>
          <w:u w:val="single"/>
        </w:rPr>
        <w:t xml:space="preserve"> “blocking” or </w:t>
      </w:r>
      <w:r w:rsidRPr="00B36311">
        <w:rPr>
          <w:rFonts w:eastAsia="Times New Roman" w:cs="Times New Roman"/>
          <w:b/>
          <w:u w:val="single"/>
        </w:rPr>
        <w:t>“throttling” (i.e., “impairing or degrading” lawful Internet traffic) or paid prioritization?</w:t>
      </w:r>
    </w:p>
    <w:p w14:paraId="64AA4FA8" w14:textId="77777777" w:rsidR="006A7466" w:rsidRPr="00F51389" w:rsidRDefault="006A7466" w:rsidP="006A7466">
      <w:pPr>
        <w:pStyle w:val="ListParagraph"/>
        <w:numPr>
          <w:ilvl w:val="0"/>
          <w:numId w:val="22"/>
        </w:numPr>
        <w:ind w:left="360"/>
        <w:contextualSpacing w:val="0"/>
        <w:rPr>
          <w:rFonts w:eastAsia="Times New Roman" w:cs="Times New Roman"/>
        </w:rPr>
      </w:pPr>
      <w:r w:rsidRPr="20F8CBC5">
        <w:rPr>
          <w:rFonts w:eastAsia="Times New Roman" w:cs="Times New Roman"/>
        </w:rPr>
        <w:t>Is the consumer likely to perceive any degradation or other meaningful difference in the data received?</w:t>
      </w:r>
    </w:p>
    <w:p w14:paraId="74BEBED0" w14:textId="76EED0B9" w:rsidR="006A7466" w:rsidRPr="00F51389" w:rsidRDefault="006A7466" w:rsidP="006A7466">
      <w:pPr>
        <w:pStyle w:val="ListParagraph"/>
        <w:numPr>
          <w:ilvl w:val="0"/>
          <w:numId w:val="22"/>
        </w:numPr>
        <w:ind w:left="360"/>
        <w:contextualSpacing w:val="0"/>
        <w:rPr>
          <w:rFonts w:eastAsia="Times New Roman" w:cs="Times New Roman"/>
        </w:rPr>
      </w:pPr>
      <w:r w:rsidRPr="20F8CBC5">
        <w:rPr>
          <w:rFonts w:eastAsia="Times New Roman" w:cs="Times New Roman"/>
        </w:rPr>
        <w:t xml:space="preserve">Did consumers and edge providers opt into the </w:t>
      </w:r>
      <w:r w:rsidR="004E3F94" w:rsidRPr="00EB545A">
        <w:rPr>
          <w:rFonts w:eastAsia="Times New Roman" w:cs="Times New Roman"/>
        </w:rPr>
        <w:t>BIAS provider</w:t>
      </w:r>
      <w:r w:rsidRPr="20F8CBC5">
        <w:rPr>
          <w:rFonts w:eastAsia="Times New Roman" w:cs="Times New Roman"/>
        </w:rPr>
        <w:t xml:space="preserve">’s plan or was it assigned as a new default without their affirmative choice?  Do consumers and edge providers have the ability to easily opt into or opt out of the </w:t>
      </w:r>
      <w:r w:rsidR="004E3F94" w:rsidRPr="00EB545A">
        <w:rPr>
          <w:rFonts w:eastAsia="Times New Roman" w:cs="Times New Roman"/>
        </w:rPr>
        <w:t>BIAS provider</w:t>
      </w:r>
      <w:r w:rsidRPr="20F8CBC5">
        <w:rPr>
          <w:rFonts w:eastAsia="Times New Roman" w:cs="Times New Roman"/>
        </w:rPr>
        <w:t>’s practice?  Are there comparable alternatives available to those who do opt-out?</w:t>
      </w:r>
    </w:p>
    <w:p w14:paraId="54AB2926" w14:textId="77777777" w:rsidR="006A7466" w:rsidRPr="00F51389" w:rsidRDefault="006A7466" w:rsidP="006A7466">
      <w:pPr>
        <w:pStyle w:val="ListParagraph"/>
        <w:numPr>
          <w:ilvl w:val="0"/>
          <w:numId w:val="22"/>
        </w:numPr>
        <w:ind w:left="360"/>
        <w:contextualSpacing w:val="0"/>
        <w:rPr>
          <w:rFonts w:eastAsia="Times New Roman" w:cs="Times New Roman"/>
        </w:rPr>
      </w:pPr>
      <w:r w:rsidRPr="20F8CBC5">
        <w:rPr>
          <w:rFonts w:eastAsia="Times New Roman" w:cs="Times New Roman"/>
        </w:rPr>
        <w:t>Is the practice clearly and transparently disclosed both to edge providers and end-users?</w:t>
      </w:r>
    </w:p>
    <w:p w14:paraId="45566CBF" w14:textId="77777777" w:rsidR="006A7466" w:rsidRPr="00F51389" w:rsidRDefault="006A7466" w:rsidP="006A7466">
      <w:pPr>
        <w:pStyle w:val="ListParagraph"/>
        <w:numPr>
          <w:ilvl w:val="0"/>
          <w:numId w:val="22"/>
        </w:numPr>
        <w:ind w:left="360"/>
        <w:contextualSpacing w:val="0"/>
        <w:rPr>
          <w:rFonts w:eastAsia="Times New Roman" w:cs="Times New Roman"/>
        </w:rPr>
      </w:pPr>
      <w:r w:rsidRPr="20F8CBC5">
        <w:rPr>
          <w:rFonts w:eastAsia="Times New Roman" w:cs="Times New Roman"/>
        </w:rPr>
        <w:t>Can the practice be justified as an exercise of reasonable network management?</w:t>
      </w:r>
      <w:r w:rsidRPr="20F8CBC5" w:rsidDel="00A7577B">
        <w:rPr>
          <w:rFonts w:eastAsia="Times New Roman" w:cs="Times New Roman"/>
        </w:rPr>
        <w:t xml:space="preserve"> </w:t>
      </w:r>
    </w:p>
    <w:p w14:paraId="1F96C257" w14:textId="77777777" w:rsidR="006A7466" w:rsidRPr="00F51389" w:rsidRDefault="006A7466" w:rsidP="006A7466">
      <w:pPr>
        <w:rPr>
          <w:rFonts w:cs="Times New Roman"/>
          <w:bCs/>
          <w:szCs w:val="24"/>
        </w:rPr>
      </w:pPr>
    </w:p>
    <w:p w14:paraId="75AA4D1B" w14:textId="77777777" w:rsidR="006A7466" w:rsidRPr="00D1386D" w:rsidRDefault="006A7466" w:rsidP="006A7466">
      <w:pPr>
        <w:rPr>
          <w:rFonts w:eastAsia="Times New Roman" w:cs="Times New Roman"/>
          <w:b/>
          <w:u w:val="single"/>
        </w:rPr>
      </w:pPr>
      <w:r w:rsidRPr="00D1386D">
        <w:rPr>
          <w:rFonts w:eastAsia="Times New Roman" w:cs="Times New Roman"/>
          <w:b/>
          <w:u w:val="single"/>
        </w:rPr>
        <w:t>If the practice is not throttling or paid prioritization, does it violate the general conduct rule:</w:t>
      </w:r>
    </w:p>
    <w:p w14:paraId="215D0C48" w14:textId="77777777" w:rsidR="006A7466" w:rsidRPr="00F51389" w:rsidRDefault="006A7466" w:rsidP="006A7466">
      <w:pPr>
        <w:rPr>
          <w:rFonts w:cs="Times New Roman"/>
          <w:b/>
          <w:bCs/>
          <w:szCs w:val="24"/>
        </w:rPr>
      </w:pPr>
    </w:p>
    <w:p w14:paraId="09ACE939" w14:textId="5AC10EAB" w:rsidR="006A7466" w:rsidRPr="00F51389" w:rsidRDefault="006A7466" w:rsidP="006A7466">
      <w:pPr>
        <w:rPr>
          <w:rFonts w:eastAsia="Times New Roman" w:cs="Times New Roman"/>
        </w:rPr>
      </w:pPr>
      <w:r w:rsidRPr="20F8CBC5">
        <w:rPr>
          <w:rFonts w:eastAsia="Times New Roman" w:cs="Times New Roman"/>
          <w:b/>
        </w:rPr>
        <w:t>Non Discrimination</w:t>
      </w:r>
      <w:r w:rsidR="00CB5F6A">
        <w:rPr>
          <w:rFonts w:eastAsia="Times New Roman" w:cs="Times New Roman"/>
          <w:b/>
        </w:rPr>
        <w:t>/Competitive Effects</w:t>
      </w:r>
    </w:p>
    <w:p w14:paraId="497BD2A0" w14:textId="14E639AE" w:rsidR="006A7466" w:rsidRPr="00F51389" w:rsidRDefault="006A7466" w:rsidP="006A7466">
      <w:pPr>
        <w:pStyle w:val="ListParagraph"/>
        <w:numPr>
          <w:ilvl w:val="0"/>
          <w:numId w:val="24"/>
        </w:numPr>
        <w:ind w:left="360"/>
        <w:contextualSpacing w:val="0"/>
        <w:rPr>
          <w:rFonts w:eastAsia="Times New Roman" w:cs="Times New Roman"/>
        </w:rPr>
      </w:pPr>
      <w:r w:rsidRPr="20F8CBC5">
        <w:rPr>
          <w:rFonts w:eastAsia="Times New Roman" w:cs="Times New Roman"/>
        </w:rPr>
        <w:t>Is zero</w:t>
      </w:r>
      <w:r w:rsidR="004E3F94">
        <w:rPr>
          <w:rFonts w:eastAsia="Times New Roman" w:cs="Times New Roman"/>
        </w:rPr>
        <w:t>-</w:t>
      </w:r>
      <w:r w:rsidRPr="20F8CBC5">
        <w:rPr>
          <w:rFonts w:eastAsia="Times New Roman" w:cs="Times New Roman"/>
        </w:rPr>
        <w:t xml:space="preserve">rating available, or available on </w:t>
      </w:r>
      <w:r w:rsidR="00133F87">
        <w:rPr>
          <w:rFonts w:eastAsia="Times New Roman" w:cs="Times New Roman"/>
        </w:rPr>
        <w:t xml:space="preserve">materially </w:t>
      </w:r>
      <w:r w:rsidRPr="20F8CBC5">
        <w:rPr>
          <w:rFonts w:eastAsia="Times New Roman" w:cs="Times New Roman"/>
        </w:rPr>
        <w:t xml:space="preserve">favorable terms, only for a service directly affiliated with the </w:t>
      </w:r>
      <w:r w:rsidR="004E3F94" w:rsidRPr="00EB545A">
        <w:rPr>
          <w:rFonts w:eastAsia="Times New Roman" w:cs="Times New Roman"/>
        </w:rPr>
        <w:t>BIAS provider</w:t>
      </w:r>
      <w:r w:rsidRPr="20F8CBC5">
        <w:rPr>
          <w:rFonts w:eastAsia="Times New Roman" w:cs="Times New Roman"/>
        </w:rPr>
        <w:t>?</w:t>
      </w:r>
    </w:p>
    <w:p w14:paraId="2E4C1054" w14:textId="3F34CA63" w:rsidR="006A7466" w:rsidRPr="00490BC7" w:rsidRDefault="006A7466" w:rsidP="00490BC7">
      <w:pPr>
        <w:pStyle w:val="ListParagraph"/>
        <w:numPr>
          <w:ilvl w:val="0"/>
          <w:numId w:val="24"/>
        </w:numPr>
        <w:ind w:left="360"/>
        <w:contextualSpacing w:val="0"/>
        <w:rPr>
          <w:rFonts w:eastAsia="Times New Roman" w:cs="Times New Roman"/>
          <w:i/>
        </w:rPr>
      </w:pPr>
      <w:r w:rsidRPr="20F8CBC5">
        <w:rPr>
          <w:rFonts w:eastAsia="Times New Roman" w:cs="Times New Roman"/>
        </w:rPr>
        <w:t>Does the zero</w:t>
      </w:r>
      <w:r w:rsidR="004E3F94">
        <w:rPr>
          <w:rFonts w:eastAsia="Times New Roman" w:cs="Times New Roman"/>
        </w:rPr>
        <w:t>-</w:t>
      </w:r>
      <w:r w:rsidRPr="20F8CBC5">
        <w:rPr>
          <w:rFonts w:eastAsia="Times New Roman" w:cs="Times New Roman"/>
        </w:rPr>
        <w:t xml:space="preserve">rating plan create exclusionary arrangements between the </w:t>
      </w:r>
      <w:r w:rsidR="004E3F94" w:rsidRPr="00EB545A">
        <w:rPr>
          <w:rFonts w:eastAsia="Times New Roman" w:cs="Times New Roman"/>
        </w:rPr>
        <w:t>BIAS provider</w:t>
      </w:r>
      <w:r w:rsidRPr="20F8CBC5">
        <w:rPr>
          <w:rFonts w:eastAsia="Times New Roman" w:cs="Times New Roman"/>
        </w:rPr>
        <w:t xml:space="preserve"> and unaffiliated content providers that raise reasonable competitive concerns from excluded parties</w:t>
      </w:r>
      <w:r>
        <w:rPr>
          <w:rFonts w:eastAsia="Times New Roman" w:cs="Times New Roman"/>
        </w:rPr>
        <w:t>?</w:t>
      </w:r>
    </w:p>
    <w:p w14:paraId="371B35F1" w14:textId="5BE42AB5" w:rsidR="006A7466" w:rsidRPr="00F51389" w:rsidRDefault="006A7466" w:rsidP="006A7466">
      <w:pPr>
        <w:pStyle w:val="ListParagraph"/>
        <w:numPr>
          <w:ilvl w:val="0"/>
          <w:numId w:val="24"/>
        </w:numPr>
        <w:spacing w:after="60"/>
        <w:ind w:left="360"/>
        <w:contextualSpacing w:val="0"/>
        <w:rPr>
          <w:rFonts w:eastAsia="Times New Roman" w:cs="Times New Roman"/>
          <w:b/>
        </w:rPr>
      </w:pPr>
      <w:r w:rsidRPr="20F8CBC5">
        <w:rPr>
          <w:rFonts w:eastAsia="Times New Roman" w:cs="Times New Roman"/>
        </w:rPr>
        <w:t xml:space="preserve">If </w:t>
      </w:r>
      <w:r w:rsidR="008B6ABD" w:rsidRPr="20F8CBC5">
        <w:rPr>
          <w:rFonts w:eastAsia="Times New Roman" w:cs="Times New Roman"/>
        </w:rPr>
        <w:t>a</w:t>
      </w:r>
      <w:r w:rsidRPr="20F8CBC5">
        <w:rPr>
          <w:rFonts w:eastAsia="Times New Roman" w:cs="Times New Roman"/>
        </w:rPr>
        <w:t xml:space="preserve"> </w:t>
      </w:r>
      <w:r w:rsidR="004E3F94" w:rsidRPr="00EB545A">
        <w:rPr>
          <w:rFonts w:eastAsia="Times New Roman" w:cs="Times New Roman"/>
        </w:rPr>
        <w:t>BIAS provider</w:t>
      </w:r>
      <w:r w:rsidRPr="20F8CBC5">
        <w:rPr>
          <w:rFonts w:eastAsia="Times New Roman" w:cs="Times New Roman"/>
        </w:rPr>
        <w:t xml:space="preserve"> charges edge providers to be zero rated, are those charges imposed on affiliated and unaffiliated entities </w:t>
      </w:r>
      <w:r>
        <w:rPr>
          <w:rFonts w:eastAsia="Times New Roman" w:cs="Times New Roman"/>
        </w:rPr>
        <w:t xml:space="preserve">effectively </w:t>
      </w:r>
      <w:r w:rsidRPr="20F8CBC5">
        <w:rPr>
          <w:rFonts w:eastAsia="Times New Roman" w:cs="Times New Roman"/>
        </w:rPr>
        <w:t>on a non-discriminatory basis?</w:t>
      </w:r>
      <w:r w:rsidR="0005737B" w:rsidRPr="20F8CBC5" w:rsidDel="0005737B">
        <w:rPr>
          <w:rStyle w:val="FootnoteReference"/>
          <w:rFonts w:eastAsia="Times New Roman" w:cs="Times New Roman"/>
        </w:rPr>
        <w:t xml:space="preserve"> </w:t>
      </w:r>
    </w:p>
    <w:p w14:paraId="581A4CED" w14:textId="77777777" w:rsidR="00120ACE" w:rsidRDefault="00120ACE" w:rsidP="00120ACE">
      <w:pPr>
        <w:spacing w:after="60"/>
        <w:rPr>
          <w:rFonts w:cs="Times New Roman"/>
          <w:szCs w:val="24"/>
        </w:rPr>
      </w:pPr>
    </w:p>
    <w:p w14:paraId="5974F75F" w14:textId="77777777" w:rsidR="007D3C73" w:rsidRDefault="007D3C73" w:rsidP="00120ACE">
      <w:pPr>
        <w:spacing w:after="60"/>
        <w:rPr>
          <w:rFonts w:cs="Times New Roman"/>
          <w:szCs w:val="24"/>
        </w:rPr>
      </w:pPr>
    </w:p>
    <w:p w14:paraId="7822C3C2" w14:textId="77777777" w:rsidR="005841F1" w:rsidRDefault="005841F1" w:rsidP="00120ACE">
      <w:pPr>
        <w:spacing w:after="60"/>
        <w:rPr>
          <w:rFonts w:cs="Times New Roman"/>
          <w:szCs w:val="24"/>
        </w:rPr>
      </w:pPr>
    </w:p>
    <w:p w14:paraId="5860A722" w14:textId="77777777" w:rsidR="007D3C73" w:rsidRPr="00120ACE" w:rsidRDefault="007D3C73" w:rsidP="00120ACE">
      <w:pPr>
        <w:spacing w:after="60"/>
        <w:rPr>
          <w:rFonts w:cs="Times New Roman"/>
          <w:szCs w:val="24"/>
        </w:rPr>
      </w:pPr>
    </w:p>
    <w:p w14:paraId="2366C486" w14:textId="77777777" w:rsidR="006A7466" w:rsidRPr="00F51389" w:rsidRDefault="006A7466" w:rsidP="006A7466">
      <w:pPr>
        <w:rPr>
          <w:rFonts w:eastAsia="Times New Roman" w:cs="Times New Roman"/>
          <w:b/>
        </w:rPr>
      </w:pPr>
      <w:r w:rsidRPr="20F8CBC5">
        <w:rPr>
          <w:rFonts w:eastAsia="Times New Roman" w:cs="Times New Roman"/>
          <w:b/>
        </w:rPr>
        <w:t>Data Cap</w:t>
      </w:r>
    </w:p>
    <w:p w14:paraId="388E0932" w14:textId="77777777" w:rsidR="006A7466" w:rsidRPr="00F51389" w:rsidRDefault="006A7466" w:rsidP="006A7466">
      <w:pPr>
        <w:pStyle w:val="ListParagraph"/>
        <w:numPr>
          <w:ilvl w:val="0"/>
          <w:numId w:val="27"/>
        </w:numPr>
        <w:spacing w:after="60"/>
        <w:ind w:left="360"/>
        <w:contextualSpacing w:val="0"/>
        <w:rPr>
          <w:rFonts w:eastAsia="Times New Roman" w:cs="Times New Roman"/>
          <w:b/>
        </w:rPr>
      </w:pPr>
      <w:r w:rsidRPr="20F8CBC5">
        <w:rPr>
          <w:rFonts w:eastAsia="Times New Roman" w:cs="Times New Roman"/>
        </w:rPr>
        <w:t>Is the associated data cap sufficiently high as to make all data effectively zero-rated for the overwhelming majority of customers, both on a static and forward-looking basis, such that consumers really are not facing a choice between zero-rated and non-zero-rated activity?</w:t>
      </w:r>
    </w:p>
    <w:p w14:paraId="6E2D0941" w14:textId="77777777" w:rsidR="006A7466" w:rsidRPr="00F51389" w:rsidRDefault="006A7466" w:rsidP="006A7466">
      <w:pPr>
        <w:rPr>
          <w:rFonts w:cs="Times New Roman"/>
          <w:b/>
          <w:bCs/>
          <w:szCs w:val="24"/>
        </w:rPr>
      </w:pPr>
    </w:p>
    <w:p w14:paraId="50C8EBA9" w14:textId="77777777" w:rsidR="006A7466" w:rsidRPr="00F51389" w:rsidRDefault="006A7466" w:rsidP="006A7466">
      <w:pPr>
        <w:rPr>
          <w:rFonts w:eastAsia="Times New Roman" w:cs="Times New Roman"/>
          <w:b/>
        </w:rPr>
      </w:pPr>
      <w:r w:rsidRPr="20F8CBC5">
        <w:rPr>
          <w:rFonts w:eastAsia="Times New Roman" w:cs="Times New Roman"/>
          <w:b/>
        </w:rPr>
        <w:t>Choice and End User Control</w:t>
      </w:r>
    </w:p>
    <w:p w14:paraId="4705A5B6" w14:textId="691FB2C6" w:rsidR="006A7466" w:rsidRPr="00F51389" w:rsidRDefault="006A7466" w:rsidP="006A7466">
      <w:pPr>
        <w:pStyle w:val="ListParagraph"/>
        <w:numPr>
          <w:ilvl w:val="0"/>
          <w:numId w:val="26"/>
        </w:numPr>
        <w:ind w:left="360"/>
        <w:contextualSpacing w:val="0"/>
        <w:rPr>
          <w:rFonts w:eastAsia="Times New Roman" w:cs="Times New Roman"/>
        </w:rPr>
      </w:pPr>
      <w:r w:rsidRPr="20F8CBC5">
        <w:rPr>
          <w:rFonts w:eastAsia="Times New Roman" w:cs="Times New Roman"/>
        </w:rPr>
        <w:t xml:space="preserve">Do consumers and edge providers have the ability to easily opt into and out of the zero-rated </w:t>
      </w:r>
      <w:r w:rsidRPr="00E75CC6">
        <w:rPr>
          <w:rFonts w:eastAsia="Times New Roman" w:cs="Times New Roman"/>
        </w:rPr>
        <w:t xml:space="preserve">plan </w:t>
      </w:r>
      <w:r w:rsidR="00E75CC6">
        <w:rPr>
          <w:rFonts w:eastAsia="Times New Roman" w:cs="Times New Roman"/>
        </w:rPr>
        <w:t>if they prefer to remain with</w:t>
      </w:r>
      <w:r w:rsidR="00E75CC6" w:rsidRPr="00E75CC6">
        <w:rPr>
          <w:rFonts w:eastAsia="Times New Roman" w:cs="Times New Roman"/>
        </w:rPr>
        <w:t xml:space="preserve"> </w:t>
      </w:r>
      <w:r w:rsidRPr="00E75CC6">
        <w:rPr>
          <w:rFonts w:eastAsia="Times New Roman" w:cs="Times New Roman"/>
        </w:rPr>
        <w:t xml:space="preserve">offers in line </w:t>
      </w:r>
      <w:r w:rsidR="0074400F" w:rsidRPr="00E75CC6">
        <w:rPr>
          <w:bCs/>
        </w:rPr>
        <w:t xml:space="preserve">with those </w:t>
      </w:r>
      <w:r w:rsidRPr="00E75CC6">
        <w:rPr>
          <w:rFonts w:eastAsia="Times New Roman" w:cs="Times New Roman"/>
        </w:rPr>
        <w:t>available at the time</w:t>
      </w:r>
      <w:r w:rsidRPr="20F8CBC5">
        <w:rPr>
          <w:rFonts w:eastAsia="Times New Roman" w:cs="Times New Roman"/>
        </w:rPr>
        <w:t xml:space="preserve"> the plan was introduced, or to control other aspect of using the zero-rated service?</w:t>
      </w:r>
    </w:p>
    <w:p w14:paraId="3EB2FF80" w14:textId="46C2B329" w:rsidR="006A7466" w:rsidRPr="00F51389" w:rsidRDefault="006A7466" w:rsidP="006A7466">
      <w:pPr>
        <w:pStyle w:val="ListParagraph"/>
        <w:numPr>
          <w:ilvl w:val="0"/>
          <w:numId w:val="26"/>
        </w:numPr>
        <w:ind w:left="360"/>
        <w:contextualSpacing w:val="0"/>
        <w:rPr>
          <w:rFonts w:eastAsia="Times New Roman" w:cs="Times New Roman"/>
        </w:rPr>
      </w:pPr>
      <w:r w:rsidRPr="20F8CBC5">
        <w:rPr>
          <w:rFonts w:eastAsia="Times New Roman" w:cs="Times New Roman"/>
        </w:rPr>
        <w:t xml:space="preserve">Do consumers have easy alternatives for switching to other </w:t>
      </w:r>
      <w:r w:rsidR="004E3F94" w:rsidRPr="00EB545A">
        <w:rPr>
          <w:rFonts w:eastAsia="Times New Roman" w:cs="Times New Roman"/>
        </w:rPr>
        <w:t>BIAS provider</w:t>
      </w:r>
      <w:r w:rsidRPr="00EB545A">
        <w:rPr>
          <w:rFonts w:eastAsia="Times New Roman" w:cs="Times New Roman"/>
        </w:rPr>
        <w:t>s</w:t>
      </w:r>
      <w:r w:rsidRPr="20F8CBC5">
        <w:rPr>
          <w:rFonts w:eastAsia="Times New Roman" w:cs="Times New Roman"/>
        </w:rPr>
        <w:t xml:space="preserve"> with different zero-rating practices?</w:t>
      </w:r>
    </w:p>
    <w:p w14:paraId="740096CE" w14:textId="77777777" w:rsidR="006A7466" w:rsidRPr="00F51389" w:rsidRDefault="006A7466" w:rsidP="006A7466">
      <w:pPr>
        <w:rPr>
          <w:rFonts w:cs="Times New Roman"/>
          <w:b/>
          <w:bCs/>
          <w:szCs w:val="24"/>
        </w:rPr>
      </w:pPr>
    </w:p>
    <w:p w14:paraId="55A65DB6" w14:textId="0F4001D6" w:rsidR="006A7466" w:rsidRPr="00F51389" w:rsidRDefault="006A7466" w:rsidP="006A7466">
      <w:pPr>
        <w:keepNext/>
        <w:rPr>
          <w:rFonts w:eastAsia="Times New Roman" w:cs="Times New Roman"/>
          <w:b/>
        </w:rPr>
      </w:pPr>
      <w:r w:rsidRPr="20F8CBC5">
        <w:rPr>
          <w:rFonts w:eastAsia="Times New Roman" w:cs="Times New Roman"/>
          <w:b/>
        </w:rPr>
        <w:t>Transparency</w:t>
      </w:r>
    </w:p>
    <w:p w14:paraId="6A65F923" w14:textId="77777777" w:rsidR="006A7466" w:rsidRPr="00F51389" w:rsidRDefault="006A7466" w:rsidP="006A7466">
      <w:pPr>
        <w:pStyle w:val="ListParagraph"/>
        <w:keepNext/>
        <w:numPr>
          <w:ilvl w:val="0"/>
          <w:numId w:val="25"/>
        </w:numPr>
        <w:ind w:left="360"/>
        <w:contextualSpacing w:val="0"/>
        <w:rPr>
          <w:rFonts w:eastAsia="Times New Roman" w:cs="Times New Roman"/>
          <w:b/>
        </w:rPr>
      </w:pPr>
      <w:r w:rsidRPr="20F8CBC5">
        <w:rPr>
          <w:rFonts w:eastAsia="Times New Roman" w:cs="Times New Roman"/>
        </w:rPr>
        <w:t>Are consumers and edge providers fully informed about the terms and conditions of the zero-rated plan in a timely, easy to understand and easy to execute manner?</w:t>
      </w:r>
    </w:p>
    <w:p w14:paraId="6513B4BD" w14:textId="77777777" w:rsidR="006A7466" w:rsidRPr="00F51389" w:rsidRDefault="006A7466" w:rsidP="006A7466">
      <w:pPr>
        <w:pStyle w:val="ListParagraph"/>
        <w:keepNext/>
        <w:numPr>
          <w:ilvl w:val="0"/>
          <w:numId w:val="25"/>
        </w:numPr>
        <w:ind w:left="360"/>
        <w:contextualSpacing w:val="0"/>
        <w:rPr>
          <w:rFonts w:eastAsia="Times New Roman" w:cs="Times New Roman"/>
          <w:b/>
        </w:rPr>
      </w:pPr>
      <w:r w:rsidRPr="20F8CBC5">
        <w:rPr>
          <w:rFonts w:eastAsia="Times New Roman" w:cs="Times New Roman"/>
        </w:rPr>
        <w:t>Do consumers have the ability to easily track usage and take actions to avoid hitting the cap without significant impacts on their usage behaviors?</w:t>
      </w:r>
    </w:p>
    <w:p w14:paraId="4009AE9F" w14:textId="77777777" w:rsidR="006A7466" w:rsidRPr="00F51389" w:rsidRDefault="006A7466" w:rsidP="006A7466">
      <w:pPr>
        <w:keepNext/>
        <w:rPr>
          <w:rFonts w:cs="Times New Roman"/>
          <w:b/>
          <w:bCs/>
          <w:szCs w:val="24"/>
        </w:rPr>
      </w:pPr>
    </w:p>
    <w:p w14:paraId="4E7CDC2F" w14:textId="77777777" w:rsidR="006A7466" w:rsidRPr="00F51389" w:rsidRDefault="006A7466" w:rsidP="006A7466">
      <w:pPr>
        <w:rPr>
          <w:rFonts w:eastAsia="Times New Roman" w:cs="Times New Roman"/>
        </w:rPr>
      </w:pPr>
      <w:r w:rsidRPr="20F8CBC5">
        <w:rPr>
          <w:rFonts w:eastAsia="Times New Roman" w:cs="Times New Roman"/>
          <w:b/>
        </w:rPr>
        <w:t xml:space="preserve">Other </w:t>
      </w:r>
    </w:p>
    <w:p w14:paraId="2717C96C" w14:textId="750010E9" w:rsidR="006A7466" w:rsidRPr="00F51389" w:rsidRDefault="006A7466" w:rsidP="006A7466">
      <w:pPr>
        <w:pStyle w:val="ListParagraph"/>
        <w:numPr>
          <w:ilvl w:val="0"/>
          <w:numId w:val="25"/>
        </w:numPr>
        <w:ind w:left="360"/>
        <w:rPr>
          <w:rFonts w:eastAsia="Times New Roman" w:cs="Times New Roman"/>
        </w:rPr>
      </w:pPr>
      <w:r w:rsidRPr="20F8CBC5">
        <w:rPr>
          <w:rFonts w:eastAsia="Times New Roman" w:cs="Times New Roman"/>
        </w:rPr>
        <w:t xml:space="preserve">Does the zero-rated traffic serve a civic engagement purpose, such as increasing broadband adoption or serving health care, education, government, non-profits, etc.?  </w:t>
      </w:r>
    </w:p>
    <w:p w14:paraId="5696FF9C" w14:textId="77777777" w:rsidR="006A7466" w:rsidRDefault="006A7466" w:rsidP="006A7466">
      <w:pPr>
        <w:pStyle w:val="ListParagraph"/>
        <w:numPr>
          <w:ilvl w:val="0"/>
          <w:numId w:val="25"/>
        </w:numPr>
        <w:ind w:left="360"/>
        <w:contextualSpacing w:val="0"/>
        <w:rPr>
          <w:rFonts w:eastAsia="Times New Roman" w:cs="Times New Roman"/>
        </w:rPr>
      </w:pPr>
      <w:r w:rsidRPr="20F8CBC5">
        <w:rPr>
          <w:rFonts w:eastAsia="Times New Roman" w:cs="Times New Roman"/>
        </w:rPr>
        <w:t>Is the offering a functionally-equivalent, non-BIAS data service being used to evade the net neutrality rules?</w:t>
      </w:r>
    </w:p>
    <w:p w14:paraId="79D8F988" w14:textId="77777777" w:rsidR="006A7466" w:rsidRDefault="006A7466" w:rsidP="006A7466">
      <w:pPr>
        <w:rPr>
          <w:rFonts w:eastAsia="Times New Roman" w:cs="Times New Roman"/>
        </w:rPr>
      </w:pPr>
    </w:p>
    <w:p w14:paraId="13E9CBE6" w14:textId="77777777" w:rsidR="006A7466" w:rsidRPr="00F51389" w:rsidRDefault="006A7466" w:rsidP="006A7466">
      <w:pPr>
        <w:pStyle w:val="ListParagraph"/>
        <w:numPr>
          <w:ilvl w:val="1"/>
          <w:numId w:val="2"/>
        </w:numPr>
        <w:spacing w:after="240"/>
        <w:ind w:left="810"/>
        <w:contextualSpacing w:val="0"/>
        <w:rPr>
          <w:rFonts w:eastAsia="Times New Roman" w:cs="Times New Roman"/>
          <w:b/>
        </w:rPr>
      </w:pPr>
      <w:r w:rsidRPr="20F8CBC5">
        <w:rPr>
          <w:rFonts w:eastAsia="Times New Roman" w:cs="Times New Roman"/>
          <w:b/>
        </w:rPr>
        <w:t xml:space="preserve">Principles for Assessing the Impacts of Mobile Broadband Providers’ Zero-Rating Practices on Consumers and Edge Service Competition </w:t>
      </w:r>
    </w:p>
    <w:p w14:paraId="0B3FE2D7" w14:textId="65B8A272"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 xml:space="preserve">The technology underlying today’s mobile broadband services provides operators with </w:t>
      </w:r>
      <w:r w:rsidR="00A62B36" w:rsidRPr="00F51389">
        <w:rPr>
          <w:rFonts w:cs="Times New Roman"/>
          <w:szCs w:val="24"/>
        </w:rPr>
        <w:t xml:space="preserve">the ability to </w:t>
      </w:r>
      <w:r w:rsidR="00E75CC6">
        <w:rPr>
          <w:rFonts w:cs="Times New Roman"/>
          <w:szCs w:val="24"/>
        </w:rPr>
        <w:t>tailor service</w:t>
      </w:r>
      <w:r w:rsidR="00E75CC6" w:rsidRPr="00F51389">
        <w:rPr>
          <w:rFonts w:cs="Times New Roman"/>
          <w:szCs w:val="24"/>
        </w:rPr>
        <w:t xml:space="preserve"> </w:t>
      </w:r>
      <w:r w:rsidR="00A62B36" w:rsidRPr="00F51389">
        <w:rPr>
          <w:rFonts w:cs="Times New Roman"/>
          <w:szCs w:val="24"/>
        </w:rPr>
        <w:t>offerings to subscribers</w:t>
      </w:r>
      <w:r w:rsidR="00A62B36">
        <w:rPr>
          <w:rFonts w:cs="Times New Roman"/>
          <w:szCs w:val="24"/>
        </w:rPr>
        <w:t xml:space="preserve"> in</w:t>
      </w:r>
      <w:r w:rsidR="00A62B36" w:rsidRPr="00F51389">
        <w:rPr>
          <w:rFonts w:cs="Times New Roman"/>
          <w:szCs w:val="24"/>
        </w:rPr>
        <w:t xml:space="preserve"> </w:t>
      </w:r>
      <w:r w:rsidR="00E75CC6" w:rsidRPr="20F8CBC5">
        <w:rPr>
          <w:rFonts w:eastAsia="Times New Roman" w:cs="Times New Roman"/>
        </w:rPr>
        <w:t>a</w:t>
      </w:r>
      <w:r w:rsidR="00E75CC6">
        <w:rPr>
          <w:rFonts w:eastAsia="Times New Roman" w:cs="Times New Roman"/>
        </w:rPr>
        <w:t xml:space="preserve"> much more </w:t>
      </w:r>
      <w:r w:rsidRPr="20F8CBC5">
        <w:rPr>
          <w:rFonts w:eastAsia="Times New Roman" w:cs="Times New Roman"/>
        </w:rPr>
        <w:t xml:space="preserve">dynamic and targeted manner.  This creates </w:t>
      </w:r>
      <w:r w:rsidR="00E75CC6">
        <w:rPr>
          <w:rFonts w:eastAsia="Times New Roman" w:cs="Times New Roman"/>
        </w:rPr>
        <w:t>the desirable</w:t>
      </w:r>
      <w:r w:rsidRPr="20F8CBC5">
        <w:rPr>
          <w:rFonts w:eastAsia="Times New Roman" w:cs="Times New Roman"/>
        </w:rPr>
        <w:t xml:space="preserve"> potential for increased consumer benefit</w:t>
      </w:r>
      <w:r w:rsidR="00D1386D">
        <w:rPr>
          <w:rFonts w:eastAsia="Times New Roman" w:cs="Times New Roman"/>
        </w:rPr>
        <w:t>s</w:t>
      </w:r>
      <w:r w:rsidRPr="20F8CBC5">
        <w:rPr>
          <w:rFonts w:eastAsia="Times New Roman" w:cs="Times New Roman"/>
        </w:rPr>
        <w:t xml:space="preserve"> </w:t>
      </w:r>
      <w:r w:rsidR="00E75CC6">
        <w:rPr>
          <w:rFonts w:eastAsia="Times New Roman" w:cs="Times New Roman"/>
        </w:rPr>
        <w:t xml:space="preserve">from more precisely crafted value propositions that reflect the varying needs of users.  However, this </w:t>
      </w:r>
      <w:r w:rsidRPr="20F8CBC5">
        <w:rPr>
          <w:rFonts w:eastAsia="Times New Roman" w:cs="Times New Roman"/>
        </w:rPr>
        <w:t>also</w:t>
      </w:r>
      <w:r w:rsidR="00E75CC6">
        <w:rPr>
          <w:rFonts w:eastAsia="Times New Roman" w:cs="Times New Roman"/>
        </w:rPr>
        <w:t xml:space="preserve"> creates</w:t>
      </w:r>
      <w:r w:rsidRPr="20F8CBC5">
        <w:rPr>
          <w:rFonts w:eastAsia="Times New Roman" w:cs="Times New Roman"/>
        </w:rPr>
        <w:t xml:space="preserve"> the </w:t>
      </w:r>
      <w:r w:rsidR="00E75CC6">
        <w:rPr>
          <w:rFonts w:eastAsia="Times New Roman" w:cs="Times New Roman"/>
        </w:rPr>
        <w:t xml:space="preserve">undesirable </w:t>
      </w:r>
      <w:r w:rsidRPr="20F8CBC5">
        <w:rPr>
          <w:rFonts w:eastAsia="Times New Roman" w:cs="Times New Roman"/>
        </w:rPr>
        <w:t xml:space="preserve">potential for conduct harmful to the open Internet’s “virtuous cycle,” in which edge service </w:t>
      </w:r>
      <w:r w:rsidR="00E75CC6">
        <w:rPr>
          <w:rFonts w:eastAsia="Times New Roman" w:cs="Times New Roman"/>
        </w:rPr>
        <w:t xml:space="preserve">competition and </w:t>
      </w:r>
      <w:r w:rsidRPr="20F8CBC5">
        <w:rPr>
          <w:rFonts w:eastAsia="Times New Roman" w:cs="Times New Roman"/>
        </w:rPr>
        <w:t xml:space="preserve">innovation promotes consumer demand </w:t>
      </w:r>
      <w:r w:rsidR="00D1386D">
        <w:rPr>
          <w:rFonts w:eastAsia="Times New Roman" w:cs="Times New Roman"/>
        </w:rPr>
        <w:t xml:space="preserve">for </w:t>
      </w:r>
      <w:r w:rsidR="00E75CC6">
        <w:rPr>
          <w:rFonts w:eastAsia="Times New Roman" w:cs="Times New Roman"/>
        </w:rPr>
        <w:t>network usage</w:t>
      </w:r>
      <w:r w:rsidR="00D1386D">
        <w:rPr>
          <w:rFonts w:eastAsia="Times New Roman" w:cs="Times New Roman"/>
        </w:rPr>
        <w:t xml:space="preserve"> </w:t>
      </w:r>
      <w:r w:rsidRPr="20F8CBC5">
        <w:rPr>
          <w:rFonts w:eastAsia="Times New Roman" w:cs="Times New Roman"/>
        </w:rPr>
        <w:t xml:space="preserve">and, consequently, broadband network investment </w:t>
      </w:r>
      <w:r w:rsidR="00E75CC6">
        <w:rPr>
          <w:rFonts w:eastAsia="Times New Roman" w:cs="Times New Roman"/>
        </w:rPr>
        <w:t xml:space="preserve">by network owners </w:t>
      </w:r>
      <w:r w:rsidRPr="20F8CBC5">
        <w:rPr>
          <w:rFonts w:eastAsia="Times New Roman" w:cs="Times New Roman"/>
        </w:rPr>
        <w:t>(and vice versa).</w:t>
      </w:r>
      <w:r w:rsidRPr="20F8CBC5">
        <w:rPr>
          <w:rStyle w:val="FootnoteReference"/>
          <w:rFonts w:eastAsia="Times New Roman" w:cs="Times New Roman"/>
        </w:rPr>
        <w:footnoteReference w:id="18"/>
      </w:r>
      <w:r w:rsidRPr="20F8CBC5">
        <w:rPr>
          <w:rFonts w:eastAsia="Times New Roman" w:cs="Times New Roman"/>
        </w:rPr>
        <w:t xml:space="preserve">  Notwithstanding the powerful new attributes of the technology underlying today’s mobile broadband networks, </w:t>
      </w:r>
      <w:r w:rsidR="00E75CC6">
        <w:rPr>
          <w:rFonts w:eastAsia="Times New Roman" w:cs="Times New Roman"/>
        </w:rPr>
        <w:t xml:space="preserve">however, </w:t>
      </w:r>
      <w:r w:rsidRPr="20F8CBC5">
        <w:rPr>
          <w:rFonts w:eastAsia="Times New Roman" w:cs="Times New Roman"/>
        </w:rPr>
        <w:t>the core principles of consumer welfare and competition that have guided the design of government policy regarding network or infrastructure industries for many years continue to apply</w:t>
      </w:r>
      <w:r w:rsidR="009F46F2">
        <w:rPr>
          <w:rFonts w:eastAsia="Times New Roman" w:cs="Times New Roman"/>
        </w:rPr>
        <w:t xml:space="preserve"> in our assessment of sponsored </w:t>
      </w:r>
      <w:r w:rsidRPr="20F8CBC5">
        <w:rPr>
          <w:rFonts w:eastAsia="Times New Roman" w:cs="Times New Roman"/>
        </w:rPr>
        <w:t xml:space="preserve">data practices for broadband networks.    </w:t>
      </w:r>
    </w:p>
    <w:p w14:paraId="2CEE12FF" w14:textId="4AD32A83"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 xml:space="preserve">The core goal of the Communications Act – and more fundamentally, of all federal public policies addressing business practices – is to protect and promote the interests of consumers.  Consumers’ interests in the availability of services at reasonably low prices, </w:t>
      </w:r>
      <w:r w:rsidR="008E1ABD">
        <w:rPr>
          <w:rFonts w:eastAsia="Times New Roman" w:cs="Times New Roman"/>
        </w:rPr>
        <w:t xml:space="preserve">with </w:t>
      </w:r>
      <w:r w:rsidRPr="20F8CBC5">
        <w:rPr>
          <w:rFonts w:eastAsia="Times New Roman" w:cs="Times New Roman"/>
        </w:rPr>
        <w:t>heightened quality</w:t>
      </w:r>
      <w:r w:rsidR="008E1ABD">
        <w:rPr>
          <w:rFonts w:eastAsia="Times New Roman" w:cs="Times New Roman"/>
        </w:rPr>
        <w:t xml:space="preserve"> and </w:t>
      </w:r>
      <w:r w:rsidRPr="20F8CBC5">
        <w:rPr>
          <w:rFonts w:eastAsia="Times New Roman" w:cs="Times New Roman"/>
        </w:rPr>
        <w:t xml:space="preserve">improved features, and </w:t>
      </w:r>
      <w:r w:rsidR="00D1386D">
        <w:rPr>
          <w:rFonts w:eastAsia="Times New Roman" w:cs="Times New Roman"/>
        </w:rPr>
        <w:t xml:space="preserve">using </w:t>
      </w:r>
      <w:r w:rsidRPr="20F8CBC5">
        <w:rPr>
          <w:rFonts w:eastAsia="Times New Roman" w:cs="Times New Roman"/>
        </w:rPr>
        <w:t xml:space="preserve">advanced technology are served most effectively by competition in all sectors of the economy.  </w:t>
      </w:r>
      <w:r w:rsidR="00072875">
        <w:rPr>
          <w:rFonts w:eastAsia="Times New Roman" w:cs="Times New Roman"/>
        </w:rPr>
        <w:t>The Commission over many years</w:t>
      </w:r>
      <w:r w:rsidRPr="20F8CBC5">
        <w:rPr>
          <w:rFonts w:eastAsia="Times New Roman" w:cs="Times New Roman"/>
        </w:rPr>
        <w:t xml:space="preserve"> has consistently adhered to a pro-competition approach in addressing issues involving communications network services </w:t>
      </w:r>
      <w:r w:rsidR="00072875">
        <w:rPr>
          <w:rFonts w:eastAsia="Times New Roman" w:cs="Times New Roman"/>
        </w:rPr>
        <w:t>that</w:t>
      </w:r>
      <w:r w:rsidRPr="20F8CBC5">
        <w:rPr>
          <w:rFonts w:eastAsia="Times New Roman" w:cs="Times New Roman"/>
        </w:rPr>
        <w:t xml:space="preserve"> deliver information services such as data processing applications and video, audio, or text content. </w:t>
      </w:r>
      <w:r w:rsidR="00072875">
        <w:rPr>
          <w:rFonts w:eastAsia="Times New Roman" w:cs="Times New Roman"/>
        </w:rPr>
        <w:t xml:space="preserve"> T</w:t>
      </w:r>
      <w:r w:rsidRPr="20F8CBC5">
        <w:rPr>
          <w:rFonts w:eastAsia="Times New Roman" w:cs="Times New Roman"/>
        </w:rPr>
        <w:t>he Commission’s “statutory duty is to protect efficient competition, not competitors.”</w:t>
      </w:r>
      <w:r w:rsidRPr="20F8CBC5">
        <w:rPr>
          <w:rStyle w:val="FootnoteReference"/>
          <w:rFonts w:eastAsia="Times New Roman" w:cs="Times New Roman"/>
        </w:rPr>
        <w:footnoteReference w:id="19"/>
      </w:r>
      <w:r w:rsidRPr="20F8CBC5">
        <w:rPr>
          <w:rFonts w:eastAsia="Times New Roman" w:cs="Times New Roman"/>
        </w:rPr>
        <w:t xml:space="preserve">  </w:t>
      </w:r>
    </w:p>
    <w:p w14:paraId="445B7FA7" w14:textId="318B51DA" w:rsidR="006A7466" w:rsidRPr="00F51389" w:rsidRDefault="006A7466" w:rsidP="006A7466">
      <w:pPr>
        <w:spacing w:after="240"/>
        <w:rPr>
          <w:rFonts w:eastAsia="Times New Roman" w:cs="Times New Roman"/>
        </w:rPr>
      </w:pPr>
      <w:r w:rsidRPr="00F51389">
        <w:rPr>
          <w:rFonts w:cs="Times New Roman"/>
          <w:szCs w:val="24"/>
        </w:rPr>
        <w:tab/>
      </w:r>
      <w:r w:rsidR="00072875">
        <w:rPr>
          <w:rFonts w:eastAsia="Times New Roman" w:cs="Times New Roman"/>
        </w:rPr>
        <w:t>Traditional c</w:t>
      </w:r>
      <w:r w:rsidRPr="20F8CBC5">
        <w:rPr>
          <w:rFonts w:eastAsia="Times New Roman" w:cs="Times New Roman"/>
        </w:rPr>
        <w:t xml:space="preserve">ompetition policy </w:t>
      </w:r>
      <w:r w:rsidR="00072875">
        <w:rPr>
          <w:rFonts w:eastAsia="Times New Roman" w:cs="Times New Roman"/>
        </w:rPr>
        <w:t>does become</w:t>
      </w:r>
      <w:r w:rsidR="00072875" w:rsidRPr="20F8CBC5">
        <w:rPr>
          <w:rFonts w:eastAsia="Times New Roman" w:cs="Times New Roman"/>
        </w:rPr>
        <w:t xml:space="preserve"> </w:t>
      </w:r>
      <w:r w:rsidRPr="20F8CBC5">
        <w:rPr>
          <w:rFonts w:eastAsia="Times New Roman" w:cs="Times New Roman"/>
        </w:rPr>
        <w:t xml:space="preserve">more </w:t>
      </w:r>
      <w:r w:rsidR="00072875">
        <w:rPr>
          <w:rFonts w:eastAsia="Times New Roman" w:cs="Times New Roman"/>
        </w:rPr>
        <w:t>complex</w:t>
      </w:r>
      <w:r w:rsidR="00072875" w:rsidRPr="20F8CBC5">
        <w:rPr>
          <w:rFonts w:eastAsia="Times New Roman" w:cs="Times New Roman"/>
        </w:rPr>
        <w:t xml:space="preserve"> </w:t>
      </w:r>
      <w:r w:rsidRPr="20F8CBC5">
        <w:rPr>
          <w:rFonts w:eastAsia="Times New Roman" w:cs="Times New Roman"/>
        </w:rPr>
        <w:t>in the context of vertical relationships between providers of services in adjacent markets</w:t>
      </w:r>
      <w:r w:rsidR="00072875">
        <w:rPr>
          <w:rFonts w:eastAsia="Times New Roman" w:cs="Times New Roman"/>
        </w:rPr>
        <w:t xml:space="preserve">, a </w:t>
      </w:r>
      <w:r w:rsidRPr="20F8CBC5">
        <w:rPr>
          <w:rFonts w:eastAsia="Times New Roman" w:cs="Times New Roman"/>
        </w:rPr>
        <w:t>common condition in communications industry sectors, in which operators of network platforms supply “upstream” services that are inputs to – or function as critical “bottlenecks” for – the provision of “downstream” services by firms that rely on using those platforms to reach end user consumers.</w:t>
      </w:r>
      <w:r w:rsidRPr="20F8CBC5">
        <w:rPr>
          <w:rStyle w:val="FootnoteReference"/>
          <w:rFonts w:eastAsia="Times New Roman" w:cs="Times New Roman"/>
        </w:rPr>
        <w:footnoteReference w:id="20"/>
      </w:r>
      <w:r w:rsidRPr="20F8CBC5">
        <w:rPr>
          <w:rFonts w:eastAsia="Times New Roman" w:cs="Times New Roman"/>
        </w:rPr>
        <w:t xml:space="preserve">  Consumers benefit when competition prevails in the provision of both the upstream input services and the downstream retail services.  </w:t>
      </w:r>
    </w:p>
    <w:p w14:paraId="2971E69C" w14:textId="6C64B053" w:rsidR="00E15D1A" w:rsidRPr="00F51389" w:rsidRDefault="006A7466" w:rsidP="00E15D1A">
      <w:pPr>
        <w:spacing w:after="240"/>
        <w:rPr>
          <w:rFonts w:eastAsia="Times New Roman" w:cs="Times New Roman"/>
        </w:rPr>
      </w:pPr>
      <w:r w:rsidRPr="00F51389">
        <w:rPr>
          <w:rFonts w:cs="Times New Roman"/>
          <w:szCs w:val="24"/>
        </w:rPr>
        <w:tab/>
      </w:r>
      <w:r w:rsidR="00E15D1A" w:rsidRPr="20F8CBC5">
        <w:rPr>
          <w:rFonts w:eastAsia="Times New Roman" w:cs="Times New Roman"/>
        </w:rPr>
        <w:t xml:space="preserve">Difficulties often arise when a vertically integrated firm both provides upstream platform services that downstream firms use as inputs to their retail products </w:t>
      </w:r>
      <w:r w:rsidR="00E15D1A" w:rsidRPr="20F8CBC5">
        <w:rPr>
          <w:rFonts w:eastAsia="Times New Roman" w:cs="Times New Roman"/>
          <w:i/>
        </w:rPr>
        <w:t xml:space="preserve">and </w:t>
      </w:r>
      <w:r w:rsidR="00E15D1A" w:rsidRPr="20F8CBC5">
        <w:rPr>
          <w:rFonts w:eastAsia="Times New Roman" w:cs="Times New Roman"/>
        </w:rPr>
        <w:t>competes with the latter firms to provide its own comparable retail products.  As a general matter, “[v]ertical integration by a firm across different markets is often desirable because it can produce significant economies of scope:  cost efficiencies obtained by producing several products at once.”</w:t>
      </w:r>
      <w:r w:rsidR="00E15D1A" w:rsidRPr="20F8CBC5">
        <w:rPr>
          <w:rStyle w:val="FootnoteReference"/>
          <w:rFonts w:eastAsia="Times New Roman" w:cs="Times New Roman"/>
        </w:rPr>
        <w:footnoteReference w:id="21"/>
      </w:r>
      <w:r w:rsidR="00E15D1A" w:rsidRPr="20F8CBC5">
        <w:rPr>
          <w:rFonts w:eastAsia="Times New Roman" w:cs="Times New Roman"/>
        </w:rPr>
        <w:t xml:space="preserve">  </w:t>
      </w:r>
      <w:r w:rsidR="00E15D1A">
        <w:rPr>
          <w:rFonts w:eastAsia="Times New Roman" w:cs="Times New Roman"/>
        </w:rPr>
        <w:t>Where vertically-integrated firms face less competition in markets for some products or services than in other, adjacent markets, however, they may have opportunities to improperly “use [their] economic power in one market to restrict competition on the merits in another.”</w:t>
      </w:r>
      <w:r w:rsidR="00E15D1A">
        <w:rPr>
          <w:rStyle w:val="FootnoteReference"/>
          <w:rFonts w:eastAsia="Times New Roman" w:cs="Times New Roman"/>
        </w:rPr>
        <w:footnoteReference w:id="22"/>
      </w:r>
      <w:r w:rsidR="00E15D1A">
        <w:rPr>
          <w:rFonts w:eastAsia="Times New Roman" w:cs="Times New Roman"/>
        </w:rPr>
        <w:t xml:space="preserve"> </w:t>
      </w:r>
    </w:p>
    <w:p w14:paraId="0F5AD3CF" w14:textId="3788094D" w:rsidR="006A7466" w:rsidRPr="00F51389" w:rsidRDefault="00E15D1A" w:rsidP="006A7466">
      <w:pPr>
        <w:spacing w:after="240"/>
        <w:rPr>
          <w:rFonts w:eastAsia="Times New Roman" w:cs="Times New Roman"/>
        </w:rPr>
      </w:pPr>
      <w:r w:rsidRPr="00F51389">
        <w:rPr>
          <w:rFonts w:cs="Times New Roman"/>
          <w:szCs w:val="24"/>
        </w:rPr>
        <w:tab/>
      </w:r>
      <w:r w:rsidRPr="20F8CBC5">
        <w:rPr>
          <w:rFonts w:eastAsia="Times New Roman" w:cs="Times New Roman"/>
        </w:rPr>
        <w:t>Public policymakers are often called upon to address such vertically integrated firms’ use of business practices such as foreclosing their downstream competitors’ use of the critical upstream platform inputs or imposing excessive prices for those inputs (“raising rivals’ costs”) in order to enhance their downstream affiliates’ competitive position.</w:t>
      </w:r>
      <w:r w:rsidRPr="20F8CBC5">
        <w:rPr>
          <w:rStyle w:val="FootnoteReference"/>
          <w:rFonts w:eastAsia="Times New Roman" w:cs="Times New Roman"/>
        </w:rPr>
        <w:footnoteReference w:id="23"/>
      </w:r>
      <w:r w:rsidRPr="20F8CBC5">
        <w:rPr>
          <w:rFonts w:eastAsia="Times New Roman" w:cs="Times New Roman"/>
        </w:rPr>
        <w:t xml:space="preserve">  It is this concern that, in the context of local bottlenecks and emerging long-distance competition, led to the breakup of the Bell System in 1984;</w:t>
      </w:r>
      <w:r w:rsidRPr="20F8CBC5">
        <w:rPr>
          <w:rStyle w:val="FootnoteReference"/>
          <w:rFonts w:eastAsia="Times New Roman" w:cs="Times New Roman"/>
        </w:rPr>
        <w:footnoteReference w:id="24"/>
      </w:r>
      <w:r w:rsidRPr="20F8CBC5">
        <w:rPr>
          <w:rFonts w:eastAsia="Times New Roman" w:cs="Times New Roman"/>
        </w:rPr>
        <w:t xml:space="preserve"> that, in the context of incumbent local network bottlenecks and emerging local phone competition, led a bipartisan Congress to enact the interconnection provisions in the Telecommunications Act of 1996;</w:t>
      </w:r>
      <w:r w:rsidRPr="20F8CBC5">
        <w:rPr>
          <w:rStyle w:val="FootnoteReference"/>
          <w:rFonts w:eastAsia="Times New Roman" w:cs="Times New Roman"/>
        </w:rPr>
        <w:footnoteReference w:id="25"/>
      </w:r>
      <w:r w:rsidRPr="20F8CBC5">
        <w:rPr>
          <w:rFonts w:eastAsia="Times New Roman" w:cs="Times New Roman"/>
        </w:rPr>
        <w:t xml:space="preserve"> and, in the context of “basic” telecommunications services and “enhanced” information services, led the Commission to promulgate the </w:t>
      </w:r>
      <w:r w:rsidRPr="20F8CBC5">
        <w:rPr>
          <w:rFonts w:eastAsia="Times New Roman" w:cs="Times New Roman"/>
          <w:i/>
        </w:rPr>
        <w:t xml:space="preserve">Computer II </w:t>
      </w:r>
      <w:r w:rsidRPr="20F8CBC5">
        <w:rPr>
          <w:rFonts w:eastAsia="Times New Roman" w:cs="Times New Roman"/>
        </w:rPr>
        <w:t xml:space="preserve">and </w:t>
      </w:r>
      <w:r w:rsidRPr="20F8CBC5">
        <w:rPr>
          <w:rFonts w:eastAsia="Times New Roman" w:cs="Times New Roman"/>
          <w:i/>
        </w:rPr>
        <w:t>Computer III</w:t>
      </w:r>
      <w:r w:rsidRPr="20F8CBC5">
        <w:rPr>
          <w:rFonts w:eastAsia="Times New Roman" w:cs="Times New Roman"/>
        </w:rPr>
        <w:t xml:space="preserve"> frameworks.</w:t>
      </w:r>
      <w:r w:rsidRPr="20F8CBC5">
        <w:rPr>
          <w:rStyle w:val="FootnoteReference"/>
          <w:rFonts w:eastAsia="Times New Roman" w:cs="Times New Roman"/>
        </w:rPr>
        <w:footnoteReference w:id="26"/>
      </w:r>
      <w:r w:rsidRPr="20F8CBC5">
        <w:rPr>
          <w:rFonts w:eastAsia="Times New Roman" w:cs="Times New Roman"/>
        </w:rPr>
        <w:t xml:space="preserve">  The same concern has prompted a long series of antitrust rulings and regulatory decisions over the past hundred years.</w:t>
      </w:r>
      <w:r w:rsidRPr="20F8CBC5">
        <w:rPr>
          <w:rStyle w:val="FootnoteReference"/>
          <w:rFonts w:eastAsia="Times New Roman" w:cs="Times New Roman"/>
        </w:rPr>
        <w:footnoteReference w:id="27"/>
      </w:r>
      <w:r w:rsidRPr="20F8CBC5">
        <w:rPr>
          <w:rFonts w:eastAsia="Times New Roman" w:cs="Times New Roman"/>
        </w:rPr>
        <w:t xml:space="preserve">  And it is the same concern that led the Commission to establish open Internet safeguards in the mobile broadband context in the </w:t>
      </w:r>
      <w:r w:rsidRPr="00362B12">
        <w:rPr>
          <w:rFonts w:eastAsia="Times New Roman" w:cs="Times New Roman"/>
          <w:i/>
        </w:rPr>
        <w:t>2015</w:t>
      </w:r>
      <w:r>
        <w:rPr>
          <w:rFonts w:eastAsia="Times New Roman" w:cs="Times New Roman"/>
        </w:rPr>
        <w:t xml:space="preserve"> </w:t>
      </w:r>
      <w:r w:rsidRPr="20F8CBC5">
        <w:rPr>
          <w:rFonts w:eastAsia="Times New Roman" w:cs="Times New Roman"/>
          <w:i/>
        </w:rPr>
        <w:t>Open Internet Order</w:t>
      </w:r>
      <w:r w:rsidRPr="20F8CBC5">
        <w:rPr>
          <w:rFonts w:eastAsia="Times New Roman" w:cs="Times New Roman"/>
        </w:rPr>
        <w:t>.</w:t>
      </w:r>
      <w:r w:rsidRPr="20F8CBC5">
        <w:rPr>
          <w:rStyle w:val="FootnoteReference"/>
          <w:rFonts w:eastAsia="Times New Roman" w:cs="Times New Roman"/>
        </w:rPr>
        <w:footnoteReference w:id="28"/>
      </w:r>
      <w:r w:rsidRPr="20F8CBC5">
        <w:rPr>
          <w:rFonts w:eastAsia="Times New Roman" w:cs="Times New Roman"/>
        </w:rPr>
        <w:t xml:space="preserve"> </w:t>
      </w:r>
    </w:p>
    <w:p w14:paraId="2A7C6765" w14:textId="595560A8"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Significantly, the Commission did not adopt t</w:t>
      </w:r>
      <w:r w:rsidRPr="20F8CBC5">
        <w:rPr>
          <w:rFonts w:eastAsia="Times New Roman" w:cs="Times New Roman"/>
          <w:snapToGrid w:val="0"/>
          <w:kern w:val="28"/>
        </w:rPr>
        <w:t>he open Internet rules based on a finding that broadband providers ha</w:t>
      </w:r>
      <w:r w:rsidR="00086817">
        <w:rPr>
          <w:rFonts w:eastAsia="Times New Roman" w:cs="Times New Roman"/>
          <w:snapToGrid w:val="0"/>
          <w:kern w:val="28"/>
        </w:rPr>
        <w:t>ve</w:t>
      </w:r>
      <w:r w:rsidRPr="20F8CBC5">
        <w:rPr>
          <w:rFonts w:eastAsia="Times New Roman" w:cs="Times New Roman"/>
          <w:snapToGrid w:val="0"/>
          <w:kern w:val="28"/>
        </w:rPr>
        <w:t xml:space="preserve"> market power, but rather on the Commission’s determination that broadband providers function as “gatekeepers” with the capability to control or restrict end user customers’ ability to utilize Internet content and services as well as edge providers’ ability to deliver their offerings to consumers.  The Commission noted, for example, that the record at the time provided substantial evidence that “broadband providers have significant bargaining power in negotiations with edge providers and intermediaries that depend on access to their networks because of their ability to control the flow of traffic into and on their networks.”</w:t>
      </w:r>
      <w:r w:rsidRPr="20F8CBC5">
        <w:rPr>
          <w:rFonts w:eastAsia="Times New Roman" w:cs="Times New Roman"/>
          <w:snapToGrid w:val="0"/>
          <w:kern w:val="28"/>
          <w:vertAlign w:val="superscript"/>
        </w:rPr>
        <w:footnoteReference w:id="29"/>
      </w:r>
      <w:r w:rsidRPr="20F8CBC5">
        <w:rPr>
          <w:rFonts w:eastAsia="Times New Roman" w:cs="Times New Roman"/>
          <w:snapToGrid w:val="0"/>
          <w:kern w:val="28"/>
        </w:rPr>
        <w:t xml:space="preserve">  The Commission found that broadband providers’ ability to act as gatekeepers occurred even in the absence of market power.</w:t>
      </w:r>
      <w:r w:rsidRPr="20F8CBC5">
        <w:rPr>
          <w:rFonts w:eastAsia="Times New Roman" w:cs="Times New Roman"/>
          <w:snapToGrid w:val="0"/>
          <w:kern w:val="28"/>
          <w:vertAlign w:val="superscript"/>
        </w:rPr>
        <w:footnoteReference w:id="30"/>
      </w:r>
      <w:r w:rsidRPr="20F8CBC5">
        <w:rPr>
          <w:rFonts w:eastAsia="Times New Roman" w:cs="Times New Roman"/>
          <w:snapToGrid w:val="0"/>
          <w:kern w:val="28"/>
        </w:rPr>
        <w:t xml:space="preserve">  The Commission further found that mobile broadband providers “have the incentives and ability to engage in practices that would threaten the open nature of the Internet, in part due to consumer switching costs</w:t>
      </w:r>
      <w:r w:rsidR="002828DA">
        <w:rPr>
          <w:rFonts w:eastAsia="Times New Roman" w:cs="Times New Roman"/>
          <w:snapToGrid w:val="0"/>
          <w:kern w:val="28"/>
        </w:rPr>
        <w:t>.</w:t>
      </w:r>
      <w:r w:rsidRPr="20F8CBC5">
        <w:rPr>
          <w:rFonts w:eastAsia="Times New Roman" w:cs="Times New Roman"/>
          <w:snapToGrid w:val="0"/>
          <w:kern w:val="28"/>
        </w:rPr>
        <w:t xml:space="preserve">” </w:t>
      </w:r>
      <w:r w:rsidR="00BE6CD2">
        <w:rPr>
          <w:rFonts w:eastAsia="Times New Roman" w:cs="Times New Roman"/>
          <w:snapToGrid w:val="0"/>
          <w:kern w:val="28"/>
        </w:rPr>
        <w:t xml:space="preserve"> </w:t>
      </w:r>
      <w:r w:rsidR="002828DA">
        <w:rPr>
          <w:rFonts w:eastAsia="Times New Roman" w:cs="Times New Roman"/>
          <w:snapToGrid w:val="0"/>
          <w:kern w:val="28"/>
        </w:rPr>
        <w:t xml:space="preserve">The Commission concluded that evidence of the </w:t>
      </w:r>
      <w:r w:rsidR="002828DA" w:rsidRPr="0053421B">
        <w:rPr>
          <w:rFonts w:eastAsia="Times New Roman" w:cs="Times New Roman"/>
          <w:snapToGrid w:val="0"/>
          <w:kern w:val="28"/>
        </w:rPr>
        <w:t>level</w:t>
      </w:r>
      <w:r w:rsidR="002828DA">
        <w:rPr>
          <w:rFonts w:eastAsia="Times New Roman" w:cs="Times New Roman"/>
          <w:snapToGrid w:val="0"/>
          <w:kern w:val="28"/>
        </w:rPr>
        <w:t xml:space="preserve"> of wireless churn, viewed </w:t>
      </w:r>
      <w:r w:rsidR="002828DA" w:rsidRPr="0053421B">
        <w:rPr>
          <w:rFonts w:eastAsia="Times New Roman" w:cs="Times New Roman"/>
          <w:snapToGrid w:val="0"/>
          <w:kern w:val="28"/>
        </w:rPr>
        <w:t>in co</w:t>
      </w:r>
      <w:r w:rsidR="002828DA">
        <w:rPr>
          <w:rFonts w:eastAsia="Times New Roman" w:cs="Times New Roman"/>
          <w:snapToGrid w:val="0"/>
          <w:kern w:val="28"/>
        </w:rPr>
        <w:t xml:space="preserve">njunction with data on consumer </w:t>
      </w:r>
      <w:r w:rsidR="002828DA" w:rsidRPr="0053421B">
        <w:rPr>
          <w:rFonts w:eastAsia="Times New Roman" w:cs="Times New Roman"/>
          <w:snapToGrid w:val="0"/>
          <w:kern w:val="28"/>
        </w:rPr>
        <w:t xml:space="preserve">satisfaction, </w:t>
      </w:r>
      <w:r w:rsidR="002828DA">
        <w:rPr>
          <w:rFonts w:eastAsia="Times New Roman" w:cs="Times New Roman"/>
          <w:snapToGrid w:val="0"/>
          <w:kern w:val="28"/>
        </w:rPr>
        <w:t>was “</w:t>
      </w:r>
      <w:r w:rsidR="002828DA" w:rsidRPr="0053421B">
        <w:rPr>
          <w:rFonts w:eastAsia="Times New Roman" w:cs="Times New Roman"/>
          <w:snapToGrid w:val="0"/>
          <w:kern w:val="28"/>
        </w:rPr>
        <w:t>consistent with the existence of important switching costs for customers</w:t>
      </w:r>
      <w:r w:rsidR="002828DA">
        <w:rPr>
          <w:rFonts w:eastAsia="Times New Roman" w:cs="Times New Roman"/>
          <w:snapToGrid w:val="0"/>
          <w:kern w:val="28"/>
        </w:rPr>
        <w:t xml:space="preserve">” </w:t>
      </w:r>
      <w:r w:rsidRPr="20F8CBC5">
        <w:rPr>
          <w:rFonts w:eastAsia="Times New Roman" w:cs="Times New Roman"/>
          <w:snapToGrid w:val="0"/>
          <w:kern w:val="28"/>
        </w:rPr>
        <w:t>and that “switching costs are a significant factor in enabling the ability of mobile broadband providers to act as gatekeepers.”</w:t>
      </w:r>
      <w:r w:rsidRPr="20F8CBC5">
        <w:rPr>
          <w:rFonts w:eastAsia="Times New Roman" w:cs="Times New Roman"/>
          <w:snapToGrid w:val="0"/>
          <w:kern w:val="28"/>
          <w:vertAlign w:val="superscript"/>
        </w:rPr>
        <w:footnoteReference w:id="31"/>
      </w:r>
      <w:r w:rsidR="002828DA">
        <w:rPr>
          <w:rFonts w:eastAsia="Times New Roman" w:cs="Times New Roman"/>
          <w:snapToGrid w:val="0"/>
          <w:kern w:val="28"/>
        </w:rPr>
        <w:t xml:space="preserve"> </w:t>
      </w:r>
      <w:r w:rsidR="00BE6CD2">
        <w:rPr>
          <w:rFonts w:eastAsia="Times New Roman" w:cs="Times New Roman"/>
          <w:snapToGrid w:val="0"/>
          <w:kern w:val="28"/>
        </w:rPr>
        <w:t xml:space="preserve"> </w:t>
      </w:r>
      <w:r w:rsidR="002828DA">
        <w:rPr>
          <w:rFonts w:eastAsia="Times New Roman" w:cs="Times New Roman"/>
          <w:snapToGrid w:val="0"/>
          <w:kern w:val="28"/>
        </w:rPr>
        <w:t xml:space="preserve">The Commission also found that the evolution of technologies underlying mobile broadband networks had given </w:t>
      </w:r>
      <w:r w:rsidR="002828DA" w:rsidRPr="0053421B">
        <w:rPr>
          <w:rFonts w:eastAsia="Times New Roman" w:cs="Times New Roman"/>
          <w:snapToGrid w:val="0"/>
          <w:kern w:val="28"/>
        </w:rPr>
        <w:t xml:space="preserve">providers </w:t>
      </w:r>
      <w:r w:rsidR="002828DA">
        <w:rPr>
          <w:rFonts w:eastAsia="Times New Roman" w:cs="Times New Roman"/>
          <w:snapToGrid w:val="0"/>
          <w:kern w:val="28"/>
        </w:rPr>
        <w:t>a greater ability</w:t>
      </w:r>
      <w:r w:rsidR="00120ACE">
        <w:rPr>
          <w:rFonts w:eastAsia="Times New Roman" w:cs="Times New Roman"/>
          <w:snapToGrid w:val="0"/>
          <w:kern w:val="28"/>
        </w:rPr>
        <w:t xml:space="preserve"> than in 2010</w:t>
      </w:r>
      <w:r w:rsidR="002828DA">
        <w:rPr>
          <w:rFonts w:eastAsia="Times New Roman" w:cs="Times New Roman"/>
          <w:snapToGrid w:val="0"/>
          <w:kern w:val="28"/>
        </w:rPr>
        <w:t xml:space="preserve"> </w:t>
      </w:r>
      <w:r w:rsidR="002828DA" w:rsidRPr="0053421B">
        <w:rPr>
          <w:rFonts w:eastAsia="Times New Roman" w:cs="Times New Roman"/>
          <w:snapToGrid w:val="0"/>
          <w:kern w:val="28"/>
        </w:rPr>
        <w:t>to</w:t>
      </w:r>
      <w:r w:rsidR="002828DA">
        <w:rPr>
          <w:rFonts w:eastAsia="Times New Roman" w:cs="Times New Roman"/>
          <w:snapToGrid w:val="0"/>
          <w:kern w:val="28"/>
        </w:rPr>
        <w:t xml:space="preserve"> </w:t>
      </w:r>
      <w:r w:rsidR="002828DA" w:rsidRPr="0053421B">
        <w:rPr>
          <w:rFonts w:eastAsia="Times New Roman" w:cs="Times New Roman"/>
          <w:snapToGrid w:val="0"/>
          <w:kern w:val="28"/>
        </w:rPr>
        <w:t>engage in conduct harmful to the virtuous cycle</w:t>
      </w:r>
      <w:r w:rsidR="002828DA">
        <w:rPr>
          <w:rFonts w:eastAsia="Times New Roman" w:cs="Times New Roman"/>
          <w:snapToGrid w:val="0"/>
          <w:kern w:val="28"/>
        </w:rPr>
        <w:t>.</w:t>
      </w:r>
      <w:r w:rsidR="002828DA">
        <w:rPr>
          <w:rStyle w:val="FootnoteReference"/>
          <w:rFonts w:eastAsia="Times New Roman" w:cs="Times New Roman"/>
          <w:snapToGrid w:val="0"/>
          <w:kern w:val="28"/>
        </w:rPr>
        <w:footnoteReference w:id="32"/>
      </w:r>
      <w:r w:rsidRPr="00F51389">
        <w:rPr>
          <w:rFonts w:cs="Times New Roman"/>
          <w:bCs/>
          <w:szCs w:val="24"/>
        </w:rPr>
        <w:tab/>
      </w:r>
    </w:p>
    <w:p w14:paraId="2037BBAE" w14:textId="77777777" w:rsidR="006A7466" w:rsidRPr="00F51389" w:rsidRDefault="006A7466" w:rsidP="006A7466">
      <w:pPr>
        <w:pStyle w:val="ListParagraph"/>
        <w:numPr>
          <w:ilvl w:val="0"/>
          <w:numId w:val="2"/>
        </w:numPr>
        <w:ind w:left="360"/>
        <w:rPr>
          <w:rFonts w:eastAsia="Times New Roman" w:cs="Times New Roman"/>
        </w:rPr>
      </w:pPr>
      <w:r w:rsidRPr="20F8CBC5">
        <w:rPr>
          <w:rFonts w:eastAsia="Times New Roman" w:cs="Times New Roman"/>
          <w:b/>
          <w:caps/>
        </w:rPr>
        <w:t>the Zero-Rated Services and Sponsored Data Arrangements Under Review</w:t>
      </w:r>
    </w:p>
    <w:p w14:paraId="1527BE45" w14:textId="77777777" w:rsidR="006A7466" w:rsidRPr="00F51389" w:rsidRDefault="006A7466" w:rsidP="006A7466">
      <w:pPr>
        <w:rPr>
          <w:rFonts w:cs="Times New Roman"/>
          <w:b/>
          <w:bCs/>
          <w:szCs w:val="24"/>
        </w:rPr>
      </w:pPr>
    </w:p>
    <w:p w14:paraId="30BB13CE" w14:textId="6DCD588F" w:rsidR="006A7466" w:rsidRPr="00F51389" w:rsidRDefault="002A2DF9" w:rsidP="006A7466">
      <w:pPr>
        <w:spacing w:after="240"/>
        <w:ind w:firstLine="720"/>
        <w:rPr>
          <w:rFonts w:eastAsia="Times New Roman" w:cs="Times New Roman"/>
        </w:rPr>
      </w:pPr>
      <w:r>
        <w:rPr>
          <w:rFonts w:eastAsia="Times New Roman" w:cs="Times New Roman"/>
        </w:rPr>
        <w:t>Our</w:t>
      </w:r>
      <w:r w:rsidR="006A7466" w:rsidRPr="20F8CBC5">
        <w:rPr>
          <w:rFonts w:eastAsia="Times New Roman" w:cs="Times New Roman"/>
        </w:rPr>
        <w:t xml:space="preserve"> policy review over the course of 2016 focused on the following sponsored data offerings:</w:t>
      </w:r>
    </w:p>
    <w:p w14:paraId="58E7C702" w14:textId="582F833F" w:rsidR="000A7765" w:rsidRDefault="00AA4BB1" w:rsidP="000A7765">
      <w:pPr>
        <w:pStyle w:val="ListParagraph"/>
        <w:numPr>
          <w:ilvl w:val="0"/>
          <w:numId w:val="4"/>
        </w:numPr>
        <w:spacing w:after="240"/>
        <w:contextualSpacing w:val="0"/>
        <w:rPr>
          <w:rFonts w:eastAsia="Times New Roman" w:cs="Times New Roman"/>
        </w:rPr>
      </w:pPr>
      <w:r w:rsidRPr="00AA4BB1">
        <w:rPr>
          <w:rFonts w:eastAsia="Times New Roman" w:cs="Times New Roman"/>
          <w:b/>
        </w:rPr>
        <w:t>T-Mobile Binge On</w:t>
      </w:r>
      <w:r>
        <w:rPr>
          <w:rFonts w:eastAsia="Times New Roman" w:cs="Times New Roman"/>
        </w:rPr>
        <w:t xml:space="preserve">. </w:t>
      </w:r>
      <w:r w:rsidR="006A7466" w:rsidRPr="20F8CBC5">
        <w:rPr>
          <w:rFonts w:eastAsia="Times New Roman" w:cs="Times New Roman"/>
        </w:rPr>
        <w:t xml:space="preserve">First introduced in November 2015, T-Mobile’s “Binge On” is a </w:t>
      </w:r>
      <w:r w:rsidR="006A7466">
        <w:rPr>
          <w:rFonts w:eastAsia="Times New Roman" w:cs="Times New Roman"/>
        </w:rPr>
        <w:t xml:space="preserve">zero-rated service </w:t>
      </w:r>
      <w:r w:rsidR="006A7466" w:rsidRPr="20F8CBC5">
        <w:rPr>
          <w:rFonts w:eastAsia="Times New Roman" w:cs="Times New Roman"/>
        </w:rPr>
        <w:t>for streaming video services that meet certain technical standards.</w:t>
      </w:r>
      <w:r w:rsidR="006A7466" w:rsidRPr="20F8CBC5">
        <w:rPr>
          <w:rStyle w:val="FootnoteReference"/>
          <w:rFonts w:eastAsia="Times New Roman" w:cs="Times New Roman"/>
        </w:rPr>
        <w:footnoteReference w:id="33"/>
      </w:r>
      <w:r w:rsidR="006A7466" w:rsidRPr="20F8CBC5">
        <w:rPr>
          <w:rFonts w:eastAsia="Times New Roman" w:cs="Times New Roman"/>
        </w:rPr>
        <w:t xml:space="preserve">  Participating edge providers can offer to T</w:t>
      </w:r>
      <w:r w:rsidR="006A7466" w:rsidRPr="20F8CBC5">
        <w:rPr>
          <w:rFonts w:eastAsia="Times New Roman" w:cs="Times New Roman"/>
        </w:rPr>
        <w:noBreakHyphen/>
        <w:t xml:space="preserve">Mobile’s mobile broadband subscribers zero-rated video programming at 1.5 Mbps or 480p+/DVD quality – comparable to standard definition (SD), not high definition (HD), television format.  </w:t>
      </w:r>
      <w:r w:rsidR="00BA3F2F">
        <w:rPr>
          <w:rFonts w:eastAsia="Times New Roman" w:cs="Times New Roman"/>
        </w:rPr>
        <w:t>During the course of our review</w:t>
      </w:r>
      <w:r w:rsidR="000A40E4">
        <w:rPr>
          <w:rFonts w:eastAsia="Times New Roman" w:cs="Times New Roman"/>
        </w:rPr>
        <w:t xml:space="preserve"> of Binge On</w:t>
      </w:r>
      <w:r w:rsidR="00BA3F2F">
        <w:rPr>
          <w:rFonts w:eastAsia="Times New Roman" w:cs="Times New Roman"/>
        </w:rPr>
        <w:t xml:space="preserve">, </w:t>
      </w:r>
      <w:r w:rsidR="006A7466" w:rsidRPr="20F8CBC5">
        <w:rPr>
          <w:rFonts w:eastAsia="Times New Roman" w:cs="Times New Roman"/>
        </w:rPr>
        <w:t xml:space="preserve">T-Mobile </w:t>
      </w:r>
      <w:r w:rsidR="00BA3F2F">
        <w:rPr>
          <w:rFonts w:eastAsia="Times New Roman" w:cs="Times New Roman"/>
        </w:rPr>
        <w:t>did</w:t>
      </w:r>
      <w:r w:rsidR="00BA3F2F" w:rsidRPr="20F8CBC5">
        <w:rPr>
          <w:rFonts w:eastAsia="Times New Roman" w:cs="Times New Roman"/>
        </w:rPr>
        <w:t xml:space="preserve"> </w:t>
      </w:r>
      <w:r w:rsidR="006A7466" w:rsidRPr="20F8CBC5">
        <w:rPr>
          <w:rFonts w:eastAsia="Times New Roman" w:cs="Times New Roman"/>
        </w:rPr>
        <w:t xml:space="preserve">not compel edge providers or consumers to participate in Binge On, and </w:t>
      </w:r>
      <w:r w:rsidR="00BA3F2F">
        <w:rPr>
          <w:rFonts w:eastAsia="Times New Roman" w:cs="Times New Roman"/>
        </w:rPr>
        <w:t>did</w:t>
      </w:r>
      <w:r w:rsidR="00BA3F2F" w:rsidRPr="20F8CBC5">
        <w:rPr>
          <w:rFonts w:eastAsia="Times New Roman" w:cs="Times New Roman"/>
        </w:rPr>
        <w:t xml:space="preserve"> </w:t>
      </w:r>
      <w:r w:rsidR="006A7466" w:rsidRPr="20F8CBC5">
        <w:rPr>
          <w:rFonts w:eastAsia="Times New Roman" w:cs="Times New Roman"/>
        </w:rPr>
        <w:t>not charge them anything if they opt to do so.</w:t>
      </w:r>
      <w:r w:rsidR="006A7466" w:rsidRPr="20F8CBC5">
        <w:rPr>
          <w:rStyle w:val="FootnoteReference"/>
          <w:rFonts w:eastAsia="Times New Roman" w:cs="Times New Roman"/>
        </w:rPr>
        <w:footnoteReference w:id="34"/>
      </w:r>
      <w:r w:rsidR="006A7466" w:rsidRPr="20F8CBC5">
        <w:rPr>
          <w:rFonts w:eastAsia="Times New Roman" w:cs="Times New Roman"/>
        </w:rPr>
        <w:t xml:space="preserve"> </w:t>
      </w:r>
    </w:p>
    <w:p w14:paraId="492AAAAE" w14:textId="60FA4A58" w:rsidR="006A780D" w:rsidRPr="000A7765" w:rsidRDefault="006A780D" w:rsidP="006A780D">
      <w:pPr>
        <w:pStyle w:val="ListParagraph"/>
        <w:numPr>
          <w:ilvl w:val="0"/>
          <w:numId w:val="4"/>
        </w:numPr>
        <w:spacing w:after="240"/>
        <w:contextualSpacing w:val="0"/>
        <w:rPr>
          <w:rFonts w:eastAsia="Times New Roman" w:cs="Times New Roman"/>
        </w:rPr>
      </w:pPr>
      <w:r w:rsidRPr="000A7765">
        <w:rPr>
          <w:rFonts w:eastAsia="Times New Roman" w:cs="Times New Roman"/>
          <w:b/>
        </w:rPr>
        <w:t>AT&amp;T Data Perks</w:t>
      </w:r>
      <w:r w:rsidRPr="000A7765">
        <w:rPr>
          <w:rFonts w:eastAsia="Times New Roman" w:cs="Times New Roman"/>
        </w:rPr>
        <w:t xml:space="preserve">. In a variant of zero-rating launched October 2015, AT&amp;T Mobility’s “Data Perks” </w:t>
      </w:r>
      <w:r>
        <w:rPr>
          <w:rFonts w:eastAsia="Times New Roman" w:cs="Times New Roman"/>
        </w:rPr>
        <w:t>app</w:t>
      </w:r>
      <w:r w:rsidRPr="000A7765">
        <w:rPr>
          <w:rFonts w:eastAsia="Times New Roman" w:cs="Times New Roman"/>
        </w:rPr>
        <w:t xml:space="preserve"> enables providers to offer AT&amp;T’s mobile broadband subscribers extra data in addition to their monthly plan allowances as a reward for engaging in broadband activities that typically involve smaller amounts of data, such as purchasing products, viewing advertising, using promotional games or apps, completing surveys, or the like</w:t>
      </w:r>
      <w:r>
        <w:rPr>
          <w:rFonts w:eastAsia="Times New Roman" w:cs="Times New Roman"/>
        </w:rPr>
        <w:t>.</w:t>
      </w:r>
      <w:r w:rsidRPr="000A7765">
        <w:rPr>
          <w:rFonts w:eastAsia="Times New Roman" w:cs="Times New Roman"/>
        </w:rPr>
        <w:t xml:space="preserve"> </w:t>
      </w:r>
      <w:r>
        <w:rPr>
          <w:rFonts w:eastAsia="Times New Roman" w:cs="Times New Roman"/>
        </w:rPr>
        <w:t xml:space="preserve">Surfing the pages of the Data Perks app is zero-rated for users and the app </w:t>
      </w:r>
      <w:r w:rsidRPr="000A7765">
        <w:rPr>
          <w:rFonts w:eastAsia="Times New Roman" w:cs="Times New Roman"/>
        </w:rPr>
        <w:t>enable</w:t>
      </w:r>
      <w:r>
        <w:rPr>
          <w:rFonts w:eastAsia="Times New Roman" w:cs="Times New Roman"/>
        </w:rPr>
        <w:t>s</w:t>
      </w:r>
      <w:r w:rsidRPr="000A7765">
        <w:rPr>
          <w:rFonts w:eastAsia="Times New Roman" w:cs="Times New Roman"/>
        </w:rPr>
        <w:t xml:space="preserve"> </w:t>
      </w:r>
      <w:r>
        <w:rPr>
          <w:rFonts w:eastAsia="Times New Roman" w:cs="Times New Roman"/>
        </w:rPr>
        <w:t>users</w:t>
      </w:r>
      <w:r w:rsidRPr="000A7765">
        <w:rPr>
          <w:rFonts w:eastAsia="Times New Roman" w:cs="Times New Roman"/>
        </w:rPr>
        <w:t xml:space="preserve"> to access advertising and marketing </w:t>
      </w:r>
      <w:r>
        <w:rPr>
          <w:rFonts w:eastAsia="Times New Roman" w:cs="Times New Roman"/>
        </w:rPr>
        <w:t>offers</w:t>
      </w:r>
      <w:r w:rsidRPr="000A7765">
        <w:rPr>
          <w:rFonts w:eastAsia="Times New Roman" w:cs="Times New Roman"/>
        </w:rPr>
        <w:t xml:space="preserve"> without depleting their monthly data allowances</w:t>
      </w:r>
      <w:r>
        <w:rPr>
          <w:rFonts w:eastAsia="Times New Roman" w:cs="Times New Roman"/>
        </w:rPr>
        <w:t xml:space="preserve"> by crediting users’ accounts with the amount of data used to download the app or game</w:t>
      </w:r>
      <w:r w:rsidRPr="000A7765">
        <w:rPr>
          <w:rFonts w:eastAsia="Times New Roman" w:cs="Times New Roman"/>
        </w:rPr>
        <w:t>.</w:t>
      </w:r>
      <w:r w:rsidRPr="20F8CBC5">
        <w:rPr>
          <w:vertAlign w:val="superscript"/>
        </w:rPr>
        <w:footnoteReference w:id="35"/>
      </w:r>
      <w:r w:rsidRPr="000A7765">
        <w:rPr>
          <w:rFonts w:eastAsia="Times New Roman" w:cs="Times New Roman"/>
        </w:rPr>
        <w:t xml:space="preserve">  The extra data AT&amp;T Mobility subscribers</w:t>
      </w:r>
      <w:r>
        <w:rPr>
          <w:rFonts w:eastAsia="Times New Roman" w:cs="Times New Roman"/>
        </w:rPr>
        <w:t xml:space="preserve"> </w:t>
      </w:r>
      <w:r w:rsidRPr="000A7765">
        <w:rPr>
          <w:rFonts w:eastAsia="Times New Roman" w:cs="Times New Roman"/>
        </w:rPr>
        <w:t xml:space="preserve">“earn” </w:t>
      </w:r>
      <w:r>
        <w:rPr>
          <w:rFonts w:eastAsia="Times New Roman" w:cs="Times New Roman"/>
        </w:rPr>
        <w:t xml:space="preserve">by completing offers </w:t>
      </w:r>
      <w:r w:rsidRPr="000A7765">
        <w:rPr>
          <w:rFonts w:eastAsia="Times New Roman" w:cs="Times New Roman"/>
        </w:rPr>
        <w:t xml:space="preserve">through Data Perks can </w:t>
      </w:r>
      <w:r w:rsidR="00693448">
        <w:rPr>
          <w:rFonts w:eastAsia="Times New Roman" w:cs="Times New Roman"/>
        </w:rPr>
        <w:t xml:space="preserve">then </w:t>
      </w:r>
      <w:r w:rsidRPr="000A7765">
        <w:rPr>
          <w:rFonts w:eastAsia="Times New Roman" w:cs="Times New Roman"/>
        </w:rPr>
        <w:t>be used for any edge service.</w:t>
      </w:r>
    </w:p>
    <w:p w14:paraId="30E37558" w14:textId="1071F179" w:rsidR="00E515CF" w:rsidRPr="00E515CF" w:rsidRDefault="00C6001A" w:rsidP="00E515CF">
      <w:pPr>
        <w:pStyle w:val="ListParagraph"/>
        <w:numPr>
          <w:ilvl w:val="0"/>
          <w:numId w:val="4"/>
        </w:numPr>
        <w:spacing w:after="240"/>
        <w:contextualSpacing w:val="0"/>
        <w:rPr>
          <w:rFonts w:eastAsia="Times New Roman" w:cs="Times New Roman"/>
        </w:rPr>
      </w:pPr>
      <w:r w:rsidRPr="00C6001A">
        <w:rPr>
          <w:rFonts w:eastAsia="Times New Roman" w:cs="Times New Roman"/>
          <w:b/>
        </w:rPr>
        <w:t>AT&amp;T Sponsored Data</w:t>
      </w:r>
      <w:r>
        <w:rPr>
          <w:rFonts w:eastAsia="Times New Roman" w:cs="Times New Roman"/>
        </w:rPr>
        <w:t xml:space="preserve">. </w:t>
      </w:r>
      <w:r w:rsidR="006A7466" w:rsidRPr="20F8CBC5">
        <w:rPr>
          <w:rFonts w:eastAsia="Times New Roman" w:cs="Times New Roman"/>
        </w:rPr>
        <w:t>AT&amp;T Mobility’s “Sponsored Data” program</w:t>
      </w:r>
      <w:r w:rsidR="006A7466" w:rsidRPr="51D35F08">
        <w:rPr>
          <w:rFonts w:eastAsia="Times New Roman" w:cs="Times New Roman"/>
        </w:rPr>
        <w:t xml:space="preserve">, </w:t>
      </w:r>
      <w:r w:rsidR="000A40E4">
        <w:rPr>
          <w:rFonts w:eastAsia="Times New Roman" w:cs="Times New Roman"/>
        </w:rPr>
        <w:t>first piloted</w:t>
      </w:r>
      <w:r w:rsidR="000A40E4" w:rsidRPr="51D35F08">
        <w:rPr>
          <w:rFonts w:eastAsia="Times New Roman" w:cs="Times New Roman"/>
        </w:rPr>
        <w:t xml:space="preserve"> </w:t>
      </w:r>
      <w:r w:rsidR="006A7466" w:rsidRPr="51D35F08">
        <w:rPr>
          <w:rFonts w:eastAsia="Times New Roman" w:cs="Times New Roman"/>
        </w:rPr>
        <w:t>in January 2014</w:t>
      </w:r>
      <w:r w:rsidR="006A7466" w:rsidRPr="17F18DB5">
        <w:rPr>
          <w:rStyle w:val="FootnoteReference"/>
          <w:rFonts w:eastAsia="Times New Roman" w:cs="Times New Roman"/>
        </w:rPr>
        <w:footnoteReference w:id="36"/>
      </w:r>
      <w:r w:rsidR="006A7466" w:rsidRPr="20F8CBC5">
        <w:rPr>
          <w:rFonts w:eastAsia="Times New Roman" w:cs="Times New Roman"/>
        </w:rPr>
        <w:t xml:space="preserve"> </w:t>
      </w:r>
      <w:r w:rsidR="006E7C83">
        <w:rPr>
          <w:rFonts w:eastAsia="Times New Roman" w:cs="Times New Roman"/>
        </w:rPr>
        <w:t>prior to its 2015 acquisition of DIRECTV,</w:t>
      </w:r>
      <w:r w:rsidR="006B06C4">
        <w:rPr>
          <w:rFonts w:eastAsia="Times New Roman" w:cs="Times New Roman"/>
        </w:rPr>
        <w:t xml:space="preserve"> </w:t>
      </w:r>
      <w:r w:rsidR="006A7466" w:rsidRPr="20F8CBC5">
        <w:rPr>
          <w:rFonts w:eastAsia="Times New Roman" w:cs="Times New Roman"/>
        </w:rPr>
        <w:t xml:space="preserve">enables edge providers to supply streaming video programming and other content and edge services to AT&amp;T’s mobile broadband consumers on a zero-rated basis – </w:t>
      </w:r>
      <w:r w:rsidR="006A7466" w:rsidRPr="20F8CBC5">
        <w:rPr>
          <w:rFonts w:eastAsia="Times New Roman" w:cs="Times New Roman"/>
          <w:i/>
        </w:rPr>
        <w:t>i.e.</w:t>
      </w:r>
      <w:r w:rsidR="006A7466" w:rsidRPr="20F8CBC5">
        <w:rPr>
          <w:rFonts w:eastAsia="Times New Roman" w:cs="Times New Roman"/>
        </w:rPr>
        <w:t>, without consumers’ data usage counting toward the monthly data usage allowances imposed by their AT&amp;T service plans.</w:t>
      </w:r>
      <w:r w:rsidR="006A7466" w:rsidRPr="20F8CBC5">
        <w:rPr>
          <w:rStyle w:val="FootnoteReference"/>
          <w:rFonts w:eastAsia="Times New Roman" w:cs="Times New Roman"/>
        </w:rPr>
        <w:footnoteReference w:id="37"/>
      </w:r>
      <w:r w:rsidR="000A40E4">
        <w:rPr>
          <w:rFonts w:eastAsia="Times New Roman" w:cs="Times New Roman"/>
        </w:rPr>
        <w:t xml:space="preserve">  </w:t>
      </w:r>
      <w:r w:rsidR="006E7C83">
        <w:rPr>
          <w:rFonts w:eastAsia="Times New Roman" w:cs="Times New Roman"/>
        </w:rPr>
        <w:t>In the fall of 2016, AT&amp;T began to zero-rate affiliated programming to its AT&amp;T Mobility customers on its DIRECTV App and its DirecTV Now over-the-top video product.</w:t>
      </w:r>
      <w:r w:rsidR="006E7C83">
        <w:rPr>
          <w:rStyle w:val="FootnoteReference"/>
          <w:rFonts w:eastAsia="Times New Roman" w:cs="Times New Roman"/>
        </w:rPr>
        <w:footnoteReference w:id="38"/>
      </w:r>
      <w:r w:rsidR="006A7466" w:rsidRPr="20F8CBC5">
        <w:rPr>
          <w:rFonts w:eastAsia="Times New Roman" w:cs="Times New Roman"/>
        </w:rPr>
        <w:t xml:space="preserve"> </w:t>
      </w:r>
      <w:r w:rsidR="006A7466" w:rsidRPr="20F8CBC5">
        <w:rPr>
          <w:rFonts w:eastAsia="Times New Roman" w:cs="Times New Roman"/>
          <w:i/>
        </w:rPr>
        <w:t xml:space="preserve">  </w:t>
      </w:r>
    </w:p>
    <w:p w14:paraId="033711A4" w14:textId="34C0EA21" w:rsidR="00E515CF" w:rsidRPr="00E515CF" w:rsidRDefault="00C6001A" w:rsidP="005E328C">
      <w:pPr>
        <w:pStyle w:val="ListParagraph"/>
        <w:numPr>
          <w:ilvl w:val="0"/>
          <w:numId w:val="4"/>
        </w:numPr>
        <w:spacing w:after="240"/>
        <w:contextualSpacing w:val="0"/>
        <w:rPr>
          <w:rFonts w:eastAsia="Times New Roman" w:cs="Times New Roman"/>
        </w:rPr>
      </w:pPr>
      <w:r w:rsidRPr="00C6001A">
        <w:rPr>
          <w:rFonts w:eastAsia="Times New Roman" w:cs="Times New Roman"/>
          <w:b/>
        </w:rPr>
        <w:t>Verizon FreeBee Data 360</w:t>
      </w:r>
      <w:r>
        <w:rPr>
          <w:rFonts w:eastAsia="Times New Roman" w:cs="Times New Roman"/>
        </w:rPr>
        <w:t xml:space="preserve">. </w:t>
      </w:r>
      <w:r w:rsidR="006A7466" w:rsidRPr="00E515CF">
        <w:rPr>
          <w:rFonts w:eastAsia="Times New Roman" w:cs="Times New Roman"/>
        </w:rPr>
        <w:t>Verizon Wireless launched its “FreeBee Data 360” program in January 2016,</w:t>
      </w:r>
      <w:r w:rsidR="006A7466" w:rsidRPr="59A79FC9">
        <w:rPr>
          <w:rStyle w:val="FootnoteReference"/>
          <w:rFonts w:eastAsia="Times New Roman" w:cs="Times New Roman"/>
        </w:rPr>
        <w:footnoteReference w:id="39"/>
      </w:r>
      <w:r w:rsidR="006A7466" w:rsidRPr="00E515CF">
        <w:rPr>
          <w:rFonts w:eastAsia="Times New Roman" w:cs="Times New Roman"/>
        </w:rPr>
        <w:t xml:space="preserve"> enabling edge providers to pay on a per-gigabyte-used basis for sponsored data to supply zero-rated content to Verizon’s mobile broadband </w:t>
      </w:r>
      <w:r w:rsidR="006A7466" w:rsidRPr="20F8CBC5">
        <w:rPr>
          <w:rFonts w:eastAsia="Times New Roman" w:cs="Times New Roman"/>
        </w:rPr>
        <w:t>subscribers</w:t>
      </w:r>
      <w:r w:rsidR="006865CA">
        <w:rPr>
          <w:rFonts w:eastAsia="Times New Roman" w:cs="Times New Roman"/>
        </w:rPr>
        <w:t>.</w:t>
      </w:r>
      <w:r w:rsidR="006865CA">
        <w:rPr>
          <w:rStyle w:val="FootnoteReference"/>
          <w:rFonts w:eastAsia="Times New Roman" w:cs="Times New Roman"/>
        </w:rPr>
        <w:footnoteReference w:id="40"/>
      </w:r>
      <w:r w:rsidR="006E7C83">
        <w:rPr>
          <w:rFonts w:eastAsia="Times New Roman" w:cs="Times New Roman"/>
        </w:rPr>
        <w:t xml:space="preserve"> Verizon’s go90 video platform offers zero-rated content to Verizon Wireless subscribers through this program.</w:t>
      </w:r>
      <w:r w:rsidR="006E7C83">
        <w:rPr>
          <w:rStyle w:val="FootnoteReference"/>
          <w:rFonts w:eastAsia="Times New Roman" w:cs="Times New Roman"/>
        </w:rPr>
        <w:footnoteReference w:id="41"/>
      </w:r>
    </w:p>
    <w:p w14:paraId="3455614D" w14:textId="4469306D" w:rsidR="000437ED" w:rsidRDefault="006A7466" w:rsidP="00601C0A">
      <w:pPr>
        <w:spacing w:after="240"/>
        <w:ind w:firstLine="720"/>
        <w:rPr>
          <w:rFonts w:eastAsia="Times New Roman" w:cs="Times New Roman"/>
        </w:rPr>
      </w:pPr>
      <w:r>
        <w:rPr>
          <w:rFonts w:eastAsia="Times New Roman" w:cs="Times New Roman"/>
        </w:rPr>
        <w:t xml:space="preserve">During our policy </w:t>
      </w:r>
      <w:r w:rsidR="0005737B">
        <w:rPr>
          <w:rFonts w:eastAsia="Times New Roman" w:cs="Times New Roman"/>
        </w:rPr>
        <w:t>review</w:t>
      </w:r>
      <w:r w:rsidRPr="20F8CBC5">
        <w:rPr>
          <w:rFonts w:eastAsia="Times New Roman" w:cs="Times New Roman"/>
        </w:rPr>
        <w:t xml:space="preserve"> we analyzed the</w:t>
      </w:r>
      <w:r>
        <w:rPr>
          <w:rFonts w:eastAsia="Times New Roman" w:cs="Times New Roman"/>
        </w:rPr>
        <w:t>se plans</w:t>
      </w:r>
      <w:r w:rsidRPr="20F8CBC5">
        <w:rPr>
          <w:rFonts w:eastAsia="Times New Roman" w:cs="Times New Roman"/>
        </w:rPr>
        <w:t xml:space="preserve"> on a case-by-case basis under the General Conduct Rule</w:t>
      </w:r>
      <w:r w:rsidRPr="20F8CBC5">
        <w:rPr>
          <w:rStyle w:val="FootnoteReference"/>
          <w:rFonts w:eastAsia="Times New Roman" w:cs="Times New Roman"/>
        </w:rPr>
        <w:footnoteReference w:id="42"/>
      </w:r>
      <w:r w:rsidRPr="20F8CBC5">
        <w:rPr>
          <w:rFonts w:eastAsia="Times New Roman" w:cs="Times New Roman"/>
        </w:rPr>
        <w:t xml:space="preserve"> using the criteria in the framework above.  The </w:t>
      </w:r>
      <w:r w:rsidRPr="00362B12">
        <w:rPr>
          <w:rFonts w:eastAsia="Times New Roman" w:cs="Times New Roman"/>
          <w:i/>
        </w:rPr>
        <w:t>2015</w:t>
      </w:r>
      <w:r w:rsidRPr="20F8CBC5">
        <w:rPr>
          <w:rFonts w:eastAsia="Times New Roman" w:cs="Times New Roman"/>
        </w:rPr>
        <w:t xml:space="preserve"> </w:t>
      </w:r>
      <w:r w:rsidRPr="20F8CBC5">
        <w:rPr>
          <w:rFonts w:eastAsia="Times New Roman" w:cs="Times New Roman"/>
          <w:i/>
        </w:rPr>
        <w:t xml:space="preserve">Open Internet Order </w:t>
      </w:r>
      <w:r w:rsidRPr="20F8CBC5">
        <w:rPr>
          <w:rFonts w:eastAsia="Times New Roman" w:cs="Times New Roman"/>
        </w:rPr>
        <w:t>explained that case-by-case application of the general conduct standard is intended to protect against harms to the open nature of the Internet while accommodating emerging technologies in the dynamic Internet ecosystem, facilitating innovation in business arrangements and service offerings, and enabling broadband providers to introduce and modify their service offerings without prior regulatory approval.</w:t>
      </w:r>
      <w:r w:rsidRPr="20F8CBC5">
        <w:rPr>
          <w:rStyle w:val="FootnoteReference"/>
          <w:rFonts w:eastAsia="Times New Roman" w:cs="Times New Roman"/>
        </w:rPr>
        <w:footnoteReference w:id="43"/>
      </w:r>
      <w:r w:rsidRPr="20F8CBC5">
        <w:rPr>
          <w:rFonts w:eastAsia="Times New Roman" w:cs="Times New Roman"/>
        </w:rPr>
        <w:t xml:space="preserve">  The General Conduct Rule prohibits practices that unreasonably interfere with or unreasonably disadvantage </w:t>
      </w:r>
      <w:r w:rsidRPr="20F8CBC5">
        <w:rPr>
          <w:rFonts w:eastAsia="Times New Roman" w:cs="Times New Roman"/>
          <w:i/>
        </w:rPr>
        <w:t>end users’</w:t>
      </w:r>
      <w:r w:rsidRPr="20F8CBC5">
        <w:rPr>
          <w:rFonts w:eastAsia="Times New Roman" w:cs="Times New Roman"/>
        </w:rPr>
        <w:t xml:space="preserve"> ability to select, access, and use broadband Internet access service or the lawful Internet content, applications, services, or devices of their choice, or that unreasonably interfere with or unreasonably disadvantage </w:t>
      </w:r>
      <w:r w:rsidRPr="20F8CBC5">
        <w:rPr>
          <w:rFonts w:eastAsia="Times New Roman" w:cs="Times New Roman"/>
          <w:i/>
        </w:rPr>
        <w:t>edge providers’</w:t>
      </w:r>
      <w:r w:rsidRPr="20F8CBC5">
        <w:rPr>
          <w:rFonts w:eastAsia="Times New Roman" w:cs="Times New Roman"/>
        </w:rPr>
        <w:t xml:space="preserve"> ability to make lawful content, applications, services, or devices available to end users.</w:t>
      </w:r>
      <w:r w:rsidRPr="20F8CBC5">
        <w:rPr>
          <w:rStyle w:val="FootnoteReference"/>
          <w:rFonts w:eastAsia="Times New Roman" w:cs="Times New Roman"/>
        </w:rPr>
        <w:footnoteReference w:id="44"/>
      </w:r>
      <w:r w:rsidRPr="20F8CBC5">
        <w:rPr>
          <w:rFonts w:eastAsia="Times New Roman" w:cs="Times New Roman"/>
        </w:rPr>
        <w:t xml:space="preserve">  The Commission articulated a non-exhaustive list of factors to guide its case-by-case application and interpretation of the rule.</w:t>
      </w:r>
      <w:r w:rsidRPr="20F8CBC5">
        <w:rPr>
          <w:rStyle w:val="FootnoteReference"/>
          <w:rFonts w:eastAsia="Times New Roman" w:cs="Times New Roman"/>
        </w:rPr>
        <w:footnoteReference w:id="45"/>
      </w:r>
    </w:p>
    <w:p w14:paraId="5EB37810" w14:textId="3D6E3612" w:rsidR="006A7466" w:rsidRDefault="006A7466" w:rsidP="00601C0A">
      <w:pPr>
        <w:spacing w:after="240"/>
        <w:ind w:firstLine="720"/>
        <w:rPr>
          <w:rFonts w:cs="Times New Roman"/>
          <w:bCs/>
          <w:szCs w:val="24"/>
        </w:rPr>
      </w:pPr>
      <w:r w:rsidRPr="20F8CBC5">
        <w:rPr>
          <w:rFonts w:eastAsia="Times New Roman" w:cs="Times New Roman"/>
        </w:rPr>
        <w:t>In the context o</w:t>
      </w:r>
      <w:r w:rsidR="00DC0009">
        <w:rPr>
          <w:rFonts w:eastAsia="Times New Roman" w:cs="Times New Roman"/>
        </w:rPr>
        <w:t xml:space="preserve">f the zero-rating and sponsored </w:t>
      </w:r>
      <w:r w:rsidRPr="20F8CBC5">
        <w:rPr>
          <w:rFonts w:eastAsia="Times New Roman" w:cs="Times New Roman"/>
        </w:rPr>
        <w:t xml:space="preserve">data practices at issue here, the </w:t>
      </w:r>
      <w:r w:rsidRPr="20F8CBC5">
        <w:rPr>
          <w:rFonts w:eastAsia="Times New Roman" w:cs="Times New Roman"/>
          <w:i/>
        </w:rPr>
        <w:t>competitive effects</w:t>
      </w:r>
      <w:r w:rsidRPr="20F8CBC5">
        <w:rPr>
          <w:rFonts w:eastAsia="Times New Roman" w:cs="Times New Roman"/>
        </w:rPr>
        <w:t xml:space="preserve"> factor has the most direct bearing on our evaluation under the General Conduct Rule, and is the focus of the discussion below.</w:t>
      </w:r>
      <w:r w:rsidRPr="20F8CBC5">
        <w:rPr>
          <w:rStyle w:val="FootnoteReference"/>
          <w:rFonts w:eastAsia="Times New Roman" w:cs="Times New Roman"/>
        </w:rPr>
        <w:footnoteReference w:id="46"/>
      </w:r>
      <w:r w:rsidRPr="20F8CBC5">
        <w:rPr>
          <w:rFonts w:eastAsia="Times New Roman" w:cs="Times New Roman"/>
        </w:rPr>
        <w:t xml:space="preserve">  We also note that as the General Conduct Rule represents the Commission’s interpretation of Sections 201 and 202 of the Communications Act in the broadband Internet access context, the discussion below equally represents the </w:t>
      </w:r>
      <w:r w:rsidR="0092391C">
        <w:rPr>
          <w:rFonts w:eastAsia="Times New Roman" w:cs="Times New Roman"/>
        </w:rPr>
        <w:t>Bureau’s</w:t>
      </w:r>
      <w:r w:rsidR="0092391C" w:rsidRPr="20F8CBC5">
        <w:rPr>
          <w:rFonts w:eastAsia="Times New Roman" w:cs="Times New Roman"/>
        </w:rPr>
        <w:t xml:space="preserve"> </w:t>
      </w:r>
      <w:r w:rsidRPr="20F8CBC5">
        <w:rPr>
          <w:rFonts w:eastAsia="Times New Roman" w:cs="Times New Roman"/>
        </w:rPr>
        <w:t xml:space="preserve">analysis of these practices under the Communications Act itself and not only under </w:t>
      </w:r>
      <w:r w:rsidRPr="00362B12">
        <w:rPr>
          <w:rFonts w:eastAsia="Times New Roman" w:cs="Times New Roman"/>
        </w:rPr>
        <w:t>the</w:t>
      </w:r>
      <w:r w:rsidRPr="20F8CBC5">
        <w:rPr>
          <w:rFonts w:eastAsia="Times New Roman" w:cs="Times New Roman"/>
          <w:i/>
        </w:rPr>
        <w:t xml:space="preserve"> </w:t>
      </w:r>
      <w:r>
        <w:rPr>
          <w:rFonts w:eastAsia="Times New Roman" w:cs="Times New Roman"/>
          <w:i/>
        </w:rPr>
        <w:t xml:space="preserve">2015 </w:t>
      </w:r>
      <w:r w:rsidRPr="20F8CBC5">
        <w:rPr>
          <w:rFonts w:eastAsia="Times New Roman" w:cs="Times New Roman"/>
          <w:i/>
        </w:rPr>
        <w:t>Open Internet Order</w:t>
      </w:r>
      <w:r w:rsidRPr="20F8CBC5">
        <w:rPr>
          <w:rFonts w:eastAsia="Times New Roman" w:cs="Times New Roman"/>
        </w:rPr>
        <w:t>.</w:t>
      </w:r>
      <w:r w:rsidRPr="20F8CBC5">
        <w:rPr>
          <w:rStyle w:val="FootnoteReference"/>
          <w:rFonts w:eastAsia="Times New Roman" w:cs="Times New Roman"/>
        </w:rPr>
        <w:footnoteReference w:id="47"/>
      </w:r>
    </w:p>
    <w:p w14:paraId="2611EBBC" w14:textId="77777777" w:rsidR="006A7466" w:rsidRPr="00E73FA9" w:rsidRDefault="006A7466" w:rsidP="006A7466">
      <w:pPr>
        <w:pStyle w:val="ListParagraph"/>
        <w:keepNext/>
        <w:numPr>
          <w:ilvl w:val="0"/>
          <w:numId w:val="2"/>
        </w:numPr>
        <w:spacing w:after="240"/>
        <w:ind w:left="360"/>
        <w:contextualSpacing w:val="0"/>
        <w:rPr>
          <w:rFonts w:eastAsia="Times New Roman" w:cs="Times New Roman"/>
        </w:rPr>
      </w:pPr>
      <w:r w:rsidRPr="20F8CBC5">
        <w:rPr>
          <w:rFonts w:eastAsia="Times New Roman" w:cs="Times New Roman"/>
          <w:b/>
          <w:caps/>
        </w:rPr>
        <w:t>Evaluation of Mobile Broadband Providers’ Sponsored Data Practices Affecting Zero-Rated Edge Services</w:t>
      </w:r>
    </w:p>
    <w:p w14:paraId="340A8034" w14:textId="7EC36071" w:rsidR="00550928" w:rsidRDefault="00550928" w:rsidP="00550928">
      <w:pPr>
        <w:spacing w:after="240"/>
        <w:ind w:firstLine="360"/>
        <w:rPr>
          <w:rFonts w:cs="Times New Roman"/>
          <w:szCs w:val="24"/>
        </w:rPr>
      </w:pPr>
      <w:r w:rsidRPr="00550928">
        <w:rPr>
          <w:rFonts w:cs="Times New Roman"/>
          <w:szCs w:val="24"/>
        </w:rPr>
        <w:t>In evaluating the four sponsored data programs under review,</w:t>
      </w:r>
      <w:r w:rsidRPr="00550928">
        <w:rPr>
          <w:rStyle w:val="FootnoteReference"/>
          <w:rFonts w:eastAsia="Times New Roman" w:cs="Times New Roman"/>
        </w:rPr>
        <w:t xml:space="preserve"> </w:t>
      </w:r>
      <w:r>
        <w:rPr>
          <w:rFonts w:cs="Times New Roman"/>
          <w:szCs w:val="24"/>
        </w:rPr>
        <w:t xml:space="preserve"> </w:t>
      </w:r>
      <w:r w:rsidR="002A2DF9">
        <w:rPr>
          <w:rFonts w:cs="Times New Roman"/>
          <w:szCs w:val="24"/>
        </w:rPr>
        <w:t>we</w:t>
      </w:r>
      <w:r w:rsidRPr="00550928">
        <w:rPr>
          <w:rFonts w:cs="Times New Roman"/>
          <w:szCs w:val="24"/>
        </w:rPr>
        <w:t xml:space="preserve"> focused on the relevant principles outlined in Part II to assess the potential of these practices to harm competition and consumers. Based on the actual practices we reviewed, the major focus for our evaluation was the potential harm to consumers and competition in downstream industry sectors that could result from upstream network operators’ unreasonably discriminating in favor of select downstream providers that are affiliates.</w:t>
      </w:r>
    </w:p>
    <w:p w14:paraId="758A3B97" w14:textId="77777777" w:rsidR="00550928" w:rsidRPr="00F51389" w:rsidRDefault="00550928" w:rsidP="00550928">
      <w:pPr>
        <w:pStyle w:val="ListParagraph"/>
        <w:numPr>
          <w:ilvl w:val="0"/>
          <w:numId w:val="19"/>
        </w:numPr>
        <w:spacing w:after="240"/>
        <w:contextualSpacing w:val="0"/>
        <w:rPr>
          <w:rFonts w:eastAsia="Times New Roman" w:cs="Times New Roman"/>
          <w:b/>
        </w:rPr>
      </w:pPr>
      <w:r w:rsidRPr="20F8CBC5">
        <w:rPr>
          <w:rFonts w:eastAsia="Times New Roman" w:cs="Times New Roman"/>
          <w:b/>
        </w:rPr>
        <w:t>T-Mobile’s Binge On</w:t>
      </w:r>
    </w:p>
    <w:p w14:paraId="005D04B2" w14:textId="7D434444"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T-Mobile, like other operators of</w:t>
      </w:r>
      <w:r w:rsidR="00C6001A">
        <w:rPr>
          <w:rFonts w:eastAsia="Times New Roman" w:cs="Times New Roman"/>
        </w:rPr>
        <w:t xml:space="preserve"> mobile broadband networks, has</w:t>
      </w:r>
      <w:r w:rsidRPr="20F8CBC5">
        <w:rPr>
          <w:rFonts w:eastAsia="Times New Roman" w:cs="Times New Roman"/>
        </w:rPr>
        <w:t xml:space="preserve"> “gatekeeper” control over edge providers’ access to its subscribers at any particular point in time, and therefore might have the ability to restrict or interfere with edge providers’ ability to distribute content or services to their end users.  Moreover, Binge On is an “input” that enables the provision of retail </w:t>
      </w:r>
      <w:r w:rsidR="00EC75DD">
        <w:rPr>
          <w:rFonts w:eastAsia="Times New Roman" w:cs="Times New Roman"/>
        </w:rPr>
        <w:t xml:space="preserve">edge </w:t>
      </w:r>
      <w:r w:rsidRPr="20F8CBC5">
        <w:rPr>
          <w:rFonts w:eastAsia="Times New Roman" w:cs="Times New Roman"/>
        </w:rPr>
        <w:t xml:space="preserve">services by firms in an industry sector </w:t>
      </w:r>
      <w:r w:rsidR="00EC75DD">
        <w:rPr>
          <w:rFonts w:eastAsia="Times New Roman" w:cs="Times New Roman"/>
        </w:rPr>
        <w:t>downstream</w:t>
      </w:r>
      <w:r w:rsidR="00EC75DD" w:rsidRPr="20F8CBC5">
        <w:rPr>
          <w:rFonts w:eastAsia="Times New Roman" w:cs="Times New Roman"/>
        </w:rPr>
        <w:t xml:space="preserve"> </w:t>
      </w:r>
      <w:r w:rsidR="00EC75DD">
        <w:rPr>
          <w:rFonts w:eastAsia="Times New Roman" w:cs="Times New Roman"/>
        </w:rPr>
        <w:t>of</w:t>
      </w:r>
      <w:r w:rsidR="00EC75DD" w:rsidRPr="20F8CBC5">
        <w:rPr>
          <w:rFonts w:eastAsia="Times New Roman" w:cs="Times New Roman"/>
        </w:rPr>
        <w:t xml:space="preserve"> </w:t>
      </w:r>
      <w:r w:rsidRPr="20F8CBC5">
        <w:rPr>
          <w:rFonts w:eastAsia="Times New Roman" w:cs="Times New Roman"/>
        </w:rPr>
        <w:t xml:space="preserve">T-Mobile’s mobile broadband service, and thus theoretically might </w:t>
      </w:r>
      <w:r w:rsidR="001E280C">
        <w:rPr>
          <w:rFonts w:eastAsia="Times New Roman" w:cs="Times New Roman"/>
        </w:rPr>
        <w:t>create risks to competitio</w:t>
      </w:r>
      <w:r w:rsidR="00EC75DD">
        <w:rPr>
          <w:rFonts w:eastAsia="Times New Roman" w:cs="Times New Roman"/>
        </w:rPr>
        <w:t>n and innovation in edge services</w:t>
      </w:r>
      <w:r w:rsidRPr="20F8CBC5">
        <w:rPr>
          <w:rFonts w:eastAsia="Times New Roman" w:cs="Times New Roman"/>
        </w:rPr>
        <w:t xml:space="preserve">.  Given the prices, terms, and conditions of Binge On, however, we believe it is unlikely that the offering violates the General Conduct Rule.   </w:t>
      </w:r>
    </w:p>
    <w:p w14:paraId="0B89E035" w14:textId="501D8114"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T-Mobile does not charge edge providers or end users to participate in or use Binge On.  From the consumer’s side, T-Mobile subscribers can easily enable or disable Binge On from their user settings and opt-out or</w:t>
      </w:r>
      <w:r>
        <w:rPr>
          <w:rFonts w:eastAsia="Times New Roman" w:cs="Times New Roman"/>
        </w:rPr>
        <w:t xml:space="preserve"> op</w:t>
      </w:r>
      <w:r w:rsidRPr="20F8CBC5">
        <w:rPr>
          <w:rFonts w:eastAsia="Times New Roman" w:cs="Times New Roman"/>
        </w:rPr>
        <w:t>t-in to zero</w:t>
      </w:r>
      <w:r w:rsidR="004E3F94">
        <w:rPr>
          <w:rFonts w:eastAsia="Times New Roman" w:cs="Times New Roman"/>
        </w:rPr>
        <w:t>-</w:t>
      </w:r>
      <w:r w:rsidRPr="20F8CBC5">
        <w:rPr>
          <w:rFonts w:eastAsia="Times New Roman" w:cs="Times New Roman"/>
        </w:rPr>
        <w:t>rating as they choose.</w:t>
      </w:r>
      <w:r w:rsidRPr="20F8CBC5">
        <w:rPr>
          <w:rStyle w:val="FootnoteReference"/>
          <w:rFonts w:eastAsia="Times New Roman" w:cs="Times New Roman"/>
        </w:rPr>
        <w:footnoteReference w:id="48"/>
      </w:r>
      <w:r w:rsidRPr="20F8CBC5">
        <w:rPr>
          <w:rFonts w:eastAsia="Times New Roman" w:cs="Times New Roman"/>
        </w:rPr>
        <w:t xml:space="preserve">  Although T-Mobile does establish technical standards governing video transmissions for edge providers who wish to participate in Binge On, it appears that many edge providers have been able to meet these technical criteria, with T-Mobile announcing that over 100 edge providers were participating in Binge On as of July 26, 2016.</w:t>
      </w:r>
      <w:r w:rsidRPr="20F8CBC5">
        <w:rPr>
          <w:rStyle w:val="FootnoteReference"/>
          <w:rFonts w:eastAsia="Times New Roman" w:cs="Times New Roman"/>
        </w:rPr>
        <w:footnoteReference w:id="49"/>
      </w:r>
      <w:r w:rsidR="00E7069B">
        <w:rPr>
          <w:rFonts w:eastAsia="Times New Roman" w:cs="Times New Roman"/>
        </w:rPr>
        <w:t xml:space="preserve">  </w:t>
      </w:r>
      <w:r w:rsidRPr="20F8CBC5">
        <w:rPr>
          <w:rFonts w:eastAsia="Times New Roman" w:cs="Times New Roman"/>
        </w:rPr>
        <w:t xml:space="preserve">Given these facts, we find it difficult to envision that Binge On </w:t>
      </w:r>
      <w:r w:rsidR="00EC75DD">
        <w:rPr>
          <w:rFonts w:eastAsia="Times New Roman" w:cs="Times New Roman"/>
        </w:rPr>
        <w:t xml:space="preserve">in the form the Bureau reviewed in 2016 </w:t>
      </w:r>
      <w:r w:rsidRPr="20F8CBC5">
        <w:rPr>
          <w:rFonts w:eastAsia="Times New Roman" w:cs="Times New Roman"/>
        </w:rPr>
        <w:t>could “unreasonably interfere with edge providers’ ability to make lawful content, applications, services, or devices available to end users</w:t>
      </w:r>
      <w:r>
        <w:rPr>
          <w:rFonts w:eastAsia="Times New Roman" w:cs="Times New Roman"/>
        </w:rPr>
        <w:t>.</w:t>
      </w:r>
      <w:r w:rsidRPr="20F8CBC5">
        <w:rPr>
          <w:rFonts w:eastAsia="Times New Roman" w:cs="Times New Roman"/>
        </w:rPr>
        <w:t>”</w:t>
      </w:r>
      <w:r w:rsidRPr="20F8CBC5">
        <w:rPr>
          <w:rStyle w:val="FootnoteReference"/>
          <w:rFonts w:eastAsia="Times New Roman" w:cs="Times New Roman"/>
        </w:rPr>
        <w:footnoteReference w:id="50"/>
      </w:r>
    </w:p>
    <w:p w14:paraId="436B05EE" w14:textId="60BE6B53"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Moreover, T-Mobile provides little streaming video programming of its own at present, and while it (or affiliated entities) might seek to more fully establish affiliated content arrangements in the future, for now T-Mobile does not compete substantially with downstream edge providers that supply video programming using Binge On (such as, for example, DIRECTV Now).</w:t>
      </w:r>
      <w:r w:rsidRPr="20F8CBC5">
        <w:rPr>
          <w:rStyle w:val="FootnoteReference"/>
          <w:rFonts w:eastAsia="Times New Roman" w:cs="Times New Roman"/>
        </w:rPr>
        <w:footnoteReference w:id="51"/>
      </w:r>
      <w:r w:rsidRPr="20F8CBC5">
        <w:rPr>
          <w:rFonts w:eastAsia="Times New Roman" w:cs="Times New Roman"/>
        </w:rPr>
        <w:t xml:space="preserve">  Accordingly, T-Mobile is not likely to have strong incentives to “unreasonably disadvantage” unaffiliated edge providers, and we are not aware of any evidence that it is doing so.  Finally, T-Mobile charges all edge provider participants an identical zero price and, so far as </w:t>
      </w:r>
      <w:r w:rsidR="002A2DF9">
        <w:rPr>
          <w:rFonts w:eastAsia="Times New Roman" w:cs="Times New Roman"/>
        </w:rPr>
        <w:t>we</w:t>
      </w:r>
      <w:r w:rsidR="00177487">
        <w:rPr>
          <w:rFonts w:eastAsia="Times New Roman" w:cs="Times New Roman"/>
        </w:rPr>
        <w:t xml:space="preserve"> are</w:t>
      </w:r>
      <w:r w:rsidRPr="20F8CBC5">
        <w:rPr>
          <w:rFonts w:eastAsia="Times New Roman" w:cs="Times New Roman"/>
        </w:rPr>
        <w:t xml:space="preserve"> aware, has uniform technical requirements for all interested edge providers</w:t>
      </w:r>
      <w:r>
        <w:rPr>
          <w:rFonts w:eastAsia="Times New Roman" w:cs="Times New Roman"/>
        </w:rPr>
        <w:t xml:space="preserve"> that numerous providers have been able to meet</w:t>
      </w:r>
      <w:r w:rsidRPr="20F8CBC5">
        <w:rPr>
          <w:rFonts w:eastAsia="Times New Roman" w:cs="Times New Roman"/>
        </w:rPr>
        <w:t xml:space="preserve">.  Binge On thus appears not to discriminate against or disadvantage (much less unreasonably discriminate or unreasonably disadvantage) any edge provider or end user.  </w:t>
      </w:r>
      <w:r w:rsidRPr="00F51389">
        <w:rPr>
          <w:rFonts w:cs="Times New Roman"/>
          <w:szCs w:val="24"/>
        </w:rPr>
        <w:tab/>
      </w:r>
    </w:p>
    <w:p w14:paraId="7BCF57E9" w14:textId="77777777" w:rsidR="006A7466" w:rsidRPr="00F51389" w:rsidRDefault="006A7466" w:rsidP="006A7466">
      <w:pPr>
        <w:pStyle w:val="ListParagraph"/>
        <w:keepNext/>
        <w:numPr>
          <w:ilvl w:val="0"/>
          <w:numId w:val="19"/>
        </w:numPr>
        <w:spacing w:after="240"/>
        <w:contextualSpacing w:val="0"/>
        <w:rPr>
          <w:rFonts w:eastAsia="Times New Roman" w:cs="Times New Roman"/>
          <w:b/>
        </w:rPr>
      </w:pPr>
      <w:r w:rsidRPr="20F8CBC5">
        <w:rPr>
          <w:rFonts w:eastAsia="Times New Roman" w:cs="Times New Roman"/>
          <w:b/>
        </w:rPr>
        <w:t xml:space="preserve">AT&amp;T’s Data Perks </w:t>
      </w:r>
    </w:p>
    <w:p w14:paraId="5C6C7C1B" w14:textId="2EAAD6ED"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 xml:space="preserve">At this time, </w:t>
      </w:r>
      <w:r w:rsidR="00295D98">
        <w:rPr>
          <w:rFonts w:eastAsia="Times New Roman" w:cs="Times New Roman"/>
        </w:rPr>
        <w:t xml:space="preserve">AT&amp;T’s </w:t>
      </w:r>
      <w:r w:rsidRPr="20F8CBC5">
        <w:rPr>
          <w:rFonts w:eastAsia="Times New Roman" w:cs="Times New Roman"/>
        </w:rPr>
        <w:t>Data Perks appears to be designed for use primarily by marketing firms and advertisers seek</w:t>
      </w:r>
      <w:r w:rsidR="009D4068">
        <w:rPr>
          <w:rFonts w:eastAsia="Times New Roman" w:cs="Times New Roman"/>
        </w:rPr>
        <w:t>ing</w:t>
      </w:r>
      <w:r w:rsidRPr="20F8CBC5">
        <w:rPr>
          <w:rFonts w:eastAsia="Times New Roman" w:cs="Times New Roman"/>
        </w:rPr>
        <w:t xml:space="preserve"> to entice consumers to view their online ads or interact with their marketing apps by offering “free” data to those consumers for use with any content of the consumer’s choosing.  Data Perks also can be used to enable marketers to deliver content or applications to consumers </w:t>
      </w:r>
      <w:r w:rsidR="006A780D">
        <w:rPr>
          <w:rFonts w:eastAsia="Times New Roman" w:cs="Times New Roman"/>
        </w:rPr>
        <w:t xml:space="preserve">effectively </w:t>
      </w:r>
      <w:r w:rsidRPr="20F8CBC5">
        <w:rPr>
          <w:rFonts w:eastAsia="Times New Roman" w:cs="Times New Roman"/>
        </w:rPr>
        <w:t xml:space="preserve">on a zero-rated basis – </w:t>
      </w:r>
      <w:r w:rsidRPr="20F8CBC5">
        <w:rPr>
          <w:rFonts w:eastAsia="Times New Roman" w:cs="Times New Roman"/>
          <w:i/>
        </w:rPr>
        <w:t>i.e.</w:t>
      </w:r>
      <w:r w:rsidRPr="20F8CBC5">
        <w:rPr>
          <w:rFonts w:eastAsia="Times New Roman" w:cs="Times New Roman"/>
        </w:rPr>
        <w:t xml:space="preserve">, to let consumers view their ads or </w:t>
      </w:r>
      <w:r w:rsidR="006A780D">
        <w:rPr>
          <w:rFonts w:eastAsia="Times New Roman" w:cs="Times New Roman"/>
        </w:rPr>
        <w:t>download</w:t>
      </w:r>
      <w:r w:rsidRPr="20F8CBC5">
        <w:rPr>
          <w:rFonts w:eastAsia="Times New Roman" w:cs="Times New Roman"/>
        </w:rPr>
        <w:t xml:space="preserve"> their games, surveys, or other apps, without affecting their monthly data usage allowances. </w:t>
      </w:r>
      <w:r w:rsidR="006A780D">
        <w:rPr>
          <w:rStyle w:val="FootnoteReference"/>
          <w:rFonts w:eastAsia="Times New Roman" w:cs="Times New Roman"/>
        </w:rPr>
        <w:footnoteReference w:id="52"/>
      </w:r>
      <w:r w:rsidRPr="20F8CBC5">
        <w:rPr>
          <w:rFonts w:eastAsia="Times New Roman" w:cs="Times New Roman"/>
        </w:rPr>
        <w:t xml:space="preserve"> </w:t>
      </w:r>
    </w:p>
    <w:p w14:paraId="2F62C618" w14:textId="605D15CB" w:rsidR="00E61A00" w:rsidRDefault="002A67D5" w:rsidP="002A67D5">
      <w:pPr>
        <w:spacing w:after="240"/>
        <w:ind w:firstLine="360"/>
        <w:rPr>
          <w:rFonts w:eastAsia="Times New Roman" w:cs="Times New Roman"/>
        </w:rPr>
      </w:pPr>
      <w:r w:rsidRPr="002A67D5">
        <w:rPr>
          <w:rFonts w:eastAsia="Times New Roman" w:cs="Times New Roman"/>
        </w:rPr>
        <w:t xml:space="preserve">Based on information we have on Data Perks, </w:t>
      </w:r>
      <w:r w:rsidR="00C6001A">
        <w:rPr>
          <w:rFonts w:eastAsia="Times New Roman" w:cs="Times New Roman"/>
        </w:rPr>
        <w:t>we</w:t>
      </w:r>
      <w:r w:rsidR="00C6001A" w:rsidRPr="002A67D5">
        <w:rPr>
          <w:rFonts w:eastAsia="Times New Roman" w:cs="Times New Roman"/>
        </w:rPr>
        <w:t xml:space="preserve"> </w:t>
      </w:r>
      <w:r w:rsidRPr="002A67D5">
        <w:rPr>
          <w:rFonts w:eastAsia="Times New Roman" w:cs="Times New Roman"/>
        </w:rPr>
        <w:t>believe it is not likely that this program unreasonably interferes with or disadvantages any edge providers’ or end users’ ability to use the Internet to reach one another</w:t>
      </w:r>
      <w:r>
        <w:rPr>
          <w:rFonts w:eastAsia="Times New Roman" w:cs="Times New Roman"/>
        </w:rPr>
        <w:t>. As an initial matter</w:t>
      </w:r>
      <w:r w:rsidR="00295D98">
        <w:rPr>
          <w:rFonts w:eastAsia="Times New Roman" w:cs="Times New Roman"/>
        </w:rPr>
        <w:t>,</w:t>
      </w:r>
      <w:r w:rsidR="009D4068">
        <w:rPr>
          <w:rFonts w:eastAsia="Times New Roman" w:cs="Times New Roman"/>
        </w:rPr>
        <w:t xml:space="preserve"> Data Perks benefits consumers by allowing them to get additional data to use for whatever purpose they choose.  Additionally, </w:t>
      </w:r>
      <w:r w:rsidR="00E61A00">
        <w:rPr>
          <w:rFonts w:eastAsia="Times New Roman" w:cs="Times New Roman"/>
        </w:rPr>
        <w:t xml:space="preserve">based on the information we have, it appears that most Data Perks participants are not marketing services that run over BIAS.  </w:t>
      </w:r>
      <w:r w:rsidR="00932CC8">
        <w:rPr>
          <w:rFonts w:eastAsia="Times New Roman" w:cs="Times New Roman"/>
        </w:rPr>
        <w:t>Also</w:t>
      </w:r>
      <w:r w:rsidR="00E61A00">
        <w:rPr>
          <w:rFonts w:eastAsia="Times New Roman" w:cs="Times New Roman"/>
        </w:rPr>
        <w:t xml:space="preserve">, </w:t>
      </w:r>
      <w:r w:rsidR="009D4068">
        <w:rPr>
          <w:rFonts w:eastAsia="Times New Roman" w:cs="Times New Roman"/>
        </w:rPr>
        <w:t xml:space="preserve">providers have other </w:t>
      </w:r>
      <w:r w:rsidR="00295D98">
        <w:rPr>
          <w:rFonts w:eastAsia="Times New Roman" w:cs="Times New Roman"/>
        </w:rPr>
        <w:t>a</w:t>
      </w:r>
      <w:r w:rsidR="009D4068">
        <w:rPr>
          <w:rFonts w:eastAsia="Times New Roman" w:cs="Times New Roman"/>
        </w:rPr>
        <w:t xml:space="preserve">venues </w:t>
      </w:r>
      <w:r w:rsidR="00E61A00">
        <w:rPr>
          <w:rFonts w:eastAsia="Times New Roman" w:cs="Times New Roman"/>
        </w:rPr>
        <w:t xml:space="preserve">through which to advertise to consumers.  Moreover, we are not aware </w:t>
      </w:r>
      <w:r w:rsidR="00C56247">
        <w:rPr>
          <w:rFonts w:eastAsia="Times New Roman" w:cs="Times New Roman"/>
        </w:rPr>
        <w:t xml:space="preserve">of any </w:t>
      </w:r>
      <w:r w:rsidR="00E61A00">
        <w:rPr>
          <w:rFonts w:eastAsia="Times New Roman" w:cs="Times New Roman"/>
        </w:rPr>
        <w:t>Data Perks</w:t>
      </w:r>
      <w:r w:rsidR="00FD6A6F">
        <w:rPr>
          <w:rFonts w:eastAsia="Times New Roman" w:cs="Times New Roman"/>
        </w:rPr>
        <w:t xml:space="preserve"> </w:t>
      </w:r>
      <w:r w:rsidR="00E61A00">
        <w:rPr>
          <w:rFonts w:eastAsia="Times New Roman" w:cs="Times New Roman"/>
        </w:rPr>
        <w:t xml:space="preserve">participants </w:t>
      </w:r>
      <w:r w:rsidR="00C56247">
        <w:rPr>
          <w:rFonts w:eastAsia="Times New Roman" w:cs="Times New Roman"/>
        </w:rPr>
        <w:t xml:space="preserve">who </w:t>
      </w:r>
      <w:r w:rsidR="00932CC8">
        <w:rPr>
          <w:rFonts w:eastAsia="Times New Roman" w:cs="Times New Roman"/>
        </w:rPr>
        <w:t xml:space="preserve">use the Data Perks app to provide services that </w:t>
      </w:r>
      <w:r w:rsidR="00E61A00">
        <w:rPr>
          <w:rFonts w:eastAsia="Times New Roman" w:cs="Times New Roman"/>
        </w:rPr>
        <w:t>compete with AT&amp;T or AT&amp;T affiliate</w:t>
      </w:r>
      <w:r w:rsidR="00C56247">
        <w:rPr>
          <w:rFonts w:eastAsia="Times New Roman" w:cs="Times New Roman"/>
        </w:rPr>
        <w:t>s at this time</w:t>
      </w:r>
      <w:r w:rsidR="00E61A00">
        <w:rPr>
          <w:rFonts w:eastAsia="Times New Roman" w:cs="Times New Roman"/>
        </w:rPr>
        <w:t xml:space="preserve">.  </w:t>
      </w:r>
      <w:r w:rsidR="00192E2B">
        <w:rPr>
          <w:rFonts w:eastAsia="Times New Roman" w:cs="Times New Roman"/>
        </w:rPr>
        <w:t>Importantly</w:t>
      </w:r>
      <w:r w:rsidR="00E61A00">
        <w:rPr>
          <w:rFonts w:eastAsia="Times New Roman" w:cs="Times New Roman"/>
        </w:rPr>
        <w:t>, Data Perks</w:t>
      </w:r>
      <w:r>
        <w:rPr>
          <w:rFonts w:eastAsia="Times New Roman" w:cs="Times New Roman"/>
        </w:rPr>
        <w:t xml:space="preserve">, </w:t>
      </w:r>
      <w:r w:rsidR="00932CC8">
        <w:rPr>
          <w:rFonts w:eastAsia="Times New Roman" w:cs="Times New Roman"/>
        </w:rPr>
        <w:t>as a marketing device</w:t>
      </w:r>
      <w:r>
        <w:rPr>
          <w:rFonts w:eastAsia="Times New Roman" w:cs="Times New Roman"/>
        </w:rPr>
        <w:t>,</w:t>
      </w:r>
      <w:r w:rsidR="00E61A00">
        <w:rPr>
          <w:rFonts w:eastAsia="Times New Roman" w:cs="Times New Roman"/>
        </w:rPr>
        <w:t xml:space="preserve"> seems to be </w:t>
      </w:r>
      <w:r>
        <w:rPr>
          <w:rFonts w:eastAsia="Times New Roman" w:cs="Times New Roman"/>
        </w:rPr>
        <w:t>designed</w:t>
      </w:r>
      <w:r w:rsidR="00E61A00">
        <w:rPr>
          <w:rFonts w:eastAsia="Times New Roman" w:cs="Times New Roman"/>
        </w:rPr>
        <w:t xml:space="preserve"> for zero-rating small amounts of data. </w:t>
      </w:r>
    </w:p>
    <w:p w14:paraId="2002F357" w14:textId="5E00BC07" w:rsidR="006A7466" w:rsidRPr="00F51389" w:rsidRDefault="006A7466" w:rsidP="006A7466">
      <w:pPr>
        <w:pStyle w:val="ListParagraph"/>
        <w:keepNext/>
        <w:numPr>
          <w:ilvl w:val="0"/>
          <w:numId w:val="19"/>
        </w:numPr>
        <w:spacing w:after="240"/>
        <w:contextualSpacing w:val="0"/>
        <w:rPr>
          <w:rFonts w:eastAsia="Times New Roman" w:cs="Times New Roman"/>
          <w:b/>
        </w:rPr>
      </w:pPr>
      <w:r w:rsidRPr="20F8CBC5">
        <w:rPr>
          <w:rFonts w:eastAsia="Times New Roman" w:cs="Times New Roman"/>
          <w:b/>
        </w:rPr>
        <w:t>AT&amp;T</w:t>
      </w:r>
      <w:r w:rsidR="00295D98">
        <w:rPr>
          <w:rFonts w:eastAsia="Times New Roman" w:cs="Times New Roman"/>
          <w:b/>
        </w:rPr>
        <w:t>’s</w:t>
      </w:r>
      <w:r w:rsidRPr="20F8CBC5">
        <w:rPr>
          <w:rFonts w:eastAsia="Times New Roman" w:cs="Times New Roman"/>
          <w:b/>
        </w:rPr>
        <w:t xml:space="preserve"> Sponsored Data</w:t>
      </w:r>
    </w:p>
    <w:p w14:paraId="2C3E105F" w14:textId="50AF2718"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 xml:space="preserve">AT&amp;T’s Sponsored Data program is designed to enable third party edge providers to deliver streaming edge content on a zero-rated basis to AT&amp;T’s mobile broadband subscribers.  Unlike the two sponsored data programs discussed above, </w:t>
      </w:r>
      <w:r w:rsidR="00C6001A">
        <w:rPr>
          <w:rFonts w:eastAsia="Times New Roman" w:cs="Times New Roman"/>
        </w:rPr>
        <w:t>we</w:t>
      </w:r>
      <w:r w:rsidRPr="20F8CBC5">
        <w:rPr>
          <w:rFonts w:eastAsia="Times New Roman" w:cs="Times New Roman"/>
        </w:rPr>
        <w:t xml:space="preserve"> have serious concerns that AT&amp;T Mobility’s Sponsored Data program present</w:t>
      </w:r>
      <w:r w:rsidR="0081393F">
        <w:rPr>
          <w:rFonts w:eastAsia="Times New Roman" w:cs="Times New Roman"/>
        </w:rPr>
        <w:t>s</w:t>
      </w:r>
      <w:r w:rsidRPr="20F8CBC5">
        <w:rPr>
          <w:rFonts w:eastAsia="Times New Roman" w:cs="Times New Roman"/>
        </w:rPr>
        <w:t xml:space="preserve"> competitive problems and, to date, nothing in AT&amp;T responses to the Bureau’s requests for information has addressed our concerns.  Based on the information gathered to date, </w:t>
      </w:r>
      <w:r w:rsidR="00C6001A">
        <w:rPr>
          <w:rFonts w:eastAsia="Times New Roman" w:cs="Times New Roman"/>
        </w:rPr>
        <w:t>we</w:t>
      </w:r>
      <w:r w:rsidRPr="20F8CBC5">
        <w:rPr>
          <w:rFonts w:eastAsia="Times New Roman" w:cs="Times New Roman"/>
        </w:rPr>
        <w:t xml:space="preserve"> believe there is a substantial possibility that </w:t>
      </w:r>
      <w:r w:rsidR="0081393F">
        <w:rPr>
          <w:rFonts w:eastAsia="Times New Roman" w:cs="Times New Roman"/>
        </w:rPr>
        <w:t xml:space="preserve">some of </w:t>
      </w:r>
      <w:r w:rsidRPr="20F8CBC5">
        <w:rPr>
          <w:rFonts w:eastAsia="Times New Roman" w:cs="Times New Roman"/>
        </w:rPr>
        <w:t>AT&amp;T’s practices may violate the General Conduct Rule.</w:t>
      </w:r>
      <w:r w:rsidRPr="00466D9F">
        <w:rPr>
          <w:rStyle w:val="FootnoteReference"/>
        </w:rPr>
        <w:t xml:space="preserve"> </w:t>
      </w:r>
      <w:r>
        <w:rPr>
          <w:rStyle w:val="FootnoteReference"/>
        </w:rPr>
        <w:footnoteReference w:id="53"/>
      </w:r>
    </w:p>
    <w:p w14:paraId="6406D617" w14:textId="726F90EC" w:rsidR="006A7466" w:rsidRPr="00F51389" w:rsidRDefault="006A7466" w:rsidP="006A7466">
      <w:pPr>
        <w:spacing w:after="240"/>
        <w:rPr>
          <w:rFonts w:eastAsia="Times New Roman" w:cs="Times New Roman"/>
        </w:rPr>
      </w:pPr>
      <w:r w:rsidRPr="00F51389">
        <w:rPr>
          <w:rFonts w:cs="Times New Roman"/>
          <w:szCs w:val="24"/>
        </w:rPr>
        <w:tab/>
      </w:r>
      <w:r w:rsidRPr="0099604A">
        <w:rPr>
          <w:rFonts w:eastAsia="Times New Roman" w:cs="Times New Roman"/>
        </w:rPr>
        <w:t xml:space="preserve">To </w:t>
      </w:r>
      <w:r w:rsidR="0099604A" w:rsidRPr="0099604A">
        <w:rPr>
          <w:rFonts w:eastAsia="Times New Roman" w:cs="Times New Roman"/>
        </w:rPr>
        <w:t>alleviate</w:t>
      </w:r>
      <w:r w:rsidR="0099604A">
        <w:rPr>
          <w:rFonts w:eastAsia="Times New Roman" w:cs="Times New Roman"/>
        </w:rPr>
        <w:t xml:space="preserve"> the concerns we have identified to date as detailed in </w:t>
      </w:r>
      <w:r w:rsidR="000F5970">
        <w:rPr>
          <w:rFonts w:eastAsia="Times New Roman" w:cs="Times New Roman"/>
        </w:rPr>
        <w:t>the letters of November 9 and December 1, 2016</w:t>
      </w:r>
      <w:r w:rsidRPr="20F8CBC5">
        <w:rPr>
          <w:rFonts w:eastAsia="Times New Roman" w:cs="Times New Roman"/>
        </w:rPr>
        <w:t xml:space="preserve">, we would need </w:t>
      </w:r>
      <w:r w:rsidR="000F5970">
        <w:rPr>
          <w:rFonts w:eastAsia="Times New Roman" w:cs="Times New Roman"/>
        </w:rPr>
        <w:t>information</w:t>
      </w:r>
      <w:r w:rsidR="000F5970" w:rsidRPr="20F8CBC5">
        <w:rPr>
          <w:rFonts w:eastAsia="Times New Roman" w:cs="Times New Roman"/>
        </w:rPr>
        <w:t xml:space="preserve"> </w:t>
      </w:r>
      <w:r w:rsidRPr="20F8CBC5">
        <w:rPr>
          <w:rFonts w:eastAsia="Times New Roman" w:cs="Times New Roman"/>
        </w:rPr>
        <w:t xml:space="preserve">to confirm that AT&amp;T Mobility offers Sponsored Data to unaffiliated third parties </w:t>
      </w:r>
      <w:r>
        <w:rPr>
          <w:rFonts w:eastAsia="Times New Roman" w:cs="Times New Roman"/>
        </w:rPr>
        <w:t>on</w:t>
      </w:r>
      <w:r w:rsidR="00F63243">
        <w:rPr>
          <w:rFonts w:eastAsia="Times New Roman" w:cs="Times New Roman"/>
        </w:rPr>
        <w:t xml:space="preserve"> effectively non-discriminatory terms</w:t>
      </w:r>
      <w:r>
        <w:rPr>
          <w:rFonts w:eastAsia="Times New Roman" w:cs="Times New Roman"/>
        </w:rPr>
        <w:t xml:space="preserve"> </w:t>
      </w:r>
      <w:r w:rsidR="00F63243">
        <w:rPr>
          <w:rFonts w:eastAsia="Times New Roman" w:cs="Times New Roman"/>
        </w:rPr>
        <w:t xml:space="preserve">compared </w:t>
      </w:r>
      <w:r w:rsidRPr="20F8CBC5">
        <w:rPr>
          <w:rFonts w:eastAsia="Times New Roman" w:cs="Times New Roman"/>
        </w:rPr>
        <w:t>to</w:t>
      </w:r>
      <w:r w:rsidR="000F5970">
        <w:rPr>
          <w:rFonts w:eastAsia="Times New Roman" w:cs="Times New Roman"/>
        </w:rPr>
        <w:t xml:space="preserve"> the terms maintained with</w:t>
      </w:r>
      <w:r w:rsidRPr="20F8CBC5">
        <w:rPr>
          <w:rFonts w:eastAsia="Times New Roman" w:cs="Times New Roman"/>
        </w:rPr>
        <w:t xml:space="preserve"> its </w:t>
      </w:r>
      <w:r w:rsidR="000F5970">
        <w:rPr>
          <w:rFonts w:eastAsia="Times New Roman" w:cs="Times New Roman"/>
        </w:rPr>
        <w:t xml:space="preserve">wholly-owned </w:t>
      </w:r>
      <w:r w:rsidRPr="20F8CBC5">
        <w:rPr>
          <w:rFonts w:eastAsia="Times New Roman" w:cs="Times New Roman"/>
        </w:rPr>
        <w:t xml:space="preserve">affiliate, DIRECTV.  We lack any such evidence.  In response to </w:t>
      </w:r>
      <w:r w:rsidR="00490BC7">
        <w:rPr>
          <w:rFonts w:eastAsia="Times New Roman" w:cs="Times New Roman"/>
        </w:rPr>
        <w:t>our</w:t>
      </w:r>
      <w:r w:rsidRPr="20F8CBC5">
        <w:rPr>
          <w:rFonts w:eastAsia="Times New Roman" w:cs="Times New Roman"/>
        </w:rPr>
        <w:t xml:space="preserve"> requests for information, AT&amp;T asserted that it offers Sponsored Data to DIRECTV Now and to unaffiliated edge providers at the same terms and conditions but did not provide any </w:t>
      </w:r>
      <w:r w:rsidR="000F5970">
        <w:rPr>
          <w:rFonts w:eastAsia="Times New Roman" w:cs="Times New Roman"/>
        </w:rPr>
        <w:t>response</w:t>
      </w:r>
      <w:r w:rsidRPr="20F8CBC5">
        <w:rPr>
          <w:rFonts w:eastAsia="Times New Roman" w:cs="Times New Roman"/>
        </w:rPr>
        <w:t xml:space="preserve"> to our questions that would support its assertion</w:t>
      </w:r>
      <w:r w:rsidR="00BA6291">
        <w:rPr>
          <w:rFonts w:eastAsia="Times New Roman" w:cs="Times New Roman"/>
        </w:rPr>
        <w:t>.</w:t>
      </w:r>
      <w:r w:rsidRPr="20F8CBC5">
        <w:rPr>
          <w:rFonts w:eastAsia="Times New Roman" w:cs="Times New Roman"/>
        </w:rPr>
        <w:t xml:space="preserve">  AT&amp;T’s responses do not enable us to compare the terms and conditions of AT&amp;T Mobility’s offerings to Sponsored Data customers with the terms and conditions of its treatment of DIRECTV; indeed, they do not even provide a complete picture of the terms of </w:t>
      </w:r>
      <w:r w:rsidR="00E76051">
        <w:rPr>
          <w:rFonts w:eastAsia="Times New Roman" w:cs="Times New Roman"/>
        </w:rPr>
        <w:t xml:space="preserve">the </w:t>
      </w:r>
      <w:r w:rsidRPr="20F8CBC5">
        <w:rPr>
          <w:rFonts w:eastAsia="Times New Roman" w:cs="Times New Roman"/>
        </w:rPr>
        <w:t xml:space="preserve">Sponsored Data program standing alone. </w:t>
      </w:r>
    </w:p>
    <w:p w14:paraId="7550186E" w14:textId="450F4471"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The limited information we have obtained to date, however, tends to support a conclusion opposite from AT&amp;T’s contentions </w:t>
      </w:r>
      <w:r w:rsidR="008B6ABD" w:rsidRPr="20F8CBC5">
        <w:rPr>
          <w:rFonts w:eastAsia="Times New Roman" w:cs="Times New Roman"/>
        </w:rPr>
        <w:t>– namely</w:t>
      </w:r>
      <w:r w:rsidRPr="20F8CBC5">
        <w:rPr>
          <w:rFonts w:eastAsia="Times New Roman" w:cs="Times New Roman"/>
        </w:rPr>
        <w:t xml:space="preserve">, that </w:t>
      </w:r>
      <w:r w:rsidRPr="000F5970">
        <w:rPr>
          <w:rFonts w:eastAsia="Times New Roman" w:cs="Times New Roman"/>
        </w:rPr>
        <w:t xml:space="preserve">AT&amp;T offers Sponsored Data to third party content providers at terms and conditions that are </w:t>
      </w:r>
      <w:r w:rsidR="00D52867" w:rsidRPr="000F5970">
        <w:rPr>
          <w:rFonts w:eastAsia="Times New Roman" w:cs="Times New Roman"/>
        </w:rPr>
        <w:t xml:space="preserve">effectively </w:t>
      </w:r>
      <w:r w:rsidRPr="000F5970">
        <w:rPr>
          <w:rFonts w:eastAsia="Times New Roman" w:cs="Times New Roman"/>
        </w:rPr>
        <w:t>less favorable than those it offers to its affiliate, DIRECTV.  Such arrangements</w:t>
      </w:r>
      <w:r w:rsidRPr="20F8CBC5">
        <w:rPr>
          <w:rFonts w:eastAsia="Times New Roman" w:cs="Times New Roman"/>
        </w:rPr>
        <w:t xml:space="preserve"> likely obstruct competition for video programming services delivered over mobile Internet platforms and harm consumers by inhibiting unaffiliated edge providers’ ability to provide such service to AT&amp;T’s wireless subscribers.  </w:t>
      </w:r>
    </w:p>
    <w:p w14:paraId="2CD6E7A5" w14:textId="18BC0134" w:rsidR="00D52867"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In theory, transactions among vertically-integrated corporate affiliates, in which the upstream “gatekeeper” network operator supplies inputs to its affiliated provider of downstream services, do not necessarily have anti-competitive impacts.  But in past cases where the Commission has found such arrangements to be “just and reasonable” and “not unreasonably discriminatory” under Sections 201 and 202, structural and/or conduct safeguards have been in place to ensure that the network entity supplied the inputs on reasonable terms that did not diverge significantly from the terms faced by the downstream affiliate.  Thus, in numerous contexts the Commission adopted rules (and in some cases, Congress enacted statutory provisions) that allowed vertical integration (</w:t>
      </w:r>
      <w:r w:rsidRPr="20F8CBC5">
        <w:rPr>
          <w:rFonts w:eastAsia="Times New Roman" w:cs="Times New Roman"/>
          <w:i/>
        </w:rPr>
        <w:t>i.e.</w:t>
      </w:r>
      <w:r w:rsidRPr="20F8CBC5">
        <w:rPr>
          <w:rFonts w:eastAsia="Times New Roman" w:cs="Times New Roman"/>
        </w:rPr>
        <w:t>, common ownership) of upstream network operators and downstream service providers, but required full structural separation of the network operators and downstream service provider affiliates.</w:t>
      </w:r>
    </w:p>
    <w:p w14:paraId="1CC61944" w14:textId="16EDC4A5" w:rsidR="006A7466" w:rsidRPr="00F51389" w:rsidRDefault="006A7466" w:rsidP="00D52867">
      <w:pPr>
        <w:spacing w:after="240"/>
        <w:ind w:firstLine="720"/>
        <w:rPr>
          <w:rFonts w:eastAsia="Times New Roman" w:cs="Times New Roman"/>
        </w:rPr>
      </w:pPr>
      <w:r w:rsidRPr="20F8CBC5">
        <w:rPr>
          <w:rFonts w:eastAsia="Times New Roman" w:cs="Times New Roman"/>
        </w:rPr>
        <w:t>For example, in 1996 Congress adopted provisions requiring Bell operating companies and their electronic publishing affiliates, for the first four years after enactment of the statute, to (1) operate as strictly separated corporate entities, with separate books, records, accounts, and financial statements;</w:t>
      </w:r>
      <w:r w:rsidRPr="20F8CBC5">
        <w:rPr>
          <w:rStyle w:val="FootnoteReference"/>
          <w:rFonts w:eastAsia="Times New Roman" w:cs="Times New Roman"/>
        </w:rPr>
        <w:t xml:space="preserve"> </w:t>
      </w:r>
      <w:r w:rsidRPr="20F8CBC5">
        <w:rPr>
          <w:rStyle w:val="FootnoteReference"/>
          <w:rFonts w:eastAsia="Times New Roman" w:cs="Times New Roman"/>
        </w:rPr>
        <w:footnoteReference w:id="54"/>
      </w:r>
      <w:r w:rsidRPr="20F8CBC5">
        <w:rPr>
          <w:rFonts w:eastAsia="Times New Roman" w:cs="Times New Roman"/>
        </w:rPr>
        <w:t xml:space="preserve"> (2) have no officers, directors, or employees in common and refrain from jointly hiring or training employees;</w:t>
      </w:r>
      <w:r w:rsidRPr="20F8CBC5">
        <w:rPr>
          <w:rStyle w:val="FootnoteReference"/>
          <w:rFonts w:eastAsia="Times New Roman" w:cs="Times New Roman"/>
        </w:rPr>
        <w:footnoteReference w:id="55"/>
      </w:r>
      <w:r w:rsidRPr="20F8CBC5">
        <w:rPr>
          <w:rFonts w:eastAsia="Times New Roman" w:cs="Times New Roman"/>
        </w:rPr>
        <w:t xml:space="preserve"> (3) own no property in common and refrain from joint purchasing or maintenance of equipment;</w:t>
      </w:r>
      <w:r w:rsidRPr="20F8CBC5">
        <w:rPr>
          <w:rStyle w:val="FootnoteReference"/>
          <w:rFonts w:eastAsia="Times New Roman" w:cs="Times New Roman"/>
        </w:rPr>
        <w:footnoteReference w:id="56"/>
      </w:r>
      <w:r w:rsidRPr="20F8CBC5">
        <w:rPr>
          <w:rFonts w:eastAsia="Times New Roman" w:cs="Times New Roman"/>
        </w:rPr>
        <w:t xml:space="preserve"> (4) refrain from jointly marketing one another’s services except in narrowly limited circumstances;</w:t>
      </w:r>
      <w:r w:rsidRPr="20F8CBC5">
        <w:rPr>
          <w:rStyle w:val="FootnoteReference"/>
          <w:rFonts w:eastAsia="Times New Roman" w:cs="Times New Roman"/>
        </w:rPr>
        <w:footnoteReference w:id="57"/>
      </w:r>
      <w:r w:rsidRPr="20F8CBC5">
        <w:rPr>
          <w:rFonts w:eastAsia="Times New Roman" w:cs="Times New Roman"/>
        </w:rPr>
        <w:t> and (5) conduct all inter-corporate transactions  on an arm’s-length basis, pursuant to publicly-filed tariffs or written contracts with terms that are made available to unaffiliated third parties.</w:t>
      </w:r>
      <w:r w:rsidRPr="20F8CBC5">
        <w:rPr>
          <w:rStyle w:val="FootnoteReference"/>
          <w:rFonts w:eastAsia="Times New Roman" w:cs="Times New Roman"/>
        </w:rPr>
        <w:footnoteReference w:id="58"/>
      </w:r>
      <w:r w:rsidRPr="20F8CBC5">
        <w:rPr>
          <w:rFonts w:eastAsia="Times New Roman" w:cs="Times New Roman"/>
        </w:rPr>
        <w:t xml:space="preserve">  Congress enacted similar structural safeguards with respect to Bell operating companies and their separate affiliates that provided in-region long distance and information services for the first few years after obtaining permission to engage in those activities.</w:t>
      </w:r>
      <w:r w:rsidRPr="20F8CBC5">
        <w:rPr>
          <w:rStyle w:val="FootnoteReference"/>
          <w:rFonts w:eastAsia="Times New Roman" w:cs="Times New Roman"/>
        </w:rPr>
        <w:footnoteReference w:id="59"/>
      </w:r>
      <w:r w:rsidRPr="20F8CBC5">
        <w:rPr>
          <w:rFonts w:eastAsia="Times New Roman" w:cs="Times New Roman"/>
        </w:rPr>
        <w:t xml:space="preserve"> </w:t>
      </w:r>
      <w:r w:rsidR="00E7069B">
        <w:rPr>
          <w:rFonts w:eastAsia="Times New Roman" w:cs="Times New Roman"/>
        </w:rPr>
        <w:t xml:space="preserve"> </w:t>
      </w:r>
      <w:r w:rsidRPr="20F8CBC5">
        <w:rPr>
          <w:rFonts w:eastAsia="Times New Roman" w:cs="Times New Roman"/>
        </w:rPr>
        <w:t>Those statutory restrictions are comparable to structural safeguards that the Commission promulgated in the context of incumbent telecommunications carriers and their wholly-owned, separate affiliates that provided customer premises equipment, information services, and broadband mobile wireless services.</w:t>
      </w:r>
      <w:r w:rsidRPr="20F8CBC5">
        <w:rPr>
          <w:rStyle w:val="FootnoteReference"/>
          <w:rFonts w:eastAsia="Times New Roman" w:cs="Times New Roman"/>
        </w:rPr>
        <w:footnoteReference w:id="60"/>
      </w:r>
    </w:p>
    <w:p w14:paraId="76C40F5B" w14:textId="745FB490" w:rsidR="006A7466" w:rsidRPr="00F51389" w:rsidRDefault="006A7466" w:rsidP="006A7466">
      <w:pPr>
        <w:spacing w:after="160" w:line="259" w:lineRule="auto"/>
        <w:rPr>
          <w:rFonts w:eastAsia="Times New Roman" w:cs="Times New Roman"/>
        </w:rPr>
      </w:pPr>
      <w:r w:rsidRPr="00F51389">
        <w:rPr>
          <w:rFonts w:cs="Times New Roman"/>
          <w:szCs w:val="24"/>
        </w:rPr>
        <w:tab/>
      </w:r>
      <w:r w:rsidRPr="20F8CBC5">
        <w:rPr>
          <w:rFonts w:eastAsia="Times New Roman" w:cs="Times New Roman"/>
        </w:rPr>
        <w:t>In other contexts, Congress and/or the Commission declined to impose structural safeguards, but imposed strict conduct requirements designed to address th</w:t>
      </w:r>
      <w:r w:rsidR="007D4758">
        <w:rPr>
          <w:rFonts w:eastAsia="Times New Roman" w:cs="Times New Roman"/>
        </w:rPr>
        <w:t>e same concerns:  ensuring that</w:t>
      </w:r>
      <w:r w:rsidRPr="20F8CBC5">
        <w:rPr>
          <w:rFonts w:eastAsia="Times New Roman" w:cs="Times New Roman"/>
        </w:rPr>
        <w:t xml:space="preserve"> network operators would not unreasonably discriminate in favor of their downstream affiliates and protecting against distortion of competition for downstream services.  In various contexts, these conduct requirements included accounting safeguards and cost allocation rules designed to prevent cross-subsidies from network operations to competitive downstream services.</w:t>
      </w:r>
      <w:r w:rsidRPr="20F8CBC5">
        <w:rPr>
          <w:rStyle w:val="FootnoteReference"/>
          <w:rFonts w:eastAsia="Times New Roman" w:cs="Times New Roman"/>
        </w:rPr>
        <w:footnoteReference w:id="61"/>
      </w:r>
      <w:r w:rsidRPr="20F8CBC5">
        <w:rPr>
          <w:rFonts w:eastAsia="Times New Roman" w:cs="Times New Roman"/>
        </w:rPr>
        <w:t xml:space="preserve">  Elsewhere, statutes or rules imposed obligations to offer network inputs to unaffiliated parties on an unbundled basis at nondiscriminatory terms,</w:t>
      </w:r>
      <w:r w:rsidRPr="20F8CBC5">
        <w:rPr>
          <w:rStyle w:val="FootnoteReference"/>
          <w:rFonts w:eastAsia="Times New Roman" w:cs="Times New Roman"/>
        </w:rPr>
        <w:footnoteReference w:id="62"/>
      </w:r>
      <w:r w:rsidRPr="20F8CBC5">
        <w:rPr>
          <w:rFonts w:eastAsia="Times New Roman" w:cs="Times New Roman"/>
        </w:rPr>
        <w:t xml:space="preserve"> and in some cases, subject to detailed cost-based pricing requirements.</w:t>
      </w:r>
      <w:r w:rsidRPr="20F8CBC5">
        <w:rPr>
          <w:rStyle w:val="FootnoteReference"/>
          <w:rFonts w:eastAsia="Times New Roman" w:cs="Times New Roman"/>
        </w:rPr>
        <w:footnoteReference w:id="63"/>
      </w:r>
      <w:r w:rsidRPr="20F8CBC5">
        <w:rPr>
          <w:rFonts w:eastAsia="Times New Roman" w:cs="Times New Roman"/>
        </w:rPr>
        <w:t xml:space="preserve">  </w:t>
      </w:r>
    </w:p>
    <w:p w14:paraId="156697C8" w14:textId="582CB82A"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 xml:space="preserve">The Commission, in the </w:t>
      </w:r>
      <w:r w:rsidRPr="00362B12">
        <w:rPr>
          <w:rFonts w:eastAsia="Times New Roman" w:cs="Times New Roman"/>
          <w:i/>
        </w:rPr>
        <w:t>2015</w:t>
      </w:r>
      <w:r w:rsidRPr="20F8CBC5">
        <w:rPr>
          <w:rFonts w:eastAsia="Times New Roman" w:cs="Times New Roman"/>
        </w:rPr>
        <w:t xml:space="preserve"> </w:t>
      </w:r>
      <w:r w:rsidRPr="20F8CBC5">
        <w:rPr>
          <w:rFonts w:eastAsia="Times New Roman" w:cs="Times New Roman"/>
          <w:i/>
        </w:rPr>
        <w:t>Open Internet Order</w:t>
      </w:r>
      <w:r w:rsidRPr="20F8CBC5">
        <w:rPr>
          <w:rFonts w:eastAsia="Times New Roman" w:cs="Times New Roman"/>
        </w:rPr>
        <w:t>, decided to forbear from imposing most traditional common carrier requirements on broadband providers, including many of the structural separation and conduct restrictions described above.</w:t>
      </w:r>
      <w:r w:rsidRPr="20F8CBC5">
        <w:rPr>
          <w:rStyle w:val="FootnoteReference"/>
          <w:rFonts w:eastAsia="Times New Roman" w:cs="Times New Roman"/>
        </w:rPr>
        <w:footnoteReference w:id="64"/>
      </w:r>
      <w:r w:rsidRPr="20F8CBC5">
        <w:rPr>
          <w:rFonts w:eastAsia="Times New Roman" w:cs="Times New Roman"/>
        </w:rPr>
        <w:t xml:space="preserve">  It reasoned that such requirements were unnecessary and</w:t>
      </w:r>
      <w:r w:rsidR="00490BC7">
        <w:rPr>
          <w:rFonts w:eastAsia="Times New Roman" w:cs="Times New Roman"/>
        </w:rPr>
        <w:t xml:space="preserve"> instead opted to establish a “</w:t>
      </w:r>
      <w:r w:rsidRPr="20F8CBC5">
        <w:rPr>
          <w:rFonts w:eastAsia="Times New Roman" w:cs="Times New Roman"/>
        </w:rPr>
        <w:t>‘light-touch’ approach for the use of Title II[,] . . . include[ing] no unbundling of last-mile facilities, no tariffing, no rate regulation, and no cost accounting rules,” in order to establish “a carefully tailored application of only those Title II provisions found to directly further the public interest in an open Internet and more, better, and open broadband.”</w:t>
      </w:r>
      <w:r w:rsidRPr="20F8CBC5">
        <w:rPr>
          <w:rStyle w:val="FootnoteReference"/>
          <w:rFonts w:eastAsia="Times New Roman" w:cs="Times New Roman"/>
        </w:rPr>
        <w:footnoteReference w:id="65"/>
      </w:r>
      <w:r w:rsidRPr="20F8CBC5">
        <w:rPr>
          <w:rFonts w:eastAsia="Times New Roman" w:cs="Times New Roman"/>
        </w:rPr>
        <w:t xml:space="preserve">  </w:t>
      </w:r>
      <w:r w:rsidR="00D52867" w:rsidRPr="20F8CBC5">
        <w:rPr>
          <w:rFonts w:eastAsia="Times New Roman" w:cs="Times New Roman"/>
        </w:rPr>
        <w:t xml:space="preserve">Rather than prescriptive structural separation or conduct requirements to protect prophylactically against anti-competitive conduct, the General Conduct Rule contemplates the </w:t>
      </w:r>
      <w:r w:rsidR="00D52867" w:rsidRPr="20F8CBC5">
        <w:rPr>
          <w:rFonts w:eastAsia="Times New Roman" w:cs="Times New Roman"/>
          <w:i/>
        </w:rPr>
        <w:t>ex post</w:t>
      </w:r>
      <w:r w:rsidR="00D52867" w:rsidRPr="20F8CBC5">
        <w:rPr>
          <w:rFonts w:eastAsia="Times New Roman" w:cs="Times New Roman"/>
        </w:rPr>
        <w:t xml:space="preserve"> review of practices that raise anticompetitive risks and such actions as may be necessary to address those risks.</w:t>
      </w:r>
    </w:p>
    <w:p w14:paraId="490F1B5D" w14:textId="13160CE3" w:rsidR="00EE42E5"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Our concerns about the potentially anticompeti</w:t>
      </w:r>
      <w:r w:rsidR="00DC0009">
        <w:rPr>
          <w:rFonts w:eastAsia="Times New Roman" w:cs="Times New Roman"/>
        </w:rPr>
        <w:t>tive impact of AT&amp;T’s conduct are</w:t>
      </w:r>
      <w:r w:rsidRPr="20F8CBC5">
        <w:rPr>
          <w:rFonts w:eastAsia="Times New Roman" w:cs="Times New Roman"/>
        </w:rPr>
        <w:t xml:space="preserve"> based in part, but not entirely, on the fact that unaffiliated mobile video service providers must pay a significant, clearly identifiable amount of money for the sponsored data needed to offer streaming video programming to AT&amp;T Mobility’s subscribers on a zero-rated basis – by comparison to AT&amp;T, which need not incur a comparable out-of-pocket expenditure to offer DIRECTV Now on a zero-rated basis.  </w:t>
      </w:r>
      <w:r w:rsidR="00EE42E5">
        <w:rPr>
          <w:rFonts w:eastAsia="Times New Roman" w:cs="Times New Roman"/>
        </w:rPr>
        <w:t>Rather, a</w:t>
      </w:r>
      <w:r w:rsidRPr="20F8CBC5">
        <w:rPr>
          <w:rFonts w:eastAsia="Times New Roman" w:cs="Times New Roman"/>
        </w:rPr>
        <w:t>ny imputed “charges” that DIRECTV “pays” AT&amp;T Mobility for sponsored data, even if formally recorded on the corporate books as internal transfer payments, would result in no net expenditure at the holding company level.</w:t>
      </w:r>
    </w:p>
    <w:p w14:paraId="1BD98543" w14:textId="4FF91524" w:rsidR="006A7466" w:rsidRPr="00F51389" w:rsidRDefault="006A7466" w:rsidP="00015507">
      <w:pPr>
        <w:spacing w:after="240"/>
        <w:ind w:firstLine="720"/>
        <w:rPr>
          <w:rFonts w:eastAsia="Times New Roman" w:cs="Times New Roman"/>
        </w:rPr>
      </w:pPr>
      <w:r w:rsidRPr="20F8CBC5">
        <w:rPr>
          <w:rFonts w:eastAsia="Times New Roman" w:cs="Times New Roman"/>
        </w:rPr>
        <w:t xml:space="preserve">AT&amp;T Mobility’s treatment of unaffiliated edge providers is </w:t>
      </w:r>
      <w:r w:rsidR="00EE42E5">
        <w:rPr>
          <w:rFonts w:eastAsia="Times New Roman" w:cs="Times New Roman"/>
        </w:rPr>
        <w:t>therefore</w:t>
      </w:r>
      <w:r w:rsidR="007D5D99">
        <w:rPr>
          <w:rFonts w:eastAsia="Times New Roman" w:cs="Times New Roman"/>
        </w:rPr>
        <w:t xml:space="preserve"> materially</w:t>
      </w:r>
      <w:r w:rsidR="00EE42E5">
        <w:rPr>
          <w:rFonts w:eastAsia="Times New Roman" w:cs="Times New Roman"/>
        </w:rPr>
        <w:t xml:space="preserve"> </w:t>
      </w:r>
      <w:r w:rsidRPr="20F8CBC5">
        <w:rPr>
          <w:rFonts w:eastAsia="Times New Roman" w:cs="Times New Roman"/>
          <w:i/>
        </w:rPr>
        <w:t xml:space="preserve">different </w:t>
      </w:r>
      <w:r w:rsidR="005E60AE">
        <w:rPr>
          <w:rFonts w:eastAsia="Times New Roman" w:cs="Times New Roman"/>
        </w:rPr>
        <w:t>in</w:t>
      </w:r>
      <w:r w:rsidR="007D5D99">
        <w:rPr>
          <w:rFonts w:eastAsia="Times New Roman" w:cs="Times New Roman"/>
        </w:rPr>
        <w:t xml:space="preserve"> its</w:t>
      </w:r>
      <w:r w:rsidR="005E60AE">
        <w:rPr>
          <w:rFonts w:eastAsia="Times New Roman" w:cs="Times New Roman"/>
        </w:rPr>
        <w:t xml:space="preserve"> effect </w:t>
      </w:r>
      <w:r w:rsidRPr="20F8CBC5">
        <w:rPr>
          <w:rFonts w:eastAsia="Times New Roman" w:cs="Times New Roman"/>
        </w:rPr>
        <w:t xml:space="preserve">from its treatment of its corporate affiliate; but that difference is not necessarily </w:t>
      </w:r>
      <w:r w:rsidRPr="20F8CBC5">
        <w:rPr>
          <w:rFonts w:eastAsia="Times New Roman" w:cs="Times New Roman"/>
          <w:i/>
        </w:rPr>
        <w:t>unreasonable</w:t>
      </w:r>
      <w:r w:rsidRPr="20F8CBC5">
        <w:rPr>
          <w:rFonts w:eastAsia="Times New Roman" w:cs="Times New Roman"/>
        </w:rPr>
        <w:t xml:space="preserve"> if it does not “unreasonably disadvantage” those unaffiliated parties.  </w:t>
      </w:r>
      <w:r w:rsidR="005E60AE">
        <w:rPr>
          <w:rFonts w:eastAsia="Times New Roman" w:cs="Times New Roman"/>
        </w:rPr>
        <w:t>For instance, t</w:t>
      </w:r>
      <w:r w:rsidRPr="20F8CBC5">
        <w:rPr>
          <w:rFonts w:eastAsia="Times New Roman" w:cs="Times New Roman"/>
        </w:rPr>
        <w:t xml:space="preserve">he overall arrangement could comply with the General Conduct Rule if the unaffiliated edge providers’ out-of-pocket expenditure per gigabyte of sponsored data </w:t>
      </w:r>
      <w:r w:rsidR="004E3F94">
        <w:rPr>
          <w:rFonts w:eastAsia="Times New Roman" w:cs="Times New Roman"/>
        </w:rPr>
        <w:t>was</w:t>
      </w:r>
      <w:r w:rsidR="004E3F94" w:rsidRPr="20F8CBC5">
        <w:rPr>
          <w:rFonts w:eastAsia="Times New Roman" w:cs="Times New Roman"/>
        </w:rPr>
        <w:t xml:space="preserve"> </w:t>
      </w:r>
      <w:r w:rsidR="008237F8">
        <w:rPr>
          <w:rFonts w:eastAsia="Times New Roman" w:cs="Times New Roman"/>
        </w:rPr>
        <w:t>consistent with</w:t>
      </w:r>
      <w:r w:rsidRPr="20F8CBC5">
        <w:rPr>
          <w:rFonts w:eastAsia="Times New Roman" w:cs="Times New Roman"/>
        </w:rPr>
        <w:t xml:space="preserve"> the </w:t>
      </w:r>
      <w:r w:rsidR="00CB5F6A">
        <w:rPr>
          <w:rFonts w:eastAsia="Times New Roman" w:cs="Times New Roman"/>
        </w:rPr>
        <w:t xml:space="preserve">economic </w:t>
      </w:r>
      <w:r w:rsidRPr="20F8CBC5">
        <w:rPr>
          <w:rFonts w:eastAsia="Times New Roman" w:cs="Times New Roman"/>
        </w:rPr>
        <w:t>cost</w:t>
      </w:r>
      <w:r w:rsidR="00CB5F6A">
        <w:rPr>
          <w:rFonts w:eastAsia="Times New Roman" w:cs="Times New Roman"/>
        </w:rPr>
        <w:t>, expressed on a</w:t>
      </w:r>
      <w:r w:rsidRPr="20F8CBC5">
        <w:rPr>
          <w:rFonts w:eastAsia="Times New Roman" w:cs="Times New Roman"/>
        </w:rPr>
        <w:t xml:space="preserve"> </w:t>
      </w:r>
      <w:r w:rsidR="00CB5F6A" w:rsidRPr="20F8CBC5">
        <w:rPr>
          <w:rFonts w:eastAsia="Times New Roman" w:cs="Times New Roman"/>
        </w:rPr>
        <w:t>per</w:t>
      </w:r>
      <w:r w:rsidR="00CB5F6A">
        <w:rPr>
          <w:rFonts w:eastAsia="Times New Roman" w:cs="Times New Roman"/>
        </w:rPr>
        <w:t>-</w:t>
      </w:r>
      <w:r w:rsidRPr="20F8CBC5">
        <w:rPr>
          <w:rFonts w:eastAsia="Times New Roman" w:cs="Times New Roman"/>
        </w:rPr>
        <w:t>gigabyte</w:t>
      </w:r>
      <w:r w:rsidR="00CB5F6A">
        <w:rPr>
          <w:rFonts w:eastAsia="Times New Roman" w:cs="Times New Roman"/>
        </w:rPr>
        <w:t xml:space="preserve"> basis, </w:t>
      </w:r>
      <w:r w:rsidR="004E3F94">
        <w:rPr>
          <w:rFonts w:eastAsia="Times New Roman" w:cs="Times New Roman"/>
        </w:rPr>
        <w:t>of supplying the AT&amp;T Mobility data used to offer</w:t>
      </w:r>
      <w:r w:rsidR="0036252A">
        <w:rPr>
          <w:rFonts w:eastAsia="Times New Roman" w:cs="Times New Roman"/>
        </w:rPr>
        <w:t xml:space="preserve"> </w:t>
      </w:r>
      <w:r w:rsidRPr="20F8CBC5">
        <w:rPr>
          <w:rFonts w:eastAsia="Times New Roman" w:cs="Times New Roman"/>
        </w:rPr>
        <w:t>DIRECTV</w:t>
      </w:r>
      <w:r w:rsidR="004E3F94">
        <w:rPr>
          <w:rFonts w:eastAsia="Times New Roman" w:cs="Times New Roman"/>
        </w:rPr>
        <w:t xml:space="preserve"> Now service on a zero-rated basis</w:t>
      </w:r>
      <w:r w:rsidRPr="20F8CBC5">
        <w:rPr>
          <w:rFonts w:eastAsia="Times New Roman" w:cs="Times New Roman"/>
        </w:rPr>
        <w:t xml:space="preserve">.  That cost of course is not zero; as the </w:t>
      </w:r>
      <w:r w:rsidRPr="00362B12">
        <w:rPr>
          <w:rFonts w:eastAsia="Times New Roman" w:cs="Times New Roman"/>
          <w:i/>
        </w:rPr>
        <w:t xml:space="preserve">2015 </w:t>
      </w:r>
      <w:r w:rsidRPr="20F8CBC5">
        <w:rPr>
          <w:rFonts w:eastAsia="Times New Roman" w:cs="Times New Roman"/>
          <w:i/>
        </w:rPr>
        <w:t>Open Internet Order</w:t>
      </w:r>
      <w:r w:rsidRPr="20F8CBC5">
        <w:rPr>
          <w:rFonts w:eastAsia="Times New Roman" w:cs="Times New Roman"/>
        </w:rPr>
        <w:t xml:space="preserve"> recognized, broadband providers must make</w:t>
      </w:r>
      <w:r w:rsidR="008237F8">
        <w:rPr>
          <w:rFonts w:eastAsia="Times New Roman" w:cs="Times New Roman"/>
        </w:rPr>
        <w:t xml:space="preserve"> necessary returns on their</w:t>
      </w:r>
      <w:r w:rsidRPr="20F8CBC5">
        <w:rPr>
          <w:rFonts w:eastAsia="Times New Roman" w:cs="Times New Roman"/>
        </w:rPr>
        <w:t xml:space="preserve"> substantial </w:t>
      </w:r>
      <w:r w:rsidR="008237F8">
        <w:rPr>
          <w:rFonts w:eastAsia="Times New Roman" w:cs="Times New Roman"/>
        </w:rPr>
        <w:t xml:space="preserve">capital </w:t>
      </w:r>
      <w:r w:rsidRPr="20F8CBC5">
        <w:rPr>
          <w:rFonts w:eastAsia="Times New Roman" w:cs="Times New Roman"/>
        </w:rPr>
        <w:t>investments to construct, maintain, and improve their networks, as well as incurring significant operating expenses.</w:t>
      </w:r>
      <w:r w:rsidRPr="20F8CBC5">
        <w:rPr>
          <w:rStyle w:val="FootnoteReference"/>
          <w:rFonts w:eastAsia="Times New Roman" w:cs="Times New Roman"/>
        </w:rPr>
        <w:footnoteReference w:id="66"/>
      </w:r>
      <w:r w:rsidRPr="20F8CBC5">
        <w:rPr>
          <w:rFonts w:eastAsia="Times New Roman" w:cs="Times New Roman"/>
        </w:rPr>
        <w:t xml:space="preserve">  We lack the </w:t>
      </w:r>
      <w:r w:rsidR="00936ACE">
        <w:rPr>
          <w:rFonts w:eastAsia="Times New Roman" w:cs="Times New Roman"/>
        </w:rPr>
        <w:t>information</w:t>
      </w:r>
      <w:r w:rsidR="008237F8">
        <w:rPr>
          <w:rFonts w:eastAsia="Times New Roman" w:cs="Times New Roman"/>
        </w:rPr>
        <w:t xml:space="preserve"> at this time, however,</w:t>
      </w:r>
      <w:r w:rsidR="00936ACE" w:rsidRPr="20F8CBC5">
        <w:rPr>
          <w:rFonts w:eastAsia="Times New Roman" w:cs="Times New Roman"/>
        </w:rPr>
        <w:t xml:space="preserve"> </w:t>
      </w:r>
      <w:r w:rsidRPr="20F8CBC5">
        <w:rPr>
          <w:rFonts w:eastAsia="Times New Roman" w:cs="Times New Roman"/>
        </w:rPr>
        <w:t xml:space="preserve">needed to </w:t>
      </w:r>
      <w:r w:rsidR="00936ACE">
        <w:rPr>
          <w:rFonts w:eastAsia="Times New Roman" w:cs="Times New Roman"/>
        </w:rPr>
        <w:t>assess</w:t>
      </w:r>
      <w:r w:rsidR="00936ACE" w:rsidRPr="20F8CBC5">
        <w:rPr>
          <w:rFonts w:eastAsia="Times New Roman" w:cs="Times New Roman"/>
        </w:rPr>
        <w:t xml:space="preserve"> </w:t>
      </w:r>
      <w:r w:rsidR="008237F8">
        <w:rPr>
          <w:rFonts w:eastAsia="Times New Roman" w:cs="Times New Roman"/>
        </w:rPr>
        <w:t>whether AT&amp;T’s current sponsored data price to third party provid</w:t>
      </w:r>
      <w:r w:rsidR="00465C58">
        <w:rPr>
          <w:rFonts w:eastAsia="Times New Roman" w:cs="Times New Roman"/>
        </w:rPr>
        <w:t>ers – which we have estimated could</w:t>
      </w:r>
      <w:r w:rsidR="008237F8">
        <w:rPr>
          <w:rFonts w:eastAsia="Times New Roman" w:cs="Times New Roman"/>
        </w:rPr>
        <w:t xml:space="preserve"> be $5/GB based on AT&amp;T’s reference to wholesale market pricing as an appropriate benchmark – is reasonable under this standard</w:t>
      </w:r>
      <w:r w:rsidRPr="20F8CBC5">
        <w:rPr>
          <w:rFonts w:eastAsia="Times New Roman" w:cs="Times New Roman"/>
        </w:rPr>
        <w:t>.</w:t>
      </w:r>
      <w:r w:rsidRPr="20F8CBC5">
        <w:rPr>
          <w:rStyle w:val="FootnoteReference"/>
          <w:rFonts w:eastAsia="Times New Roman" w:cs="Times New Roman"/>
        </w:rPr>
        <w:footnoteReference w:id="67"/>
      </w:r>
      <w:r w:rsidRPr="20F8CBC5">
        <w:rPr>
          <w:rFonts w:eastAsia="Times New Roman" w:cs="Times New Roman"/>
        </w:rPr>
        <w:t xml:space="preserve">  Given </w:t>
      </w:r>
      <w:r w:rsidR="006B06C4">
        <w:rPr>
          <w:rFonts w:eastAsia="Times New Roman" w:cs="Times New Roman"/>
        </w:rPr>
        <w:t xml:space="preserve">that </w:t>
      </w:r>
      <w:r w:rsidRPr="20F8CBC5">
        <w:rPr>
          <w:rFonts w:eastAsia="Times New Roman" w:cs="Times New Roman"/>
        </w:rPr>
        <w:t xml:space="preserve">vast quantities of data </w:t>
      </w:r>
      <w:r w:rsidR="006B06C4">
        <w:rPr>
          <w:rFonts w:eastAsia="Times New Roman" w:cs="Times New Roman"/>
        </w:rPr>
        <w:t xml:space="preserve">are </w:t>
      </w:r>
      <w:r w:rsidRPr="20F8CBC5">
        <w:rPr>
          <w:rFonts w:eastAsia="Times New Roman" w:cs="Times New Roman"/>
        </w:rPr>
        <w:t>transmitted over AT&amp;T’s network</w:t>
      </w:r>
      <w:r w:rsidR="0003515A">
        <w:rPr>
          <w:rFonts w:eastAsia="Times New Roman" w:cs="Times New Roman"/>
        </w:rPr>
        <w:t xml:space="preserve"> and that the</w:t>
      </w:r>
      <w:r w:rsidR="0003515A" w:rsidRPr="0003515A">
        <w:rPr>
          <w:rFonts w:eastAsia="Times New Roman" w:cs="Times New Roman"/>
        </w:rPr>
        <w:t xml:space="preserve"> </w:t>
      </w:r>
      <w:r w:rsidR="0003515A" w:rsidRPr="002E6A1E">
        <w:rPr>
          <w:rFonts w:eastAsia="Times New Roman" w:cs="Times New Roman"/>
        </w:rPr>
        <w:t>incremental cost of data</w:t>
      </w:r>
      <w:r w:rsidR="0003515A">
        <w:rPr>
          <w:rFonts w:eastAsia="Times New Roman" w:cs="Times New Roman"/>
        </w:rPr>
        <w:t xml:space="preserve"> transmitted </w:t>
      </w:r>
      <w:r w:rsidR="00430E6C">
        <w:rPr>
          <w:rFonts w:eastAsia="Times New Roman" w:cs="Times New Roman"/>
        </w:rPr>
        <w:t>under</w:t>
      </w:r>
      <w:r w:rsidR="0003515A" w:rsidRPr="002E6A1E">
        <w:rPr>
          <w:rFonts w:eastAsia="Times New Roman" w:cs="Times New Roman"/>
        </w:rPr>
        <w:t xml:space="preserve"> </w:t>
      </w:r>
      <w:r w:rsidR="0003515A">
        <w:rPr>
          <w:rFonts w:eastAsia="Times New Roman" w:cs="Times New Roman"/>
        </w:rPr>
        <w:t>its</w:t>
      </w:r>
      <w:r w:rsidR="0003515A" w:rsidRPr="002E6A1E">
        <w:rPr>
          <w:rFonts w:eastAsia="Times New Roman" w:cs="Times New Roman"/>
        </w:rPr>
        <w:t xml:space="preserve"> network’s peak capacity is close to zero</w:t>
      </w:r>
      <w:r w:rsidRPr="20F8CBC5">
        <w:rPr>
          <w:rFonts w:eastAsia="Times New Roman" w:cs="Times New Roman"/>
        </w:rPr>
        <w:t>, we would expect that per-gigabyte amount</w:t>
      </w:r>
      <w:r w:rsidR="0081393F">
        <w:rPr>
          <w:rFonts w:eastAsia="Times New Roman" w:cs="Times New Roman"/>
        </w:rPr>
        <w:t>, though non-zero,</w:t>
      </w:r>
      <w:r w:rsidRPr="20F8CBC5">
        <w:rPr>
          <w:rFonts w:eastAsia="Times New Roman" w:cs="Times New Roman"/>
        </w:rPr>
        <w:t xml:space="preserve"> to be quite low – </w:t>
      </w:r>
      <w:r w:rsidR="008237F8">
        <w:rPr>
          <w:rFonts w:eastAsia="Times New Roman" w:cs="Times New Roman"/>
        </w:rPr>
        <w:t>and in all likelihood</w:t>
      </w:r>
      <w:r w:rsidR="008237F8" w:rsidRPr="20F8CBC5">
        <w:rPr>
          <w:rFonts w:eastAsia="Times New Roman" w:cs="Times New Roman"/>
        </w:rPr>
        <w:t xml:space="preserve"> </w:t>
      </w:r>
      <w:r w:rsidRPr="20F8CBC5">
        <w:rPr>
          <w:rFonts w:eastAsia="Times New Roman" w:cs="Times New Roman"/>
        </w:rPr>
        <w:t xml:space="preserve">lower than the </w:t>
      </w:r>
      <w:r w:rsidR="0081393F">
        <w:rPr>
          <w:rFonts w:eastAsia="Times New Roman" w:cs="Times New Roman"/>
        </w:rPr>
        <w:t>wholesale rates</w:t>
      </w:r>
      <w:r w:rsidR="0081393F" w:rsidRPr="20F8CBC5">
        <w:rPr>
          <w:rFonts w:eastAsia="Times New Roman" w:cs="Times New Roman"/>
        </w:rPr>
        <w:t xml:space="preserve"> </w:t>
      </w:r>
      <w:r w:rsidRPr="20F8CBC5">
        <w:rPr>
          <w:rFonts w:eastAsia="Times New Roman" w:cs="Times New Roman"/>
        </w:rPr>
        <w:t>AT&amp;T currently charges to wireless resellers</w:t>
      </w:r>
      <w:r w:rsidR="0081393F">
        <w:rPr>
          <w:rFonts w:eastAsia="Times New Roman" w:cs="Times New Roman"/>
        </w:rPr>
        <w:t>.</w:t>
      </w:r>
    </w:p>
    <w:p w14:paraId="02DA1843" w14:textId="20A369AF" w:rsidR="006A7466" w:rsidRPr="00F51389" w:rsidRDefault="006A7466" w:rsidP="006A7466">
      <w:pPr>
        <w:spacing w:after="240"/>
        <w:rPr>
          <w:rFonts w:eastAsia="Times New Roman" w:cs="Times New Roman"/>
        </w:rPr>
      </w:pPr>
      <w:r w:rsidRPr="00F51389">
        <w:rPr>
          <w:rFonts w:cs="Times New Roman"/>
          <w:szCs w:val="24"/>
        </w:rPr>
        <w:tab/>
      </w:r>
      <w:r>
        <w:rPr>
          <w:rFonts w:eastAsia="Times New Roman" w:cs="Times New Roman"/>
        </w:rPr>
        <w:t>I</w:t>
      </w:r>
      <w:r w:rsidRPr="20F8CBC5">
        <w:rPr>
          <w:rFonts w:eastAsia="Times New Roman" w:cs="Times New Roman"/>
        </w:rPr>
        <w:t>n light of the rates at which DIRECTV is offering its DIRECTV Now service to end users</w:t>
      </w:r>
      <w:r w:rsidR="00661C31">
        <w:rPr>
          <w:rFonts w:eastAsia="Times New Roman" w:cs="Times New Roman"/>
        </w:rPr>
        <w:t>,</w:t>
      </w:r>
      <w:r w:rsidR="00661C31">
        <w:rPr>
          <w:rStyle w:val="FootnoteReference"/>
          <w:rFonts w:eastAsia="Times New Roman" w:cs="Times New Roman"/>
        </w:rPr>
        <w:footnoteReference w:id="68"/>
      </w:r>
      <w:r>
        <w:rPr>
          <w:rFonts w:eastAsia="Times New Roman" w:cs="Times New Roman"/>
        </w:rPr>
        <w:t xml:space="preserve"> the information we have indicates that</w:t>
      </w:r>
      <w:r w:rsidRPr="20F8CBC5">
        <w:rPr>
          <w:rFonts w:eastAsia="Times New Roman" w:cs="Times New Roman"/>
        </w:rPr>
        <w:t xml:space="preserve"> AT&amp;T (including both the network operator and edge provider affiliates) </w:t>
      </w:r>
      <w:r>
        <w:rPr>
          <w:rFonts w:eastAsia="Times New Roman" w:cs="Times New Roman"/>
        </w:rPr>
        <w:t xml:space="preserve">does not consider zero-rating to be a real cost of business.  Instead, AT&amp;T appears to view the network cost of Sponsored Data for DIRECTV Now as effectively </w:t>
      </w:r>
      <w:r w:rsidRPr="00773736">
        <w:rPr>
          <w:rFonts w:eastAsia="Times New Roman" w:cs="Times New Roman"/>
          <w:i/>
        </w:rPr>
        <w:t>de minim</w:t>
      </w:r>
      <w:r w:rsidR="00661C31">
        <w:rPr>
          <w:rFonts w:eastAsia="Times New Roman" w:cs="Times New Roman"/>
          <w:i/>
        </w:rPr>
        <w:t>i</w:t>
      </w:r>
      <w:r w:rsidRPr="00773736">
        <w:rPr>
          <w:rFonts w:eastAsia="Times New Roman" w:cs="Times New Roman"/>
          <w:i/>
        </w:rPr>
        <w:t>s</w:t>
      </w:r>
      <w:r>
        <w:rPr>
          <w:rFonts w:eastAsia="Times New Roman" w:cs="Times New Roman"/>
        </w:rPr>
        <w:t>.</w:t>
      </w:r>
      <w:r w:rsidRPr="20F8CBC5">
        <w:rPr>
          <w:rFonts w:eastAsia="Times New Roman" w:cs="Times New Roman"/>
        </w:rPr>
        <w:t xml:space="preserve"> Unlike T-Mobile, however, which charges </w:t>
      </w:r>
      <w:r w:rsidRPr="20F8CBC5">
        <w:rPr>
          <w:rFonts w:eastAsia="Times New Roman" w:cs="Times New Roman"/>
          <w:i/>
        </w:rPr>
        <w:t>all</w:t>
      </w:r>
      <w:r w:rsidRPr="20F8CBC5">
        <w:rPr>
          <w:rFonts w:eastAsia="Times New Roman" w:cs="Times New Roman"/>
        </w:rPr>
        <w:t xml:space="preserve"> edge providers the same zero rate for participating in Binge On, AT&amp;T imposes hefty per-gigabyte charges on</w:t>
      </w:r>
      <w:r w:rsidR="008237F8">
        <w:rPr>
          <w:rFonts w:eastAsia="Times New Roman" w:cs="Times New Roman"/>
        </w:rPr>
        <w:t xml:space="preserve"> unaffiliated</w:t>
      </w:r>
      <w:r w:rsidRPr="20F8CBC5">
        <w:rPr>
          <w:rFonts w:eastAsia="Times New Roman" w:cs="Times New Roman"/>
        </w:rPr>
        <w:t xml:space="preserve"> third parties for use of Sponsored Data.  All indications are that AT&amp;T’s charges far exceed the costs AT&amp;T incurs in providing the sponsored data service.  Thus, it would appear that AT&amp;T’s practices inflict significant unreasonable disadvantages on edge providers and unreasonably interfere with their ability to compete against AT&amp;T’s affiliate, in violation of the General Conduct Rule.</w:t>
      </w:r>
    </w:p>
    <w:p w14:paraId="03E1694E" w14:textId="11C0DD6D" w:rsidR="006A7466" w:rsidRPr="00F51389" w:rsidRDefault="006A7466" w:rsidP="006A7466">
      <w:pPr>
        <w:spacing w:after="240"/>
        <w:rPr>
          <w:rFonts w:eastAsia="Times New Roman" w:cs="Times New Roman"/>
        </w:rPr>
      </w:pPr>
      <w:r w:rsidRPr="00F51389">
        <w:rPr>
          <w:rFonts w:cs="Times New Roman"/>
          <w:szCs w:val="24"/>
        </w:rPr>
        <w:tab/>
      </w:r>
      <w:r w:rsidRPr="20F8CBC5">
        <w:rPr>
          <w:rFonts w:eastAsia="Times New Roman" w:cs="Times New Roman"/>
        </w:rPr>
        <w:t xml:space="preserve"> </w:t>
      </w:r>
      <w:r w:rsidR="0036252A">
        <w:rPr>
          <w:rFonts w:eastAsia="Times New Roman" w:cs="Times New Roman"/>
        </w:rPr>
        <w:t>T</w:t>
      </w:r>
      <w:r w:rsidRPr="20F8CBC5">
        <w:rPr>
          <w:rFonts w:eastAsia="Times New Roman" w:cs="Times New Roman"/>
        </w:rPr>
        <w:t xml:space="preserve">hese practices </w:t>
      </w:r>
      <w:r>
        <w:rPr>
          <w:rFonts w:eastAsia="Times New Roman" w:cs="Times New Roman"/>
        </w:rPr>
        <w:t>are</w:t>
      </w:r>
      <w:r w:rsidRPr="20F8CBC5">
        <w:rPr>
          <w:rFonts w:eastAsia="Times New Roman" w:cs="Times New Roman"/>
        </w:rPr>
        <w:t xml:space="preserve"> not compar</w:t>
      </w:r>
      <w:r>
        <w:rPr>
          <w:rFonts w:eastAsia="Times New Roman" w:cs="Times New Roman"/>
        </w:rPr>
        <w:t>able</w:t>
      </w:r>
      <w:r w:rsidRPr="20F8CBC5">
        <w:rPr>
          <w:rFonts w:eastAsia="Times New Roman" w:cs="Times New Roman"/>
        </w:rPr>
        <w:t xml:space="preserve"> with</w:t>
      </w:r>
      <w:r>
        <w:rPr>
          <w:rFonts w:eastAsia="Times New Roman" w:cs="Times New Roman"/>
        </w:rPr>
        <w:t xml:space="preserve"> certain other</w:t>
      </w:r>
      <w:r w:rsidRPr="20F8CBC5">
        <w:rPr>
          <w:rFonts w:eastAsia="Times New Roman" w:cs="Times New Roman"/>
        </w:rPr>
        <w:t xml:space="preserve"> arrangements in which suppliers of goods or services offer </w:t>
      </w:r>
      <w:r>
        <w:rPr>
          <w:rFonts w:eastAsia="Times New Roman" w:cs="Times New Roman"/>
        </w:rPr>
        <w:t>consumers those</w:t>
      </w:r>
      <w:r w:rsidRPr="20F8CBC5">
        <w:rPr>
          <w:rFonts w:eastAsia="Times New Roman" w:cs="Times New Roman"/>
        </w:rPr>
        <w:t xml:space="preserve"> products at no charge and obtain revenues from other </w:t>
      </w:r>
      <w:r>
        <w:rPr>
          <w:rFonts w:eastAsia="Times New Roman" w:cs="Times New Roman"/>
        </w:rPr>
        <w:t xml:space="preserve">entities </w:t>
      </w:r>
      <w:r w:rsidRPr="20F8CBC5">
        <w:rPr>
          <w:rFonts w:eastAsia="Times New Roman" w:cs="Times New Roman"/>
        </w:rPr>
        <w:t>provid</w:t>
      </w:r>
      <w:r>
        <w:rPr>
          <w:rFonts w:eastAsia="Times New Roman" w:cs="Times New Roman"/>
        </w:rPr>
        <w:t>ing related goods or services</w:t>
      </w:r>
      <w:r w:rsidRPr="20F8CBC5">
        <w:rPr>
          <w:rFonts w:eastAsia="Times New Roman" w:cs="Times New Roman"/>
        </w:rPr>
        <w:t>.  To be sure, e-commerce portal operators offer end user consumers free shipping and recover the cost from retailers</w:t>
      </w:r>
      <w:r w:rsidR="0081393F">
        <w:rPr>
          <w:rFonts w:eastAsia="Times New Roman" w:cs="Times New Roman"/>
        </w:rPr>
        <w:t>, while</w:t>
      </w:r>
      <w:r w:rsidR="00045AF2">
        <w:rPr>
          <w:rFonts w:eastAsia="Times New Roman" w:cs="Times New Roman"/>
        </w:rPr>
        <w:t xml:space="preserve"> </w:t>
      </w:r>
      <w:r w:rsidRPr="20F8CBC5">
        <w:rPr>
          <w:rFonts w:eastAsia="Times New Roman" w:cs="Times New Roman"/>
        </w:rPr>
        <w:t>phone companies enable consumers to originate some long-distance calls on a “toll-free” basis and recover the costs from the businesses to which the calls are terminated.</w:t>
      </w:r>
      <w:r w:rsidRPr="20F8CBC5">
        <w:rPr>
          <w:rStyle w:val="FootnoteReference"/>
          <w:rFonts w:eastAsia="Times New Roman" w:cs="Times New Roman"/>
        </w:rPr>
        <w:footnoteReference w:id="69"/>
      </w:r>
      <w:r w:rsidRPr="20F8CBC5">
        <w:rPr>
          <w:rFonts w:eastAsia="Times New Roman" w:cs="Times New Roman"/>
        </w:rPr>
        <w:t xml:space="preserve">  But such arrangements do not inhibit competition unless the intermediary “platform” firms (such as the e-commerce portal operators, or phone companies in the examples above) (i) possess gatekeeper power enabling them to restrict the ability of the businesses that pay such costs from distributing their goods or services to consumers by alternative means; and (ii) have incentives to disadvantage those businesses because, for example, they compete directly with those businesses in downstream markets.  It is those two </w:t>
      </w:r>
      <w:r w:rsidR="00CB5F6A">
        <w:rPr>
          <w:rFonts w:eastAsia="Times New Roman" w:cs="Times New Roman"/>
        </w:rPr>
        <w:t>considerations</w:t>
      </w:r>
      <w:r w:rsidR="00CB5F6A" w:rsidRPr="20F8CBC5">
        <w:rPr>
          <w:rFonts w:eastAsia="Times New Roman" w:cs="Times New Roman"/>
        </w:rPr>
        <w:t> </w:t>
      </w:r>
      <w:r w:rsidRPr="20F8CBC5">
        <w:rPr>
          <w:rFonts w:eastAsia="Times New Roman" w:cs="Times New Roman"/>
        </w:rPr>
        <w:t>– broadband operators’ ability and incentives to thwart their downstream competitors’ ability to serve consumers – that give rise to the vertical competition concerns at issue here.</w:t>
      </w:r>
    </w:p>
    <w:p w14:paraId="79919A32" w14:textId="4D70A8CD" w:rsidR="006A7466" w:rsidRPr="00F51389" w:rsidRDefault="006A7466" w:rsidP="006A7466">
      <w:pPr>
        <w:pStyle w:val="ListParagraph"/>
        <w:keepNext/>
        <w:numPr>
          <w:ilvl w:val="0"/>
          <w:numId w:val="19"/>
        </w:numPr>
        <w:spacing w:after="240"/>
        <w:rPr>
          <w:rFonts w:eastAsia="Times New Roman" w:cs="Times New Roman"/>
          <w:b/>
        </w:rPr>
      </w:pPr>
      <w:r w:rsidRPr="20F8CBC5">
        <w:rPr>
          <w:rFonts w:eastAsia="Times New Roman" w:cs="Times New Roman"/>
          <w:b/>
        </w:rPr>
        <w:t>Verizon</w:t>
      </w:r>
      <w:r w:rsidR="00295D98">
        <w:rPr>
          <w:rFonts w:eastAsia="Times New Roman" w:cs="Times New Roman"/>
          <w:b/>
        </w:rPr>
        <w:t>’s</w:t>
      </w:r>
      <w:r w:rsidRPr="20F8CBC5">
        <w:rPr>
          <w:rFonts w:eastAsia="Times New Roman" w:cs="Times New Roman"/>
          <w:b/>
        </w:rPr>
        <w:t xml:space="preserve"> FreeBee </w:t>
      </w:r>
      <w:r>
        <w:rPr>
          <w:rFonts w:eastAsia="Times New Roman" w:cs="Times New Roman"/>
          <w:b/>
        </w:rPr>
        <w:t>Data</w:t>
      </w:r>
      <w:r w:rsidRPr="20F8CBC5">
        <w:rPr>
          <w:rFonts w:eastAsia="Times New Roman" w:cs="Times New Roman"/>
          <w:b/>
        </w:rPr>
        <w:t xml:space="preserve"> 360</w:t>
      </w:r>
    </w:p>
    <w:p w14:paraId="61D55E39" w14:textId="16BEB457" w:rsidR="006A7466" w:rsidRPr="00F51389" w:rsidRDefault="006A7466" w:rsidP="006A7466">
      <w:pPr>
        <w:spacing w:after="240"/>
        <w:rPr>
          <w:rFonts w:eastAsia="Times New Roman" w:cs="Times New Roman"/>
        </w:rPr>
      </w:pPr>
      <w:r w:rsidRPr="00F51389">
        <w:rPr>
          <w:rFonts w:cs="Times New Roman"/>
          <w:szCs w:val="24"/>
        </w:rPr>
        <w:tab/>
      </w:r>
      <w:r w:rsidRPr="00044CC5">
        <w:rPr>
          <w:rFonts w:eastAsia="Times New Roman" w:cs="Times New Roman"/>
        </w:rPr>
        <w:t xml:space="preserve">The structure of Verizon Wireless’s FreeBee Data 360 sponsored data program offering may </w:t>
      </w:r>
      <w:r w:rsidR="001F1B87">
        <w:rPr>
          <w:rFonts w:eastAsia="Times New Roman" w:cs="Times New Roman"/>
        </w:rPr>
        <w:t>pose concerns</w:t>
      </w:r>
      <w:r w:rsidRPr="00044CC5">
        <w:rPr>
          <w:rFonts w:eastAsia="Times New Roman" w:cs="Times New Roman"/>
        </w:rPr>
        <w:t xml:space="preserve"> for the same reasons as AT&amp;T’s Sponsored Data program discussed above, given the contrast between the manner in which it supplies the platform for</w:t>
      </w:r>
      <w:r w:rsidR="001F1B87">
        <w:rPr>
          <w:rFonts w:eastAsia="Times New Roman" w:cs="Times New Roman"/>
        </w:rPr>
        <w:t xml:space="preserve"> the zero-rating activities of</w:t>
      </w:r>
      <w:r w:rsidRPr="00044CC5">
        <w:rPr>
          <w:rFonts w:eastAsia="Times New Roman" w:cs="Times New Roman"/>
        </w:rPr>
        <w:t xml:space="preserve"> third-parties</w:t>
      </w:r>
      <w:r w:rsidR="002500AE">
        <w:rPr>
          <w:rFonts w:eastAsia="Times New Roman" w:cs="Times New Roman"/>
        </w:rPr>
        <w:t xml:space="preserve"> </w:t>
      </w:r>
      <w:r w:rsidR="001F1B87">
        <w:rPr>
          <w:rFonts w:eastAsia="Times New Roman" w:cs="Times New Roman"/>
        </w:rPr>
        <w:t>as compared with</w:t>
      </w:r>
      <w:r w:rsidRPr="00044CC5">
        <w:rPr>
          <w:rFonts w:eastAsia="Times New Roman" w:cs="Times New Roman"/>
        </w:rPr>
        <w:t xml:space="preserve"> the manner in which it offers its own zero-rated go90 service.  We are aware of no safeguards that would prevent Verizon from offering substantially more costly or restrictive terms to enable unaffiliated edge providers to offer services comparable to Verizon’s go90 on a zero-rated basis.  And we have no </w:t>
      </w:r>
      <w:r w:rsidR="0081393F">
        <w:rPr>
          <w:rFonts w:eastAsia="Times New Roman" w:cs="Times New Roman"/>
        </w:rPr>
        <w:t>data</w:t>
      </w:r>
      <w:r w:rsidR="0081393F" w:rsidRPr="00044CC5">
        <w:rPr>
          <w:rFonts w:eastAsia="Times New Roman" w:cs="Times New Roman"/>
        </w:rPr>
        <w:t xml:space="preserve"> </w:t>
      </w:r>
      <w:r w:rsidRPr="00044CC5">
        <w:rPr>
          <w:rFonts w:eastAsia="Times New Roman" w:cs="Times New Roman"/>
        </w:rPr>
        <w:t>to confirm Verizon’s unsupported assertion, submitted as part of its response to our request for information, that the FreeBee Data 360 sponsored data program offers third parties prices and terms</w:t>
      </w:r>
      <w:r w:rsidR="008A77D4">
        <w:rPr>
          <w:rFonts w:eastAsia="Times New Roman" w:cs="Times New Roman"/>
        </w:rPr>
        <w:t xml:space="preserve"> </w:t>
      </w:r>
      <w:r w:rsidR="00044CC5">
        <w:rPr>
          <w:rFonts w:eastAsia="Times New Roman" w:cs="Times New Roman"/>
        </w:rPr>
        <w:t xml:space="preserve">equivalent to the </w:t>
      </w:r>
      <w:r w:rsidR="009937ED">
        <w:rPr>
          <w:rFonts w:eastAsia="Times New Roman" w:cs="Times New Roman"/>
        </w:rPr>
        <w:t>economic</w:t>
      </w:r>
      <w:r w:rsidR="00044CC5">
        <w:rPr>
          <w:rFonts w:eastAsia="Times New Roman" w:cs="Times New Roman"/>
        </w:rPr>
        <w:t xml:space="preserve"> net cost by</w:t>
      </w:r>
      <w:r w:rsidR="0036252A">
        <w:rPr>
          <w:rFonts w:eastAsia="Times New Roman" w:cs="Times New Roman"/>
        </w:rPr>
        <w:t xml:space="preserve"> </w:t>
      </w:r>
      <w:r w:rsidRPr="00044CC5">
        <w:rPr>
          <w:rFonts w:eastAsia="Times New Roman" w:cs="Times New Roman"/>
        </w:rPr>
        <w:t>Verizon</w:t>
      </w:r>
      <w:r w:rsidR="00044CC5">
        <w:rPr>
          <w:rFonts w:eastAsia="Times New Roman" w:cs="Times New Roman"/>
        </w:rPr>
        <w:t xml:space="preserve"> to zero-rate</w:t>
      </w:r>
      <w:r w:rsidRPr="00044CC5">
        <w:rPr>
          <w:rFonts w:eastAsia="Times New Roman" w:cs="Times New Roman"/>
        </w:rPr>
        <w:t xml:space="preserve"> its affiliated go90 video service</w:t>
      </w:r>
      <w:r w:rsidR="00044CC5">
        <w:rPr>
          <w:rFonts w:eastAsia="Times New Roman" w:cs="Times New Roman"/>
        </w:rPr>
        <w:t>.</w:t>
      </w:r>
      <w:r w:rsidRPr="00044CC5">
        <w:rPr>
          <w:rStyle w:val="FootnoteReference"/>
        </w:rPr>
        <w:footnoteReference w:id="70"/>
      </w:r>
      <w:r w:rsidRPr="20F8CBC5">
        <w:rPr>
          <w:rFonts w:eastAsia="Times New Roman" w:cs="Times New Roman"/>
        </w:rPr>
        <w:t xml:space="preserve">  </w:t>
      </w:r>
    </w:p>
    <w:p w14:paraId="7671AC0B" w14:textId="6E06EA8D" w:rsidR="009C2631" w:rsidRDefault="006A7466" w:rsidP="004719C3">
      <w:pPr>
        <w:spacing w:after="240"/>
        <w:rPr>
          <w:rFonts w:eastAsia="Times New Roman" w:cs="Times New Roman"/>
        </w:rPr>
      </w:pPr>
      <w:r w:rsidRPr="00F51389">
        <w:rPr>
          <w:rFonts w:cs="Times New Roman"/>
          <w:szCs w:val="24"/>
        </w:rPr>
        <w:tab/>
      </w:r>
      <w:r w:rsidR="00DC0009">
        <w:rPr>
          <w:rFonts w:eastAsia="Times New Roman" w:cs="Times New Roman"/>
        </w:rPr>
        <w:t>We observe that g</w:t>
      </w:r>
      <w:r w:rsidRPr="20F8CBC5">
        <w:rPr>
          <w:rFonts w:eastAsia="Times New Roman" w:cs="Times New Roman"/>
        </w:rPr>
        <w:t xml:space="preserve">o90 is a nascent service that offers only a </w:t>
      </w:r>
      <w:r>
        <w:rPr>
          <w:rFonts w:eastAsia="Times New Roman" w:cs="Times New Roman"/>
        </w:rPr>
        <w:t xml:space="preserve">limited </w:t>
      </w:r>
      <w:r w:rsidRPr="20F8CBC5">
        <w:rPr>
          <w:rFonts w:eastAsia="Times New Roman" w:cs="Times New Roman"/>
        </w:rPr>
        <w:t>array of short video clips and sports programming, while DIRECTV Now offers a full range of live TV as well as streaming of full-length movies and shows.</w:t>
      </w:r>
      <w:r w:rsidRPr="20F8CBC5">
        <w:rPr>
          <w:rFonts w:eastAsia="Times New Roman" w:cs="Times New Roman"/>
          <w:vertAlign w:val="superscript"/>
        </w:rPr>
        <w:footnoteReference w:id="71"/>
      </w:r>
      <w:r w:rsidRPr="20F8CBC5">
        <w:rPr>
          <w:rFonts w:eastAsia="Times New Roman" w:cs="Times New Roman"/>
        </w:rPr>
        <w:t xml:space="preserve">  In that regard, DIRECTV Now may be more likely to be viewed by mainstream consumers as a substitute for, and thus a direct competitor to, major providers of video programming delivered over the Internet – such as Netflix, Amazon Prime, Sling TV, or Hulu</w:t>
      </w:r>
      <w:r w:rsidRPr="20F8CBC5">
        <w:rPr>
          <w:rFonts w:eastAsia="Times New Roman" w:cs="Times New Roman"/>
          <w:vertAlign w:val="superscript"/>
        </w:rPr>
        <w:footnoteReference w:id="72"/>
      </w:r>
      <w:r w:rsidRPr="20F8CBC5">
        <w:rPr>
          <w:rFonts w:eastAsia="Times New Roman" w:cs="Times New Roman"/>
        </w:rPr>
        <w:t xml:space="preserve"> – whereas it is less likely that as many consumers would view the existing version of go90 as a serious competitor to those services.  In that regard, because Verizon’s go90 competes in a less developed segment of the marketplace than AT&amp;T’s DIRECTV Now, the current magnitude</w:t>
      </w:r>
      <w:r w:rsidRPr="20F8CBC5">
        <w:rPr>
          <w:rFonts w:eastAsia="Times New Roman" w:cs="Times New Roman"/>
          <w:i/>
        </w:rPr>
        <w:t xml:space="preserve"> </w:t>
      </w:r>
      <w:r w:rsidRPr="20F8CBC5">
        <w:rPr>
          <w:rFonts w:eastAsia="Times New Roman" w:cs="Times New Roman"/>
        </w:rPr>
        <w:t>of any anticompetitive effects of Verizon’s practices may be smaller than AT&amp;T’s.  Nonetheless, as noted above, the</w:t>
      </w:r>
      <w:r w:rsidR="00465C58">
        <w:rPr>
          <w:rFonts w:eastAsia="Times New Roman" w:cs="Times New Roman"/>
        </w:rPr>
        <w:t>re is the same</w:t>
      </w:r>
      <w:r w:rsidRPr="20F8CBC5">
        <w:rPr>
          <w:rFonts w:eastAsia="Times New Roman" w:cs="Times New Roman"/>
        </w:rPr>
        <w:t xml:space="preserve"> potential for discriminatory conduct in favor of affiliated services</w:t>
      </w:r>
      <w:r w:rsidR="004719C3">
        <w:rPr>
          <w:rFonts w:eastAsia="Times New Roman" w:cs="Times New Roman"/>
        </w:rPr>
        <w:t xml:space="preserve">, and its competitive impacts in the short-form portion of the market exist today.  </w:t>
      </w:r>
      <w:r w:rsidR="00CA3D9A">
        <w:rPr>
          <w:rFonts w:eastAsia="Times New Roman" w:cs="Times New Roman"/>
        </w:rPr>
        <w:t xml:space="preserve"> </w:t>
      </w:r>
      <w:r w:rsidR="004719C3">
        <w:rPr>
          <w:rFonts w:eastAsia="Times New Roman" w:cs="Times New Roman"/>
        </w:rPr>
        <w:t>Moreover</w:t>
      </w:r>
      <w:r w:rsidR="00CA3D9A">
        <w:rPr>
          <w:rFonts w:eastAsia="Times New Roman" w:cs="Times New Roman"/>
        </w:rPr>
        <w:t xml:space="preserve">, </w:t>
      </w:r>
      <w:r w:rsidRPr="20F8CBC5">
        <w:rPr>
          <w:rFonts w:eastAsia="Times New Roman" w:cs="Times New Roman"/>
        </w:rPr>
        <w:t>in the future Verizon could decide to</w:t>
      </w:r>
      <w:r w:rsidR="00CA3D9A">
        <w:rPr>
          <w:rFonts w:eastAsia="Times New Roman" w:cs="Times New Roman"/>
        </w:rPr>
        <w:t xml:space="preserve"> expand the long-form content on go90 and/or</w:t>
      </w:r>
      <w:r w:rsidRPr="20F8CBC5">
        <w:rPr>
          <w:rFonts w:eastAsia="Times New Roman" w:cs="Times New Roman"/>
        </w:rPr>
        <w:t xml:space="preserve"> include a mobile version of its FiOS MVPD service in FreeBee </w:t>
      </w:r>
      <w:r w:rsidR="00295D98">
        <w:rPr>
          <w:rFonts w:eastAsia="Times New Roman" w:cs="Times New Roman"/>
        </w:rPr>
        <w:t xml:space="preserve">Data </w:t>
      </w:r>
      <w:r w:rsidRPr="20F8CBC5">
        <w:rPr>
          <w:rFonts w:eastAsia="Times New Roman" w:cs="Times New Roman"/>
        </w:rPr>
        <w:t>360.  That development, depending on the terms of Verizon’s offering of sponsored data services to unaffiliated edge providers, could result in a similar magnitude of anticompetitive effects in the full-length video streaming segment of marketplace compared to AT&amp;T’s inclusion of DIRECTV Now in its sponsored data program</w:t>
      </w:r>
      <w:r w:rsidR="004719C3">
        <w:rPr>
          <w:rFonts w:eastAsia="Times New Roman" w:cs="Times New Roman"/>
        </w:rPr>
        <w:t xml:space="preserve">.  </w:t>
      </w:r>
    </w:p>
    <w:p w14:paraId="1A2A11D3" w14:textId="01E209A0" w:rsidR="006A7466" w:rsidRPr="00F51389" w:rsidRDefault="006A7466" w:rsidP="004719C3">
      <w:pPr>
        <w:spacing w:after="240"/>
        <w:rPr>
          <w:rFonts w:eastAsia="Times New Roman" w:cs="Times New Roman"/>
          <w:b/>
          <w:caps/>
        </w:rPr>
      </w:pPr>
      <w:r w:rsidRPr="20F8CBC5">
        <w:rPr>
          <w:rFonts w:eastAsia="Times New Roman" w:cs="Times New Roman"/>
          <w:b/>
          <w:caps/>
        </w:rPr>
        <w:t>Conclusion</w:t>
      </w:r>
    </w:p>
    <w:p w14:paraId="5AFA8486" w14:textId="1977BE49" w:rsidR="006A7466" w:rsidRPr="00F51389" w:rsidRDefault="00FD12E7" w:rsidP="006A7466">
      <w:pPr>
        <w:spacing w:after="240"/>
        <w:ind w:firstLine="720"/>
        <w:rPr>
          <w:rFonts w:eastAsia="Times New Roman" w:cs="Times New Roman"/>
        </w:rPr>
      </w:pPr>
      <w:r>
        <w:rPr>
          <w:rFonts w:eastAsia="Times New Roman" w:cs="Times New Roman"/>
        </w:rPr>
        <w:t>M</w:t>
      </w:r>
      <w:r w:rsidR="006A7466" w:rsidRPr="20F8CBC5">
        <w:rPr>
          <w:rFonts w:eastAsia="Times New Roman" w:cs="Times New Roman"/>
        </w:rPr>
        <w:t>obile broadband providers are experimenting with a variety of sponsored data and zero</w:t>
      </w:r>
      <w:r w:rsidR="004E3F94">
        <w:rPr>
          <w:rFonts w:eastAsia="Times New Roman" w:cs="Times New Roman"/>
        </w:rPr>
        <w:t>-</w:t>
      </w:r>
      <w:r w:rsidR="006A7466" w:rsidRPr="20F8CBC5">
        <w:rPr>
          <w:rFonts w:eastAsia="Times New Roman" w:cs="Times New Roman"/>
        </w:rPr>
        <w:t xml:space="preserve">rating initiatives.  While </w:t>
      </w:r>
      <w:r>
        <w:rPr>
          <w:rFonts w:eastAsia="Times New Roman" w:cs="Times New Roman"/>
        </w:rPr>
        <w:t xml:space="preserve">this dynamic environment has benefited consumers, </w:t>
      </w:r>
      <w:r w:rsidR="006A7466" w:rsidRPr="20F8CBC5">
        <w:rPr>
          <w:rFonts w:eastAsia="Times New Roman" w:cs="Times New Roman"/>
        </w:rPr>
        <w:t xml:space="preserve">these business arrangements may raise many of the same economic and public policy issues involving network owners that the Commission has long considered.  In particular, sponsored data offerings </w:t>
      </w:r>
      <w:r w:rsidR="00200C69">
        <w:rPr>
          <w:rFonts w:eastAsia="Times New Roman" w:cs="Times New Roman"/>
        </w:rPr>
        <w:t xml:space="preserve">by vertically integrated mobile broadband providers </w:t>
      </w:r>
      <w:r w:rsidR="006A7466" w:rsidRPr="20F8CBC5">
        <w:rPr>
          <w:rFonts w:eastAsia="Times New Roman" w:cs="Times New Roman"/>
        </w:rPr>
        <w:t>may harm consumers and competition in downstream industry sectors by unreasonably discriminating in favor of select downstream providers, especially their own affiliates.</w:t>
      </w:r>
    </w:p>
    <w:p w14:paraId="7D1242CF" w14:textId="77777777" w:rsidR="00671C06" w:rsidRPr="006A7466" w:rsidRDefault="00671C06" w:rsidP="005E328C"/>
    <w:sectPr w:rsidR="00671C06" w:rsidRPr="006A74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7AF81" w14:textId="77777777" w:rsidR="00376AC0" w:rsidRDefault="00376AC0" w:rsidP="00CB6BF2">
      <w:r>
        <w:separator/>
      </w:r>
    </w:p>
  </w:endnote>
  <w:endnote w:type="continuationSeparator" w:id="0">
    <w:p w14:paraId="0A8D0C39" w14:textId="77777777" w:rsidR="00376AC0" w:rsidRDefault="00376AC0" w:rsidP="00CB6BF2">
      <w:r>
        <w:continuationSeparator/>
      </w:r>
    </w:p>
  </w:endnote>
  <w:endnote w:type="continuationNotice" w:id="1">
    <w:p w14:paraId="754F6920" w14:textId="77777777" w:rsidR="00376AC0" w:rsidRDefault="00376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3582D" w14:textId="77777777" w:rsidR="007364A3" w:rsidRDefault="00736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58403"/>
      <w:docPartObj>
        <w:docPartGallery w:val="Page Numbers (Bottom of Page)"/>
        <w:docPartUnique/>
      </w:docPartObj>
    </w:sdtPr>
    <w:sdtEndPr>
      <w:rPr>
        <w:noProof/>
      </w:rPr>
    </w:sdtEndPr>
    <w:sdtContent>
      <w:p w14:paraId="2053F914" w14:textId="77777777" w:rsidR="00D81031" w:rsidRDefault="00D81031">
        <w:pPr>
          <w:pStyle w:val="Footer"/>
          <w:jc w:val="center"/>
        </w:pPr>
        <w:r>
          <w:fldChar w:fldCharType="begin"/>
        </w:r>
        <w:r>
          <w:instrText xml:space="preserve"> PAGE   \* MERGEFORMAT </w:instrText>
        </w:r>
        <w:r>
          <w:fldChar w:fldCharType="separate"/>
        </w:r>
        <w:r w:rsidR="00FE67F6">
          <w:rPr>
            <w:noProof/>
          </w:rPr>
          <w:t>1</w:t>
        </w:r>
        <w:r>
          <w:rPr>
            <w:noProof/>
          </w:rPr>
          <w:fldChar w:fldCharType="end"/>
        </w:r>
      </w:p>
    </w:sdtContent>
  </w:sdt>
  <w:p w14:paraId="5087256B" w14:textId="77777777" w:rsidR="00D81031" w:rsidRDefault="00D81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6E82" w14:textId="77777777" w:rsidR="007364A3" w:rsidRDefault="00736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954BE" w14:textId="77777777" w:rsidR="00376AC0" w:rsidRDefault="00376AC0" w:rsidP="00CB6BF2">
      <w:r>
        <w:separator/>
      </w:r>
    </w:p>
  </w:footnote>
  <w:footnote w:type="continuationSeparator" w:id="0">
    <w:p w14:paraId="76C37E31" w14:textId="77777777" w:rsidR="00376AC0" w:rsidRDefault="00376AC0" w:rsidP="00CB6BF2">
      <w:r>
        <w:continuationSeparator/>
      </w:r>
    </w:p>
  </w:footnote>
  <w:footnote w:type="continuationNotice" w:id="1">
    <w:p w14:paraId="0C583A4A" w14:textId="77777777" w:rsidR="00376AC0" w:rsidRDefault="00376AC0"/>
  </w:footnote>
  <w:footnote w:id="2">
    <w:p w14:paraId="69AA52FE" w14:textId="26C25DB6" w:rsidR="00E515CF" w:rsidRPr="005E328C" w:rsidRDefault="006A7466" w:rsidP="005E328C">
      <w:pPr>
        <w:pStyle w:val="FootnoteText"/>
        <w:spacing w:before="120" w:after="120"/>
      </w:pPr>
      <w:r w:rsidRPr="006801AE">
        <w:rPr>
          <w:rStyle w:val="FootnoteReference"/>
          <w:rFonts w:cs="Times New Roman"/>
        </w:rPr>
        <w:footnoteRef/>
      </w:r>
      <w:r w:rsidRPr="006801AE">
        <w:rPr>
          <w:rFonts w:cs="Times New Roman"/>
        </w:rPr>
        <w:t xml:space="preserve"> During this 2016 staff review,</w:t>
      </w:r>
      <w:r w:rsidR="00595019" w:rsidRPr="006801AE">
        <w:rPr>
          <w:rFonts w:cs="Times New Roman"/>
        </w:rPr>
        <w:t xml:space="preserve"> WTB staff assessed</w:t>
      </w:r>
      <w:r w:rsidRPr="006801AE">
        <w:rPr>
          <w:rFonts w:cs="Times New Roman"/>
        </w:rPr>
        <w:t xml:space="preserve"> sponsored data plans</w:t>
      </w:r>
      <w:r w:rsidR="00595019" w:rsidRPr="006801AE">
        <w:rPr>
          <w:rFonts w:cs="Times New Roman"/>
        </w:rPr>
        <w:t xml:space="preserve"> involving mobile broadband Internet access service.  H</w:t>
      </w:r>
      <w:r w:rsidRPr="006801AE">
        <w:rPr>
          <w:rFonts w:cs="Times New Roman"/>
        </w:rPr>
        <w:t xml:space="preserve">owever, the principles and public interest concerns at issue </w:t>
      </w:r>
      <w:r w:rsidR="00B81102" w:rsidRPr="006801AE">
        <w:rPr>
          <w:rFonts w:cs="Times New Roman"/>
        </w:rPr>
        <w:t>also</w:t>
      </w:r>
      <w:r w:rsidRPr="006801AE">
        <w:rPr>
          <w:rFonts w:cs="Times New Roman"/>
        </w:rPr>
        <w:t xml:space="preserve"> could arise if zero</w:t>
      </w:r>
      <w:r w:rsidR="004E3F94" w:rsidRPr="006801AE">
        <w:rPr>
          <w:rFonts w:cs="Times New Roman"/>
        </w:rPr>
        <w:t>-</w:t>
      </w:r>
      <w:r w:rsidRPr="006801AE">
        <w:rPr>
          <w:rFonts w:cs="Times New Roman"/>
        </w:rPr>
        <w:t>rating or sponsored data plans were offered by provide</w:t>
      </w:r>
      <w:r w:rsidR="006801AE" w:rsidRPr="006801AE">
        <w:rPr>
          <w:rFonts w:cs="Times New Roman"/>
        </w:rPr>
        <w:t>rs of fixed broadband networks.</w:t>
      </w:r>
    </w:p>
  </w:footnote>
  <w:footnote w:id="3">
    <w:p w14:paraId="62CE2C1C" w14:textId="5A61FF3F"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008B6ABD" w:rsidRPr="006801AE">
        <w:rPr>
          <w:rFonts w:eastAsia="Times New Roman" w:cs="Times New Roman"/>
        </w:rPr>
        <w:t>47 CFR</w:t>
      </w:r>
      <w:r w:rsidR="00BD4940">
        <w:rPr>
          <w:rFonts w:eastAsia="Times New Roman" w:cs="Times New Roman"/>
        </w:rPr>
        <w:t xml:space="preserve"> </w:t>
      </w:r>
      <w:r w:rsidRPr="006801AE">
        <w:rPr>
          <w:rFonts w:eastAsia="Times New Roman" w:cs="Times New Roman"/>
        </w:rPr>
        <w:t>§</w:t>
      </w:r>
      <w:r w:rsidR="00BD4940">
        <w:rPr>
          <w:rFonts w:eastAsia="Times New Roman" w:cs="Times New Roman"/>
        </w:rPr>
        <w:t xml:space="preserve"> </w:t>
      </w:r>
      <w:r w:rsidRPr="006801AE">
        <w:rPr>
          <w:rFonts w:eastAsia="Times New Roman" w:cs="Times New Roman"/>
        </w:rPr>
        <w:t>0.131(a)</w:t>
      </w:r>
      <w:r w:rsidR="00BD4940">
        <w:rPr>
          <w:rFonts w:eastAsia="Times New Roman" w:cs="Times New Roman"/>
        </w:rPr>
        <w:t>-</w:t>
      </w:r>
      <w:r w:rsidRPr="006801AE">
        <w:rPr>
          <w:rFonts w:eastAsia="Times New Roman" w:cs="Times New Roman"/>
        </w:rPr>
        <w:t>(b).</w:t>
      </w:r>
    </w:p>
  </w:footnote>
  <w:footnote w:id="4">
    <w:p w14:paraId="1A7F1CC5" w14:textId="34D1C206" w:rsidR="006A7466" w:rsidRPr="006801AE" w:rsidRDefault="006A7466"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w:t>
      </w:r>
      <w:r w:rsidRPr="006801AE">
        <w:rPr>
          <w:rFonts w:eastAsia="Times New Roman" w:cs="Times New Roman"/>
          <w:i/>
        </w:rPr>
        <w:t xml:space="preserve">Protecting and Promoting the Open Internet, </w:t>
      </w:r>
      <w:r w:rsidRPr="006801AE">
        <w:rPr>
          <w:rFonts w:eastAsia="Times New Roman" w:cs="Times New Roman"/>
        </w:rPr>
        <w:t>30 FCC Rcd 5601, 5666-67, para. 151 (2015) (</w:t>
      </w:r>
      <w:r w:rsidRPr="006801AE">
        <w:rPr>
          <w:rFonts w:eastAsia="Times New Roman" w:cs="Times New Roman"/>
          <w:i/>
        </w:rPr>
        <w:t>2015 Open Internet Order</w:t>
      </w:r>
      <w:r w:rsidRPr="006801AE">
        <w:rPr>
          <w:rFonts w:eastAsia="Times New Roman" w:cs="Times New Roman"/>
        </w:rPr>
        <w:t xml:space="preserve">), </w:t>
      </w:r>
      <w:r w:rsidRPr="006801AE">
        <w:rPr>
          <w:rFonts w:eastAsia="Times New Roman" w:cs="Times New Roman"/>
          <w:i/>
        </w:rPr>
        <w:t>aff’d</w:t>
      </w:r>
      <w:r w:rsidRPr="006801AE">
        <w:rPr>
          <w:rFonts w:eastAsia="Times New Roman" w:cs="Times New Roman"/>
        </w:rPr>
        <w:t xml:space="preserve">, </w:t>
      </w:r>
      <w:r w:rsidRPr="006801AE">
        <w:rPr>
          <w:rFonts w:eastAsia="Times New Roman" w:cs="Times New Roman"/>
          <w:i/>
        </w:rPr>
        <w:t>United States Telecom Ass’n v. FCC</w:t>
      </w:r>
      <w:r w:rsidRPr="006801AE">
        <w:rPr>
          <w:rFonts w:eastAsia="Times New Roman" w:cs="Times New Roman"/>
        </w:rPr>
        <w:t xml:space="preserve">, 825 F.3d 674 (D.C. Cir. 2016), </w:t>
      </w:r>
      <w:r w:rsidRPr="006801AE">
        <w:rPr>
          <w:rFonts w:eastAsia="Times New Roman" w:cs="Times New Roman"/>
          <w:i/>
        </w:rPr>
        <w:t>pets. for reh’g pending</w:t>
      </w:r>
      <w:r w:rsidRPr="006801AE">
        <w:rPr>
          <w:rFonts w:eastAsia="Times New Roman" w:cs="Times New Roman"/>
        </w:rPr>
        <w:t xml:space="preserve">.  As noted there, some commenters argued that zero-rating may “increase choice and lower costs for consumers” and “support continued investment in broadband infrastructure.”  </w:t>
      </w:r>
      <w:r w:rsidRPr="006801AE">
        <w:rPr>
          <w:rFonts w:eastAsia="Times New Roman" w:cs="Times New Roman"/>
          <w:i/>
        </w:rPr>
        <w:t xml:space="preserve">Id. </w:t>
      </w:r>
      <w:r w:rsidRPr="006801AE">
        <w:rPr>
          <w:rFonts w:eastAsia="Times New Roman" w:cs="Times New Roman"/>
        </w:rPr>
        <w:t>at 5666</w:t>
      </w:r>
      <w:r w:rsidR="009F46F2">
        <w:rPr>
          <w:rFonts w:eastAsia="Times New Roman" w:cs="Times New Roman"/>
        </w:rPr>
        <w:t>-67</w:t>
      </w:r>
      <w:r w:rsidRPr="006801AE">
        <w:rPr>
          <w:rFonts w:eastAsia="Times New Roman" w:cs="Times New Roman"/>
        </w:rPr>
        <w:t>, para. 151.</w:t>
      </w:r>
    </w:p>
  </w:footnote>
  <w:footnote w:id="5">
    <w:p w14:paraId="197F68F1" w14:textId="1420C4D5" w:rsidR="006A7466" w:rsidRPr="006801AE" w:rsidRDefault="006A7466"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w:t>
      </w:r>
      <w:r w:rsidRPr="006801AE">
        <w:rPr>
          <w:rFonts w:cs="Times New Roman"/>
          <w:i/>
        </w:rPr>
        <w:t>2015 Open Internet Order</w:t>
      </w:r>
      <w:r w:rsidRPr="006801AE">
        <w:rPr>
          <w:rFonts w:cs="Times New Roman"/>
        </w:rPr>
        <w:t>, 30 FCC Rcd at 5659-</w:t>
      </w:r>
      <w:r w:rsidR="006860D7">
        <w:rPr>
          <w:rFonts w:eastAsia="Times New Roman" w:cs="Times New Roman"/>
        </w:rPr>
        <w:t xml:space="preserve">5669, paras. 133-53. </w:t>
      </w:r>
      <w:r w:rsidRPr="006801AE">
        <w:rPr>
          <w:rFonts w:eastAsia="Times New Roman" w:cs="Times New Roman"/>
        </w:rPr>
        <w:t>The no-unreasonable</w:t>
      </w:r>
      <w:r w:rsidR="009F46F2">
        <w:rPr>
          <w:rFonts w:eastAsia="Times New Roman" w:cs="Times New Roman"/>
        </w:rPr>
        <w:t xml:space="preserve"> interference/</w:t>
      </w:r>
      <w:r w:rsidRPr="006801AE">
        <w:rPr>
          <w:rFonts w:eastAsia="Times New Roman" w:cs="Times New Roman"/>
        </w:rPr>
        <w:t xml:space="preserve">disadvantage standard is also known as the “General Conduct Rule.”  The General Conduct Rule prohibits practices that unreasonably interfere with or unreasonably disadvantage end users’ ability to select, access, and use broadband Internet access service </w:t>
      </w:r>
      <w:r w:rsidR="009F46F2">
        <w:rPr>
          <w:rFonts w:eastAsia="Times New Roman" w:cs="Times New Roman"/>
        </w:rPr>
        <w:t xml:space="preserve">(BIAS) </w:t>
      </w:r>
      <w:r w:rsidRPr="006801AE">
        <w:rPr>
          <w:rFonts w:eastAsia="Times New Roman" w:cs="Times New Roman"/>
        </w:rPr>
        <w:t>or the lawful Internet content, applications, services, or devices of their choice, or that unreasonably interfere with or unreasonably disadvantage edge providers’ ability to make lawful content, applications, services, or devices available to end users. 47 CFR § 8.11</w:t>
      </w:r>
      <w:r w:rsidR="00776FDF" w:rsidRPr="006801AE">
        <w:rPr>
          <w:rFonts w:eastAsia="Times New Roman" w:cs="Times New Roman"/>
        </w:rPr>
        <w:t>.</w:t>
      </w:r>
    </w:p>
  </w:footnote>
  <w:footnote w:id="6">
    <w:p w14:paraId="68F683D3" w14:textId="3BB1AB0F"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Data accessed using Wi-Fi connections </w:t>
      </w:r>
      <w:r w:rsidR="00312A82">
        <w:rPr>
          <w:rFonts w:eastAsia="Times New Roman" w:cs="Times New Roman"/>
        </w:rPr>
        <w:t xml:space="preserve">under current practice </w:t>
      </w:r>
      <w:r w:rsidRPr="006801AE">
        <w:rPr>
          <w:rFonts w:eastAsia="Times New Roman" w:cs="Times New Roman"/>
        </w:rPr>
        <w:t xml:space="preserve">do not count toward consumers’ usage allowances. </w:t>
      </w:r>
    </w:p>
  </w:footnote>
  <w:footnote w:id="7">
    <w:p w14:paraId="73FC637A" w14:textId="52292342" w:rsidR="006801AE" w:rsidRPr="006801AE" w:rsidRDefault="002A67D5"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T-Mobile Quadruples Binge On Services, Now Over 100 Video Providers Stream Data-Free (July 26, 2016), </w:t>
      </w:r>
      <w:hyperlink r:id="rId1" w:history="1">
        <w:r w:rsidRPr="006801AE">
          <w:rPr>
            <w:rStyle w:val="Hyperlink"/>
            <w:rFonts w:cs="Times New Roman"/>
          </w:rPr>
          <w:t>https://newsroom.t-mobile.com/news-and-blogs/binge-on-100-providers.htm</w:t>
        </w:r>
      </w:hyperlink>
      <w:r w:rsidRPr="006801AE">
        <w:rPr>
          <w:rFonts w:cs="Times New Roman"/>
        </w:rPr>
        <w:t xml:space="preserve">; T-Mobile, Plans, </w:t>
      </w:r>
      <w:hyperlink r:id="rId2" w:history="1">
        <w:r w:rsidRPr="006801AE">
          <w:rPr>
            <w:rStyle w:val="Hyperlink"/>
            <w:rFonts w:cs="Times New Roman"/>
          </w:rPr>
          <w:t>https://explore.t-mobile.com/t-mobile-one</w:t>
        </w:r>
      </w:hyperlink>
      <w:r w:rsidRPr="006801AE">
        <w:rPr>
          <w:rFonts w:cs="Times New Roman"/>
        </w:rPr>
        <w:t xml:space="preserve">/ (last visited Jan. </w:t>
      </w:r>
      <w:r w:rsidR="00BD4940">
        <w:rPr>
          <w:rFonts w:cs="Times New Roman"/>
        </w:rPr>
        <w:t>9</w:t>
      </w:r>
      <w:r w:rsidRPr="006801AE">
        <w:rPr>
          <w:rFonts w:cs="Times New Roman"/>
        </w:rPr>
        <w:t>, 2017).</w:t>
      </w:r>
    </w:p>
  </w:footnote>
  <w:footnote w:id="8">
    <w:p w14:paraId="13060F1D" w14:textId="6FC25DF1" w:rsidR="003B72F8" w:rsidRPr="007F3B42" w:rsidRDefault="00020CB6" w:rsidP="007F3B42">
      <w:pPr>
        <w:pStyle w:val="FootnoteText"/>
        <w:spacing w:before="120" w:after="120"/>
        <w:rPr>
          <w:color w:val="1F497D"/>
          <w:sz w:val="24"/>
        </w:rPr>
      </w:pPr>
      <w:r>
        <w:rPr>
          <w:rStyle w:val="FootnoteReference"/>
        </w:rPr>
        <w:footnoteRef/>
      </w:r>
      <w:r>
        <w:t xml:space="preserve"> </w:t>
      </w:r>
      <w:r w:rsidRPr="00020CB6">
        <w:rPr>
          <w:rFonts w:cs="Times New Roman"/>
        </w:rPr>
        <w:t xml:space="preserve">T-Mobile, Hello Un-carrier 12… R.I.P. Data Plans T-Mobile Goes All In on Unlimited (Aug. 18,2016), </w:t>
      </w:r>
      <w:hyperlink r:id="rId3" w:history="1">
        <w:r w:rsidR="00043110" w:rsidRPr="00714AF6">
          <w:rPr>
            <w:rStyle w:val="Hyperlink"/>
            <w:rFonts w:cs="Times New Roman"/>
          </w:rPr>
          <w:t>https://newsroom.t-mobile.com/news-and-blogs/rip-data-plans.htm</w:t>
        </w:r>
      </w:hyperlink>
      <w:r w:rsidRPr="00020CB6">
        <w:rPr>
          <w:rFonts w:cs="Times New Roman"/>
        </w:rPr>
        <w:t xml:space="preserve">; T-Mobile, T-Mobile Listens to Customers – Amps Up T-Mobile ONE and Doubles Down on Unlimited (Aug. 29, 2016), </w:t>
      </w:r>
      <w:hyperlink r:id="rId4" w:history="1">
        <w:r w:rsidR="00043110" w:rsidRPr="00714AF6">
          <w:rPr>
            <w:rStyle w:val="Hyperlink"/>
            <w:rFonts w:cs="Times New Roman"/>
          </w:rPr>
          <w:t>https://newsroom.t-mobile.com/news-and-blogs/t-mobile-one-amped.htm</w:t>
        </w:r>
      </w:hyperlink>
      <w:r w:rsidRPr="00020CB6">
        <w:rPr>
          <w:rFonts w:cs="Times New Roman"/>
        </w:rPr>
        <w:t xml:space="preserve">; T-Mobile, T-Mobile Shakes Things Up with T-Mobile ONE Plus (Dec. 21, 2016), </w:t>
      </w:r>
      <w:hyperlink r:id="rId5" w:history="1">
        <w:r w:rsidR="00043110" w:rsidRPr="00714AF6">
          <w:rPr>
            <w:rStyle w:val="Hyperlink"/>
            <w:rFonts w:cs="Times New Roman"/>
          </w:rPr>
          <w:t>https://newsroom.t-mobile.com/news-and-blogs/t-mobile-shakes-things-up-with-t-mobile-one-plus.htm</w:t>
        </w:r>
      </w:hyperlink>
      <w:r w:rsidRPr="00020CB6">
        <w:rPr>
          <w:rFonts w:cs="Times New Roman"/>
        </w:rPr>
        <w:t>.</w:t>
      </w:r>
      <w:r>
        <w:rPr>
          <w:color w:val="1F497D"/>
        </w:rPr>
        <w:t xml:space="preserve"> </w:t>
      </w:r>
    </w:p>
  </w:footnote>
  <w:footnote w:id="9">
    <w:p w14:paraId="3337902F" w14:textId="7E02AB33" w:rsidR="0005737B" w:rsidRPr="009748FB" w:rsidRDefault="0005737B" w:rsidP="009748FB">
      <w:pPr>
        <w:rPr>
          <w:sz w:val="20"/>
          <w:szCs w:val="20"/>
        </w:rPr>
      </w:pPr>
      <w:r w:rsidRPr="002B467E">
        <w:rPr>
          <w:rStyle w:val="FootnoteReference"/>
          <w:sz w:val="20"/>
          <w:szCs w:val="20"/>
        </w:rPr>
        <w:footnoteRef/>
      </w:r>
      <w:r w:rsidRPr="002B467E">
        <w:rPr>
          <w:rStyle w:val="FootnoteReference"/>
          <w:sz w:val="20"/>
          <w:szCs w:val="20"/>
        </w:rPr>
        <w:t xml:space="preserve"> </w:t>
      </w:r>
      <w:r w:rsidR="002A67D5" w:rsidRPr="009748FB">
        <w:rPr>
          <w:rFonts w:cs="Times New Roman"/>
          <w:sz w:val="20"/>
          <w:szCs w:val="20"/>
        </w:rPr>
        <w:t xml:space="preserve">Sprint, Cell Phone Plans, </w:t>
      </w:r>
      <w:hyperlink r:id="rId6" w:history="1">
        <w:r w:rsidR="00043110" w:rsidRPr="00714AF6">
          <w:rPr>
            <w:rStyle w:val="Hyperlink"/>
            <w:rFonts w:cs="Times New Roman"/>
            <w:sz w:val="20"/>
            <w:szCs w:val="20"/>
          </w:rPr>
          <w:t>https://www.sprint.com/landings/unlimited-cell-phone-plans/index.html</w:t>
        </w:r>
      </w:hyperlink>
      <w:r w:rsidR="00043110">
        <w:rPr>
          <w:rFonts w:cs="Times New Roman"/>
          <w:sz w:val="20"/>
          <w:szCs w:val="20"/>
        </w:rPr>
        <w:t xml:space="preserve"> </w:t>
      </w:r>
      <w:r w:rsidR="002A67D5" w:rsidRPr="009748FB">
        <w:rPr>
          <w:rFonts w:cs="Times New Roman"/>
          <w:sz w:val="20"/>
          <w:szCs w:val="20"/>
        </w:rPr>
        <w:t xml:space="preserve">(last visited Jan. </w:t>
      </w:r>
      <w:r w:rsidR="00BD4940" w:rsidRPr="009748FB">
        <w:rPr>
          <w:rFonts w:cs="Times New Roman"/>
          <w:sz w:val="20"/>
          <w:szCs w:val="20"/>
        </w:rPr>
        <w:t>9</w:t>
      </w:r>
      <w:r w:rsidR="002A67D5" w:rsidRPr="009748FB">
        <w:rPr>
          <w:rFonts w:cs="Times New Roman"/>
          <w:sz w:val="20"/>
          <w:szCs w:val="20"/>
        </w:rPr>
        <w:t xml:space="preserve">, 2017); </w:t>
      </w:r>
      <w:r w:rsidR="009748FB" w:rsidRPr="009748FB">
        <w:rPr>
          <w:rFonts w:cs="Times New Roman"/>
          <w:sz w:val="20"/>
          <w:szCs w:val="20"/>
        </w:rPr>
        <w:t xml:space="preserve">Sprint, Unlimited Freedom plan FAQs (Oct. 31, 2016), </w:t>
      </w:r>
      <w:hyperlink r:id="rId7" w:history="1">
        <w:r w:rsidR="00043110" w:rsidRPr="00714AF6">
          <w:rPr>
            <w:rStyle w:val="Hyperlink"/>
            <w:rFonts w:cs="Times New Roman"/>
            <w:sz w:val="20"/>
            <w:szCs w:val="20"/>
          </w:rPr>
          <w:t>https://support.sprint.com/support/article/Sprint-Launches-Unlimited-Freedom/0db2c4e7-3a6a-4d46-9dff-84cd6c402527</w:t>
        </w:r>
      </w:hyperlink>
      <w:r w:rsidR="009748FB">
        <w:rPr>
          <w:rFonts w:cs="Times New Roman"/>
          <w:sz w:val="20"/>
          <w:szCs w:val="20"/>
        </w:rPr>
        <w:t xml:space="preserve">; </w:t>
      </w:r>
      <w:r w:rsidR="002A67D5" w:rsidRPr="009748FB">
        <w:rPr>
          <w:sz w:val="20"/>
          <w:szCs w:val="20"/>
        </w:rPr>
        <w:t xml:space="preserve">Customers Score Big as Sprint Provides Exclusive Free Access with No Data Charges to Every Live Match of 2016 Copa América Centenario with fuboTV, (May 19, 2016), </w:t>
      </w:r>
      <w:hyperlink r:id="rId8" w:history="1">
        <w:r w:rsidR="00043110" w:rsidRPr="00714AF6">
          <w:rPr>
            <w:rStyle w:val="Hyperlink"/>
            <w:sz w:val="20"/>
            <w:szCs w:val="20"/>
          </w:rPr>
          <w:t>http://newsroom.sprint.com/news-releases/customers-score-big-as-sprint-provides-exclusive-free-access-with-no-data-charges-to-every-live-match-of-2016-copa-amrica-centenario-with-fubotv.htm</w:t>
        </w:r>
      </w:hyperlink>
      <w:r w:rsidR="009748FB">
        <w:rPr>
          <w:sz w:val="20"/>
          <w:szCs w:val="20"/>
        </w:rPr>
        <w:t>.</w:t>
      </w:r>
    </w:p>
  </w:footnote>
  <w:footnote w:id="10">
    <w:p w14:paraId="7070F08E" w14:textId="7CEC02D2" w:rsidR="00172512" w:rsidRPr="006801AE" w:rsidRDefault="00172512" w:rsidP="00172512">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Although AT&amp;T has not introduced stand-alone unlimited data plans, it does offer an unlimited data plan for AT&amp;T subscribers who also subscribe to DIRECTV.  </w:t>
      </w:r>
      <w:r w:rsidRPr="006801AE">
        <w:rPr>
          <w:rFonts w:cs="Times New Roman"/>
          <w:i/>
        </w:rPr>
        <w:t>See</w:t>
      </w:r>
      <w:r w:rsidRPr="006801AE">
        <w:rPr>
          <w:rFonts w:cs="Times New Roman"/>
        </w:rPr>
        <w:t xml:space="preserve"> AT&amp;T, “Our Best Unlimited Plan Ever! Stream and surf all you want with Unlimited Data when you have AT&amp;T Wireless and DIRECTV,”   </w:t>
      </w:r>
      <w:hyperlink r:id="rId9" w:history="1">
        <w:r w:rsidRPr="006801AE">
          <w:rPr>
            <w:rStyle w:val="Hyperlink"/>
            <w:rFonts w:cs="Times New Roman"/>
          </w:rPr>
          <w:t>https://www.att.com/shop/wireless/unlimited-plan.html</w:t>
        </w:r>
      </w:hyperlink>
      <w:r w:rsidRPr="006801AE">
        <w:rPr>
          <w:rFonts w:cs="Times New Roman"/>
        </w:rPr>
        <w:t xml:space="preserve"> (last visited Jan. </w:t>
      </w:r>
      <w:r w:rsidR="009F46F2">
        <w:rPr>
          <w:rFonts w:cs="Times New Roman"/>
        </w:rPr>
        <w:t>9</w:t>
      </w:r>
      <w:r w:rsidRPr="006801AE">
        <w:rPr>
          <w:rFonts w:cs="Times New Roman"/>
        </w:rPr>
        <w:t>, 2017).</w:t>
      </w:r>
      <w:r>
        <w:rPr>
          <w:rFonts w:cs="Times New Roman"/>
        </w:rPr>
        <w:t xml:space="preserve"> </w:t>
      </w:r>
    </w:p>
  </w:footnote>
  <w:footnote w:id="11">
    <w:p w14:paraId="542C175C" w14:textId="735C4C35"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AT&amp;T, </w:t>
      </w:r>
      <w:r w:rsidRPr="006801AE">
        <w:rPr>
          <w:rFonts w:eastAsia="Times New Roman" w:cs="Times New Roman"/>
          <w:i/>
        </w:rPr>
        <w:t>Watch It Anywhere with AT&amp;T DIRECTV (</w:t>
      </w:r>
      <w:r w:rsidRPr="006801AE">
        <w:rPr>
          <w:rFonts w:eastAsia="Times New Roman" w:cs="Times New Roman"/>
        </w:rPr>
        <w:t xml:space="preserve">Sept. 7, 2016), </w:t>
      </w:r>
      <w:hyperlink r:id="rId10" w:history="1">
        <w:r w:rsidRPr="006801AE">
          <w:rPr>
            <w:rStyle w:val="Hyperlink"/>
            <w:rFonts w:eastAsia="Times New Roman" w:cs="Times New Roman"/>
          </w:rPr>
          <w:t>http://about.att.com/story/watch_it_anywhere_with_att_directv.html</w:t>
        </w:r>
      </w:hyperlink>
      <w:r w:rsidRPr="006801AE">
        <w:rPr>
          <w:rFonts w:eastAsia="Times New Roman" w:cs="Times New Roman"/>
        </w:rPr>
        <w:t xml:space="preserve">; AT&amp;T, </w:t>
      </w:r>
      <w:r w:rsidRPr="006801AE">
        <w:rPr>
          <w:rFonts w:eastAsia="Times New Roman" w:cs="Times New Roman"/>
          <w:i/>
        </w:rPr>
        <w:t>The Revolution is Here: AT&amp;T Offers 3 Ways to Stream Premium Video Content</w:t>
      </w:r>
      <w:r w:rsidRPr="006801AE">
        <w:rPr>
          <w:rFonts w:eastAsia="Times New Roman" w:cs="Times New Roman"/>
        </w:rPr>
        <w:t xml:space="preserve"> (Nov. 29, 2016), </w:t>
      </w:r>
      <w:hyperlink r:id="rId11" w:history="1">
        <w:r w:rsidRPr="006801AE">
          <w:rPr>
            <w:rStyle w:val="Hyperlink"/>
            <w:rFonts w:eastAsia="Times New Roman" w:cs="Times New Roman"/>
          </w:rPr>
          <w:t>http://about.att.com/story/att_offers_three_ways_to_stream_premium_video_content.html</w:t>
        </w:r>
      </w:hyperlink>
      <w:r w:rsidRPr="006801AE">
        <w:rPr>
          <w:rFonts w:eastAsia="Times New Roman" w:cs="Times New Roman"/>
        </w:rPr>
        <w:t xml:space="preserve">.   </w:t>
      </w:r>
    </w:p>
  </w:footnote>
  <w:footnote w:id="12">
    <w:p w14:paraId="3CD7BF28" w14:textId="0757F01E" w:rsidR="00295D98" w:rsidRPr="006801AE" w:rsidRDefault="00295D98"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Verizon, Introducing FreeBee Data: The New Sponsored Data Service from Verizon (Jan. 19, 2016), </w:t>
      </w:r>
      <w:hyperlink r:id="rId12" w:history="1">
        <w:r w:rsidR="00CE773D" w:rsidRPr="00684B10">
          <w:rPr>
            <w:rStyle w:val="Hyperlink"/>
            <w:rFonts w:cs="Times New Roman"/>
          </w:rPr>
          <w:t>http://www.verizon.com/about/news/introducing-freebee-data-new-sponsored-data-service-verizon</w:t>
        </w:r>
      </w:hyperlink>
      <w:r w:rsidRPr="006801AE">
        <w:rPr>
          <w:rFonts w:cs="Times New Roman"/>
        </w:rPr>
        <w:t>.</w:t>
      </w:r>
      <w:r w:rsidR="00CE773D">
        <w:rPr>
          <w:rFonts w:cs="Times New Roman"/>
        </w:rPr>
        <w:t xml:space="preserve"> Verizon’s FreeBee Data program enables edge providers to sponsor short clips of content for consumers on a per-click basis</w:t>
      </w:r>
      <w:r w:rsidR="009C6D43">
        <w:rPr>
          <w:rFonts w:cs="Times New Roman"/>
        </w:rPr>
        <w:t>,</w:t>
      </w:r>
      <w:r w:rsidR="00CE773D">
        <w:rPr>
          <w:rFonts w:cs="Times New Roman"/>
        </w:rPr>
        <w:t xml:space="preserve"> as compared to the FreeBee Data 360 program, which allows </w:t>
      </w:r>
      <w:r w:rsidR="009C6D43">
        <w:rPr>
          <w:rFonts w:cs="Times New Roman"/>
        </w:rPr>
        <w:t xml:space="preserve">edge providers to sponsor </w:t>
      </w:r>
      <w:r w:rsidR="00CE773D">
        <w:rPr>
          <w:rFonts w:cs="Times New Roman"/>
        </w:rPr>
        <w:t>longer programming content on a per-gigabyte basis.</w:t>
      </w:r>
    </w:p>
  </w:footnote>
  <w:footnote w:id="13">
    <w:p w14:paraId="28935B06" w14:textId="61ED0B9E" w:rsidR="00295D98" w:rsidRPr="006801AE" w:rsidRDefault="00295D98"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2B467E">
        <w:rPr>
          <w:rStyle w:val="FootnoteReference"/>
        </w:rPr>
        <w:t xml:space="preserve"> </w:t>
      </w:r>
      <w:r w:rsidRPr="006801AE">
        <w:rPr>
          <w:rFonts w:eastAsia="Times New Roman" w:cs="Times New Roman"/>
          <w:i/>
        </w:rPr>
        <w:t>See</w:t>
      </w:r>
      <w:r w:rsidRPr="006801AE">
        <w:rPr>
          <w:rFonts w:eastAsia="Times New Roman" w:cs="Times New Roman"/>
        </w:rPr>
        <w:t xml:space="preserve"> Verizon, go90, </w:t>
      </w:r>
      <w:hyperlink r:id="rId13" w:history="1">
        <w:r w:rsidRPr="006801AE">
          <w:rPr>
            <w:rStyle w:val="Hyperlink"/>
            <w:rFonts w:eastAsia="Times New Roman" w:cs="Times New Roman"/>
          </w:rPr>
          <w:t>http://www.verizonwireless.com/landingpages/go90/</w:t>
        </w:r>
      </w:hyperlink>
      <w:r w:rsidRPr="006801AE">
        <w:rPr>
          <w:rFonts w:eastAsia="Times New Roman" w:cs="Times New Roman"/>
        </w:rPr>
        <w:t xml:space="preserve"> (last visited on Jan. </w:t>
      </w:r>
      <w:r w:rsidR="009F46F2">
        <w:rPr>
          <w:rFonts w:eastAsia="Times New Roman" w:cs="Times New Roman"/>
        </w:rPr>
        <w:t>9</w:t>
      </w:r>
      <w:r w:rsidRPr="006801AE">
        <w:rPr>
          <w:rFonts w:eastAsia="Times New Roman" w:cs="Times New Roman"/>
        </w:rPr>
        <w:t xml:space="preserve">, 2017). Subscribers to any mobile broadband carrier’s service can download the go90 app for free. Verizon, go90 FAQs, </w:t>
      </w:r>
      <w:hyperlink r:id="rId14" w:history="1">
        <w:r w:rsidRPr="006801AE">
          <w:rPr>
            <w:rStyle w:val="Hyperlink"/>
            <w:rFonts w:eastAsia="Times New Roman" w:cs="Times New Roman"/>
          </w:rPr>
          <w:t>https://www.verizonwireless.com/support/go90-faqs/</w:t>
        </w:r>
      </w:hyperlink>
      <w:r w:rsidR="009F46F2">
        <w:rPr>
          <w:rFonts w:eastAsia="Times New Roman" w:cs="Times New Roman"/>
        </w:rPr>
        <w:t xml:space="preserve"> (last visited Jan. 9, 2017).</w:t>
      </w:r>
      <w:r w:rsidRPr="006801AE">
        <w:rPr>
          <w:rFonts w:eastAsia="Times New Roman" w:cs="Times New Roman"/>
        </w:rPr>
        <w:t xml:space="preserve"> Unlike DIRECTV Now, go90 does not currently include a full-fledged multi-channel video package with a broad array of live programming or full-length movies or TV shows.  Consumers who subscribe to both Verizon Wireless’s mobile broadband service and Verizon’s landline FIOS multi-channel video service can view FiOS programming on their smartphones using a separate FIOS TV app, but not using the go90 app; such FiOS usage is not zero-rated at this time.</w:t>
      </w:r>
    </w:p>
  </w:footnote>
  <w:footnote w:id="14">
    <w:p w14:paraId="1B90F189" w14:textId="39711784"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003B72F8">
        <w:rPr>
          <w:rFonts w:eastAsia="Times New Roman" w:cs="Times New Roman"/>
          <w:i/>
        </w:rPr>
        <w:t xml:space="preserve">2015 Open Internet Order, </w:t>
      </w:r>
      <w:r w:rsidRPr="006801AE">
        <w:rPr>
          <w:rFonts w:eastAsia="Times New Roman" w:cs="Times New Roman"/>
        </w:rPr>
        <w:t>30 FCC</w:t>
      </w:r>
      <w:r w:rsidRPr="006801AE">
        <w:rPr>
          <w:rFonts w:eastAsia="Times New Roman" w:cs="Times New Roman"/>
          <w:i/>
        </w:rPr>
        <w:t xml:space="preserve"> </w:t>
      </w:r>
      <w:r w:rsidRPr="006801AE">
        <w:rPr>
          <w:rFonts w:eastAsia="Times New Roman" w:cs="Times New Roman"/>
        </w:rPr>
        <w:t>Rcd at 5666-68, paras. 151-52 &amp; notes 361-67.</w:t>
      </w:r>
    </w:p>
  </w:footnote>
  <w:footnote w:id="15">
    <w:p w14:paraId="228ED18A" w14:textId="209D9BF6"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007D3C73">
        <w:rPr>
          <w:rFonts w:eastAsia="Times New Roman" w:cs="Times New Roman"/>
          <w:i/>
        </w:rPr>
        <w:t>Id.</w:t>
      </w:r>
      <w:r w:rsidR="003B72F8">
        <w:rPr>
          <w:rFonts w:eastAsia="Times New Roman" w:cs="Times New Roman"/>
          <w:i/>
        </w:rPr>
        <w:t xml:space="preserve">, </w:t>
      </w:r>
      <w:r w:rsidRPr="006801AE">
        <w:rPr>
          <w:rFonts w:eastAsia="Times New Roman" w:cs="Times New Roman"/>
        </w:rPr>
        <w:t>30 FCC</w:t>
      </w:r>
      <w:r w:rsidRPr="006801AE">
        <w:rPr>
          <w:rFonts w:eastAsia="Times New Roman" w:cs="Times New Roman"/>
          <w:i/>
        </w:rPr>
        <w:t xml:space="preserve"> </w:t>
      </w:r>
      <w:r w:rsidRPr="006801AE">
        <w:rPr>
          <w:rFonts w:eastAsia="Times New Roman" w:cs="Times New Roman"/>
        </w:rPr>
        <w:t>Rcd at 5668-69, para</w:t>
      </w:r>
      <w:r w:rsidR="00BC6C72">
        <w:rPr>
          <w:rFonts w:eastAsia="Times New Roman" w:cs="Times New Roman"/>
        </w:rPr>
        <w:t>s</w:t>
      </w:r>
      <w:r w:rsidRPr="006801AE">
        <w:rPr>
          <w:rFonts w:eastAsia="Times New Roman" w:cs="Times New Roman"/>
        </w:rPr>
        <w:t>. 15</w:t>
      </w:r>
      <w:r w:rsidR="00BC6C72">
        <w:rPr>
          <w:rFonts w:eastAsia="Times New Roman" w:cs="Times New Roman"/>
        </w:rPr>
        <w:t>2-5</w:t>
      </w:r>
      <w:r w:rsidRPr="006801AE">
        <w:rPr>
          <w:rFonts w:eastAsia="Times New Roman" w:cs="Times New Roman"/>
        </w:rPr>
        <w:t>3.</w:t>
      </w:r>
    </w:p>
  </w:footnote>
  <w:footnote w:id="16">
    <w:p w14:paraId="5C095A85" w14:textId="4DA87FDB" w:rsidR="006A7466" w:rsidRPr="006801AE" w:rsidRDefault="006A7466"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w:t>
      </w:r>
      <w:r w:rsidRPr="006801AE">
        <w:rPr>
          <w:rFonts w:eastAsia="Times New Roman" w:cs="Times New Roman"/>
        </w:rPr>
        <w:t>47 CFR §§ 8.5, 8.7, 8.9.</w:t>
      </w:r>
      <w:r w:rsidRPr="006801AE" w:rsidDel="003C29B7">
        <w:rPr>
          <w:rFonts w:eastAsia="Times New Roman" w:cs="Times New Roman"/>
        </w:rPr>
        <w:t xml:space="preserve">  </w:t>
      </w:r>
      <w:r w:rsidRPr="006801AE" w:rsidDel="003C29B7">
        <w:rPr>
          <w:rFonts w:eastAsia="Times New Roman" w:cs="Times New Roman"/>
          <w:i/>
        </w:rPr>
        <w:t xml:space="preserve"> </w:t>
      </w:r>
    </w:p>
  </w:footnote>
  <w:footnote w:id="17">
    <w:p w14:paraId="6DE293C7" w14:textId="7719FFC6" w:rsidR="006A7466" w:rsidRPr="006801AE" w:rsidRDefault="006A7466"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w:t>
      </w:r>
      <w:r w:rsidR="007D3C73">
        <w:rPr>
          <w:rFonts w:eastAsia="Times New Roman" w:cs="Times New Roman"/>
          <w:i/>
        </w:rPr>
        <w:t>Id.,</w:t>
      </w:r>
      <w:r w:rsidRPr="006801AE">
        <w:rPr>
          <w:rFonts w:eastAsia="Times New Roman" w:cs="Times New Roman"/>
        </w:rPr>
        <w:t xml:space="preserve"> § 8.3.  </w:t>
      </w:r>
    </w:p>
  </w:footnote>
  <w:footnote w:id="18">
    <w:p w14:paraId="0EBF74E4"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See</w:t>
      </w:r>
      <w:r w:rsidRPr="006801AE">
        <w:rPr>
          <w:rFonts w:eastAsia="Times New Roman" w:cs="Times New Roman"/>
        </w:rPr>
        <w:t xml:space="preserve"> </w:t>
      </w:r>
      <w:r w:rsidRPr="006801AE">
        <w:rPr>
          <w:rFonts w:eastAsia="Times New Roman" w:cs="Times New Roman"/>
          <w:i/>
        </w:rPr>
        <w:t>2015 Open Internet Order</w:t>
      </w:r>
      <w:r w:rsidRPr="006801AE">
        <w:rPr>
          <w:rFonts w:eastAsia="Times New Roman" w:cs="Times New Roman"/>
        </w:rPr>
        <w:t>, 30 FCC Rcd at 5637, para. 91 (“the technology underlying today’s mobile broadband networks . . . gives those operators a greater ability to engage in conduct harmful to the virtuous cycle in the absence of open Internet rules.”).</w:t>
      </w:r>
    </w:p>
  </w:footnote>
  <w:footnote w:id="19">
    <w:p w14:paraId="693FD98C"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SBC Communications Inc. and AT&amp;T Corp. Applications for Transfer of Control</w:t>
      </w:r>
      <w:r w:rsidRPr="006801AE">
        <w:rPr>
          <w:rFonts w:eastAsia="Times New Roman" w:cs="Times New Roman"/>
        </w:rPr>
        <w:t>, 20 FCC Rcd 18290, 18371, para. 151 (2005) (citing</w:t>
      </w:r>
      <w:r w:rsidRPr="006801AE">
        <w:rPr>
          <w:rFonts w:eastAsia="Times New Roman" w:cs="Times New Roman"/>
          <w:i/>
        </w:rPr>
        <w:t xml:space="preserve"> SBC Communications, Inc. v. FCC</w:t>
      </w:r>
      <w:r w:rsidRPr="006801AE">
        <w:rPr>
          <w:rFonts w:eastAsia="Times New Roman" w:cs="Times New Roman"/>
        </w:rPr>
        <w:t>, 56 F.3d 1484, 1491-92 (D.C. Cir. 1995)).</w:t>
      </w:r>
    </w:p>
  </w:footnote>
  <w:footnote w:id="20">
    <w:p w14:paraId="5189CE0A" w14:textId="64BAF238"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Jonathan E. Nuechterlein and Philip J. Weiser, </w:t>
      </w:r>
      <w:r w:rsidRPr="006801AE">
        <w:rPr>
          <w:rFonts w:eastAsia="Times New Roman" w:cs="Times New Roman"/>
          <w:i/>
        </w:rPr>
        <w:t>Digital Crossroads:  American Telecommunications Policy in the Internet Age</w:t>
      </w:r>
      <w:r w:rsidR="009F46F2">
        <w:rPr>
          <w:rFonts w:eastAsia="Times New Roman" w:cs="Times New Roman"/>
          <w:i/>
        </w:rPr>
        <w:t>,</w:t>
      </w:r>
      <w:r w:rsidRPr="006801AE">
        <w:rPr>
          <w:rFonts w:eastAsia="Times New Roman" w:cs="Times New Roman"/>
        </w:rPr>
        <w:t xml:space="preserve"> 16-</w:t>
      </w:r>
      <w:r w:rsidR="00BC6C72">
        <w:rPr>
          <w:rFonts w:eastAsia="Times New Roman" w:cs="Times New Roman"/>
        </w:rPr>
        <w:t>22</w:t>
      </w:r>
      <w:r w:rsidRPr="006801AE">
        <w:rPr>
          <w:rFonts w:eastAsia="Times New Roman" w:cs="Times New Roman"/>
        </w:rPr>
        <w:t xml:space="preserve"> </w:t>
      </w:r>
      <w:r w:rsidR="00BC6C72">
        <w:rPr>
          <w:rFonts w:eastAsia="Times New Roman" w:cs="Times New Roman"/>
        </w:rPr>
        <w:t>1</w:t>
      </w:r>
      <w:r w:rsidR="00BC6C72" w:rsidRPr="00BC6C72">
        <w:rPr>
          <w:rFonts w:eastAsia="Times New Roman" w:cs="Times New Roman"/>
          <w:vertAlign w:val="superscript"/>
        </w:rPr>
        <w:t>st</w:t>
      </w:r>
      <w:r w:rsidR="00BC6C72">
        <w:rPr>
          <w:rFonts w:eastAsia="Times New Roman" w:cs="Times New Roman"/>
        </w:rPr>
        <w:t xml:space="preserve"> ed. </w:t>
      </w:r>
      <w:r w:rsidRPr="006801AE">
        <w:rPr>
          <w:rFonts w:eastAsia="Times New Roman" w:cs="Times New Roman"/>
        </w:rPr>
        <w:t>(2005).</w:t>
      </w:r>
    </w:p>
  </w:footnote>
  <w:footnote w:id="21">
    <w:p w14:paraId="17C516D3" w14:textId="31E527BD" w:rsidR="00E15D1A" w:rsidRPr="009B0AC8" w:rsidRDefault="00E15D1A" w:rsidP="005E328C">
      <w:pPr>
        <w:pStyle w:val="FootnoteText"/>
        <w:spacing w:after="120"/>
        <w:rPr>
          <w:rFonts w:eastAsia="Times New Roman" w:cs="Times New Roman"/>
        </w:rPr>
      </w:pPr>
      <w:r w:rsidRPr="20F8CBC5">
        <w:rPr>
          <w:rStyle w:val="FootnoteReference"/>
          <w:rFonts w:eastAsia="Times New Roman" w:cs="Times New Roman"/>
        </w:rPr>
        <w:footnoteRef/>
      </w:r>
      <w:r w:rsidRPr="20F8CBC5">
        <w:rPr>
          <w:rFonts w:eastAsia="Times New Roman" w:cs="Times New Roman"/>
        </w:rPr>
        <w:t xml:space="preserve"> </w:t>
      </w:r>
      <w:r w:rsidRPr="20F8CBC5">
        <w:rPr>
          <w:rFonts w:eastAsia="Times New Roman" w:cs="Times New Roman"/>
          <w:i/>
        </w:rPr>
        <w:t>Id.</w:t>
      </w:r>
      <w:r w:rsidRPr="20F8CBC5">
        <w:rPr>
          <w:rFonts w:eastAsia="Times New Roman" w:cs="Times New Roman"/>
        </w:rPr>
        <w:t xml:space="preserve"> at 16</w:t>
      </w:r>
      <w:r w:rsidR="00BC6C72">
        <w:rPr>
          <w:rFonts w:eastAsia="Times New Roman" w:cs="Times New Roman"/>
        </w:rPr>
        <w:t xml:space="preserve"> (emphasis omitted)</w:t>
      </w:r>
      <w:r w:rsidRPr="20F8CBC5">
        <w:rPr>
          <w:rFonts w:eastAsia="Times New Roman" w:cs="Times New Roman"/>
        </w:rPr>
        <w:t>.</w:t>
      </w:r>
    </w:p>
  </w:footnote>
  <w:footnote w:id="22">
    <w:p w14:paraId="7F094F27" w14:textId="317410D7" w:rsidR="00E15D1A" w:rsidRPr="002201D4" w:rsidRDefault="00E15D1A" w:rsidP="00E15D1A">
      <w:pPr>
        <w:pStyle w:val="FootnoteText"/>
        <w:spacing w:after="120"/>
      </w:pPr>
      <w:r>
        <w:rPr>
          <w:rStyle w:val="FootnoteReference"/>
        </w:rPr>
        <w:footnoteRef/>
      </w:r>
      <w:r>
        <w:t xml:space="preserve"> </w:t>
      </w:r>
      <w:r>
        <w:rPr>
          <w:i/>
        </w:rPr>
        <w:t>Northern Pacific Ry. Co. v. United States</w:t>
      </w:r>
      <w:r>
        <w:t xml:space="preserve">, 356 U.S. 1, 11 (1958); </w:t>
      </w:r>
      <w:r>
        <w:rPr>
          <w:i/>
        </w:rPr>
        <w:t>cf. Eastman Kodak Co. v. Image Tech. Servs., Inc.</w:t>
      </w:r>
      <w:r>
        <w:t xml:space="preserve">, 504 U.S. 451 (1991).  </w:t>
      </w:r>
      <w:r w:rsidRPr="00EE5C73">
        <w:rPr>
          <w:rFonts w:eastAsia="Times New Roman" w:cs="Times New Roman"/>
        </w:rPr>
        <w:t xml:space="preserve"> </w:t>
      </w:r>
      <w:r>
        <w:rPr>
          <w:rFonts w:eastAsia="Times New Roman" w:cs="Times New Roman"/>
        </w:rPr>
        <w:t>In the merger review context, t</w:t>
      </w:r>
      <w:r w:rsidRPr="0069498A">
        <w:rPr>
          <w:rFonts w:eastAsia="Times New Roman" w:cs="Times New Roman"/>
        </w:rPr>
        <w:t>he Commission has</w:t>
      </w:r>
      <w:r>
        <w:rPr>
          <w:rFonts w:eastAsia="Times New Roman" w:cs="Times New Roman"/>
        </w:rPr>
        <w:t xml:space="preserve"> itself</w:t>
      </w:r>
      <w:r w:rsidRPr="0069498A">
        <w:rPr>
          <w:rFonts w:eastAsia="Times New Roman" w:cs="Times New Roman"/>
        </w:rPr>
        <w:t xml:space="preserve"> long recognized that a vertically </w:t>
      </w:r>
      <w:r>
        <w:rPr>
          <w:rFonts w:eastAsia="Times New Roman" w:cs="Times New Roman"/>
        </w:rPr>
        <w:t xml:space="preserve">integrated </w:t>
      </w:r>
      <w:r w:rsidRPr="0069498A">
        <w:rPr>
          <w:rFonts w:eastAsia="Times New Roman" w:cs="Times New Roman"/>
        </w:rPr>
        <w:t>company that has market power at one level and faces competition at another may be able to harm its rivals in the competitive market by discriminating against them or raising their costs to make them less competitive</w:t>
      </w:r>
      <w:r>
        <w:rPr>
          <w:rFonts w:eastAsia="Times New Roman" w:cs="Times New Roman"/>
        </w:rPr>
        <w:t xml:space="preserve">.  </w:t>
      </w:r>
      <w:r w:rsidRPr="005C4664">
        <w:rPr>
          <w:rFonts w:eastAsia="Times New Roman" w:cs="Times New Roman"/>
          <w:i/>
        </w:rPr>
        <w:t>See</w:t>
      </w:r>
      <w:r w:rsidRPr="0069498A">
        <w:rPr>
          <w:rFonts w:eastAsia="Times New Roman" w:cs="Times New Roman"/>
        </w:rPr>
        <w:t xml:space="preserve">, </w:t>
      </w:r>
      <w:r w:rsidRPr="005C4664">
        <w:rPr>
          <w:rFonts w:eastAsia="Times New Roman" w:cs="Times New Roman"/>
          <w:i/>
        </w:rPr>
        <w:t>e.g.</w:t>
      </w:r>
      <w:r w:rsidRPr="0069498A">
        <w:rPr>
          <w:rFonts w:eastAsia="Times New Roman" w:cs="Times New Roman"/>
        </w:rPr>
        <w:t xml:space="preserve">, </w:t>
      </w:r>
      <w:r w:rsidRPr="005C4664">
        <w:rPr>
          <w:rFonts w:eastAsia="Times New Roman" w:cs="Times New Roman"/>
          <w:i/>
        </w:rPr>
        <w:t xml:space="preserve">Applications of General Motors Corp. </w:t>
      </w:r>
      <w:r w:rsidR="00BC6C72">
        <w:rPr>
          <w:rFonts w:eastAsia="Times New Roman" w:cs="Times New Roman"/>
          <w:i/>
        </w:rPr>
        <w:t xml:space="preserve">and Hughes Electronics Corp., Transferors, </w:t>
      </w:r>
      <w:r w:rsidRPr="005C4664">
        <w:rPr>
          <w:rFonts w:eastAsia="Times New Roman" w:cs="Times New Roman"/>
          <w:i/>
        </w:rPr>
        <w:t>and News Corp. Ltd.</w:t>
      </w:r>
      <w:r w:rsidRPr="0069498A">
        <w:rPr>
          <w:rFonts w:eastAsia="Times New Roman" w:cs="Times New Roman"/>
        </w:rPr>
        <w:t xml:space="preserve">, </w:t>
      </w:r>
      <w:r w:rsidR="00BC6C72" w:rsidRPr="00BC6C72">
        <w:rPr>
          <w:rFonts w:eastAsia="Times New Roman" w:cs="Times New Roman"/>
          <w:i/>
        </w:rPr>
        <w:t>Transferee</w:t>
      </w:r>
      <w:r w:rsidR="00BC6C72">
        <w:rPr>
          <w:rFonts w:eastAsia="Times New Roman" w:cs="Times New Roman"/>
        </w:rPr>
        <w:t xml:space="preserve">, </w:t>
      </w:r>
      <w:r w:rsidR="00BC6C72">
        <w:rPr>
          <w:rFonts w:eastAsia="Times New Roman" w:cs="Times New Roman"/>
          <w:i/>
        </w:rPr>
        <w:t xml:space="preserve">for Authority to Transfer Control, </w:t>
      </w:r>
      <w:r w:rsidRPr="0069498A">
        <w:rPr>
          <w:rFonts w:eastAsia="Times New Roman" w:cs="Times New Roman"/>
        </w:rPr>
        <w:t>Memorandum Opinion and Order, 19 FCC Rcd 473, 508</w:t>
      </w:r>
      <w:r w:rsidR="00BC6C72">
        <w:rPr>
          <w:rFonts w:eastAsia="Times New Roman" w:cs="Times New Roman"/>
        </w:rPr>
        <w:t>,</w:t>
      </w:r>
      <w:r w:rsidRPr="0069498A">
        <w:rPr>
          <w:rFonts w:eastAsia="Times New Roman" w:cs="Times New Roman"/>
        </w:rPr>
        <w:t xml:space="preserve"> para. 71 (2004)</w:t>
      </w:r>
      <w:r>
        <w:rPr>
          <w:rFonts w:eastAsia="Times New Roman" w:cs="Times New Roman"/>
        </w:rPr>
        <w:t xml:space="preserve">; </w:t>
      </w:r>
      <w:r>
        <w:rPr>
          <w:i/>
          <w:iCs/>
        </w:rPr>
        <w:t>Applications of News Corp. and DirecTV Group, Inc. and Liberty Media Corp.</w:t>
      </w:r>
      <w:r>
        <w:t>, Memorandum Opinion and Order, 23 FCC Rcd 3265, 3296, para</w:t>
      </w:r>
      <w:r w:rsidR="00BC6C72">
        <w:t>s</w:t>
      </w:r>
      <w:r>
        <w:t>. 68</w:t>
      </w:r>
      <w:r w:rsidR="00BC6C72">
        <w:t>-71</w:t>
      </w:r>
      <w:r>
        <w:t xml:space="preserve"> (2008).  </w:t>
      </w:r>
      <w:r>
        <w:rPr>
          <w:rFonts w:eastAsia="Times New Roman" w:cs="Times New Roman"/>
        </w:rPr>
        <w:t xml:space="preserve"> </w:t>
      </w:r>
    </w:p>
  </w:footnote>
  <w:footnote w:id="23">
    <w:p w14:paraId="232E7558" w14:textId="5DC49945" w:rsidR="00E15D1A" w:rsidRPr="00AE0D31" w:rsidRDefault="00E15D1A" w:rsidP="005E328C">
      <w:pPr>
        <w:pStyle w:val="FootnoteText"/>
        <w:spacing w:after="120"/>
        <w:rPr>
          <w:rFonts w:eastAsia="Times New Roman" w:cs="Times New Roman"/>
          <w:i/>
        </w:rPr>
      </w:pPr>
      <w:r w:rsidRPr="20F8CBC5">
        <w:rPr>
          <w:rStyle w:val="FootnoteReference"/>
          <w:rFonts w:eastAsia="Times New Roman" w:cs="Times New Roman"/>
        </w:rPr>
        <w:footnoteRef/>
      </w:r>
      <w:r w:rsidRPr="20F8CBC5">
        <w:rPr>
          <w:rFonts w:eastAsia="Times New Roman" w:cs="Times New Roman"/>
        </w:rPr>
        <w:t xml:space="preserve"> </w:t>
      </w:r>
      <w:r w:rsidRPr="20F8CBC5">
        <w:rPr>
          <w:rFonts w:eastAsia="Times New Roman" w:cs="Times New Roman"/>
          <w:i/>
        </w:rPr>
        <w:t>See generally</w:t>
      </w:r>
      <w:r w:rsidRPr="20F8CBC5">
        <w:rPr>
          <w:rFonts w:eastAsia="Times New Roman" w:cs="Times New Roman"/>
        </w:rPr>
        <w:t xml:space="preserve"> </w:t>
      </w:r>
      <w:r w:rsidRPr="0069498A">
        <w:rPr>
          <w:rFonts w:eastAsia="Times New Roman" w:cs="Times New Roman"/>
        </w:rPr>
        <w:t xml:space="preserve">Michael H. Riordan and Steven Salop, </w:t>
      </w:r>
      <w:r w:rsidRPr="005C4664">
        <w:rPr>
          <w:rFonts w:eastAsia="Times New Roman" w:cs="Times New Roman"/>
          <w:i/>
        </w:rPr>
        <w:t>Evaluating Vertical Mergers: A Post-Chicago Approach</w:t>
      </w:r>
      <w:r w:rsidRPr="0069498A">
        <w:rPr>
          <w:rFonts w:eastAsia="Times New Roman" w:cs="Times New Roman"/>
        </w:rPr>
        <w:t>, 63</w:t>
      </w:r>
      <w:r>
        <w:rPr>
          <w:rFonts w:eastAsia="Times New Roman" w:cs="Times New Roman"/>
        </w:rPr>
        <w:t> </w:t>
      </w:r>
      <w:r w:rsidRPr="005C4664">
        <w:rPr>
          <w:rFonts w:eastAsia="Times New Roman" w:cs="Times New Roman"/>
          <w:smallCaps/>
        </w:rPr>
        <w:t>Antitrust</w:t>
      </w:r>
      <w:r>
        <w:rPr>
          <w:rFonts w:eastAsia="Times New Roman" w:cs="Times New Roman"/>
        </w:rPr>
        <w:t xml:space="preserve"> </w:t>
      </w:r>
      <w:r w:rsidRPr="0069498A">
        <w:rPr>
          <w:rFonts w:eastAsia="Times New Roman" w:cs="Times New Roman"/>
        </w:rPr>
        <w:t xml:space="preserve">L. J. 513, 527-38 (1995); </w:t>
      </w:r>
      <w:r w:rsidRPr="20F8CBC5">
        <w:rPr>
          <w:rFonts w:eastAsia="Times New Roman" w:cs="Times New Roman"/>
        </w:rPr>
        <w:t xml:space="preserve">Thomas G. Krattenmaker and Stephen C. Salop, </w:t>
      </w:r>
      <w:r w:rsidRPr="20F8CBC5">
        <w:rPr>
          <w:rFonts w:eastAsia="Times New Roman" w:cs="Times New Roman"/>
          <w:i/>
        </w:rPr>
        <w:t>Anticompetitive Exclusion:  Raising Rivals’ Costs to Achieve Power Over Price</w:t>
      </w:r>
      <w:r w:rsidRPr="20F8CBC5">
        <w:rPr>
          <w:rFonts w:eastAsia="Times New Roman" w:cs="Times New Roman"/>
        </w:rPr>
        <w:t>, 96 Yale L.J. 209 (1986)</w:t>
      </w:r>
      <w:r>
        <w:rPr>
          <w:rFonts w:eastAsia="Times New Roman" w:cs="Times New Roman"/>
        </w:rPr>
        <w:t xml:space="preserve">.  </w:t>
      </w:r>
    </w:p>
  </w:footnote>
  <w:footnote w:id="24">
    <w:p w14:paraId="48587348" w14:textId="77777777" w:rsidR="00E15D1A" w:rsidRPr="009B0AC8" w:rsidRDefault="00E15D1A" w:rsidP="005E328C">
      <w:pPr>
        <w:pStyle w:val="FootnoteText"/>
        <w:spacing w:after="120"/>
        <w:rPr>
          <w:rFonts w:eastAsia="Times New Roman" w:cs="Times New Roman"/>
        </w:rPr>
      </w:pPr>
      <w:r w:rsidRPr="20F8CBC5">
        <w:rPr>
          <w:rStyle w:val="FootnoteReference"/>
          <w:rFonts w:eastAsia="Times New Roman" w:cs="Times New Roman"/>
        </w:rPr>
        <w:footnoteRef/>
      </w:r>
      <w:r w:rsidRPr="20F8CBC5">
        <w:rPr>
          <w:rFonts w:eastAsia="Times New Roman" w:cs="Times New Roman"/>
        </w:rPr>
        <w:t xml:space="preserve"> </w:t>
      </w:r>
      <w:r w:rsidRPr="20F8CBC5">
        <w:rPr>
          <w:rStyle w:val="Emphasis"/>
          <w:rFonts w:eastAsia="Times New Roman" w:cs="Times New Roman"/>
        </w:rPr>
        <w:t>United States v. American Telephone &amp; Telegraph Co.,</w:t>
      </w:r>
      <w:r w:rsidRPr="20F8CBC5">
        <w:rPr>
          <w:rFonts w:eastAsia="Times New Roman" w:cs="Times New Roman"/>
        </w:rPr>
        <w:t xml:space="preserve"> 552 F. Supp. 131, 227 (D.D.C.1982).</w:t>
      </w:r>
    </w:p>
  </w:footnote>
  <w:footnote w:id="25">
    <w:p w14:paraId="044B617C" w14:textId="5A38CBE6" w:rsidR="00E15D1A" w:rsidRPr="009B0AC8" w:rsidRDefault="00E15D1A" w:rsidP="00E15D1A">
      <w:pPr>
        <w:pStyle w:val="FootnoteText"/>
        <w:spacing w:after="60"/>
        <w:rPr>
          <w:rFonts w:eastAsia="Times New Roman" w:cs="Times New Roman"/>
        </w:rPr>
      </w:pPr>
      <w:r w:rsidRPr="20F8CBC5">
        <w:rPr>
          <w:rStyle w:val="FootnoteReference"/>
          <w:rFonts w:eastAsia="Times New Roman" w:cs="Times New Roman"/>
        </w:rPr>
        <w:footnoteRef/>
      </w:r>
      <w:r w:rsidRPr="20F8CBC5">
        <w:rPr>
          <w:rFonts w:eastAsia="Times New Roman" w:cs="Times New Roman"/>
        </w:rPr>
        <w:t xml:space="preserve"> </w:t>
      </w:r>
      <w:r w:rsidRPr="20F8CBC5">
        <w:rPr>
          <w:rFonts w:eastAsia="Times New Roman" w:cs="Times New Roman"/>
          <w:i/>
        </w:rPr>
        <w:t xml:space="preserve">See generally </w:t>
      </w:r>
      <w:r w:rsidRPr="20F8CBC5">
        <w:rPr>
          <w:rFonts w:eastAsia="Times New Roman" w:cs="Times New Roman"/>
        </w:rPr>
        <w:t xml:space="preserve">Telecommunications Act of 1996, Pub. L. No. 104-104, 110 Stat. 56 (1996); </w:t>
      </w:r>
      <w:r>
        <w:rPr>
          <w:rFonts w:eastAsia="Times New Roman" w:cs="Times New Roman"/>
          <w:i/>
        </w:rPr>
        <w:t xml:space="preserve">see </w:t>
      </w:r>
      <w:r w:rsidRPr="20F8CBC5">
        <w:rPr>
          <w:rFonts w:eastAsia="Times New Roman" w:cs="Times New Roman"/>
          <w:i/>
        </w:rPr>
        <w:t>Implementation of the Local Competition Provisions in the Telecommunications Act of 1996</w:t>
      </w:r>
      <w:r w:rsidRPr="20F8CBC5">
        <w:rPr>
          <w:rFonts w:eastAsia="Times New Roman" w:cs="Times New Roman"/>
        </w:rPr>
        <w:t xml:space="preserve">, First Report and </w:t>
      </w:r>
      <w:r w:rsidRPr="005E328C">
        <w:t>Order</w:t>
      </w:r>
      <w:r w:rsidRPr="20F8CBC5">
        <w:rPr>
          <w:rFonts w:eastAsia="Times New Roman" w:cs="Times New Roman"/>
        </w:rPr>
        <w:t>, 11 FCC Rcd 15499, 15508, para. 10 (1996) (</w:t>
      </w:r>
      <w:r w:rsidRPr="20F8CBC5">
        <w:rPr>
          <w:rFonts w:eastAsia="Times New Roman" w:cs="Times New Roman"/>
          <w:i/>
        </w:rPr>
        <w:t>Local Competition Order</w:t>
      </w:r>
      <w:r w:rsidRPr="20F8CBC5">
        <w:rPr>
          <w:rFonts w:eastAsia="Times New Roman" w:cs="Times New Roman"/>
        </w:rPr>
        <w:t xml:space="preserve">), </w:t>
      </w:r>
      <w:r w:rsidRPr="20F8CBC5">
        <w:rPr>
          <w:rFonts w:eastAsia="Times New Roman" w:cs="Times New Roman"/>
          <w:i/>
        </w:rPr>
        <w:t>subsequent history omitted</w:t>
      </w:r>
      <w:r>
        <w:rPr>
          <w:rFonts w:eastAsia="Times New Roman" w:cs="Times New Roman"/>
          <w:i/>
        </w:rPr>
        <w:t xml:space="preserve"> </w:t>
      </w:r>
      <w:r>
        <w:rPr>
          <w:rFonts w:eastAsia="Times New Roman" w:cs="Times New Roman"/>
        </w:rPr>
        <w:t xml:space="preserve">(“An incumbent LEC also has the </w:t>
      </w:r>
      <w:r w:rsidRPr="20F8CBC5">
        <w:rPr>
          <w:rFonts w:eastAsia="Times New Roman" w:cs="Times New Roman"/>
        </w:rPr>
        <w:t xml:space="preserve">ability to act on </w:t>
      </w:r>
      <w:r>
        <w:rPr>
          <w:rFonts w:eastAsia="Times New Roman" w:cs="Times New Roman"/>
        </w:rPr>
        <w:t xml:space="preserve">its </w:t>
      </w:r>
      <w:r w:rsidRPr="20F8CBC5">
        <w:rPr>
          <w:rFonts w:eastAsia="Times New Roman" w:cs="Times New Roman"/>
        </w:rPr>
        <w:t>incentive to discourage entry and robust competition</w:t>
      </w:r>
      <w:r>
        <w:rPr>
          <w:rFonts w:eastAsia="Times New Roman" w:cs="Times New Roman"/>
        </w:rPr>
        <w:t xml:space="preserve"> by not interconnecting its network with the new entrant’s network or by </w:t>
      </w:r>
      <w:r w:rsidRPr="20F8CBC5">
        <w:rPr>
          <w:rFonts w:eastAsia="Times New Roman" w:cs="Times New Roman"/>
        </w:rPr>
        <w:t>insisting on supracompetitive prices or other unreasonable conditions</w:t>
      </w:r>
      <w:r>
        <w:rPr>
          <w:rFonts w:eastAsia="Times New Roman" w:cs="Times New Roman"/>
        </w:rPr>
        <w:t> . . . .”)</w:t>
      </w:r>
      <w:r w:rsidRPr="0069498A">
        <w:rPr>
          <w:rFonts w:eastAsia="Times New Roman" w:cs="Times New Roman"/>
        </w:rPr>
        <w:t xml:space="preserve">.  </w:t>
      </w:r>
    </w:p>
  </w:footnote>
  <w:footnote w:id="26">
    <w:p w14:paraId="5AE77ABB" w14:textId="4F62CA9A" w:rsidR="00E15D1A" w:rsidRPr="009B0AC8" w:rsidRDefault="00E15D1A" w:rsidP="00E15D1A">
      <w:pPr>
        <w:pStyle w:val="FootnoteText"/>
        <w:spacing w:after="60"/>
        <w:rPr>
          <w:rFonts w:eastAsia="Times New Roman" w:cs="Times New Roman"/>
        </w:rPr>
      </w:pPr>
      <w:r w:rsidRPr="20F8CBC5">
        <w:rPr>
          <w:rStyle w:val="FootnoteReference"/>
          <w:rFonts w:eastAsia="Times New Roman" w:cs="Times New Roman"/>
        </w:rPr>
        <w:footnoteRef/>
      </w:r>
      <w:r w:rsidRPr="20F8CBC5">
        <w:rPr>
          <w:rFonts w:eastAsia="Times New Roman" w:cs="Times New Roman"/>
        </w:rPr>
        <w:t xml:space="preserve"> </w:t>
      </w:r>
      <w:r w:rsidRPr="20F8CBC5">
        <w:rPr>
          <w:rFonts w:eastAsia="Times New Roman" w:cs="Times New Roman"/>
          <w:i/>
        </w:rPr>
        <w:t>Amendment of Section 64.702 of the Commission’s Rules and Regulations</w:t>
      </w:r>
      <w:r w:rsidRPr="20F8CBC5">
        <w:rPr>
          <w:rFonts w:eastAsia="Times New Roman" w:cs="Times New Roman"/>
        </w:rPr>
        <w:t>, 77 FCC 2d 384 (1980) (</w:t>
      </w:r>
      <w:r w:rsidRPr="20F8CBC5">
        <w:rPr>
          <w:rFonts w:eastAsia="Times New Roman" w:cs="Times New Roman"/>
          <w:i/>
        </w:rPr>
        <w:t>Computer II</w:t>
      </w:r>
      <w:r w:rsidRPr="20F8CBC5">
        <w:rPr>
          <w:rFonts w:eastAsia="Times New Roman" w:cs="Times New Roman"/>
        </w:rPr>
        <w:t>),</w:t>
      </w:r>
      <w:r w:rsidRPr="20F8CBC5">
        <w:rPr>
          <w:rFonts w:eastAsia="Times New Roman" w:cs="Times New Roman"/>
          <w:i/>
        </w:rPr>
        <w:t xml:space="preserve"> aff’d in pertinent part sub nom. Computer &amp; Communic’ns Indus. Ass’n v. FCC</w:t>
      </w:r>
      <w:r w:rsidRPr="20F8CBC5">
        <w:rPr>
          <w:rFonts w:eastAsia="Times New Roman" w:cs="Times New Roman"/>
        </w:rPr>
        <w:t>, 693 F.2d 198 (D.C. Cir. 1982) (</w:t>
      </w:r>
      <w:r w:rsidRPr="20F8CBC5">
        <w:rPr>
          <w:rFonts w:eastAsia="Times New Roman" w:cs="Times New Roman"/>
          <w:i/>
        </w:rPr>
        <w:t>CCIA v. FCC</w:t>
      </w:r>
      <w:r w:rsidR="003B72F8">
        <w:rPr>
          <w:rFonts w:eastAsia="Times New Roman" w:cs="Times New Roman"/>
        </w:rPr>
        <w:t xml:space="preserve">), </w:t>
      </w:r>
      <w:r w:rsidRPr="20F8CBC5">
        <w:rPr>
          <w:rFonts w:eastAsia="Times New Roman" w:cs="Times New Roman"/>
        </w:rPr>
        <w:t xml:space="preserve">subsequent history omitted; </w:t>
      </w:r>
      <w:r w:rsidRPr="20F8CBC5">
        <w:rPr>
          <w:rFonts w:eastAsia="Times New Roman" w:cs="Times New Roman"/>
          <w:i/>
        </w:rPr>
        <w:t>Amendment of Section 64.702 of the Commission’s Rules and Regulations</w:t>
      </w:r>
      <w:r w:rsidRPr="20F8CBC5">
        <w:rPr>
          <w:rFonts w:eastAsia="Times New Roman" w:cs="Times New Roman"/>
        </w:rPr>
        <w:t>, 104 FCC 2d 958 (1986) (</w:t>
      </w:r>
      <w:r w:rsidRPr="20F8CBC5">
        <w:rPr>
          <w:rFonts w:eastAsia="Times New Roman" w:cs="Times New Roman"/>
          <w:i/>
        </w:rPr>
        <w:t>Computer III</w:t>
      </w:r>
      <w:r w:rsidRPr="20F8CBC5">
        <w:rPr>
          <w:rFonts w:eastAsia="Times New Roman" w:cs="Times New Roman"/>
        </w:rPr>
        <w:t xml:space="preserve">), </w:t>
      </w:r>
      <w:r w:rsidRPr="20F8CBC5">
        <w:rPr>
          <w:rFonts w:eastAsia="Times New Roman" w:cs="Times New Roman"/>
          <w:i/>
        </w:rPr>
        <w:t>rev’d in part on other grounds</w:t>
      </w:r>
      <w:r w:rsidRPr="20F8CBC5">
        <w:rPr>
          <w:rFonts w:eastAsia="Times New Roman" w:cs="Times New Roman"/>
        </w:rPr>
        <w:t xml:space="preserve">, </w:t>
      </w:r>
      <w:r w:rsidRPr="20F8CBC5">
        <w:rPr>
          <w:rFonts w:eastAsia="Times New Roman" w:cs="Times New Roman"/>
          <w:i/>
        </w:rPr>
        <w:t>California v. FCC</w:t>
      </w:r>
      <w:r w:rsidRPr="20F8CBC5">
        <w:rPr>
          <w:rFonts w:eastAsia="Times New Roman" w:cs="Times New Roman"/>
        </w:rPr>
        <w:t xml:space="preserve">, </w:t>
      </w:r>
      <w:r>
        <w:rPr>
          <w:rFonts w:eastAsia="Times New Roman" w:cs="Times New Roman"/>
        </w:rPr>
        <w:t>905 F. 2d 1217 (9</w:t>
      </w:r>
      <w:r w:rsidRPr="00D17F09">
        <w:rPr>
          <w:rFonts w:eastAsia="Times New Roman" w:cs="Times New Roman"/>
          <w:vertAlign w:val="superscript"/>
        </w:rPr>
        <w:t>th</w:t>
      </w:r>
      <w:r>
        <w:rPr>
          <w:rFonts w:eastAsia="Times New Roman" w:cs="Times New Roman"/>
        </w:rPr>
        <w:t xml:space="preserve"> Cir. 1990)</w:t>
      </w:r>
      <w:r w:rsidRPr="20F8CBC5">
        <w:rPr>
          <w:rFonts w:eastAsia="Times New Roman" w:cs="Times New Roman"/>
        </w:rPr>
        <w:t>, subsequent history omitted.</w:t>
      </w:r>
    </w:p>
  </w:footnote>
  <w:footnote w:id="27">
    <w:p w14:paraId="7D5C49F9" w14:textId="20E67561" w:rsidR="00E15D1A" w:rsidRPr="009B0AC8" w:rsidRDefault="00E15D1A" w:rsidP="00E15D1A">
      <w:pPr>
        <w:pStyle w:val="FootnoteText"/>
        <w:spacing w:after="60"/>
        <w:rPr>
          <w:rFonts w:eastAsia="Times New Roman" w:cs="Times New Roman"/>
        </w:rPr>
      </w:pPr>
      <w:r w:rsidRPr="20F8CBC5">
        <w:rPr>
          <w:rStyle w:val="FootnoteReference"/>
          <w:rFonts w:eastAsia="Times New Roman" w:cs="Times New Roman"/>
        </w:rPr>
        <w:footnoteRef/>
      </w:r>
      <w:r w:rsidRPr="20F8CBC5">
        <w:rPr>
          <w:rFonts w:eastAsia="Times New Roman" w:cs="Times New Roman"/>
        </w:rPr>
        <w:t xml:space="preserve"> </w:t>
      </w:r>
      <w:r w:rsidRPr="20F8CBC5">
        <w:rPr>
          <w:rFonts w:eastAsia="Times New Roman" w:cs="Times New Roman"/>
          <w:i/>
        </w:rPr>
        <w:t>See, e.g.,</w:t>
      </w:r>
      <w:r w:rsidRPr="20F8CBC5">
        <w:rPr>
          <w:rFonts w:eastAsia="Times New Roman" w:cs="Times New Roman"/>
        </w:rPr>
        <w:t xml:space="preserve"> </w:t>
      </w:r>
      <w:r w:rsidRPr="20F8CBC5">
        <w:rPr>
          <w:rFonts w:eastAsia="Times New Roman" w:cs="Times New Roman"/>
          <w:i/>
        </w:rPr>
        <w:t>United States v. Microsoft Co.</w:t>
      </w:r>
      <w:r w:rsidRPr="20F8CBC5">
        <w:rPr>
          <w:rFonts w:eastAsia="Times New Roman" w:cs="Times New Roman"/>
        </w:rPr>
        <w:t>, 253 F.3d 34 (D.C. Cir. 2001) (</w:t>
      </w:r>
      <w:r w:rsidRPr="20F8CBC5">
        <w:rPr>
          <w:rFonts w:eastAsia="Times New Roman" w:cs="Times New Roman"/>
          <w:i/>
        </w:rPr>
        <w:t>en banc</w:t>
      </w:r>
      <w:r w:rsidRPr="20F8CBC5">
        <w:rPr>
          <w:rFonts w:eastAsia="Times New Roman" w:cs="Times New Roman"/>
        </w:rPr>
        <w:t xml:space="preserve">); </w:t>
      </w:r>
      <w:r w:rsidRPr="20F8CBC5">
        <w:rPr>
          <w:rFonts w:eastAsia="Times New Roman" w:cs="Times New Roman"/>
          <w:i/>
        </w:rPr>
        <w:t>CCIA v. FCC</w:t>
      </w:r>
      <w:r>
        <w:rPr>
          <w:rFonts w:eastAsia="Times New Roman" w:cs="Times New Roman"/>
          <w:i/>
        </w:rPr>
        <w:t xml:space="preserve">, </w:t>
      </w:r>
      <w:r>
        <w:rPr>
          <w:rFonts w:eastAsia="Times New Roman" w:cs="Times New Roman"/>
        </w:rPr>
        <w:t>693 F. 2d 198 (D.C. Cir. 1982)</w:t>
      </w:r>
      <w:r w:rsidRPr="20F8CBC5">
        <w:rPr>
          <w:rFonts w:eastAsia="Times New Roman" w:cs="Times New Roman"/>
        </w:rPr>
        <w:t xml:space="preserve">; </w:t>
      </w:r>
      <w:r w:rsidRPr="20F8CBC5">
        <w:rPr>
          <w:rFonts w:eastAsia="Times New Roman" w:cs="Times New Roman"/>
          <w:i/>
        </w:rPr>
        <w:t>Otter Tail Power Co. v. United States</w:t>
      </w:r>
      <w:r w:rsidRPr="20F8CBC5">
        <w:rPr>
          <w:rFonts w:eastAsia="Times New Roman" w:cs="Times New Roman"/>
        </w:rPr>
        <w:t xml:space="preserve">, 410 U.S. 366 (1973); </w:t>
      </w:r>
      <w:r w:rsidRPr="20F8CBC5">
        <w:rPr>
          <w:rFonts w:eastAsia="Times New Roman" w:cs="Times New Roman"/>
          <w:i/>
        </w:rPr>
        <w:t>United States v. Aluminum Co. of Am.</w:t>
      </w:r>
      <w:r w:rsidRPr="20F8CBC5">
        <w:rPr>
          <w:rFonts w:eastAsia="Times New Roman" w:cs="Times New Roman"/>
        </w:rPr>
        <w:t xml:space="preserve">, 148 F.2d 416 (2d Cir. 1945); </w:t>
      </w:r>
      <w:r w:rsidRPr="20F8CBC5">
        <w:rPr>
          <w:rFonts w:eastAsia="Times New Roman" w:cs="Times New Roman"/>
          <w:i/>
        </w:rPr>
        <w:t>United States v. Terminal Railroad Ass’n</w:t>
      </w:r>
      <w:r w:rsidRPr="20F8CBC5">
        <w:rPr>
          <w:rFonts w:eastAsia="Times New Roman" w:cs="Times New Roman"/>
        </w:rPr>
        <w:t>, 224 U.S. 383 (1912).</w:t>
      </w:r>
      <w:r w:rsidRPr="20F8CBC5">
        <w:rPr>
          <w:rFonts w:eastAsia="Times New Roman" w:cs="Times New Roman"/>
          <w:i/>
        </w:rPr>
        <w:t xml:space="preserve"> </w:t>
      </w:r>
    </w:p>
  </w:footnote>
  <w:footnote w:id="28">
    <w:p w14:paraId="588EC0D4" w14:textId="72EB348B" w:rsidR="00E15D1A" w:rsidRPr="009B0AC8" w:rsidRDefault="00E15D1A" w:rsidP="00E15D1A">
      <w:pPr>
        <w:pStyle w:val="FootnoteText"/>
        <w:spacing w:after="60"/>
        <w:rPr>
          <w:rFonts w:eastAsia="Times New Roman" w:cs="Times New Roman"/>
        </w:rPr>
      </w:pPr>
      <w:r w:rsidRPr="20F8CBC5">
        <w:rPr>
          <w:rStyle w:val="FootnoteReference"/>
          <w:rFonts w:eastAsia="Times New Roman" w:cs="Times New Roman"/>
        </w:rPr>
        <w:footnoteRef/>
      </w:r>
      <w:r w:rsidRPr="20F8CBC5">
        <w:rPr>
          <w:rFonts w:eastAsia="Times New Roman" w:cs="Times New Roman"/>
        </w:rPr>
        <w:t xml:space="preserve"> </w:t>
      </w:r>
      <w:r w:rsidRPr="007B5DA4">
        <w:rPr>
          <w:rFonts w:eastAsia="Times New Roman" w:cs="Times New Roman"/>
          <w:i/>
        </w:rPr>
        <w:t>2015 Open Internet Order</w:t>
      </w:r>
      <w:r>
        <w:rPr>
          <w:rFonts w:eastAsia="Times New Roman" w:cs="Times New Roman"/>
        </w:rPr>
        <w:t>,</w:t>
      </w:r>
      <w:r w:rsidRPr="20F8CBC5">
        <w:rPr>
          <w:rFonts w:eastAsia="Times New Roman" w:cs="Times New Roman"/>
        </w:rPr>
        <w:t xml:space="preserve"> 30 FCC Rcd at 5635-43, 5664-65, paras. 86-101, 146-49</w:t>
      </w:r>
      <w:r>
        <w:rPr>
          <w:rFonts w:eastAsia="Times New Roman" w:cs="Times New Roman"/>
        </w:rPr>
        <w:t xml:space="preserve">.  </w:t>
      </w:r>
      <w:r>
        <w:rPr>
          <w:rFonts w:eastAsia="Times New Roman" w:cs="Times New Roman"/>
          <w:i/>
        </w:rPr>
        <w:t>S</w:t>
      </w:r>
      <w:r w:rsidRPr="20F8CBC5">
        <w:rPr>
          <w:rFonts w:eastAsia="Times New Roman" w:cs="Times New Roman"/>
          <w:i/>
        </w:rPr>
        <w:t xml:space="preserve">ee also </w:t>
      </w:r>
      <w:r w:rsidRPr="00AE0D31">
        <w:rPr>
          <w:rFonts w:eastAsia="Times New Roman" w:cs="Times New Roman"/>
          <w:i/>
          <w:iCs/>
        </w:rPr>
        <w:t>Preserving the Open Internet</w:t>
      </w:r>
      <w:r>
        <w:rPr>
          <w:rFonts w:eastAsia="Times New Roman" w:cs="Times New Roman"/>
        </w:rPr>
        <w:t xml:space="preserve">, </w:t>
      </w:r>
      <w:r w:rsidRPr="00AE0D31">
        <w:rPr>
          <w:rFonts w:eastAsia="Times New Roman" w:cs="Times New Roman"/>
        </w:rPr>
        <w:t>Report and</w:t>
      </w:r>
      <w:r w:rsidRPr="005E328C">
        <w:t xml:space="preserve"> Order</w:t>
      </w:r>
      <w:r w:rsidRPr="00AE0D31">
        <w:rPr>
          <w:rFonts w:eastAsia="Times New Roman" w:cs="Times New Roman"/>
        </w:rPr>
        <w:t>,</w:t>
      </w:r>
      <w:r>
        <w:rPr>
          <w:rFonts w:eastAsia="Times New Roman" w:cs="Times New Roman"/>
        </w:rPr>
        <w:t xml:space="preserve"> 25 FCC Rcd </w:t>
      </w:r>
      <w:r w:rsidR="004E4E55">
        <w:rPr>
          <w:rFonts w:eastAsia="Times New Roman" w:cs="Times New Roman"/>
        </w:rPr>
        <w:t xml:space="preserve">17905, </w:t>
      </w:r>
      <w:r>
        <w:rPr>
          <w:rFonts w:eastAsia="Times New Roman" w:cs="Times New Roman"/>
        </w:rPr>
        <w:t>17918, para. 23 (2010) (</w:t>
      </w:r>
      <w:r>
        <w:rPr>
          <w:rFonts w:eastAsia="Times New Roman" w:cs="Times New Roman"/>
          <w:i/>
        </w:rPr>
        <w:t>2010 Open Internet Order),</w:t>
      </w:r>
      <w:r w:rsidRPr="001B4B89">
        <w:rPr>
          <w:rFonts w:eastAsia="Times New Roman" w:cs="Times New Roman"/>
          <w:i/>
        </w:rPr>
        <w:t xml:space="preserve"> </w:t>
      </w:r>
      <w:r w:rsidRPr="003B72F8">
        <w:rPr>
          <w:rFonts w:eastAsia="Times New Roman" w:cs="Times New Roman"/>
        </w:rPr>
        <w:t>subsequent history omitted</w:t>
      </w:r>
      <w:r>
        <w:rPr>
          <w:rFonts w:eastAsia="Times New Roman" w:cs="Times New Roman"/>
          <w:i/>
        </w:rPr>
        <w:t xml:space="preserve"> </w:t>
      </w:r>
      <w:r>
        <w:rPr>
          <w:rFonts w:eastAsia="Times New Roman" w:cs="Times New Roman"/>
        </w:rPr>
        <w:t>(“</w:t>
      </w:r>
      <w:r w:rsidRPr="20F8CBC5">
        <w:rPr>
          <w:rFonts w:eastAsia="Times New Roman" w:cs="Times New Roman"/>
        </w:rPr>
        <w:t>By interfering with the transmission of third parties’ Internet-based services or raising the cost of online delivery for particular edge providers, telephone and cable companies can make those services less attractive to subscribers in comparison to their own offerings.</w:t>
      </w:r>
      <w:r>
        <w:rPr>
          <w:rFonts w:eastAsia="Times New Roman" w:cs="Times New Roman"/>
        </w:rPr>
        <w:t>”</w:t>
      </w:r>
      <w:r w:rsidRPr="20F8CBC5">
        <w:rPr>
          <w:rFonts w:eastAsia="Times New Roman" w:cs="Times New Roman"/>
        </w:rPr>
        <w:t>)</w:t>
      </w:r>
      <w:r>
        <w:rPr>
          <w:rFonts w:eastAsia="Times New Roman" w:cs="Times New Roman"/>
        </w:rPr>
        <w:t xml:space="preserve">; </w:t>
      </w:r>
      <w:r w:rsidRPr="20F8CBC5">
        <w:rPr>
          <w:rFonts w:eastAsia="Times New Roman" w:cs="Times New Roman"/>
          <w:i/>
        </w:rPr>
        <w:t>Verizon v. FCC</w:t>
      </w:r>
      <w:r w:rsidRPr="20F8CBC5">
        <w:rPr>
          <w:rFonts w:eastAsia="Times New Roman" w:cs="Times New Roman"/>
        </w:rPr>
        <w:t>, 740 F.3d</w:t>
      </w:r>
      <w:r w:rsidR="005D43DD">
        <w:rPr>
          <w:rFonts w:eastAsia="Times New Roman" w:cs="Times New Roman"/>
        </w:rPr>
        <w:t xml:space="preserve"> 623,</w:t>
      </w:r>
      <w:r w:rsidRPr="20F8CBC5">
        <w:rPr>
          <w:rFonts w:eastAsia="Times New Roman" w:cs="Times New Roman"/>
        </w:rPr>
        <w:t xml:space="preserve"> 645-46</w:t>
      </w:r>
      <w:r w:rsidR="005D43DD">
        <w:rPr>
          <w:rFonts w:eastAsia="Times New Roman" w:cs="Times New Roman"/>
        </w:rPr>
        <w:t xml:space="preserve"> (D.C. Cir. 2014)</w:t>
      </w:r>
      <w:r w:rsidRPr="20F8CBC5">
        <w:rPr>
          <w:rFonts w:eastAsia="Times New Roman" w:cs="Times New Roman"/>
        </w:rPr>
        <w:t xml:space="preserve"> (</w:t>
      </w:r>
      <w:r>
        <w:rPr>
          <w:rFonts w:eastAsia="Times New Roman" w:cs="Times New Roman"/>
        </w:rPr>
        <w:t xml:space="preserve">quoting </w:t>
      </w:r>
      <w:r>
        <w:rPr>
          <w:rFonts w:eastAsia="Times New Roman" w:cs="Times New Roman"/>
          <w:i/>
        </w:rPr>
        <w:t xml:space="preserve">2010 Open Internet Order, </w:t>
      </w:r>
      <w:r w:rsidR="004E4E55">
        <w:rPr>
          <w:rFonts w:eastAsia="Times New Roman" w:cs="Times New Roman"/>
        </w:rPr>
        <w:t xml:space="preserve">25 FCC Rcd at </w:t>
      </w:r>
      <w:r>
        <w:rPr>
          <w:rFonts w:eastAsia="Times New Roman" w:cs="Times New Roman"/>
        </w:rPr>
        <w:t>17916, par</w:t>
      </w:r>
      <w:r w:rsidR="004E4E55">
        <w:rPr>
          <w:rFonts w:eastAsia="Times New Roman" w:cs="Times New Roman"/>
        </w:rPr>
        <w:t>a. 22</w:t>
      </w:r>
      <w:r>
        <w:rPr>
          <w:rFonts w:eastAsia="Times New Roman" w:cs="Times New Roman"/>
        </w:rPr>
        <w:t>).</w:t>
      </w:r>
    </w:p>
  </w:footnote>
  <w:footnote w:id="29">
    <w:p w14:paraId="19C5EB99"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2015 Open Internet Order</w:t>
      </w:r>
      <w:r w:rsidRPr="006801AE">
        <w:rPr>
          <w:rFonts w:eastAsia="Times New Roman" w:cs="Times New Roman"/>
        </w:rPr>
        <w:t>, 30 FCC Rcd at 5629, para. 80.</w:t>
      </w:r>
    </w:p>
  </w:footnote>
  <w:footnote w:id="30">
    <w:p w14:paraId="58EC1962" w14:textId="4414651E"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007D3C73">
        <w:rPr>
          <w:rFonts w:eastAsia="Times New Roman" w:cs="Times New Roman"/>
          <w:i/>
        </w:rPr>
        <w:t>Id.</w:t>
      </w:r>
      <w:r w:rsidRPr="006801AE">
        <w:rPr>
          <w:rFonts w:eastAsia="Times New Roman" w:cs="Times New Roman"/>
        </w:rPr>
        <w:t xml:space="preserve">, 30 FCC Rcd at 5633, para. 84 (citing </w:t>
      </w:r>
      <w:r w:rsidRPr="006801AE">
        <w:rPr>
          <w:rFonts w:eastAsia="Times New Roman" w:cs="Times New Roman"/>
          <w:i/>
        </w:rPr>
        <w:t>Verizon v. FCC</w:t>
      </w:r>
      <w:r w:rsidRPr="006801AE">
        <w:rPr>
          <w:rFonts w:eastAsia="Times New Roman" w:cs="Times New Roman"/>
        </w:rPr>
        <w:t xml:space="preserve">, 740 F. 3d at 648).  In reviewing the </w:t>
      </w:r>
      <w:r w:rsidRPr="006801AE">
        <w:rPr>
          <w:rFonts w:eastAsia="Times New Roman" w:cs="Times New Roman"/>
          <w:i/>
        </w:rPr>
        <w:t>2010 Open Internet Order</w:t>
      </w:r>
      <w:r w:rsidRPr="006801AE">
        <w:rPr>
          <w:rFonts w:eastAsia="Times New Roman" w:cs="Times New Roman"/>
        </w:rPr>
        <w:t xml:space="preserve">, the D.C. Circuit rejected the proposition that the absence of a finding of market power undermined or conflicted with the Commission’s rationale for adopting rules, and agreed with the Commission’s finding that “broadband providers’ ability to impose restrictions on edge providers does not depend on their benefitting from the sort of market concentration that would enable them to impose substantial price increases on end users.” </w:t>
      </w:r>
      <w:r w:rsidRPr="006801AE">
        <w:rPr>
          <w:rFonts w:eastAsia="Times New Roman" w:cs="Times New Roman"/>
          <w:i/>
        </w:rPr>
        <w:t xml:space="preserve">Verizon v. FCC, </w:t>
      </w:r>
      <w:r w:rsidRPr="006801AE">
        <w:rPr>
          <w:rFonts w:eastAsia="Times New Roman" w:cs="Times New Roman"/>
        </w:rPr>
        <w:t xml:space="preserve">740 F.3d at 648 (citing </w:t>
      </w:r>
      <w:r w:rsidRPr="006801AE">
        <w:rPr>
          <w:rFonts w:eastAsia="Times New Roman" w:cs="Times New Roman"/>
          <w:i/>
        </w:rPr>
        <w:t>2010 Open Internet Order</w:t>
      </w:r>
      <w:r w:rsidRPr="006801AE">
        <w:rPr>
          <w:rFonts w:eastAsia="Times New Roman" w:cs="Times New Roman"/>
        </w:rPr>
        <w:t>, 25 FCC Rcd at 17923, para. 32).</w:t>
      </w:r>
    </w:p>
  </w:footnote>
  <w:footnote w:id="31">
    <w:p w14:paraId="7496A568" w14:textId="440DD144"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2015 Open Internet Order</w:t>
      </w:r>
      <w:r w:rsidRPr="006801AE">
        <w:rPr>
          <w:rFonts w:eastAsia="Times New Roman" w:cs="Times New Roman"/>
        </w:rPr>
        <w:t>, 30 FCC Rcd at 5640</w:t>
      </w:r>
      <w:r w:rsidR="002828DA" w:rsidRPr="006801AE">
        <w:rPr>
          <w:rFonts w:eastAsia="Times New Roman" w:cs="Times New Roman"/>
        </w:rPr>
        <w:t>-41</w:t>
      </w:r>
      <w:r w:rsidRPr="006801AE">
        <w:rPr>
          <w:rFonts w:eastAsia="Times New Roman" w:cs="Times New Roman"/>
        </w:rPr>
        <w:t>, para</w:t>
      </w:r>
      <w:r w:rsidR="00DC0009">
        <w:rPr>
          <w:rFonts w:eastAsia="Times New Roman" w:cs="Times New Roman"/>
        </w:rPr>
        <w:t>s</w:t>
      </w:r>
      <w:r w:rsidRPr="006801AE">
        <w:rPr>
          <w:rFonts w:eastAsia="Times New Roman" w:cs="Times New Roman"/>
        </w:rPr>
        <w:t>. 97</w:t>
      </w:r>
      <w:r w:rsidR="002828DA" w:rsidRPr="006801AE">
        <w:rPr>
          <w:rFonts w:eastAsia="Times New Roman" w:cs="Times New Roman"/>
        </w:rPr>
        <w:t>-98</w:t>
      </w:r>
      <w:r w:rsidRPr="006801AE">
        <w:rPr>
          <w:rFonts w:eastAsia="Times New Roman" w:cs="Times New Roman"/>
        </w:rPr>
        <w:t>.</w:t>
      </w:r>
    </w:p>
  </w:footnote>
  <w:footnote w:id="32">
    <w:p w14:paraId="45EAAF43" w14:textId="60205495" w:rsidR="002828DA" w:rsidRPr="006801AE" w:rsidRDefault="002828DA"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w:t>
      </w:r>
      <w:r w:rsidR="007D3C73">
        <w:rPr>
          <w:rFonts w:cs="Times New Roman"/>
          <w:i/>
        </w:rPr>
        <w:t>Id.</w:t>
      </w:r>
      <w:r w:rsidRPr="006801AE">
        <w:rPr>
          <w:rFonts w:cs="Times New Roman"/>
        </w:rPr>
        <w:t>, 30 FCC Rcd at 5637, para. 91.</w:t>
      </w:r>
    </w:p>
  </w:footnote>
  <w:footnote w:id="33">
    <w:p w14:paraId="0DF3D882" w14:textId="170B19C2" w:rsidR="006A7466" w:rsidRPr="006801AE" w:rsidRDefault="006A7466" w:rsidP="005E328C">
      <w:pPr>
        <w:pStyle w:val="FootnoteText"/>
        <w:spacing w:before="120" w:after="120"/>
        <w:rPr>
          <w:rFonts w:cs="Times New Roman"/>
        </w:rPr>
      </w:pPr>
      <w:r w:rsidRPr="002B467E">
        <w:rPr>
          <w:rStyle w:val="FootnoteReference"/>
          <w:rFonts w:eastAsia="Times New Roman" w:cs="Times New Roman"/>
        </w:rPr>
        <w:footnoteRef/>
      </w:r>
      <w:r w:rsidRPr="006801AE">
        <w:rPr>
          <w:rFonts w:cs="Times New Roman"/>
        </w:rPr>
        <w:t xml:space="preserve"> </w:t>
      </w:r>
      <w:r w:rsidR="00DC0009">
        <w:rPr>
          <w:rFonts w:cs="Times New Roman"/>
        </w:rPr>
        <w:t xml:space="preserve">T-Mobile, </w:t>
      </w:r>
      <w:r w:rsidR="00F63243" w:rsidRPr="006801AE">
        <w:rPr>
          <w:rFonts w:cs="Times New Roman"/>
        </w:rPr>
        <w:t xml:space="preserve">T-Mobile Goes All In on Unlimited (Aug. 18, 2016), </w:t>
      </w:r>
      <w:hyperlink r:id="rId15" w:history="1">
        <w:r w:rsidR="00F63243" w:rsidRPr="006801AE">
          <w:rPr>
            <w:rStyle w:val="Hyperlink"/>
            <w:rFonts w:cs="Times New Roman"/>
          </w:rPr>
          <w:t>https://newsroom.t-mobile.com/news-and-blogs/rip-data-plans.htm</w:t>
        </w:r>
      </w:hyperlink>
      <w:r w:rsidR="00F63243" w:rsidRPr="006801AE">
        <w:rPr>
          <w:rFonts w:cs="Times New Roman"/>
        </w:rPr>
        <w:t xml:space="preserve">. </w:t>
      </w:r>
      <w:r w:rsidR="002828DA" w:rsidRPr="006801AE">
        <w:rPr>
          <w:rFonts w:cs="Times New Roman"/>
        </w:rPr>
        <w:t xml:space="preserve"> </w:t>
      </w:r>
    </w:p>
  </w:footnote>
  <w:footnote w:id="34">
    <w:p w14:paraId="78E96F82" w14:textId="26BAA903" w:rsidR="00F703B6" w:rsidRPr="000903C8" w:rsidRDefault="006A7466" w:rsidP="004E4E55">
      <w:pPr>
        <w:pStyle w:val="FootnoteText"/>
        <w:spacing w:before="120" w:after="120"/>
      </w:pPr>
      <w:r w:rsidRPr="002B467E">
        <w:rPr>
          <w:rStyle w:val="FootnoteReference"/>
          <w:rFonts w:cs="Times New Roman"/>
        </w:rPr>
        <w:footnoteRef/>
      </w:r>
      <w:r w:rsidRPr="002B467E">
        <w:rPr>
          <w:rStyle w:val="FootnoteReference"/>
        </w:rPr>
        <w:t xml:space="preserve"> </w:t>
      </w:r>
      <w:r w:rsidRPr="006801AE">
        <w:rPr>
          <w:rFonts w:eastAsia="Times New Roman" w:cs="Times New Roman"/>
          <w:i/>
          <w:iCs/>
        </w:rPr>
        <w:t>See</w:t>
      </w:r>
      <w:r w:rsidRPr="006801AE">
        <w:rPr>
          <w:rFonts w:eastAsia="Times New Roman" w:cs="Times New Roman"/>
        </w:rPr>
        <w:t xml:space="preserve"> T-Mobile, Binge On - Video Now Streams Free without Using Your Data, only from T-Mobile, </w:t>
      </w:r>
      <w:hyperlink r:id="rId16">
        <w:r w:rsidRPr="006801AE">
          <w:rPr>
            <w:rStyle w:val="Hyperlink"/>
            <w:rFonts w:cs="Times New Roman"/>
          </w:rPr>
          <w:t>https://www.t-mobile.com/offer/binge-on-streaming-video.html</w:t>
        </w:r>
      </w:hyperlink>
      <w:r w:rsidRPr="006801AE">
        <w:rPr>
          <w:rFonts w:eastAsia="Times New Roman" w:cs="Times New Roman"/>
        </w:rPr>
        <w:t xml:space="preserve"> (last visited Jan. </w:t>
      </w:r>
      <w:r w:rsidR="00DC0009">
        <w:rPr>
          <w:rFonts w:eastAsia="Times New Roman" w:cs="Times New Roman"/>
        </w:rPr>
        <w:t>9</w:t>
      </w:r>
      <w:r w:rsidRPr="006801AE">
        <w:rPr>
          <w:rFonts w:eastAsia="Times New Roman" w:cs="Times New Roman"/>
        </w:rPr>
        <w:t xml:space="preserve">, 2017); T-Mobile, T-Mobile Unleashes Mobile Video with Binge On (Nov. 10, 2015), </w:t>
      </w:r>
      <w:hyperlink r:id="rId17" w:history="1">
        <w:r w:rsidRPr="006801AE">
          <w:rPr>
            <w:rStyle w:val="Hyperlink"/>
            <w:rFonts w:eastAsia="Times New Roman" w:cs="Times New Roman"/>
          </w:rPr>
          <w:t>https://newsroom.t-mobile.com/media-kits/un-carrier-x.htm</w:t>
        </w:r>
      </w:hyperlink>
      <w:r w:rsidRPr="006801AE">
        <w:rPr>
          <w:rFonts w:eastAsia="Times New Roman" w:cs="Times New Roman"/>
        </w:rPr>
        <w:t xml:space="preserve">; T-Mobile, Binge On How-Tos, </w:t>
      </w:r>
      <w:hyperlink r:id="rId18" w:history="1">
        <w:r w:rsidRPr="006801AE">
          <w:rPr>
            <w:rStyle w:val="Hyperlink"/>
            <w:rFonts w:eastAsia="Times New Roman" w:cs="Times New Roman"/>
          </w:rPr>
          <w:t>https://support.t-mobile.com/docs/DOC-24294</w:t>
        </w:r>
      </w:hyperlink>
      <w:r w:rsidRPr="006801AE">
        <w:rPr>
          <w:rStyle w:val="Hyperlink"/>
          <w:rFonts w:eastAsia="Times New Roman" w:cs="Times New Roman"/>
          <w:color w:val="auto"/>
          <w:u w:val="none"/>
        </w:rPr>
        <w:t xml:space="preserve"> (last visited Jan. </w:t>
      </w:r>
      <w:r w:rsidR="00DC0009">
        <w:rPr>
          <w:rStyle w:val="Hyperlink"/>
          <w:rFonts w:eastAsia="Times New Roman" w:cs="Times New Roman"/>
          <w:color w:val="auto"/>
          <w:u w:val="none"/>
        </w:rPr>
        <w:t>9</w:t>
      </w:r>
      <w:r w:rsidRPr="006801AE">
        <w:rPr>
          <w:rStyle w:val="Hyperlink"/>
          <w:rFonts w:eastAsia="Times New Roman" w:cs="Times New Roman"/>
          <w:color w:val="auto"/>
          <w:u w:val="none"/>
        </w:rPr>
        <w:t>, 2017). Some music may also be available on a zero rated-basis through Binge On.</w:t>
      </w:r>
      <w:r w:rsidR="004E4E55">
        <w:rPr>
          <w:rStyle w:val="Hyperlink"/>
          <w:rFonts w:eastAsia="Times New Roman" w:cs="Times New Roman"/>
          <w:color w:val="auto"/>
          <w:u w:val="none"/>
        </w:rPr>
        <w:t xml:space="preserve">  </w:t>
      </w:r>
      <w:r w:rsidR="00E909CC" w:rsidRPr="00967464">
        <w:rPr>
          <w:rFonts w:eastAsia="Times New Roman" w:cs="Times New Roman"/>
        </w:rPr>
        <w:t>Binge-On is a zero-rating feature that was applied to T-Mobile customers who subscribed</w:t>
      </w:r>
      <w:r w:rsidR="00FB0851" w:rsidRPr="00967464">
        <w:rPr>
          <w:rFonts w:eastAsia="Times New Roman" w:cs="Times New Roman"/>
        </w:rPr>
        <w:t xml:space="preserve"> to certain tiered data plans.  </w:t>
      </w:r>
      <w:r w:rsidR="00E909CC" w:rsidRPr="00967464">
        <w:rPr>
          <w:rFonts w:eastAsia="Times New Roman" w:cs="Times New Roman"/>
        </w:rPr>
        <w:t xml:space="preserve">T-Mobile </w:t>
      </w:r>
      <w:r w:rsidR="00FB0851" w:rsidRPr="00967464">
        <w:rPr>
          <w:rFonts w:eastAsia="Times New Roman" w:cs="Times New Roman"/>
        </w:rPr>
        <w:t xml:space="preserve">no longer offers tiered data plans with the Binge On feature to new customers, and instead offers them </w:t>
      </w:r>
      <w:r w:rsidR="00E909CC" w:rsidRPr="00967464">
        <w:rPr>
          <w:rFonts w:eastAsia="Times New Roman" w:cs="Times New Roman"/>
        </w:rPr>
        <w:t xml:space="preserve">the ONE line of unlimited plans.  </w:t>
      </w:r>
      <w:r w:rsidR="005D43DD">
        <w:rPr>
          <w:rFonts w:eastAsia="Times New Roman" w:cs="Times New Roman"/>
        </w:rPr>
        <w:t xml:space="preserve">T-Mobile, </w:t>
      </w:r>
      <w:r w:rsidR="00F703B6" w:rsidRPr="00F703B6">
        <w:rPr>
          <w:rFonts w:eastAsia="Times New Roman" w:cs="Times New Roman"/>
        </w:rPr>
        <w:t xml:space="preserve">One Size Fits All: T-Mobile Says Unlimited Plans Will be Only Option (Jan. 6, 2017), </w:t>
      </w:r>
      <w:hyperlink r:id="rId19" w:history="1">
        <w:r w:rsidR="00462246" w:rsidRPr="00714AF6">
          <w:rPr>
            <w:rStyle w:val="Hyperlink"/>
            <w:rFonts w:eastAsia="Times New Roman" w:cs="Times New Roman"/>
          </w:rPr>
          <w:t>http://abc7chicago.com/news/one-size-fits-all-t-mobile-says-umlimited-plans-will-be-only-option/1690368</w:t>
        </w:r>
      </w:hyperlink>
      <w:r w:rsidR="00F703B6">
        <w:rPr>
          <w:sz w:val="26"/>
          <w:szCs w:val="26"/>
        </w:rPr>
        <w:t xml:space="preserve">. </w:t>
      </w:r>
    </w:p>
    <w:p w14:paraId="1B832DEF" w14:textId="61695B45" w:rsidR="000A40E4" w:rsidRPr="000903C8" w:rsidRDefault="00967464" w:rsidP="000903C8">
      <w:r w:rsidRPr="00967464">
        <w:rPr>
          <w:rFonts w:eastAsia="Times New Roman" w:cs="Times New Roman"/>
          <w:sz w:val="20"/>
          <w:szCs w:val="20"/>
        </w:rPr>
        <w:t xml:space="preserve"> </w:t>
      </w:r>
    </w:p>
  </w:footnote>
  <w:footnote w:id="35">
    <w:p w14:paraId="2761B423" w14:textId="122AD85F" w:rsidR="006A780D" w:rsidRPr="006801AE" w:rsidRDefault="006A780D" w:rsidP="006A780D">
      <w:pPr>
        <w:pStyle w:val="FootnoteText"/>
        <w:spacing w:before="120" w:after="120"/>
        <w:rPr>
          <w:rFonts w:eastAsia="Times New Roman" w:cs="Times New Roman"/>
          <w:b/>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 xml:space="preserve">See </w:t>
      </w:r>
      <w:r w:rsidRPr="006801AE">
        <w:rPr>
          <w:rFonts w:eastAsia="Times New Roman" w:cs="Times New Roman"/>
        </w:rPr>
        <w:t xml:space="preserve">AT&amp;T, Data Perks, </w:t>
      </w:r>
      <w:hyperlink r:id="rId20" w:history="1">
        <w:r w:rsidRPr="006801AE">
          <w:rPr>
            <w:rStyle w:val="Hyperlink"/>
            <w:rFonts w:eastAsia="Times New Roman" w:cs="Times New Roman"/>
          </w:rPr>
          <w:t>http://www.att.com/att/dataperks/en/index.html</w:t>
        </w:r>
      </w:hyperlink>
      <w:r w:rsidRPr="006801AE">
        <w:rPr>
          <w:rStyle w:val="Hyperlink"/>
          <w:rFonts w:eastAsia="Times New Roman" w:cs="Times New Roman"/>
        </w:rPr>
        <w:t xml:space="preserve"> </w:t>
      </w:r>
      <w:r w:rsidRPr="000903C8">
        <w:rPr>
          <w:rStyle w:val="Hyperlink"/>
          <w:u w:val="none"/>
        </w:rPr>
        <w:t xml:space="preserve">(last visited Jan. </w:t>
      </w:r>
      <w:r w:rsidR="00DC0009">
        <w:rPr>
          <w:rStyle w:val="Hyperlink"/>
          <w:rFonts w:eastAsia="Times New Roman" w:cs="Times New Roman"/>
          <w:u w:val="none"/>
        </w:rPr>
        <w:t>9</w:t>
      </w:r>
      <w:r w:rsidRPr="000903C8">
        <w:rPr>
          <w:rStyle w:val="Hyperlink"/>
          <w:u w:val="none"/>
        </w:rPr>
        <w:t>, 2017)</w:t>
      </w:r>
      <w:r w:rsidRPr="00DC0009">
        <w:rPr>
          <w:rFonts w:eastAsia="Times New Roman" w:cs="Times New Roman"/>
        </w:rPr>
        <w:t>.</w:t>
      </w:r>
      <w:r w:rsidRPr="006801AE">
        <w:rPr>
          <w:rFonts w:eastAsia="Times New Roman" w:cs="Times New Roman"/>
        </w:rPr>
        <w:t xml:space="preserve">  AT&amp;T offers this service in conjunction with a firm called Aquto that specializes in data rewards and sponsored data programs.</w:t>
      </w:r>
    </w:p>
  </w:footnote>
  <w:footnote w:id="36">
    <w:p w14:paraId="0923F705" w14:textId="3A05D9D2" w:rsidR="006A7466" w:rsidRPr="00FF4059" w:rsidRDefault="006A7466" w:rsidP="005E328C">
      <w:pPr>
        <w:pStyle w:val="FootnoteText"/>
        <w:spacing w:before="120"/>
      </w:pPr>
      <w:r w:rsidRPr="006801AE">
        <w:rPr>
          <w:rStyle w:val="FootnoteReference"/>
          <w:rFonts w:cs="Times New Roman"/>
        </w:rPr>
        <w:footnoteRef/>
      </w:r>
      <w:r w:rsidRPr="006801AE">
        <w:rPr>
          <w:rFonts w:cs="Times New Roman"/>
        </w:rPr>
        <w:t xml:space="preserve"> AT&amp;T, AT&amp;T Introduces Sponsored Data for Mobile Data Subscribers and Businesses (Jan. 6, 2014), </w:t>
      </w:r>
      <w:hyperlink r:id="rId21">
        <w:r w:rsidRPr="006801AE">
          <w:rPr>
            <w:rStyle w:val="Hyperlink"/>
            <w:rFonts w:cs="Times New Roman"/>
          </w:rPr>
          <w:t>https://www.att.com/gen/press-room?pid=25183&amp;cdvn=news&amp;newsarticleid=37366</w:t>
        </w:r>
      </w:hyperlink>
      <w:r w:rsidRPr="006801AE">
        <w:rPr>
          <w:rFonts w:cs="Times New Roman"/>
        </w:rPr>
        <w:t>.</w:t>
      </w:r>
      <w:r w:rsidR="00FF4059" w:rsidRPr="256AB666">
        <w:t xml:space="preserve"> </w:t>
      </w:r>
      <w:r w:rsidR="002E551B">
        <w:t>F</w:t>
      </w:r>
      <w:r w:rsidR="006E7C83">
        <w:t xml:space="preserve">ew edge providers participated in the program initially. Sam Becker, Here’s Why No One is Buying into AT&amp;T’s Sponsored Data Plan (July 29, 2014), </w:t>
      </w:r>
      <w:hyperlink r:id="rId22" w:history="1">
        <w:r w:rsidR="006E7C83">
          <w:rPr>
            <w:rStyle w:val="Hyperlink"/>
          </w:rPr>
          <w:t>http://www.cheatsheet.com/business/heres-why-no-one-is-buying-into-atts-sponsored-data-plan.html</w:t>
        </w:r>
      </w:hyperlink>
      <w:r w:rsidR="00FF2FA3">
        <w:t>.</w:t>
      </w:r>
    </w:p>
  </w:footnote>
  <w:footnote w:id="37">
    <w:p w14:paraId="43C8206E" w14:textId="0DB95E12" w:rsidR="006A7466" w:rsidRPr="003B72F8" w:rsidRDefault="006A7466" w:rsidP="005E328C">
      <w:pPr>
        <w:pStyle w:val="FootnoteText"/>
        <w:spacing w:before="120" w:after="120"/>
        <w:rPr>
          <w:rFonts w:eastAsia="Times New Roman" w:cs="Times New Roman"/>
        </w:rPr>
      </w:pPr>
      <w:r w:rsidRPr="002B467E">
        <w:rPr>
          <w:rStyle w:val="FootnoteReference"/>
          <w:rFonts w:cs="Times New Roman"/>
        </w:rPr>
        <w:footnoteRef/>
      </w:r>
      <w:r w:rsidRPr="002B467E">
        <w:rPr>
          <w:rStyle w:val="FootnoteReference"/>
        </w:rPr>
        <w:t xml:space="preserve"> </w:t>
      </w:r>
      <w:r w:rsidRPr="006801AE">
        <w:rPr>
          <w:rFonts w:eastAsia="Times New Roman" w:cs="Times New Roman"/>
          <w:i/>
        </w:rPr>
        <w:t xml:space="preserve">See </w:t>
      </w:r>
      <w:r w:rsidRPr="006801AE">
        <w:rPr>
          <w:rFonts w:eastAsia="Times New Roman" w:cs="Times New Roman"/>
        </w:rPr>
        <w:t>AT&amp;T</w:t>
      </w:r>
      <w:r w:rsidR="005D43DD">
        <w:rPr>
          <w:rFonts w:eastAsia="Times New Roman" w:cs="Times New Roman"/>
        </w:rPr>
        <w:t>,</w:t>
      </w:r>
      <w:r w:rsidRPr="006801AE">
        <w:rPr>
          <w:rFonts w:eastAsia="Times New Roman" w:cs="Times New Roman"/>
        </w:rPr>
        <w:t xml:space="preserve"> Sponsored Data, Frequently Asked Questions, </w:t>
      </w:r>
      <w:hyperlink r:id="rId23" w:anchor="tab2" w:history="1">
        <w:r w:rsidRPr="006801AE">
          <w:rPr>
            <w:rStyle w:val="Hyperlink"/>
            <w:rFonts w:eastAsia="Times New Roman" w:cs="Times New Roman"/>
          </w:rPr>
          <w:t>http://www.att.com/att/sponsoreddata/en/index.html</w:t>
        </w:r>
      </w:hyperlink>
      <w:r w:rsidR="003B72F8">
        <w:rPr>
          <w:rStyle w:val="Hyperlink"/>
          <w:rFonts w:eastAsia="Times New Roman" w:cs="Times New Roman"/>
          <w:u w:val="none"/>
        </w:rPr>
        <w:t xml:space="preserve"> </w:t>
      </w:r>
      <w:r w:rsidR="003B72F8" w:rsidRPr="003B72F8">
        <w:t>(last visited Jan. 9, 2017).</w:t>
      </w:r>
    </w:p>
  </w:footnote>
  <w:footnote w:id="38">
    <w:p w14:paraId="7AE0245F" w14:textId="06D6AE11" w:rsidR="006E7C83" w:rsidRDefault="006E7C83" w:rsidP="00B7636C">
      <w:pPr>
        <w:pStyle w:val="PlainText"/>
      </w:pPr>
      <w:r w:rsidRPr="002B467E">
        <w:rPr>
          <w:rStyle w:val="FootnoteReference"/>
          <w:rFonts w:ascii="Times New Roman" w:hAnsi="Times New Roman" w:cs="Times New Roman"/>
          <w:sz w:val="20"/>
          <w:szCs w:val="20"/>
        </w:rPr>
        <w:footnoteRef/>
      </w:r>
      <w:r w:rsidRPr="002B467E">
        <w:rPr>
          <w:rStyle w:val="FootnoteReference"/>
          <w:rFonts w:ascii="Times New Roman" w:hAnsi="Times New Roman" w:cs="Times New Roman"/>
          <w:sz w:val="20"/>
          <w:szCs w:val="20"/>
        </w:rPr>
        <w:t xml:space="preserve"> </w:t>
      </w:r>
      <w:r w:rsidRPr="00E04E76">
        <w:rPr>
          <w:rFonts w:ascii="Times New Roman" w:eastAsia="Times New Roman" w:hAnsi="Times New Roman" w:cs="Times New Roman"/>
          <w:sz w:val="20"/>
          <w:szCs w:val="20"/>
        </w:rPr>
        <w:t xml:space="preserve">AT&amp;T, The Revolution is Here: AT&amp;T Offers 3 Ways to Stream Premium Video Content (Nov. 29, 2016), </w:t>
      </w:r>
      <w:hyperlink r:id="rId24" w:history="1">
        <w:r w:rsidR="00BF4991" w:rsidRPr="00714AF6">
          <w:rPr>
            <w:rStyle w:val="Hyperlink"/>
            <w:rFonts w:ascii="Times New Roman" w:eastAsia="Times New Roman" w:hAnsi="Times New Roman" w:cs="Times New Roman"/>
            <w:sz w:val="20"/>
            <w:szCs w:val="20"/>
          </w:rPr>
          <w:t>http://about.att.com/story/att_offers_three_ways_to_stream_premium_video_content.html</w:t>
        </w:r>
      </w:hyperlink>
      <w:r w:rsidRPr="00E04E76">
        <w:rPr>
          <w:rFonts w:ascii="Times New Roman" w:eastAsia="Times New Roman" w:hAnsi="Times New Roman" w:cs="Times New Roman"/>
          <w:sz w:val="20"/>
          <w:szCs w:val="20"/>
        </w:rPr>
        <w:t>; Letter and Legal Analysis from Robert W. Quinn, Jr., Senior Vice President, External and Legislative Affairs, AT&amp;T, to Jon Wilkins, Chief, Wireless Telecommunications Bureau (Nov. 21, 2016)</w:t>
      </w:r>
      <w:r w:rsidR="00E04E76" w:rsidRPr="00E04E76">
        <w:rPr>
          <w:rFonts w:ascii="Times New Roman" w:eastAsia="Times New Roman" w:hAnsi="Times New Roman" w:cs="Times New Roman"/>
          <w:sz w:val="20"/>
          <w:szCs w:val="20"/>
        </w:rPr>
        <w:t xml:space="preserve"> </w:t>
      </w:r>
      <w:r w:rsidR="00FF386B">
        <w:rPr>
          <w:rFonts w:ascii="Times New Roman" w:eastAsia="Times New Roman" w:hAnsi="Times New Roman" w:cs="Times New Roman"/>
          <w:sz w:val="20"/>
          <w:szCs w:val="20"/>
        </w:rPr>
        <w:t>(</w:t>
      </w:r>
      <w:hyperlink r:id="rId25" w:history="1">
        <w:r w:rsidR="00E04E76" w:rsidRPr="00E04E76">
          <w:rPr>
            <w:rFonts w:ascii="Times New Roman" w:eastAsia="Times New Roman" w:hAnsi="Times New Roman" w:cs="Times New Roman"/>
            <w:sz w:val="20"/>
            <w:szCs w:val="20"/>
          </w:rPr>
          <w:t>https://apps.fcc.gov/edocs_public/attachmatch/DOC-342940A1.pdf</w:t>
        </w:r>
      </w:hyperlink>
      <w:r w:rsidR="003B72F8">
        <w:rPr>
          <w:rFonts w:ascii="Times New Roman" w:eastAsia="Times New Roman" w:hAnsi="Times New Roman" w:cs="Times New Roman"/>
          <w:sz w:val="20"/>
          <w:szCs w:val="20"/>
        </w:rPr>
        <w:t>)</w:t>
      </w:r>
      <w:r w:rsidR="00E04E76" w:rsidRPr="00E04E76">
        <w:rPr>
          <w:rFonts w:ascii="Times New Roman" w:eastAsia="Times New Roman" w:hAnsi="Times New Roman" w:cs="Times New Roman"/>
          <w:sz w:val="20"/>
          <w:szCs w:val="20"/>
        </w:rPr>
        <w:t>.</w:t>
      </w:r>
    </w:p>
  </w:footnote>
  <w:footnote w:id="39">
    <w:p w14:paraId="2840BEFD" w14:textId="55DF52B9" w:rsidR="006A7466" w:rsidRPr="006801AE" w:rsidRDefault="006A7466" w:rsidP="005E328C">
      <w:pPr>
        <w:pStyle w:val="FootnoteText"/>
        <w:spacing w:before="120" w:after="120"/>
        <w:rPr>
          <w:rFonts w:cs="Times New Roman"/>
        </w:rPr>
      </w:pPr>
      <w:r w:rsidRPr="002B467E">
        <w:rPr>
          <w:rStyle w:val="FootnoteReference"/>
          <w:rFonts w:eastAsia="Times New Roman" w:cs="Times New Roman"/>
        </w:rPr>
        <w:footnoteRef/>
      </w:r>
      <w:r w:rsidRPr="002B467E">
        <w:rPr>
          <w:rStyle w:val="FootnoteReference"/>
          <w:rFonts w:eastAsia="Times New Roman"/>
        </w:rPr>
        <w:t xml:space="preserve"> </w:t>
      </w:r>
      <w:r w:rsidRPr="006801AE">
        <w:rPr>
          <w:rFonts w:cs="Times New Roman"/>
        </w:rPr>
        <w:t xml:space="preserve">Verizon, Introducing FreeBee Data: The New Sponsored Data Service from Verizon (Jan. 19, 2016), </w:t>
      </w:r>
      <w:hyperlink r:id="rId26">
        <w:r w:rsidRPr="006801AE">
          <w:rPr>
            <w:rStyle w:val="Hyperlink"/>
            <w:rFonts w:cs="Times New Roman"/>
          </w:rPr>
          <w:t>http://www.verizon.com/about/news/introducing-freebee-data-new-sponsored-data-service-verizon</w:t>
        </w:r>
      </w:hyperlink>
      <w:r w:rsidRPr="006801AE">
        <w:rPr>
          <w:rFonts w:cs="Times New Roman"/>
        </w:rPr>
        <w:t xml:space="preserve">. </w:t>
      </w:r>
    </w:p>
  </w:footnote>
  <w:footnote w:id="40">
    <w:p w14:paraId="4134BB68" w14:textId="7E6F5835" w:rsidR="006865CA" w:rsidRPr="00DC0009" w:rsidRDefault="006865CA" w:rsidP="00FF4059">
      <w:pPr>
        <w:pStyle w:val="FootnoteText"/>
        <w:spacing w:before="120" w:after="120"/>
        <w:rPr>
          <w:rFonts w:cs="Times New Roman"/>
        </w:rPr>
      </w:pPr>
      <w:r w:rsidRPr="006801AE">
        <w:rPr>
          <w:rStyle w:val="FootnoteReference"/>
          <w:rFonts w:cs="Times New Roman"/>
        </w:rPr>
        <w:footnoteRef/>
      </w:r>
      <w:r w:rsidR="006A7466" w:rsidRPr="002B467E">
        <w:rPr>
          <w:rStyle w:val="FootnoteReference"/>
        </w:rPr>
        <w:t xml:space="preserve"> </w:t>
      </w:r>
      <w:r w:rsidR="006A7466" w:rsidRPr="006801AE">
        <w:rPr>
          <w:rFonts w:eastAsia="Times New Roman" w:cs="Times New Roman"/>
          <w:i/>
        </w:rPr>
        <w:t xml:space="preserve">See </w:t>
      </w:r>
      <w:r w:rsidR="00295D98" w:rsidRPr="006801AE">
        <w:rPr>
          <w:rFonts w:eastAsia="Times New Roman" w:cs="Times New Roman"/>
        </w:rPr>
        <w:t xml:space="preserve">Verizon, </w:t>
      </w:r>
      <w:r w:rsidR="006A7466" w:rsidRPr="006801AE">
        <w:rPr>
          <w:rFonts w:eastAsia="Times New Roman" w:cs="Times New Roman"/>
        </w:rPr>
        <w:t>FreeBee Data FAQs,</w:t>
      </w:r>
      <w:r w:rsidR="00295D98" w:rsidRPr="006801AE">
        <w:rPr>
          <w:rFonts w:eastAsia="Times New Roman" w:cs="Times New Roman"/>
        </w:rPr>
        <w:t xml:space="preserve"> </w:t>
      </w:r>
      <w:r w:rsidR="006A7466" w:rsidRPr="006801AE">
        <w:rPr>
          <w:rFonts w:eastAsia="Times New Roman" w:cs="Times New Roman"/>
        </w:rPr>
        <w:t xml:space="preserve"> </w:t>
      </w:r>
      <w:hyperlink r:id="rId27" w:history="1">
        <w:r w:rsidR="006A7466" w:rsidRPr="006801AE">
          <w:rPr>
            <w:rStyle w:val="Hyperlink"/>
            <w:rFonts w:eastAsia="Times New Roman" w:cs="Times New Roman"/>
          </w:rPr>
          <w:t>http://freebee.verizonwireless.com/business/support/faqs</w:t>
        </w:r>
      </w:hyperlink>
      <w:r w:rsidR="006A7466" w:rsidRPr="006801AE">
        <w:rPr>
          <w:rStyle w:val="Hyperlink"/>
          <w:rFonts w:eastAsia="Times New Roman" w:cs="Times New Roman"/>
        </w:rPr>
        <w:t xml:space="preserve"> </w:t>
      </w:r>
      <w:r w:rsidR="00DC0009">
        <w:rPr>
          <w:rStyle w:val="Hyperlink"/>
          <w:rFonts w:eastAsia="Times New Roman" w:cs="Times New Roman"/>
          <w:u w:val="none"/>
        </w:rPr>
        <w:t xml:space="preserve"> </w:t>
      </w:r>
      <w:r w:rsidR="00DC0009" w:rsidRPr="000903C8">
        <w:t>(</w:t>
      </w:r>
      <w:r w:rsidR="006A7466" w:rsidRPr="000903C8">
        <w:t xml:space="preserve">last visited Jan. </w:t>
      </w:r>
      <w:r w:rsidR="00DC0009">
        <w:t>9</w:t>
      </w:r>
      <w:r w:rsidR="006A7466" w:rsidRPr="000903C8">
        <w:t>, 2017)</w:t>
      </w:r>
      <w:r w:rsidR="006A7466" w:rsidRPr="00DC0009">
        <w:rPr>
          <w:rFonts w:cs="Times New Roman"/>
        </w:rPr>
        <w:t>.</w:t>
      </w:r>
    </w:p>
  </w:footnote>
  <w:footnote w:id="41">
    <w:p w14:paraId="23069719" w14:textId="7E62CFF7" w:rsidR="006E7C83" w:rsidRPr="005E328C" w:rsidRDefault="006E7C83" w:rsidP="005E328C">
      <w:pPr>
        <w:pStyle w:val="FootnoteText"/>
      </w:pPr>
      <w:r w:rsidRPr="002B467E">
        <w:rPr>
          <w:rStyle w:val="FootnoteReference"/>
          <w:rFonts w:cs="Times New Roman"/>
        </w:rPr>
        <w:footnoteRef/>
      </w:r>
      <w:r w:rsidRPr="002B467E">
        <w:rPr>
          <w:rStyle w:val="FootnoteReference"/>
          <w:rFonts w:cs="Times New Roman"/>
        </w:rPr>
        <w:t xml:space="preserve"> </w:t>
      </w:r>
      <w:r w:rsidRPr="20F8CBC5">
        <w:rPr>
          <w:rFonts w:eastAsia="Times New Roman" w:cs="Times New Roman"/>
        </w:rPr>
        <w:t xml:space="preserve">Verizon, go90 FAQs, </w:t>
      </w:r>
      <w:hyperlink r:id="rId28" w:history="1">
        <w:r w:rsidRPr="20F8CBC5">
          <w:rPr>
            <w:rStyle w:val="Hyperlink"/>
            <w:rFonts w:eastAsia="Times New Roman" w:cs="Times New Roman"/>
          </w:rPr>
          <w:t>https://www.verizonwireless.com/support/go90-faqs/</w:t>
        </w:r>
      </w:hyperlink>
      <w:r w:rsidR="00DC0009">
        <w:rPr>
          <w:rFonts w:eastAsia="Times New Roman" w:cs="Times New Roman"/>
        </w:rPr>
        <w:t xml:space="preserve"> (last visited Jan. 9, 2017).</w:t>
      </w:r>
    </w:p>
  </w:footnote>
  <w:footnote w:id="42">
    <w:p w14:paraId="4FC18ABF" w14:textId="0E7F6DB1" w:rsidR="006A7466" w:rsidRPr="006801AE" w:rsidRDefault="006A7466" w:rsidP="005E328C">
      <w:pPr>
        <w:pStyle w:val="FootnoteText"/>
        <w:spacing w:before="120" w:after="120"/>
        <w:rPr>
          <w:rFonts w:eastAsia="Times New Roman" w:cs="Times New Roman"/>
        </w:rPr>
      </w:pPr>
      <w:r w:rsidRPr="002B467E">
        <w:rPr>
          <w:rStyle w:val="FootnoteReference"/>
          <w:rFonts w:cs="Times New Roman"/>
        </w:rPr>
        <w:footnoteRef/>
      </w:r>
      <w:r w:rsidRPr="006801AE">
        <w:rPr>
          <w:rFonts w:cs="Times New Roman"/>
        </w:rPr>
        <w:t xml:space="preserve">As noted above, </w:t>
      </w:r>
      <w:r w:rsidRPr="006801AE">
        <w:rPr>
          <w:rFonts w:cs="Times New Roman"/>
          <w:i/>
        </w:rPr>
        <w:t>s</w:t>
      </w:r>
      <w:r w:rsidRPr="006801AE">
        <w:rPr>
          <w:rFonts w:eastAsia="Times New Roman" w:cs="Times New Roman"/>
          <w:i/>
        </w:rPr>
        <w:t xml:space="preserve">ee supra </w:t>
      </w:r>
      <w:r w:rsidRPr="006801AE">
        <w:rPr>
          <w:rFonts w:eastAsia="Times New Roman" w:cs="Times New Roman"/>
        </w:rPr>
        <w:t xml:space="preserve">note 4, </w:t>
      </w:r>
      <w:r w:rsidRPr="006801AE">
        <w:rPr>
          <w:rFonts w:cs="Times New Roman"/>
        </w:rPr>
        <w:t xml:space="preserve">the General Conduct Rule provides for </w:t>
      </w:r>
      <w:r w:rsidRPr="006801AE">
        <w:rPr>
          <w:rFonts w:cs="Times New Roman"/>
          <w:i/>
        </w:rPr>
        <w:t xml:space="preserve">ex post </w:t>
      </w:r>
      <w:r w:rsidRPr="006801AE">
        <w:rPr>
          <w:rFonts w:cs="Times New Roman"/>
        </w:rPr>
        <w:t>review of specific business practices</w:t>
      </w:r>
      <w:r w:rsidRPr="006801AE">
        <w:rPr>
          <w:rFonts w:cs="Times New Roman"/>
          <w:bCs/>
        </w:rPr>
        <w:t xml:space="preserve">, rather than categorical </w:t>
      </w:r>
      <w:r w:rsidRPr="006801AE">
        <w:rPr>
          <w:rFonts w:cs="Times New Roman"/>
          <w:bCs/>
          <w:i/>
        </w:rPr>
        <w:t xml:space="preserve">ex ante </w:t>
      </w:r>
      <w:r w:rsidRPr="006801AE">
        <w:rPr>
          <w:rFonts w:cs="Times New Roman"/>
          <w:bCs/>
        </w:rPr>
        <w:t>constraints.  We recognize that there has been some concern that T-Mobile’s Binge On program involve</w:t>
      </w:r>
      <w:r w:rsidR="000437ED">
        <w:rPr>
          <w:rFonts w:cs="Times New Roman"/>
          <w:bCs/>
        </w:rPr>
        <w:t>d</w:t>
      </w:r>
      <w:r w:rsidRPr="006801AE">
        <w:rPr>
          <w:rFonts w:cs="Times New Roman"/>
          <w:bCs/>
        </w:rPr>
        <w:t xml:space="preserve"> the reduction in speed of a class of applications.  </w:t>
      </w:r>
      <w:r w:rsidR="000437ED">
        <w:rPr>
          <w:rFonts w:cs="Times New Roman"/>
          <w:bCs/>
        </w:rPr>
        <w:t>O</w:t>
      </w:r>
      <w:r w:rsidRPr="006801AE">
        <w:rPr>
          <w:rFonts w:cs="Times New Roman"/>
          <w:bCs/>
        </w:rPr>
        <w:t xml:space="preserve">ur review of the specific prices, terms, and conditions associated with Binge On, including end user perceptions, the extent of end user control, and the targeted network management elements suggests that the likelihood of harm to consumers and edge providers is low and that </w:t>
      </w:r>
      <w:r w:rsidRPr="006801AE" w:rsidDel="00E73B14">
        <w:rPr>
          <w:rFonts w:cs="Times New Roman"/>
          <w:bCs/>
        </w:rPr>
        <w:t xml:space="preserve">it should be </w:t>
      </w:r>
      <w:r w:rsidRPr="006801AE">
        <w:rPr>
          <w:rFonts w:cs="Times New Roman"/>
          <w:bCs/>
        </w:rPr>
        <w:t xml:space="preserve">assessed primarily under the General Conduct Rule.  </w:t>
      </w:r>
    </w:p>
  </w:footnote>
  <w:footnote w:id="43">
    <w:p w14:paraId="4EF4A0FF" w14:textId="45C5ABDD"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00F827D0">
        <w:rPr>
          <w:rFonts w:eastAsia="Times New Roman" w:cs="Times New Roman"/>
          <w:i/>
        </w:rPr>
        <w:t xml:space="preserve">2015 Open Internet Order, </w:t>
      </w:r>
      <w:r w:rsidR="00F827D0">
        <w:rPr>
          <w:rFonts w:eastAsia="Times New Roman" w:cs="Times New Roman"/>
        </w:rPr>
        <w:t xml:space="preserve">30 FCC Rcd </w:t>
      </w:r>
      <w:r w:rsidRPr="006801AE">
        <w:rPr>
          <w:rFonts w:eastAsia="Times New Roman" w:cs="Times New Roman"/>
        </w:rPr>
        <w:t xml:space="preserve">at 5659-61, paras. 136-38. The </w:t>
      </w:r>
      <w:r w:rsidRPr="006801AE">
        <w:rPr>
          <w:rFonts w:eastAsia="Times New Roman" w:cs="Times New Roman"/>
          <w:i/>
        </w:rPr>
        <w:t>Order</w:t>
      </w:r>
      <w:r w:rsidRPr="006801AE">
        <w:rPr>
          <w:rFonts w:eastAsia="Times New Roman" w:cs="Times New Roman"/>
        </w:rPr>
        <w:t xml:space="preserve"> particularly stressed the benefits of applying this standard in the context of rapidly-changing mobile broadband platforms.  </w:t>
      </w:r>
      <w:r w:rsidRPr="006801AE">
        <w:rPr>
          <w:rFonts w:eastAsia="Times New Roman" w:cs="Times New Roman"/>
          <w:i/>
        </w:rPr>
        <w:t>Id.</w:t>
      </w:r>
      <w:r w:rsidRPr="006801AE">
        <w:rPr>
          <w:rFonts w:eastAsia="Times New Roman" w:cs="Times New Roman"/>
        </w:rPr>
        <w:t xml:space="preserve"> at 5665, para. 149.</w:t>
      </w:r>
    </w:p>
  </w:footnote>
  <w:footnote w:id="44">
    <w:p w14:paraId="19D127C9" w14:textId="434D2E8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47 CFR §</w:t>
      </w:r>
      <w:r w:rsidR="00A1390B">
        <w:rPr>
          <w:rFonts w:eastAsia="Times New Roman" w:cs="Times New Roman"/>
        </w:rPr>
        <w:t xml:space="preserve"> </w:t>
      </w:r>
      <w:r w:rsidRPr="006801AE">
        <w:rPr>
          <w:rFonts w:eastAsia="Times New Roman" w:cs="Times New Roman"/>
        </w:rPr>
        <w:t>8.11.</w:t>
      </w:r>
    </w:p>
  </w:footnote>
  <w:footnote w:id="45">
    <w:p w14:paraId="07F018FF" w14:textId="4D3640C0"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Those seven factors are:  (1) end user control; (2) competitive effects; (3) consumer protection; (4) effect on innovation, investment, and deployment; (5) free expression; (6) application agnostic; and (7) industry standard practices.  </w:t>
      </w:r>
      <w:r w:rsidR="003B72F8">
        <w:rPr>
          <w:rFonts w:eastAsia="Times New Roman" w:cs="Times New Roman"/>
          <w:i/>
        </w:rPr>
        <w:t xml:space="preserve">2015 Open Internet Order, </w:t>
      </w:r>
      <w:r w:rsidRPr="006801AE">
        <w:rPr>
          <w:rFonts w:eastAsia="Times New Roman" w:cs="Times New Roman"/>
        </w:rPr>
        <w:t xml:space="preserve">30 FCC Rcd at 5661-64, paras. 139-45. The D.C. Circuit rejected claims that the </w:t>
      </w:r>
      <w:r w:rsidR="00601C0A" w:rsidRPr="006801AE">
        <w:rPr>
          <w:rFonts w:eastAsia="Times New Roman" w:cs="Times New Roman"/>
        </w:rPr>
        <w:t xml:space="preserve">General </w:t>
      </w:r>
      <w:r w:rsidRPr="006801AE">
        <w:rPr>
          <w:rFonts w:eastAsia="Times New Roman" w:cs="Times New Roman"/>
        </w:rPr>
        <w:t xml:space="preserve">Conduct Rule is impermissibly vague and ambiguous, relying in large part on this articulation of factors.  </w:t>
      </w:r>
      <w:r w:rsidRPr="006801AE">
        <w:rPr>
          <w:rFonts w:eastAsia="Times New Roman" w:cs="Times New Roman"/>
          <w:i/>
        </w:rPr>
        <w:t>USTA v. FCC</w:t>
      </w:r>
      <w:r w:rsidRPr="006801AE">
        <w:rPr>
          <w:rFonts w:eastAsia="Times New Roman" w:cs="Times New Roman"/>
        </w:rPr>
        <w:t xml:space="preserve">, 825 F.3d at 735-37.  </w:t>
      </w:r>
    </w:p>
  </w:footnote>
  <w:footnote w:id="46">
    <w:p w14:paraId="20FBB359" w14:textId="355EF29F"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003B72F8">
        <w:rPr>
          <w:rFonts w:eastAsia="Times New Roman" w:cs="Times New Roman"/>
          <w:i/>
        </w:rPr>
        <w:t xml:space="preserve">2015 Open Internet Order, </w:t>
      </w:r>
      <w:r w:rsidRPr="006801AE">
        <w:rPr>
          <w:rFonts w:eastAsia="Times New Roman" w:cs="Times New Roman"/>
        </w:rPr>
        <w:t>30 FCC Rcd at 5662, 5729, paras. 140, 295.</w:t>
      </w:r>
    </w:p>
  </w:footnote>
  <w:footnote w:id="47">
    <w:p w14:paraId="731C2676" w14:textId="76EAA5A8" w:rsidR="006A7466" w:rsidRPr="006801AE" w:rsidRDefault="006A7466"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w:t>
      </w:r>
      <w:r w:rsidR="003B72F8">
        <w:rPr>
          <w:rFonts w:eastAsia="Times New Roman" w:cs="Times New Roman"/>
          <w:i/>
        </w:rPr>
        <w:t>Id.</w:t>
      </w:r>
      <w:r w:rsidRPr="006801AE">
        <w:rPr>
          <w:rFonts w:eastAsia="Times New Roman" w:cs="Times New Roman"/>
        </w:rPr>
        <w:t xml:space="preserve">, 30 FCC Rcd at 5660, 5729, paras. 137, 295.  It also made clear that the </w:t>
      </w:r>
      <w:r w:rsidR="00601C0A" w:rsidRPr="006801AE">
        <w:rPr>
          <w:rFonts w:eastAsia="Times New Roman" w:cs="Times New Roman"/>
        </w:rPr>
        <w:t xml:space="preserve">General </w:t>
      </w:r>
      <w:r w:rsidRPr="006801AE">
        <w:rPr>
          <w:rFonts w:eastAsia="Times New Roman" w:cs="Times New Roman"/>
        </w:rPr>
        <w:t xml:space="preserve">Conduct Rule, in this context, is informed by the goals of promoting deployment of broadband Internet facilities and services established in Section 706 of the Telecommunications Act of 1996.  </w:t>
      </w:r>
      <w:r w:rsidRPr="006801AE">
        <w:rPr>
          <w:rFonts w:eastAsia="Times New Roman" w:cs="Times New Roman"/>
          <w:i/>
        </w:rPr>
        <w:t>Id.</w:t>
      </w:r>
    </w:p>
  </w:footnote>
  <w:footnote w:id="48">
    <w:p w14:paraId="02351CE2" w14:textId="040E1C93" w:rsidR="006A7466" w:rsidRPr="006801AE" w:rsidRDefault="006A7466"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In January 2016, T-Mobile streamlined Binge On’s website and app settings and added dialer codes to enable or disable Binge On. </w:t>
      </w:r>
      <w:r w:rsidR="00B35569">
        <w:rPr>
          <w:rFonts w:cs="Times New Roman"/>
        </w:rPr>
        <w:t xml:space="preserve">T-Mobile, </w:t>
      </w:r>
      <w:r w:rsidRPr="006801AE">
        <w:rPr>
          <w:rFonts w:cs="Times New Roman"/>
        </w:rPr>
        <w:t xml:space="preserve">T-Mobile adds Amazon Video to Binge On, makes it easier to turn off throttling (Jan. 28, 2016), </w:t>
      </w:r>
      <w:hyperlink r:id="rId29" w:history="1">
        <w:r w:rsidRPr="006801AE">
          <w:rPr>
            <w:rStyle w:val="Hyperlink"/>
            <w:rFonts w:cs="Times New Roman"/>
          </w:rPr>
          <w:t>http://www.theverge.com/2016/1/28/10859920/t-mobile-binge-on-adds-amazon-video-wwe-fox-news</w:t>
        </w:r>
      </w:hyperlink>
      <w:r w:rsidRPr="006801AE">
        <w:rPr>
          <w:rFonts w:cs="Times New Roman"/>
        </w:rPr>
        <w:t>.  As of December 2016, there are three ways for a user to enable or disable Binge On. T-Mobile, Support Page,</w:t>
      </w:r>
      <w:r w:rsidR="003B72F8">
        <w:rPr>
          <w:rFonts w:cs="Times New Roman"/>
        </w:rPr>
        <w:t xml:space="preserve"> Binge On how – to’s,</w:t>
      </w:r>
      <w:r w:rsidRPr="006801AE">
        <w:rPr>
          <w:rFonts w:cs="Times New Roman"/>
        </w:rPr>
        <w:t xml:space="preserve"> </w:t>
      </w:r>
      <w:hyperlink r:id="rId30" w:history="1">
        <w:r w:rsidR="00B35569" w:rsidRPr="00714AF6">
          <w:rPr>
            <w:rStyle w:val="Hyperlink"/>
            <w:rFonts w:cs="Times New Roman"/>
          </w:rPr>
          <w:t>https://support.t-mobile.com/docs/DOC-24294</w:t>
        </w:r>
      </w:hyperlink>
      <w:r w:rsidR="00B35569">
        <w:rPr>
          <w:rFonts w:cs="Times New Roman"/>
        </w:rPr>
        <w:t xml:space="preserve"> (last </w:t>
      </w:r>
      <w:r w:rsidR="00DC0009">
        <w:rPr>
          <w:rFonts w:cs="Times New Roman"/>
        </w:rPr>
        <w:t>visited Jan. 9</w:t>
      </w:r>
      <w:r w:rsidRPr="006801AE">
        <w:rPr>
          <w:rFonts w:cs="Times New Roman"/>
        </w:rPr>
        <w:t>, 2017).</w:t>
      </w:r>
    </w:p>
  </w:footnote>
  <w:footnote w:id="49">
    <w:p w14:paraId="383ADC3A" w14:textId="39E3A9EA" w:rsidR="006A7466" w:rsidRPr="006801AE" w:rsidRDefault="006A7466"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w:t>
      </w:r>
      <w:r w:rsidR="00B35569">
        <w:rPr>
          <w:rFonts w:cs="Times New Roman"/>
        </w:rPr>
        <w:t xml:space="preserve">T-Mobile, </w:t>
      </w:r>
      <w:r w:rsidRPr="006801AE">
        <w:rPr>
          <w:rFonts w:cs="Times New Roman"/>
        </w:rPr>
        <w:t xml:space="preserve">T-Mobile Quadruples Binge On Services, Now Over 100 Video Providers Stream Data-Free (July 26, 2016), </w:t>
      </w:r>
      <w:hyperlink r:id="rId31" w:history="1">
        <w:r w:rsidRPr="006801AE">
          <w:rPr>
            <w:rStyle w:val="Hyperlink"/>
            <w:rFonts w:cs="Times New Roman"/>
          </w:rPr>
          <w:t>https://newsroom.t-mobile.com/news-and-blogs/binge-on-100-providers.htm</w:t>
        </w:r>
      </w:hyperlink>
      <w:r w:rsidRPr="006801AE">
        <w:rPr>
          <w:rFonts w:cs="Times New Roman"/>
        </w:rPr>
        <w:t>.</w:t>
      </w:r>
    </w:p>
  </w:footnote>
  <w:footnote w:id="50">
    <w:p w14:paraId="451F77CF"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47 CFR § 8.11.</w:t>
      </w:r>
    </w:p>
  </w:footnote>
  <w:footnote w:id="51">
    <w:p w14:paraId="4676E581" w14:textId="1DC63257" w:rsidR="006A7466" w:rsidRPr="006801AE" w:rsidRDefault="006A7466"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T-Mobile does have a subscription-based video app, T-Mobile TV app, which offers a variety of programming.  A November 2015 press release from T-Mobile indicates that T-Mobile TV participates in Binge On. </w:t>
      </w:r>
      <w:r w:rsidR="00B35569">
        <w:rPr>
          <w:rFonts w:cs="Times New Roman"/>
        </w:rPr>
        <w:t xml:space="preserve">T-Mobile, </w:t>
      </w:r>
      <w:r w:rsidRPr="006801AE">
        <w:rPr>
          <w:rFonts w:cs="Times New Roman"/>
        </w:rPr>
        <w:t xml:space="preserve">T-Mobile Unleashes Mobile Video with Binge On (Nov. 10, 2015), </w:t>
      </w:r>
      <w:hyperlink r:id="rId32" w:history="1">
        <w:r w:rsidRPr="006801AE">
          <w:rPr>
            <w:rStyle w:val="Hyperlink"/>
            <w:rFonts w:cs="Times New Roman"/>
          </w:rPr>
          <w:t>https://newsroom.t-mobile.com/media-kits/un-carrier-x.htm</w:t>
        </w:r>
      </w:hyperlink>
      <w:r w:rsidRPr="006801AE">
        <w:rPr>
          <w:rFonts w:cs="Times New Roman"/>
        </w:rPr>
        <w:t>.</w:t>
      </w:r>
    </w:p>
  </w:footnote>
  <w:footnote w:id="52">
    <w:p w14:paraId="0EE5E0BB" w14:textId="69B1C768" w:rsidR="003B72F8" w:rsidRPr="007F3B42" w:rsidRDefault="006A780D" w:rsidP="007F3B42">
      <w:pPr>
        <w:pStyle w:val="FootnoteText"/>
        <w:spacing w:before="120" w:after="120"/>
        <w:rPr>
          <w:rFonts w:eastAsia="Times New Roman" w:cs="Times New Roman"/>
        </w:rPr>
      </w:pPr>
      <w:r>
        <w:rPr>
          <w:rStyle w:val="FootnoteReference"/>
        </w:rPr>
        <w:footnoteRef/>
      </w:r>
      <w:r>
        <w:t xml:space="preserve"> </w:t>
      </w:r>
      <w:r w:rsidRPr="006801AE">
        <w:rPr>
          <w:rFonts w:eastAsia="Times New Roman" w:cs="Times New Roman"/>
          <w:i/>
        </w:rPr>
        <w:t xml:space="preserve">See </w:t>
      </w:r>
      <w:r w:rsidRPr="006801AE">
        <w:rPr>
          <w:rFonts w:eastAsia="Times New Roman" w:cs="Times New Roman"/>
        </w:rPr>
        <w:t xml:space="preserve">AT&amp;T, Data Perks, </w:t>
      </w:r>
      <w:hyperlink r:id="rId33" w:history="1">
        <w:r w:rsidRPr="006801AE">
          <w:rPr>
            <w:rStyle w:val="Hyperlink"/>
            <w:rFonts w:eastAsia="Times New Roman" w:cs="Times New Roman"/>
          </w:rPr>
          <w:t>http://www.att.com/att/dataperks/en/index.html</w:t>
        </w:r>
      </w:hyperlink>
      <w:r w:rsidR="009464E8">
        <w:rPr>
          <w:rStyle w:val="Hyperlink"/>
          <w:rFonts w:eastAsia="Times New Roman" w:cs="Times New Roman"/>
          <w:color w:val="auto"/>
          <w:u w:val="none"/>
        </w:rPr>
        <w:t xml:space="preserve"> (</w:t>
      </w:r>
      <w:r w:rsidRPr="009464E8">
        <w:rPr>
          <w:rStyle w:val="Hyperlink"/>
          <w:rFonts w:eastAsia="Times New Roman" w:cs="Times New Roman"/>
          <w:color w:val="auto"/>
          <w:u w:val="none"/>
        </w:rPr>
        <w:t xml:space="preserve">last visited Jan. </w:t>
      </w:r>
      <w:r w:rsidR="00E76051">
        <w:rPr>
          <w:rStyle w:val="Hyperlink"/>
          <w:rFonts w:eastAsia="Times New Roman" w:cs="Times New Roman"/>
          <w:color w:val="auto"/>
          <w:u w:val="none"/>
        </w:rPr>
        <w:t>9</w:t>
      </w:r>
      <w:r w:rsidRPr="009464E8">
        <w:rPr>
          <w:rStyle w:val="Hyperlink"/>
          <w:rFonts w:eastAsia="Times New Roman" w:cs="Times New Roman"/>
          <w:color w:val="auto"/>
          <w:u w:val="none"/>
        </w:rPr>
        <w:t>, 2017).  AT&amp;T credits Data Perks users with the same amount of data used to download a game or app from the Data Perks app, although completion of some offers requires steps beyond downloading and users are not reimbursed for this additional usage.  Data is credited to subscribers’ Data Perks accounts and may be used after subscribers transfer that data to their AT&amp;T accounts.</w:t>
      </w:r>
    </w:p>
  </w:footnote>
  <w:footnote w:id="53">
    <w:p w14:paraId="31063A5A" w14:textId="3D2D83E5" w:rsidR="006A7466" w:rsidRPr="00974032" w:rsidRDefault="006A7466" w:rsidP="007F3B42">
      <w:pPr>
        <w:pStyle w:val="FootnoteText"/>
        <w:spacing w:before="120" w:after="120"/>
      </w:pPr>
      <w:r w:rsidRPr="003B72F8">
        <w:rPr>
          <w:rStyle w:val="FootnoteReference"/>
        </w:rPr>
        <w:footnoteRef/>
      </w:r>
      <w:r w:rsidRPr="003B72F8">
        <w:rPr>
          <w:rStyle w:val="FootnoteReference"/>
        </w:rPr>
        <w:t xml:space="preserve"> </w:t>
      </w:r>
      <w:r w:rsidRPr="00714337">
        <w:rPr>
          <w:rFonts w:cs="Times New Roman"/>
        </w:rPr>
        <w:t xml:space="preserve">The discussion in this section expands on the issues addressed in an exchange of letters between the Bureau and AT&amp;T in November and December of 2016.  </w:t>
      </w:r>
      <w:r w:rsidRPr="003B72F8">
        <w:rPr>
          <w:rFonts w:cs="Times New Roman"/>
          <w:i/>
        </w:rPr>
        <w:t>See</w:t>
      </w:r>
      <w:r w:rsidRPr="00714337">
        <w:rPr>
          <w:rFonts w:cs="Times New Roman"/>
        </w:rPr>
        <w:t xml:space="preserve"> Letter from Jon Wilkins, Chief, Wireless Telecommunications Bureau, to Robert W. Quinn, Jr., Senior Vice President, External and Legislative Affairs, AT&amp;T (Nov. 9, 2016)</w:t>
      </w:r>
      <w:r w:rsidR="00C15158">
        <w:rPr>
          <w:rFonts w:cs="Times New Roman"/>
        </w:rPr>
        <w:t xml:space="preserve"> (</w:t>
      </w:r>
      <w:hyperlink r:id="rId34" w:history="1">
        <w:r w:rsidR="00714337" w:rsidRPr="00714337">
          <w:rPr>
            <w:rFonts w:cs="Times New Roman"/>
          </w:rPr>
          <w:t>https://apps.fcc.gov/edocs_public/attachmatch/DOC-342939A1.pdf</w:t>
        </w:r>
      </w:hyperlink>
      <w:r w:rsidR="00C15158">
        <w:rPr>
          <w:rFonts w:cs="Times New Roman"/>
        </w:rPr>
        <w:t>)</w:t>
      </w:r>
      <w:r w:rsidRPr="00714337">
        <w:rPr>
          <w:rFonts w:cs="Times New Roman"/>
        </w:rPr>
        <w:t xml:space="preserve">; </w:t>
      </w:r>
      <w:r w:rsidRPr="00974032">
        <w:rPr>
          <w:rFonts w:cs="Times New Roman"/>
        </w:rPr>
        <w:t>Letter from Jon Wilkins, Chief, Wireless Telecommunications Bureau, to Robert W. Quinn, Jr., Senior Vice President, External and Legislative Affairs, AT&amp;T (Dec. 1, 2016)</w:t>
      </w:r>
      <w:r w:rsidR="00C15158">
        <w:rPr>
          <w:rFonts w:cs="Times New Roman"/>
        </w:rPr>
        <w:t xml:space="preserve"> </w:t>
      </w:r>
      <w:r w:rsidR="003B72F8">
        <w:rPr>
          <w:rFonts w:cs="Times New Roman"/>
        </w:rPr>
        <w:t>(</w:t>
      </w:r>
      <w:hyperlink r:id="rId35" w:history="1">
        <w:r w:rsidR="00974032" w:rsidRPr="009615B4">
          <w:rPr>
            <w:rFonts w:cs="Times New Roman"/>
          </w:rPr>
          <w:t>https://apps.fcc.gov/edocs_public/attachmatch/DOC-342941A1.pdf</w:t>
        </w:r>
      </w:hyperlink>
      <w:r w:rsidR="003B72F8">
        <w:rPr>
          <w:rFonts w:cs="Times New Roman"/>
        </w:rPr>
        <w:t>)</w:t>
      </w:r>
      <w:r w:rsidRPr="009615B4">
        <w:rPr>
          <w:rFonts w:cs="Times New Roman"/>
        </w:rPr>
        <w:t>;</w:t>
      </w:r>
      <w:r w:rsidRPr="00714337">
        <w:rPr>
          <w:rFonts w:cs="Times New Roman"/>
        </w:rPr>
        <w:t xml:space="preserve">  Letter </w:t>
      </w:r>
      <w:r w:rsidR="00A1390B" w:rsidRPr="00714337">
        <w:rPr>
          <w:rFonts w:cs="Times New Roman"/>
        </w:rPr>
        <w:t xml:space="preserve">and Legal Analysis </w:t>
      </w:r>
      <w:r w:rsidRPr="00714337">
        <w:rPr>
          <w:rFonts w:cs="Times New Roman"/>
        </w:rPr>
        <w:t xml:space="preserve">from Robert W. Quinn, Jr., Senior Vice President, External and Legislative Affairs, AT&amp;T, to Jon Wilkins, Chief, Wireless Telecommunications Bureau (Nov. 21, 2016); </w:t>
      </w:r>
      <w:r w:rsidRPr="00C76D99">
        <w:rPr>
          <w:rFonts w:cs="Times New Roman"/>
        </w:rPr>
        <w:t>Letter from Joan Marsh, Senior Vice President, Federal Regulatory, AT&amp;T, to Jon Wilkins, Chief, Wireless Telecommunications Bureau (Dec. 15, 2016)</w:t>
      </w:r>
      <w:r w:rsidR="00C15158">
        <w:rPr>
          <w:rFonts w:cs="Times New Roman"/>
        </w:rPr>
        <w:t xml:space="preserve"> (</w:t>
      </w:r>
      <w:hyperlink r:id="rId36" w:history="1">
        <w:r w:rsidR="00C27E7C" w:rsidRPr="00C76D99">
          <w:rPr>
            <w:rFonts w:cs="Times New Roman"/>
          </w:rPr>
          <w:t>https://apps.fcc.gov/edocs_public/attachmatch/DOC-342942A1.pdf</w:t>
        </w:r>
      </w:hyperlink>
      <w:r w:rsidR="00C15158">
        <w:rPr>
          <w:rFonts w:cs="Times New Roman"/>
        </w:rPr>
        <w:t>).</w:t>
      </w:r>
    </w:p>
  </w:footnote>
  <w:footnote w:id="54">
    <w:p w14:paraId="56F94996"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47 U.S.C. § 274(a), (b)(1), (f).</w:t>
      </w:r>
    </w:p>
  </w:footnote>
  <w:footnote w:id="55">
    <w:p w14:paraId="3488F6DB"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Id.</w:t>
      </w:r>
      <w:r w:rsidRPr="006801AE">
        <w:rPr>
          <w:rFonts w:eastAsia="Times New Roman" w:cs="Times New Roman"/>
        </w:rPr>
        <w:t>, §274(b)(5)(A), (7)(A).</w:t>
      </w:r>
    </w:p>
  </w:footnote>
  <w:footnote w:id="56">
    <w:p w14:paraId="0572F09A"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Id.</w:t>
      </w:r>
      <w:r w:rsidRPr="006801AE">
        <w:rPr>
          <w:rFonts w:eastAsia="Times New Roman" w:cs="Times New Roman"/>
        </w:rPr>
        <w:t>, §274(b)(5)(B), (7)(B).</w:t>
      </w:r>
    </w:p>
  </w:footnote>
  <w:footnote w:id="57">
    <w:p w14:paraId="2584EA89"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Id.</w:t>
      </w:r>
      <w:r w:rsidRPr="006801AE">
        <w:rPr>
          <w:rFonts w:eastAsia="Times New Roman" w:cs="Times New Roman"/>
        </w:rPr>
        <w:t>, §274(b)(6), (c).</w:t>
      </w:r>
    </w:p>
  </w:footnote>
  <w:footnote w:id="58">
    <w:p w14:paraId="77265226"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Id.</w:t>
      </w:r>
      <w:r w:rsidRPr="006801AE">
        <w:rPr>
          <w:rFonts w:eastAsia="Times New Roman" w:cs="Times New Roman"/>
        </w:rPr>
        <w:t xml:space="preserve">, §274(b)(3), (b)(4), (d). </w:t>
      </w:r>
    </w:p>
  </w:footnote>
  <w:footnote w:id="59">
    <w:p w14:paraId="142A677B"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Id.</w:t>
      </w:r>
      <w:r w:rsidRPr="006801AE">
        <w:rPr>
          <w:rFonts w:eastAsia="Times New Roman" w:cs="Times New Roman"/>
        </w:rPr>
        <w:t>, §272(a).</w:t>
      </w:r>
    </w:p>
  </w:footnote>
  <w:footnote w:id="60">
    <w:p w14:paraId="39D08DE9"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Computer II</w:t>
      </w:r>
      <w:r w:rsidRPr="006801AE">
        <w:rPr>
          <w:rFonts w:eastAsia="Times New Roman" w:cs="Times New Roman"/>
        </w:rPr>
        <w:t xml:space="preserve">, 77 FCC 2d at 475-83, paras. 322-54; </w:t>
      </w:r>
      <w:r w:rsidRPr="006801AE">
        <w:rPr>
          <w:rFonts w:eastAsia="Times New Roman" w:cs="Times New Roman"/>
          <w:i/>
        </w:rPr>
        <w:t>CCIA v. FCC</w:t>
      </w:r>
      <w:r w:rsidRPr="006801AE">
        <w:rPr>
          <w:rFonts w:eastAsia="Times New Roman" w:cs="Times New Roman"/>
        </w:rPr>
        <w:t xml:space="preserve">, 693 F.2d at 218-19; </w:t>
      </w:r>
      <w:r w:rsidRPr="006801AE">
        <w:rPr>
          <w:rFonts w:eastAsia="Times New Roman" w:cs="Times New Roman"/>
          <w:i/>
        </w:rPr>
        <w:t>Competitive Service Safeguards for Local Exchange Carrier Provision of Commercial Mobile Radio Services</w:t>
      </w:r>
      <w:r w:rsidRPr="006801AE">
        <w:rPr>
          <w:rFonts w:eastAsia="Times New Roman" w:cs="Times New Roman"/>
        </w:rPr>
        <w:t xml:space="preserve">, 12 FCC Rcd 15668 (1997), </w:t>
      </w:r>
      <w:r w:rsidRPr="006801AE">
        <w:rPr>
          <w:rFonts w:eastAsia="Times New Roman" w:cs="Times New Roman"/>
          <w:i/>
        </w:rPr>
        <w:t>aff’d</w:t>
      </w:r>
      <w:r w:rsidRPr="006801AE">
        <w:rPr>
          <w:rFonts w:eastAsia="Times New Roman" w:cs="Times New Roman"/>
        </w:rPr>
        <w:t xml:space="preserve">, </w:t>
      </w:r>
      <w:r w:rsidRPr="006801AE">
        <w:rPr>
          <w:rFonts w:eastAsia="Times New Roman" w:cs="Times New Roman"/>
          <w:i/>
        </w:rPr>
        <w:t>GTE Midwest, Inc. v. FCC</w:t>
      </w:r>
      <w:r w:rsidRPr="006801AE">
        <w:rPr>
          <w:rFonts w:eastAsia="Times New Roman" w:cs="Times New Roman"/>
        </w:rPr>
        <w:t>, 233 F.3d 341, 345 (6th Cir. 2000) (finding Commission had reasonably concluded that incumbent local carriers had “both the incentive and the opportunity to use their exclusive control of local exchange facilities to engage in anticompetitive behavior,” and that, in this case, “non-structural safeguards were insufficient, standing alone, to combat the possibility of interconnection discrimination.”).</w:t>
      </w:r>
    </w:p>
  </w:footnote>
  <w:footnote w:id="61">
    <w:p w14:paraId="10E0EE47" w14:textId="2582D8CB"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See, e.g., Computer III</w:t>
      </w:r>
      <w:r w:rsidRPr="006801AE">
        <w:rPr>
          <w:rFonts w:eastAsia="Times New Roman" w:cs="Times New Roman"/>
        </w:rPr>
        <w:t>, 104 FCC 2d at 1074-76, paras. 234-36 (information services and customer premises equipment); 47 U.S.C. § 272(b) (in-region long distance and information services).</w:t>
      </w:r>
    </w:p>
  </w:footnote>
  <w:footnote w:id="62">
    <w:p w14:paraId="2021C9F9" w14:textId="2C537884"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 xml:space="preserve">See, e.g., </w:t>
      </w:r>
      <w:r w:rsidRPr="006801AE">
        <w:rPr>
          <w:rFonts w:eastAsia="Times New Roman" w:cs="Times New Roman"/>
        </w:rPr>
        <w:t>47 U.S.C. §§ 251(c)(1), 275, 276 (network elements used by competitive local exchange carriers, alarm monitoring service, and payphone service).</w:t>
      </w:r>
    </w:p>
  </w:footnote>
  <w:footnote w:id="63">
    <w:p w14:paraId="4B4E276E" w14:textId="4BABE148"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 xml:space="preserve">See, e.g., </w:t>
      </w:r>
      <w:r w:rsidRPr="006801AE">
        <w:rPr>
          <w:rFonts w:eastAsia="Times New Roman" w:cs="Times New Roman"/>
        </w:rPr>
        <w:t xml:space="preserve">47 U.S.C. §§ 252(d)(1), 274 (pole attachments used by cable TV companies and telecommunications carriers and unbundled network elements used by used by competitive local exchange carriers). </w:t>
      </w:r>
    </w:p>
  </w:footnote>
  <w:footnote w:id="64">
    <w:p w14:paraId="104B75DD"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2015</w:t>
      </w:r>
      <w:r w:rsidRPr="006801AE">
        <w:rPr>
          <w:rFonts w:eastAsia="Times New Roman" w:cs="Times New Roman"/>
        </w:rPr>
        <w:t xml:space="preserve"> </w:t>
      </w:r>
      <w:r w:rsidRPr="006801AE">
        <w:rPr>
          <w:rFonts w:eastAsia="Times New Roman" w:cs="Times New Roman"/>
          <w:i/>
        </w:rPr>
        <w:t>Open Internet Order</w:t>
      </w:r>
      <w:r w:rsidRPr="006801AE">
        <w:rPr>
          <w:rFonts w:eastAsia="Times New Roman" w:cs="Times New Roman"/>
        </w:rPr>
        <w:t>, 30 FCC Rcd at 5804-67, paras. 434-542.</w:t>
      </w:r>
    </w:p>
  </w:footnote>
  <w:footnote w:id="65">
    <w:p w14:paraId="39F55D07" w14:textId="77777777"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Id.</w:t>
      </w:r>
      <w:r w:rsidRPr="006801AE">
        <w:rPr>
          <w:rFonts w:eastAsia="Times New Roman" w:cs="Times New Roman"/>
        </w:rPr>
        <w:t xml:space="preserve"> at 5612, para. 37.</w:t>
      </w:r>
    </w:p>
  </w:footnote>
  <w:footnote w:id="66">
    <w:p w14:paraId="14FEA2CC" w14:textId="219918FE"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w:t>
      </w:r>
      <w:r w:rsidRPr="006801AE">
        <w:rPr>
          <w:rFonts w:eastAsia="Times New Roman" w:cs="Times New Roman"/>
          <w:i/>
        </w:rPr>
        <w:t>Id.</w:t>
      </w:r>
      <w:r w:rsidRPr="006801AE">
        <w:rPr>
          <w:rFonts w:eastAsia="Times New Roman" w:cs="Times New Roman"/>
        </w:rPr>
        <w:t xml:space="preserve"> at 5603, 5605, 5612-13, paras. 2, 9, 39-40.</w:t>
      </w:r>
    </w:p>
  </w:footnote>
  <w:footnote w:id="67">
    <w:p w14:paraId="07B82A01" w14:textId="3D13F2D8" w:rsidR="006A7466" w:rsidRPr="006801AE" w:rsidRDefault="006A7466"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The Bureau’s December 1, 2016 letter asked AT&amp;T to provide relevant</w:t>
      </w:r>
      <w:r w:rsidRPr="006801AE" w:rsidDel="00622108">
        <w:rPr>
          <w:rFonts w:cs="Times New Roman"/>
        </w:rPr>
        <w:t xml:space="preserve"> </w:t>
      </w:r>
      <w:r w:rsidRPr="006801AE">
        <w:rPr>
          <w:rFonts w:cs="Times New Roman"/>
        </w:rPr>
        <w:t>information but AT&amp;T</w:t>
      </w:r>
      <w:r w:rsidR="004E4E55">
        <w:rPr>
          <w:rFonts w:cs="Times New Roman"/>
        </w:rPr>
        <w:t xml:space="preserve">, in its </w:t>
      </w:r>
      <w:r w:rsidRPr="006801AE">
        <w:rPr>
          <w:rFonts w:cs="Times New Roman"/>
        </w:rPr>
        <w:t xml:space="preserve">December 15, 2016 </w:t>
      </w:r>
      <w:r w:rsidR="004E4E55">
        <w:rPr>
          <w:rFonts w:cs="Times New Roman"/>
        </w:rPr>
        <w:t xml:space="preserve">letter, </w:t>
      </w:r>
      <w:r w:rsidR="002500AE" w:rsidRPr="006801AE">
        <w:rPr>
          <w:rFonts w:cs="Times New Roman"/>
        </w:rPr>
        <w:t>declined</w:t>
      </w:r>
      <w:r w:rsidRPr="006801AE">
        <w:rPr>
          <w:rFonts w:cs="Times New Roman"/>
        </w:rPr>
        <w:t xml:space="preserve"> </w:t>
      </w:r>
      <w:r w:rsidR="004E4E55">
        <w:rPr>
          <w:rFonts w:cs="Times New Roman"/>
        </w:rPr>
        <w:t xml:space="preserve">to </w:t>
      </w:r>
      <w:r w:rsidRPr="006801AE">
        <w:rPr>
          <w:rFonts w:cs="Times New Roman"/>
        </w:rPr>
        <w:t xml:space="preserve">provide data in response to </w:t>
      </w:r>
      <w:r w:rsidR="002500AE" w:rsidRPr="006801AE">
        <w:rPr>
          <w:rFonts w:cs="Times New Roman"/>
        </w:rPr>
        <w:t>this</w:t>
      </w:r>
      <w:r w:rsidRPr="006801AE">
        <w:rPr>
          <w:rFonts w:cs="Times New Roman"/>
        </w:rPr>
        <w:t xml:space="preserve"> request.  </w:t>
      </w:r>
      <w:r w:rsidR="00BF5DE3">
        <w:rPr>
          <w:rFonts w:cs="Times New Roman"/>
        </w:rPr>
        <w:t xml:space="preserve">The Bureau’s letter also contained calculations concerning the $5/GB estimate.  </w:t>
      </w:r>
      <w:r w:rsidRPr="006801AE">
        <w:rPr>
          <w:rFonts w:cs="Times New Roman"/>
        </w:rPr>
        <w:t>Letter from Jon Wilkins, Chief, Wireless Telecommunications Bureau, to Robert W. Quinn, Jr., Senior Vice President, External and Legislative Affairs, AT&amp;T (Dec. 1, 2016); Letter from Joan Marsh, Senior Vice President, Federal Regulatory, AT&amp;T, to Jon Wilkins, Chief, Wireless Telecommunications Bureau (Dec. 15, 2016).</w:t>
      </w:r>
    </w:p>
  </w:footnote>
  <w:footnote w:id="68">
    <w:p w14:paraId="03AD2BAD" w14:textId="01BE3206" w:rsidR="00661C31" w:rsidRPr="00DC5403" w:rsidRDefault="00661C31" w:rsidP="005E328C">
      <w:pPr>
        <w:pStyle w:val="FootnoteText"/>
        <w:spacing w:before="120" w:after="120"/>
        <w:rPr>
          <w:rFonts w:cs="Times New Roman"/>
        </w:rPr>
      </w:pPr>
      <w:r w:rsidRPr="006801AE">
        <w:rPr>
          <w:rStyle w:val="FootnoteReference"/>
          <w:rFonts w:cs="Times New Roman"/>
        </w:rPr>
        <w:footnoteRef/>
      </w:r>
      <w:r w:rsidRPr="006801AE">
        <w:rPr>
          <w:rFonts w:cs="Times New Roman"/>
        </w:rPr>
        <w:t xml:space="preserve"> </w:t>
      </w:r>
      <w:r w:rsidR="00FC3F0F">
        <w:rPr>
          <w:rFonts w:cs="Times New Roman"/>
        </w:rPr>
        <w:t xml:space="preserve">Analysts estimate that the programming cost alone for DIRECTV Now’s most basic 60-channel package is around $30, and $34 for the </w:t>
      </w:r>
      <w:r w:rsidR="002F02A8">
        <w:rPr>
          <w:rFonts w:cs="Times New Roman"/>
        </w:rPr>
        <w:t>100-channel package.</w:t>
      </w:r>
      <w:r w:rsidR="0075718E">
        <w:rPr>
          <w:rFonts w:cs="Times New Roman"/>
        </w:rPr>
        <w:t xml:space="preserve"> </w:t>
      </w:r>
      <w:r w:rsidR="0075718E" w:rsidRPr="0075718E">
        <w:rPr>
          <w:rFonts w:cs="Times New Roman"/>
        </w:rPr>
        <w:t xml:space="preserve">MoffettNathanson, AT&amp;T and DirecTV Now: Did AT&amp;T Really Blink? Running with </w:t>
      </w:r>
      <w:r w:rsidR="008B6ABD" w:rsidRPr="0075718E">
        <w:rPr>
          <w:rFonts w:cs="Times New Roman"/>
        </w:rPr>
        <w:t>Scissors (</w:t>
      </w:r>
      <w:r w:rsidR="0075718E" w:rsidRPr="0075718E">
        <w:rPr>
          <w:rFonts w:cs="Times New Roman"/>
        </w:rPr>
        <w:t>Part II) at 1-2 (Nov. 29, 2016)</w:t>
      </w:r>
      <w:r w:rsidR="0075718E">
        <w:rPr>
          <w:rFonts w:cs="Times New Roman"/>
        </w:rPr>
        <w:t>.</w:t>
      </w:r>
      <w:r w:rsidR="002F02A8">
        <w:rPr>
          <w:rFonts w:cs="Times New Roman"/>
        </w:rPr>
        <w:t xml:space="preserve">  At the $35 promotional price for the 100-channel package and $35 regular price for the 60-channel package, there would be $1 and $5 net margin, respectively, after programming costs. </w:t>
      </w:r>
      <w:r w:rsidR="00457C89" w:rsidRPr="00457C89">
        <w:rPr>
          <w:rFonts w:cs="Times New Roman"/>
          <w:i/>
        </w:rPr>
        <w:t>Id.</w:t>
      </w:r>
      <w:r w:rsidR="002F02A8">
        <w:rPr>
          <w:rFonts w:cs="Times New Roman"/>
        </w:rPr>
        <w:t xml:space="preserve">; </w:t>
      </w:r>
      <w:r w:rsidR="009464E8">
        <w:rPr>
          <w:rFonts w:cs="Times New Roman"/>
        </w:rPr>
        <w:t xml:space="preserve">Jon Lafayette, </w:t>
      </w:r>
      <w:r w:rsidR="002F02A8" w:rsidRPr="006801AE">
        <w:rPr>
          <w:rFonts w:cs="Times New Roman"/>
        </w:rPr>
        <w:t xml:space="preserve">AT&amp;T Sets Launch Event for Streaming DirecTV Now (Nov. 18, 2016), </w:t>
      </w:r>
      <w:hyperlink r:id="rId37" w:history="1">
        <w:r w:rsidR="002F02A8" w:rsidRPr="006801AE">
          <w:rPr>
            <w:rStyle w:val="Hyperlink"/>
            <w:rFonts w:cs="Times New Roman"/>
          </w:rPr>
          <w:t>http://www.broadcastingcable.com/news/currency/att-sets-launch-event-streaming-directv-now/161270</w:t>
        </w:r>
      </w:hyperlink>
      <w:r w:rsidR="002F02A8" w:rsidRPr="006801AE">
        <w:rPr>
          <w:rFonts w:cs="Times New Roman"/>
        </w:rPr>
        <w:t xml:space="preserve"> (“at the $35 price point, AT&amp;T would be netting $1 above the cost of programming. Adding in other expenses, including customer service, DirecTV Now’s margin would be negative”)</w:t>
      </w:r>
      <w:r w:rsidR="004E4E55">
        <w:rPr>
          <w:rFonts w:cs="Times New Roman"/>
        </w:rPr>
        <w:t xml:space="preserve">. The company is increasing the price of the </w:t>
      </w:r>
      <w:r w:rsidRPr="006801AE">
        <w:rPr>
          <w:rFonts w:cs="Times New Roman"/>
        </w:rPr>
        <w:t xml:space="preserve">100-channel </w:t>
      </w:r>
      <w:r w:rsidR="004E4E55">
        <w:rPr>
          <w:rFonts w:cs="Times New Roman"/>
        </w:rPr>
        <w:t xml:space="preserve">DIRECTV Now </w:t>
      </w:r>
      <w:r w:rsidRPr="006801AE">
        <w:rPr>
          <w:rFonts w:cs="Times New Roman"/>
        </w:rPr>
        <w:t>plan to $60 on January 9</w:t>
      </w:r>
      <w:r w:rsidR="004E4E55">
        <w:rPr>
          <w:rFonts w:cs="Times New Roman"/>
          <w:vertAlign w:val="superscript"/>
        </w:rPr>
        <w:t xml:space="preserve">, </w:t>
      </w:r>
      <w:r w:rsidR="004E4E55">
        <w:t xml:space="preserve">2017.  Chris Welch, DIRECTV Now’s $35, 100-channel plan will jump to $60 on January 9 (Dec. 29, 2016), </w:t>
      </w:r>
      <w:hyperlink r:id="rId38" w:history="1">
        <w:r w:rsidRPr="006801AE">
          <w:rPr>
            <w:rStyle w:val="Hyperlink"/>
            <w:rFonts w:cs="Times New Roman"/>
          </w:rPr>
          <w:t>http://www.theverge.com/2016/12/29/14118134/directv-now-100-channels-35-deal-ends-january-9</w:t>
        </w:r>
      </w:hyperlink>
      <w:r w:rsidR="00764BE5" w:rsidRPr="000903C8">
        <w:t>.</w:t>
      </w:r>
    </w:p>
  </w:footnote>
  <w:footnote w:id="69">
    <w:p w14:paraId="475F1469" w14:textId="2B171F22" w:rsidR="00F43D35" w:rsidRPr="00F43D35" w:rsidRDefault="006A7466" w:rsidP="007F3B42">
      <w:pPr>
        <w:pStyle w:val="FootnoteText"/>
        <w:spacing w:before="120" w:after="120"/>
        <w:rPr>
          <w:rFonts w:cs="Times New Roman"/>
        </w:rPr>
      </w:pPr>
      <w:r w:rsidRPr="003B72F8">
        <w:rPr>
          <w:rStyle w:val="FootnoteReference"/>
          <w:rFonts w:cs="Times New Roman"/>
        </w:rPr>
        <w:footnoteRef/>
      </w:r>
      <w:r w:rsidRPr="006801AE">
        <w:rPr>
          <w:rFonts w:cs="Times New Roman"/>
        </w:rPr>
        <w:t xml:space="preserve"> </w:t>
      </w:r>
      <w:r w:rsidRPr="000610F8">
        <w:rPr>
          <w:rFonts w:cs="Times New Roman"/>
        </w:rPr>
        <w:t>Letter from Kathleen M. Grillo, Senior Vice President and Deputy General Counsel, Public Policy and Government Affairs, Verizon, to Jon Wilkins, Chief, Wireless Telecommunications Bureau (Dec. 15, 2016)</w:t>
      </w:r>
      <w:r w:rsidR="00C15158">
        <w:rPr>
          <w:rFonts w:cs="Times New Roman"/>
        </w:rPr>
        <w:t xml:space="preserve"> (</w:t>
      </w:r>
      <w:hyperlink r:id="rId39" w:history="1">
        <w:r w:rsidR="000610F8" w:rsidRPr="000610F8">
          <w:rPr>
            <w:rFonts w:cs="Times New Roman"/>
          </w:rPr>
          <w:t>https://apps.fcc.gov/edocs_public/attachmatch/DOC-342944A1.pdf</w:t>
        </w:r>
      </w:hyperlink>
      <w:r w:rsidR="00C15158">
        <w:rPr>
          <w:rFonts w:cs="Times New Roman"/>
        </w:rPr>
        <w:t>)</w:t>
      </w:r>
      <w:r w:rsidR="000610F8">
        <w:rPr>
          <w:rFonts w:cs="Times New Roman"/>
        </w:rPr>
        <w:t>.</w:t>
      </w:r>
    </w:p>
  </w:footnote>
  <w:footnote w:id="70">
    <w:p w14:paraId="308495B7" w14:textId="5BA40408" w:rsidR="006A7466" w:rsidRPr="009615B4" w:rsidRDefault="006A7466" w:rsidP="009615B4">
      <w:pPr>
        <w:pStyle w:val="PlainText"/>
        <w:rPr>
          <w:rFonts w:ascii="Times New Roman" w:hAnsi="Times New Roman" w:cs="Times New Roman"/>
          <w:sz w:val="20"/>
          <w:szCs w:val="20"/>
        </w:rPr>
      </w:pPr>
      <w:r w:rsidRPr="003B72F8">
        <w:rPr>
          <w:rStyle w:val="FootnoteReference"/>
          <w:rFonts w:ascii="Times New Roman" w:hAnsi="Times New Roman" w:cs="Times New Roman"/>
        </w:rPr>
        <w:footnoteRef/>
      </w:r>
      <w:r>
        <w:t xml:space="preserve"> </w:t>
      </w:r>
      <w:r w:rsidRPr="009615B4">
        <w:rPr>
          <w:rFonts w:ascii="Times New Roman" w:hAnsi="Times New Roman" w:cs="Times New Roman"/>
          <w:sz w:val="20"/>
          <w:szCs w:val="20"/>
        </w:rPr>
        <w:t xml:space="preserve">The discussion in this section expands on an exchange of letters between the Bureau and Verizon in December 2016.  </w:t>
      </w:r>
      <w:r w:rsidRPr="00462246">
        <w:rPr>
          <w:rFonts w:ascii="Times New Roman" w:hAnsi="Times New Roman" w:cs="Times New Roman"/>
          <w:i/>
          <w:sz w:val="20"/>
          <w:szCs w:val="20"/>
        </w:rPr>
        <w:t>See</w:t>
      </w:r>
      <w:r w:rsidRPr="009615B4">
        <w:rPr>
          <w:rFonts w:ascii="Times New Roman" w:hAnsi="Times New Roman" w:cs="Times New Roman"/>
          <w:sz w:val="20"/>
          <w:szCs w:val="20"/>
        </w:rPr>
        <w:t xml:space="preserve"> Letter from Jon Wilkins, Chief, Wireless Telecommunications Bureau, to Kathleen Grillo, Senior Vice President and Deputy General Counsel, Public Policy and Government Affairs, Verizon (Dec. 1, 2016)</w:t>
      </w:r>
      <w:r w:rsidR="00C15158">
        <w:rPr>
          <w:rFonts w:ascii="Times New Roman" w:hAnsi="Times New Roman" w:cs="Times New Roman"/>
          <w:sz w:val="20"/>
          <w:szCs w:val="20"/>
        </w:rPr>
        <w:t xml:space="preserve"> (</w:t>
      </w:r>
      <w:hyperlink r:id="rId40" w:history="1">
        <w:r w:rsidR="009615B4" w:rsidRPr="009615B4">
          <w:rPr>
            <w:rFonts w:ascii="Times New Roman" w:hAnsi="Times New Roman" w:cs="Times New Roman"/>
            <w:sz w:val="20"/>
            <w:szCs w:val="20"/>
          </w:rPr>
          <w:t>https://apps.fcc.gov/edocs_public/attachmatch/DOC-342943A1.pdf</w:t>
        </w:r>
      </w:hyperlink>
      <w:r w:rsidR="00C15158">
        <w:rPr>
          <w:rFonts w:ascii="Times New Roman" w:hAnsi="Times New Roman" w:cs="Times New Roman"/>
          <w:sz w:val="20"/>
          <w:szCs w:val="20"/>
        </w:rPr>
        <w:t>)</w:t>
      </w:r>
      <w:r w:rsidRPr="006801AE">
        <w:rPr>
          <w:rFonts w:cs="Times New Roman"/>
        </w:rPr>
        <w:t xml:space="preserve">; </w:t>
      </w:r>
      <w:r w:rsidRPr="009615B4">
        <w:rPr>
          <w:rFonts w:ascii="Times New Roman" w:hAnsi="Times New Roman" w:cs="Times New Roman"/>
          <w:sz w:val="20"/>
          <w:szCs w:val="20"/>
        </w:rPr>
        <w:t xml:space="preserve">Letter from Kathleen Grillo, Senior Vice President and Deputy General Counsel, Public Policy and Government Affairs, Verizon, to Jon Wilkins, Chief, Wireless Telecommunications Bureau (Dec. 15, 2016).   </w:t>
      </w:r>
    </w:p>
  </w:footnote>
  <w:footnote w:id="71">
    <w:p w14:paraId="177DAEDF" w14:textId="293BB234"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go90, About Us, </w:t>
      </w:r>
      <w:hyperlink r:id="rId41" w:history="1">
        <w:r w:rsidRPr="006801AE">
          <w:rPr>
            <w:rStyle w:val="Hyperlink"/>
            <w:rFonts w:eastAsia="Times New Roman" w:cs="Times New Roman"/>
          </w:rPr>
          <w:t>https://www.go90.com/about-us</w:t>
        </w:r>
      </w:hyperlink>
      <w:r w:rsidRPr="006801AE">
        <w:rPr>
          <w:rFonts w:eastAsia="Times New Roman" w:cs="Times New Roman"/>
        </w:rPr>
        <w:t xml:space="preserve"> (last visited </w:t>
      </w:r>
      <w:r w:rsidR="00DC0009">
        <w:rPr>
          <w:rFonts w:eastAsia="Times New Roman" w:cs="Times New Roman"/>
        </w:rPr>
        <w:t>Jan. 9, 2017</w:t>
      </w:r>
      <w:r w:rsidRPr="006801AE">
        <w:rPr>
          <w:rFonts w:eastAsia="Times New Roman" w:cs="Times New Roman"/>
        </w:rPr>
        <w:t xml:space="preserve">); AT&amp;T, The Revolution is Here: AT&amp;T Offers 3 Ways to Stream Premium Video Content (Nov. 28, 2016), </w:t>
      </w:r>
      <w:hyperlink r:id="rId42" w:history="1">
        <w:r w:rsidRPr="006801AE">
          <w:rPr>
            <w:rStyle w:val="Hyperlink"/>
            <w:rFonts w:eastAsia="Times New Roman" w:cs="Times New Roman"/>
          </w:rPr>
          <w:t>http://about.att.com/story/att_offers_three_ways_to_stream_premium_video_content.html</w:t>
        </w:r>
      </w:hyperlink>
      <w:r w:rsidRPr="006801AE">
        <w:rPr>
          <w:rFonts w:eastAsia="Times New Roman" w:cs="Times New Roman"/>
        </w:rPr>
        <w:t>.</w:t>
      </w:r>
    </w:p>
  </w:footnote>
  <w:footnote w:id="72">
    <w:p w14:paraId="4BAA535D" w14:textId="410EDF31" w:rsidR="006A7466" w:rsidRPr="006801AE" w:rsidRDefault="006A7466" w:rsidP="005E328C">
      <w:pPr>
        <w:pStyle w:val="FootnoteText"/>
        <w:spacing w:before="120" w:after="120"/>
        <w:rPr>
          <w:rFonts w:eastAsia="Times New Roman" w:cs="Times New Roman"/>
        </w:rPr>
      </w:pPr>
      <w:r w:rsidRPr="006801AE">
        <w:rPr>
          <w:rStyle w:val="FootnoteReference"/>
          <w:rFonts w:eastAsia="Times New Roman" w:cs="Times New Roman"/>
        </w:rPr>
        <w:footnoteRef/>
      </w:r>
      <w:r w:rsidRPr="006801AE">
        <w:rPr>
          <w:rFonts w:eastAsia="Times New Roman" w:cs="Times New Roman"/>
        </w:rPr>
        <w:t xml:space="preserve"> Daniel Victor, AT&amp;T Appeals to Cord-Cutters with DirecTV Now, a New Streaming Service (Nov. 28, 2016), </w:t>
      </w:r>
      <w:hyperlink r:id="rId43" w:history="1">
        <w:r w:rsidRPr="006801AE">
          <w:rPr>
            <w:rStyle w:val="Hyperlink"/>
            <w:rFonts w:eastAsia="Times New Roman" w:cs="Times New Roman"/>
          </w:rPr>
          <w:t>http://www.nytimes.com/2016/11/28/business/media/att-appeals-to-cord-cutters-with-directv-now-a-new-streaming-service.html</w:t>
        </w:r>
      </w:hyperlink>
      <w:r w:rsidRPr="006801AE">
        <w:rPr>
          <w:rFonts w:eastAsia="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03CF" w14:textId="77777777" w:rsidR="007364A3" w:rsidRDefault="00736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5934" w14:textId="77777777" w:rsidR="007364A3" w:rsidRDefault="00736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D077" w14:textId="77777777" w:rsidR="007364A3" w:rsidRDefault="00736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180"/>
    <w:multiLevelType w:val="hybridMultilevel"/>
    <w:tmpl w:val="2318A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815C7"/>
    <w:multiLevelType w:val="hybridMultilevel"/>
    <w:tmpl w:val="6FCE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520CE"/>
    <w:multiLevelType w:val="hybridMultilevel"/>
    <w:tmpl w:val="7F68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61D9E"/>
    <w:multiLevelType w:val="hybridMultilevel"/>
    <w:tmpl w:val="A3D0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14E9F"/>
    <w:multiLevelType w:val="hybridMultilevel"/>
    <w:tmpl w:val="8D1CE74A"/>
    <w:lvl w:ilvl="0" w:tplc="3D3EDF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C6915"/>
    <w:multiLevelType w:val="hybridMultilevel"/>
    <w:tmpl w:val="0D88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92AF3"/>
    <w:multiLevelType w:val="hybridMultilevel"/>
    <w:tmpl w:val="AAC4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01B77"/>
    <w:multiLevelType w:val="hybridMultilevel"/>
    <w:tmpl w:val="DAC0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12BA4"/>
    <w:multiLevelType w:val="hybridMultilevel"/>
    <w:tmpl w:val="E66E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95D27"/>
    <w:multiLevelType w:val="hybridMultilevel"/>
    <w:tmpl w:val="B066E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A6F20"/>
    <w:multiLevelType w:val="hybridMultilevel"/>
    <w:tmpl w:val="C90436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8666B9"/>
    <w:multiLevelType w:val="hybridMultilevel"/>
    <w:tmpl w:val="541874BC"/>
    <w:lvl w:ilvl="0" w:tplc="FD38FF6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95376"/>
    <w:multiLevelType w:val="hybridMultilevel"/>
    <w:tmpl w:val="50B0C2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0C0114"/>
    <w:multiLevelType w:val="hybridMultilevel"/>
    <w:tmpl w:val="2B4EB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A12EF"/>
    <w:multiLevelType w:val="hybridMultilevel"/>
    <w:tmpl w:val="380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DD1336"/>
    <w:multiLevelType w:val="multilevel"/>
    <w:tmpl w:val="D5BABD58"/>
    <w:styleLink w:val="Bulletstyl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180"/>
      </w:pPr>
      <w:rPr>
        <w:rFonts w:ascii="Calibri" w:hAnsi="Calibri" w:hint="default"/>
      </w:rPr>
    </w:lvl>
    <w:lvl w:ilvl="3">
      <w:start w:val="1"/>
      <w:numFmt w:val="bullet"/>
      <w:lvlText w:val="&gt;"/>
      <w:lvlJc w:val="left"/>
      <w:pPr>
        <w:ind w:left="2880" w:hanging="360"/>
      </w:pPr>
      <w:rPr>
        <w:rFonts w:ascii="Calibri" w:hAnsi="Calibr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9B50DF"/>
    <w:multiLevelType w:val="hybridMultilevel"/>
    <w:tmpl w:val="9F96E704"/>
    <w:lvl w:ilvl="0" w:tplc="FD38FF6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B15598"/>
    <w:multiLevelType w:val="hybridMultilevel"/>
    <w:tmpl w:val="F8EA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8078F"/>
    <w:multiLevelType w:val="hybridMultilevel"/>
    <w:tmpl w:val="702E25C6"/>
    <w:lvl w:ilvl="0" w:tplc="7DCC9466">
      <w:start w:val="1"/>
      <w:numFmt w:val="upperRoman"/>
      <w:lvlText w:val="%1."/>
      <w:lvlJc w:val="left"/>
      <w:pPr>
        <w:ind w:left="720" w:hanging="360"/>
      </w:pPr>
      <w:rPr>
        <w:rFonts w:ascii="Times New Roman Bold" w:hAnsi="Times New Roman Bold"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42E22"/>
    <w:multiLevelType w:val="hybridMultilevel"/>
    <w:tmpl w:val="34B671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4B0C67"/>
    <w:multiLevelType w:val="hybridMultilevel"/>
    <w:tmpl w:val="0F2429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15B63"/>
    <w:multiLevelType w:val="multilevel"/>
    <w:tmpl w:val="D6E24AD4"/>
    <w:lvl w:ilvl="0">
      <w:start w:val="5"/>
      <w:numFmt w:val="upperRoman"/>
      <w:lvlText w:val="%1."/>
      <w:lvlJc w:val="left"/>
      <w:pPr>
        <w:ind w:left="360" w:hanging="360"/>
      </w:pPr>
      <w:rPr>
        <w:rFonts w:hint="default"/>
        <w:b/>
        <w:i w:val="0"/>
      </w:rPr>
    </w:lvl>
    <w:lvl w:ilvl="1">
      <w:start w:val="2"/>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Calibri" w:hAnsi="Calibri" w:hint="default"/>
      </w:rPr>
    </w:lvl>
    <w:lvl w:ilvl="4">
      <w:start w:val="1"/>
      <w:numFmt w:val="bullet"/>
      <w:lvlText w:val="&gt;"/>
      <w:lvlJc w:val="left"/>
      <w:pPr>
        <w:ind w:left="1800" w:hanging="360"/>
      </w:pPr>
      <w:rPr>
        <w:rFonts w:ascii="Calibri" w:hAnsi="Calibri" w:hint="default"/>
      </w:rPr>
    </w:lvl>
    <w:lvl w:ilvl="5">
      <w:start w:val="1"/>
      <w:numFmt w:val="bullet"/>
      <w:lvlText w:val="o"/>
      <w:lvlJc w:val="left"/>
      <w:pPr>
        <w:ind w:left="2160" w:hanging="360"/>
      </w:pPr>
      <w:rPr>
        <w:rFonts w:ascii="Courier New" w:hAnsi="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6A81ADE"/>
    <w:multiLevelType w:val="hybridMultilevel"/>
    <w:tmpl w:val="CE485A54"/>
    <w:lvl w:ilvl="0" w:tplc="47A6239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976C3"/>
    <w:multiLevelType w:val="hybridMultilevel"/>
    <w:tmpl w:val="B066E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B4A5E"/>
    <w:multiLevelType w:val="hybridMultilevel"/>
    <w:tmpl w:val="3C482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937D2"/>
    <w:multiLevelType w:val="hybridMultilevel"/>
    <w:tmpl w:val="68E47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871683"/>
    <w:multiLevelType w:val="multilevel"/>
    <w:tmpl w:val="05247E2E"/>
    <w:lvl w:ilvl="0">
      <w:start w:val="1"/>
      <w:numFmt w:val="upperRoman"/>
      <w:lvlText w:val="%1."/>
      <w:lvlJc w:val="left"/>
      <w:pPr>
        <w:ind w:left="360" w:hanging="360"/>
      </w:pPr>
      <w:rPr>
        <w:rFonts w:cs="Times New Roman" w:hint="default"/>
        <w:b/>
        <w:i w:val="0"/>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Calibri" w:hAnsi="Calibri" w:hint="default"/>
      </w:rPr>
    </w:lvl>
    <w:lvl w:ilvl="4">
      <w:start w:val="1"/>
      <w:numFmt w:val="bullet"/>
      <w:lvlText w:val="&gt;"/>
      <w:lvlJc w:val="left"/>
      <w:pPr>
        <w:ind w:left="1800" w:hanging="360"/>
      </w:pPr>
      <w:rPr>
        <w:rFonts w:ascii="Calibri" w:hAnsi="Calibri" w:hint="default"/>
      </w:rPr>
    </w:lvl>
    <w:lvl w:ilvl="5">
      <w:start w:val="1"/>
      <w:numFmt w:val="bullet"/>
      <w:lvlText w:val="o"/>
      <w:lvlJc w:val="left"/>
      <w:pPr>
        <w:ind w:left="2160" w:hanging="360"/>
      </w:pPr>
      <w:rPr>
        <w:rFonts w:ascii="Courier New" w:hAnsi="Courier New"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733F17EF"/>
    <w:multiLevelType w:val="multilevel"/>
    <w:tmpl w:val="118EBE38"/>
    <w:lvl w:ilvl="0">
      <w:start w:val="4"/>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Calibri" w:hAnsi="Calibri" w:hint="default"/>
      </w:rPr>
    </w:lvl>
    <w:lvl w:ilvl="4">
      <w:start w:val="1"/>
      <w:numFmt w:val="bullet"/>
      <w:lvlText w:val="&gt;"/>
      <w:lvlJc w:val="left"/>
      <w:pPr>
        <w:ind w:left="1800" w:hanging="360"/>
      </w:pPr>
      <w:rPr>
        <w:rFonts w:ascii="Calibri" w:hAnsi="Calibri" w:hint="default"/>
      </w:rPr>
    </w:lvl>
    <w:lvl w:ilvl="5">
      <w:start w:val="1"/>
      <w:numFmt w:val="bullet"/>
      <w:lvlText w:val="o"/>
      <w:lvlJc w:val="left"/>
      <w:pPr>
        <w:ind w:left="2160" w:hanging="360"/>
      </w:pPr>
      <w:rPr>
        <w:rFonts w:ascii="Courier New" w:hAnsi="Courier New"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42C1382"/>
    <w:multiLevelType w:val="hybridMultilevel"/>
    <w:tmpl w:val="F84C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4560D9"/>
    <w:multiLevelType w:val="hybridMultilevel"/>
    <w:tmpl w:val="66204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3C0E0B"/>
    <w:multiLevelType w:val="hybridMultilevel"/>
    <w:tmpl w:val="DA161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4"/>
  </w:num>
  <w:num w:numId="4">
    <w:abstractNumId w:val="25"/>
  </w:num>
  <w:num w:numId="5">
    <w:abstractNumId w:val="26"/>
  </w:num>
  <w:num w:numId="6">
    <w:abstractNumId w:val="19"/>
  </w:num>
  <w:num w:numId="7">
    <w:abstractNumId w:val="13"/>
  </w:num>
  <w:num w:numId="8">
    <w:abstractNumId w:val="12"/>
  </w:num>
  <w:num w:numId="9">
    <w:abstractNumId w:val="8"/>
  </w:num>
  <w:num w:numId="10">
    <w:abstractNumId w:val="20"/>
  </w:num>
  <w:num w:numId="11">
    <w:abstractNumId w:val="22"/>
  </w:num>
  <w:num w:numId="12">
    <w:abstractNumId w:val="30"/>
  </w:num>
  <w:num w:numId="13">
    <w:abstractNumId w:val="21"/>
  </w:num>
  <w:num w:numId="14">
    <w:abstractNumId w:val="27"/>
  </w:num>
  <w:num w:numId="15">
    <w:abstractNumId w:val="2"/>
  </w:num>
  <w:num w:numId="16">
    <w:abstractNumId w:val="17"/>
  </w:num>
  <w:num w:numId="17">
    <w:abstractNumId w:val="29"/>
  </w:num>
  <w:num w:numId="18">
    <w:abstractNumId w:val="4"/>
  </w:num>
  <w:num w:numId="19">
    <w:abstractNumId w:val="9"/>
  </w:num>
  <w:num w:numId="20">
    <w:abstractNumId w:val="16"/>
  </w:num>
  <w:num w:numId="21">
    <w:abstractNumId w:val="23"/>
  </w:num>
  <w:num w:numId="22">
    <w:abstractNumId w:val="3"/>
  </w:num>
  <w:num w:numId="23">
    <w:abstractNumId w:val="14"/>
  </w:num>
  <w:num w:numId="24">
    <w:abstractNumId w:val="6"/>
  </w:num>
  <w:num w:numId="25">
    <w:abstractNumId w:val="28"/>
  </w:num>
  <w:num w:numId="26">
    <w:abstractNumId w:val="5"/>
  </w:num>
  <w:num w:numId="27">
    <w:abstractNumId w:val="7"/>
  </w:num>
  <w:num w:numId="28">
    <w:abstractNumId w:val="11"/>
  </w:num>
  <w:num w:numId="29">
    <w:abstractNumId w:val="0"/>
  </w:num>
  <w:num w:numId="30">
    <w:abstractNumId w:val="1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oNotTrackFormatting/>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F2"/>
    <w:rsid w:val="00000075"/>
    <w:rsid w:val="00000F9D"/>
    <w:rsid w:val="00001165"/>
    <w:rsid w:val="00001D70"/>
    <w:rsid w:val="000030A6"/>
    <w:rsid w:val="000056BB"/>
    <w:rsid w:val="00010841"/>
    <w:rsid w:val="00010F84"/>
    <w:rsid w:val="00013366"/>
    <w:rsid w:val="00015507"/>
    <w:rsid w:val="00015C8F"/>
    <w:rsid w:val="00020CB6"/>
    <w:rsid w:val="00020D5E"/>
    <w:rsid w:val="00030948"/>
    <w:rsid w:val="00032844"/>
    <w:rsid w:val="0003515A"/>
    <w:rsid w:val="000370CA"/>
    <w:rsid w:val="00042CAC"/>
    <w:rsid w:val="00043110"/>
    <w:rsid w:val="000437ED"/>
    <w:rsid w:val="00044CC5"/>
    <w:rsid w:val="000455E9"/>
    <w:rsid w:val="00045AF2"/>
    <w:rsid w:val="0005609E"/>
    <w:rsid w:val="0005737B"/>
    <w:rsid w:val="000576AB"/>
    <w:rsid w:val="00057D3F"/>
    <w:rsid w:val="00060F6C"/>
    <w:rsid w:val="000610F8"/>
    <w:rsid w:val="0007211E"/>
    <w:rsid w:val="00072875"/>
    <w:rsid w:val="00075F08"/>
    <w:rsid w:val="00083170"/>
    <w:rsid w:val="00086817"/>
    <w:rsid w:val="000903C8"/>
    <w:rsid w:val="00090461"/>
    <w:rsid w:val="00091426"/>
    <w:rsid w:val="00093680"/>
    <w:rsid w:val="00096C55"/>
    <w:rsid w:val="000973F2"/>
    <w:rsid w:val="00097C0E"/>
    <w:rsid w:val="000A2F74"/>
    <w:rsid w:val="000A40E4"/>
    <w:rsid w:val="000A6D53"/>
    <w:rsid w:val="000A7765"/>
    <w:rsid w:val="000B08C6"/>
    <w:rsid w:val="000B0EE7"/>
    <w:rsid w:val="000B4659"/>
    <w:rsid w:val="000D1D6D"/>
    <w:rsid w:val="000D2F1C"/>
    <w:rsid w:val="000E3240"/>
    <w:rsid w:val="000F0377"/>
    <w:rsid w:val="000F3850"/>
    <w:rsid w:val="000F3FE6"/>
    <w:rsid w:val="000F5970"/>
    <w:rsid w:val="000F5AF3"/>
    <w:rsid w:val="00102681"/>
    <w:rsid w:val="00112344"/>
    <w:rsid w:val="001154DC"/>
    <w:rsid w:val="001158E8"/>
    <w:rsid w:val="00115F07"/>
    <w:rsid w:val="00120ACE"/>
    <w:rsid w:val="0012468F"/>
    <w:rsid w:val="00125A1F"/>
    <w:rsid w:val="0013150C"/>
    <w:rsid w:val="00133F87"/>
    <w:rsid w:val="001350C4"/>
    <w:rsid w:val="0013574A"/>
    <w:rsid w:val="00140A0D"/>
    <w:rsid w:val="00140E3B"/>
    <w:rsid w:val="00141053"/>
    <w:rsid w:val="0014324B"/>
    <w:rsid w:val="001467AB"/>
    <w:rsid w:val="00146E8A"/>
    <w:rsid w:val="001543A8"/>
    <w:rsid w:val="001579FF"/>
    <w:rsid w:val="00160C57"/>
    <w:rsid w:val="00172512"/>
    <w:rsid w:val="00173A6C"/>
    <w:rsid w:val="0017624D"/>
    <w:rsid w:val="0017696B"/>
    <w:rsid w:val="00177487"/>
    <w:rsid w:val="00183FE1"/>
    <w:rsid w:val="001858E0"/>
    <w:rsid w:val="00192E2B"/>
    <w:rsid w:val="001939FC"/>
    <w:rsid w:val="00196BB5"/>
    <w:rsid w:val="00197962"/>
    <w:rsid w:val="001A267A"/>
    <w:rsid w:val="001A7844"/>
    <w:rsid w:val="001B0B31"/>
    <w:rsid w:val="001B1813"/>
    <w:rsid w:val="001B4830"/>
    <w:rsid w:val="001B626F"/>
    <w:rsid w:val="001C621C"/>
    <w:rsid w:val="001D63F5"/>
    <w:rsid w:val="001E1BD3"/>
    <w:rsid w:val="001E280C"/>
    <w:rsid w:val="001F1B87"/>
    <w:rsid w:val="001F5BA2"/>
    <w:rsid w:val="001F7FE8"/>
    <w:rsid w:val="00200C69"/>
    <w:rsid w:val="002028FC"/>
    <w:rsid w:val="00212C8B"/>
    <w:rsid w:val="00217767"/>
    <w:rsid w:val="002201AA"/>
    <w:rsid w:val="00221577"/>
    <w:rsid w:val="00221C1D"/>
    <w:rsid w:val="0022237F"/>
    <w:rsid w:val="00224ED4"/>
    <w:rsid w:val="00235263"/>
    <w:rsid w:val="00241E0A"/>
    <w:rsid w:val="00243520"/>
    <w:rsid w:val="00244947"/>
    <w:rsid w:val="002466F5"/>
    <w:rsid w:val="00246D64"/>
    <w:rsid w:val="0024713D"/>
    <w:rsid w:val="00247A77"/>
    <w:rsid w:val="002500AE"/>
    <w:rsid w:val="00251236"/>
    <w:rsid w:val="00256B4C"/>
    <w:rsid w:val="00260BB3"/>
    <w:rsid w:val="00261E41"/>
    <w:rsid w:val="00264BBD"/>
    <w:rsid w:val="00273658"/>
    <w:rsid w:val="0027644C"/>
    <w:rsid w:val="00281EA6"/>
    <w:rsid w:val="002828DA"/>
    <w:rsid w:val="0028399A"/>
    <w:rsid w:val="00283A41"/>
    <w:rsid w:val="0028795E"/>
    <w:rsid w:val="00290A29"/>
    <w:rsid w:val="00292823"/>
    <w:rsid w:val="00294E06"/>
    <w:rsid w:val="00295D98"/>
    <w:rsid w:val="002A2DF9"/>
    <w:rsid w:val="002A423E"/>
    <w:rsid w:val="002A668F"/>
    <w:rsid w:val="002A67D5"/>
    <w:rsid w:val="002A7FA6"/>
    <w:rsid w:val="002B467E"/>
    <w:rsid w:val="002B61E1"/>
    <w:rsid w:val="002C00F5"/>
    <w:rsid w:val="002C7BB2"/>
    <w:rsid w:val="002D2F08"/>
    <w:rsid w:val="002D3534"/>
    <w:rsid w:val="002D36D6"/>
    <w:rsid w:val="002D3B58"/>
    <w:rsid w:val="002D53A9"/>
    <w:rsid w:val="002D5EFA"/>
    <w:rsid w:val="002E3FF1"/>
    <w:rsid w:val="002E5498"/>
    <w:rsid w:val="002E551B"/>
    <w:rsid w:val="002E6A1E"/>
    <w:rsid w:val="002E7922"/>
    <w:rsid w:val="002E7CA2"/>
    <w:rsid w:val="002F02A8"/>
    <w:rsid w:val="002F21B8"/>
    <w:rsid w:val="002F2B30"/>
    <w:rsid w:val="002F2B96"/>
    <w:rsid w:val="00300D59"/>
    <w:rsid w:val="00304655"/>
    <w:rsid w:val="00305404"/>
    <w:rsid w:val="00305732"/>
    <w:rsid w:val="00305897"/>
    <w:rsid w:val="00307950"/>
    <w:rsid w:val="00310E2E"/>
    <w:rsid w:val="00312A82"/>
    <w:rsid w:val="003169B5"/>
    <w:rsid w:val="00322D5C"/>
    <w:rsid w:val="00325E14"/>
    <w:rsid w:val="003269BE"/>
    <w:rsid w:val="00326D46"/>
    <w:rsid w:val="0032726B"/>
    <w:rsid w:val="003323C6"/>
    <w:rsid w:val="00334334"/>
    <w:rsid w:val="003366F4"/>
    <w:rsid w:val="00344421"/>
    <w:rsid w:val="00345427"/>
    <w:rsid w:val="003463F6"/>
    <w:rsid w:val="00355A23"/>
    <w:rsid w:val="00356A98"/>
    <w:rsid w:val="00361297"/>
    <w:rsid w:val="00362454"/>
    <w:rsid w:val="0036252A"/>
    <w:rsid w:val="00362B12"/>
    <w:rsid w:val="0036346A"/>
    <w:rsid w:val="00364685"/>
    <w:rsid w:val="00365F56"/>
    <w:rsid w:val="003676F6"/>
    <w:rsid w:val="003714BA"/>
    <w:rsid w:val="00375A68"/>
    <w:rsid w:val="00376AC0"/>
    <w:rsid w:val="00382220"/>
    <w:rsid w:val="00382BE2"/>
    <w:rsid w:val="00384ED2"/>
    <w:rsid w:val="00392A2C"/>
    <w:rsid w:val="00393CC3"/>
    <w:rsid w:val="00395C95"/>
    <w:rsid w:val="003A4E52"/>
    <w:rsid w:val="003A6C0C"/>
    <w:rsid w:val="003A6C79"/>
    <w:rsid w:val="003B0D16"/>
    <w:rsid w:val="003B2778"/>
    <w:rsid w:val="003B2C11"/>
    <w:rsid w:val="003B34B9"/>
    <w:rsid w:val="003B72F8"/>
    <w:rsid w:val="003C29B7"/>
    <w:rsid w:val="003C6325"/>
    <w:rsid w:val="003C6569"/>
    <w:rsid w:val="003D0B99"/>
    <w:rsid w:val="003D41A2"/>
    <w:rsid w:val="003D4E57"/>
    <w:rsid w:val="003D7408"/>
    <w:rsid w:val="003E295C"/>
    <w:rsid w:val="003E30E9"/>
    <w:rsid w:val="003E32B4"/>
    <w:rsid w:val="003E456E"/>
    <w:rsid w:val="003F1545"/>
    <w:rsid w:val="003F1DA2"/>
    <w:rsid w:val="003F347C"/>
    <w:rsid w:val="003F4EDB"/>
    <w:rsid w:val="00400861"/>
    <w:rsid w:val="004059F7"/>
    <w:rsid w:val="004070AC"/>
    <w:rsid w:val="004122EC"/>
    <w:rsid w:val="00417035"/>
    <w:rsid w:val="0041720E"/>
    <w:rsid w:val="00417451"/>
    <w:rsid w:val="00420768"/>
    <w:rsid w:val="00423535"/>
    <w:rsid w:val="004240CE"/>
    <w:rsid w:val="00430E6C"/>
    <w:rsid w:val="00431E03"/>
    <w:rsid w:val="00433354"/>
    <w:rsid w:val="00435284"/>
    <w:rsid w:val="00441460"/>
    <w:rsid w:val="00442997"/>
    <w:rsid w:val="0044366D"/>
    <w:rsid w:val="004436AF"/>
    <w:rsid w:val="004440C1"/>
    <w:rsid w:val="00446375"/>
    <w:rsid w:val="00447F24"/>
    <w:rsid w:val="00450D4C"/>
    <w:rsid w:val="00455708"/>
    <w:rsid w:val="00457C89"/>
    <w:rsid w:val="0046109E"/>
    <w:rsid w:val="00461194"/>
    <w:rsid w:val="00462246"/>
    <w:rsid w:val="004624E0"/>
    <w:rsid w:val="00465C58"/>
    <w:rsid w:val="00465F92"/>
    <w:rsid w:val="0046629F"/>
    <w:rsid w:val="00466D9F"/>
    <w:rsid w:val="004719C3"/>
    <w:rsid w:val="00475854"/>
    <w:rsid w:val="00475F12"/>
    <w:rsid w:val="00476109"/>
    <w:rsid w:val="00481150"/>
    <w:rsid w:val="004844D5"/>
    <w:rsid w:val="0048585E"/>
    <w:rsid w:val="00485893"/>
    <w:rsid w:val="00490BC7"/>
    <w:rsid w:val="004916CB"/>
    <w:rsid w:val="00492787"/>
    <w:rsid w:val="0049369A"/>
    <w:rsid w:val="004A2E4D"/>
    <w:rsid w:val="004A4449"/>
    <w:rsid w:val="004A44AE"/>
    <w:rsid w:val="004B40C1"/>
    <w:rsid w:val="004C2AD8"/>
    <w:rsid w:val="004C4F96"/>
    <w:rsid w:val="004C7037"/>
    <w:rsid w:val="004D006F"/>
    <w:rsid w:val="004D38D8"/>
    <w:rsid w:val="004E12FD"/>
    <w:rsid w:val="004E3398"/>
    <w:rsid w:val="004E3F94"/>
    <w:rsid w:val="004E4E55"/>
    <w:rsid w:val="004F0EA0"/>
    <w:rsid w:val="004F2DB5"/>
    <w:rsid w:val="004F6E84"/>
    <w:rsid w:val="004F72E6"/>
    <w:rsid w:val="005006C4"/>
    <w:rsid w:val="00500AE4"/>
    <w:rsid w:val="005031DB"/>
    <w:rsid w:val="005066DE"/>
    <w:rsid w:val="0051096C"/>
    <w:rsid w:val="00511045"/>
    <w:rsid w:val="00516A77"/>
    <w:rsid w:val="00516DE9"/>
    <w:rsid w:val="00517F1B"/>
    <w:rsid w:val="00520C23"/>
    <w:rsid w:val="00521DF4"/>
    <w:rsid w:val="005231C3"/>
    <w:rsid w:val="00525983"/>
    <w:rsid w:val="00526368"/>
    <w:rsid w:val="005303A4"/>
    <w:rsid w:val="0053725A"/>
    <w:rsid w:val="0054170D"/>
    <w:rsid w:val="00542B3F"/>
    <w:rsid w:val="0054599C"/>
    <w:rsid w:val="0054623A"/>
    <w:rsid w:val="005467CA"/>
    <w:rsid w:val="00550928"/>
    <w:rsid w:val="00551532"/>
    <w:rsid w:val="00551E59"/>
    <w:rsid w:val="0056131D"/>
    <w:rsid w:val="005620E7"/>
    <w:rsid w:val="0056290A"/>
    <w:rsid w:val="00566EA9"/>
    <w:rsid w:val="005671DD"/>
    <w:rsid w:val="0057197A"/>
    <w:rsid w:val="00574154"/>
    <w:rsid w:val="005759EC"/>
    <w:rsid w:val="005841F1"/>
    <w:rsid w:val="005918F8"/>
    <w:rsid w:val="00593557"/>
    <w:rsid w:val="00595019"/>
    <w:rsid w:val="005A1AD6"/>
    <w:rsid w:val="005A4BAA"/>
    <w:rsid w:val="005A56B8"/>
    <w:rsid w:val="005A6BCA"/>
    <w:rsid w:val="005B0554"/>
    <w:rsid w:val="005B1680"/>
    <w:rsid w:val="005B19A7"/>
    <w:rsid w:val="005B4B1F"/>
    <w:rsid w:val="005B50DC"/>
    <w:rsid w:val="005C2381"/>
    <w:rsid w:val="005C66C5"/>
    <w:rsid w:val="005D09FA"/>
    <w:rsid w:val="005D2EFD"/>
    <w:rsid w:val="005D43DD"/>
    <w:rsid w:val="005D75F1"/>
    <w:rsid w:val="005E1A8E"/>
    <w:rsid w:val="005E231A"/>
    <w:rsid w:val="005E2424"/>
    <w:rsid w:val="005E328C"/>
    <w:rsid w:val="005E389C"/>
    <w:rsid w:val="005E3953"/>
    <w:rsid w:val="005E60AE"/>
    <w:rsid w:val="005E640E"/>
    <w:rsid w:val="005E7D87"/>
    <w:rsid w:val="005F3BAF"/>
    <w:rsid w:val="00601C0A"/>
    <w:rsid w:val="00601E40"/>
    <w:rsid w:val="00604C5D"/>
    <w:rsid w:val="0060543F"/>
    <w:rsid w:val="00607974"/>
    <w:rsid w:val="00617AEA"/>
    <w:rsid w:val="00617F30"/>
    <w:rsid w:val="00622108"/>
    <w:rsid w:val="0062247E"/>
    <w:rsid w:val="006332ED"/>
    <w:rsid w:val="00633A69"/>
    <w:rsid w:val="00642748"/>
    <w:rsid w:val="0064409F"/>
    <w:rsid w:val="0064504F"/>
    <w:rsid w:val="00647A10"/>
    <w:rsid w:val="0065159F"/>
    <w:rsid w:val="006527FB"/>
    <w:rsid w:val="00660717"/>
    <w:rsid w:val="00661A71"/>
    <w:rsid w:val="00661C31"/>
    <w:rsid w:val="00662E55"/>
    <w:rsid w:val="00663E45"/>
    <w:rsid w:val="0066425D"/>
    <w:rsid w:val="00665BB5"/>
    <w:rsid w:val="006679CE"/>
    <w:rsid w:val="00670834"/>
    <w:rsid w:val="00670B3A"/>
    <w:rsid w:val="00671C06"/>
    <w:rsid w:val="00677C53"/>
    <w:rsid w:val="00677DD7"/>
    <w:rsid w:val="006801AE"/>
    <w:rsid w:val="00680E4A"/>
    <w:rsid w:val="00680F3C"/>
    <w:rsid w:val="00682FFD"/>
    <w:rsid w:val="00684279"/>
    <w:rsid w:val="006860D7"/>
    <w:rsid w:val="006865CA"/>
    <w:rsid w:val="00693448"/>
    <w:rsid w:val="006936CB"/>
    <w:rsid w:val="006944C6"/>
    <w:rsid w:val="006A1C42"/>
    <w:rsid w:val="006A4C2B"/>
    <w:rsid w:val="006A7466"/>
    <w:rsid w:val="006A780D"/>
    <w:rsid w:val="006B06C4"/>
    <w:rsid w:val="006B2222"/>
    <w:rsid w:val="006B44F2"/>
    <w:rsid w:val="006B4F7B"/>
    <w:rsid w:val="006B689D"/>
    <w:rsid w:val="006C450D"/>
    <w:rsid w:val="006C63B4"/>
    <w:rsid w:val="006C63E7"/>
    <w:rsid w:val="006D2FAF"/>
    <w:rsid w:val="006D424A"/>
    <w:rsid w:val="006D4CE8"/>
    <w:rsid w:val="006D536A"/>
    <w:rsid w:val="006D587E"/>
    <w:rsid w:val="006D762C"/>
    <w:rsid w:val="006E1821"/>
    <w:rsid w:val="006E4DA3"/>
    <w:rsid w:val="006E5678"/>
    <w:rsid w:val="006E7C83"/>
    <w:rsid w:val="006F3286"/>
    <w:rsid w:val="006F3339"/>
    <w:rsid w:val="00700A36"/>
    <w:rsid w:val="007013DD"/>
    <w:rsid w:val="007040EE"/>
    <w:rsid w:val="0070418D"/>
    <w:rsid w:val="00704FC9"/>
    <w:rsid w:val="007054B2"/>
    <w:rsid w:val="00710E77"/>
    <w:rsid w:val="00714337"/>
    <w:rsid w:val="007164CC"/>
    <w:rsid w:val="007173C3"/>
    <w:rsid w:val="00721009"/>
    <w:rsid w:val="00726BDD"/>
    <w:rsid w:val="00727295"/>
    <w:rsid w:val="007300BF"/>
    <w:rsid w:val="00732A97"/>
    <w:rsid w:val="00735DF2"/>
    <w:rsid w:val="007364A3"/>
    <w:rsid w:val="00736DDB"/>
    <w:rsid w:val="007370BD"/>
    <w:rsid w:val="00741FA4"/>
    <w:rsid w:val="0074400F"/>
    <w:rsid w:val="00747F58"/>
    <w:rsid w:val="0075191B"/>
    <w:rsid w:val="007530FA"/>
    <w:rsid w:val="0075718E"/>
    <w:rsid w:val="00762C4D"/>
    <w:rsid w:val="007647EF"/>
    <w:rsid w:val="00764BE5"/>
    <w:rsid w:val="0076581B"/>
    <w:rsid w:val="00767180"/>
    <w:rsid w:val="0076741C"/>
    <w:rsid w:val="007733E1"/>
    <w:rsid w:val="0077358A"/>
    <w:rsid w:val="00773736"/>
    <w:rsid w:val="00776FDF"/>
    <w:rsid w:val="00777351"/>
    <w:rsid w:val="0078181C"/>
    <w:rsid w:val="00782B14"/>
    <w:rsid w:val="007865EF"/>
    <w:rsid w:val="007872F0"/>
    <w:rsid w:val="0079026D"/>
    <w:rsid w:val="00790759"/>
    <w:rsid w:val="00790D8C"/>
    <w:rsid w:val="00794503"/>
    <w:rsid w:val="0079509D"/>
    <w:rsid w:val="00796F24"/>
    <w:rsid w:val="0079732A"/>
    <w:rsid w:val="007A2FCB"/>
    <w:rsid w:val="007A3CF9"/>
    <w:rsid w:val="007A5937"/>
    <w:rsid w:val="007A7AF7"/>
    <w:rsid w:val="007A7F90"/>
    <w:rsid w:val="007B5DA4"/>
    <w:rsid w:val="007B6259"/>
    <w:rsid w:val="007B7DC5"/>
    <w:rsid w:val="007C1580"/>
    <w:rsid w:val="007C5CB0"/>
    <w:rsid w:val="007C70FD"/>
    <w:rsid w:val="007D3C73"/>
    <w:rsid w:val="007D4758"/>
    <w:rsid w:val="007D5D99"/>
    <w:rsid w:val="007D5D9B"/>
    <w:rsid w:val="007D5E0B"/>
    <w:rsid w:val="007D7C5F"/>
    <w:rsid w:val="007E3EBA"/>
    <w:rsid w:val="007E4621"/>
    <w:rsid w:val="007E64CB"/>
    <w:rsid w:val="007E687B"/>
    <w:rsid w:val="007F054A"/>
    <w:rsid w:val="007F1555"/>
    <w:rsid w:val="007F39A7"/>
    <w:rsid w:val="007F3B42"/>
    <w:rsid w:val="007F654E"/>
    <w:rsid w:val="007F76B6"/>
    <w:rsid w:val="008008DA"/>
    <w:rsid w:val="00801F3D"/>
    <w:rsid w:val="00802AE3"/>
    <w:rsid w:val="00802BD1"/>
    <w:rsid w:val="008056FE"/>
    <w:rsid w:val="00810C4C"/>
    <w:rsid w:val="0081110F"/>
    <w:rsid w:val="0081393F"/>
    <w:rsid w:val="00816779"/>
    <w:rsid w:val="00820020"/>
    <w:rsid w:val="00820883"/>
    <w:rsid w:val="008237F8"/>
    <w:rsid w:val="00824DC2"/>
    <w:rsid w:val="008268A5"/>
    <w:rsid w:val="00833A7B"/>
    <w:rsid w:val="00834761"/>
    <w:rsid w:val="0083551F"/>
    <w:rsid w:val="00835F50"/>
    <w:rsid w:val="00836127"/>
    <w:rsid w:val="0083755E"/>
    <w:rsid w:val="00840CCA"/>
    <w:rsid w:val="00841CBB"/>
    <w:rsid w:val="00841F1E"/>
    <w:rsid w:val="00843A99"/>
    <w:rsid w:val="008442DE"/>
    <w:rsid w:val="008455DB"/>
    <w:rsid w:val="00847BDB"/>
    <w:rsid w:val="00856E56"/>
    <w:rsid w:val="00861635"/>
    <w:rsid w:val="00867AC9"/>
    <w:rsid w:val="00871185"/>
    <w:rsid w:val="00875603"/>
    <w:rsid w:val="00875AEF"/>
    <w:rsid w:val="0088206F"/>
    <w:rsid w:val="008948C7"/>
    <w:rsid w:val="00894C71"/>
    <w:rsid w:val="008960D6"/>
    <w:rsid w:val="00897682"/>
    <w:rsid w:val="008A575B"/>
    <w:rsid w:val="008A64A8"/>
    <w:rsid w:val="008A730F"/>
    <w:rsid w:val="008A77D4"/>
    <w:rsid w:val="008B3D78"/>
    <w:rsid w:val="008B48AF"/>
    <w:rsid w:val="008B6ABD"/>
    <w:rsid w:val="008C33FC"/>
    <w:rsid w:val="008C64E3"/>
    <w:rsid w:val="008C6C12"/>
    <w:rsid w:val="008D51B0"/>
    <w:rsid w:val="008D6F6E"/>
    <w:rsid w:val="008E1ABD"/>
    <w:rsid w:val="008E67F7"/>
    <w:rsid w:val="008F3DAB"/>
    <w:rsid w:val="008F7653"/>
    <w:rsid w:val="0090129C"/>
    <w:rsid w:val="00903B03"/>
    <w:rsid w:val="00903D04"/>
    <w:rsid w:val="009043CB"/>
    <w:rsid w:val="009056A3"/>
    <w:rsid w:val="00906F42"/>
    <w:rsid w:val="0091484C"/>
    <w:rsid w:val="0091701A"/>
    <w:rsid w:val="009205DE"/>
    <w:rsid w:val="00921E08"/>
    <w:rsid w:val="009235E1"/>
    <w:rsid w:val="009237A4"/>
    <w:rsid w:val="0092391C"/>
    <w:rsid w:val="009240DB"/>
    <w:rsid w:val="00932CC8"/>
    <w:rsid w:val="00934DA9"/>
    <w:rsid w:val="00935C42"/>
    <w:rsid w:val="00935FF6"/>
    <w:rsid w:val="00936ACE"/>
    <w:rsid w:val="009402B9"/>
    <w:rsid w:val="0094428A"/>
    <w:rsid w:val="00945D5A"/>
    <w:rsid w:val="009464E8"/>
    <w:rsid w:val="00946E6A"/>
    <w:rsid w:val="009474FB"/>
    <w:rsid w:val="009533E0"/>
    <w:rsid w:val="00954061"/>
    <w:rsid w:val="00954076"/>
    <w:rsid w:val="00957DFF"/>
    <w:rsid w:val="00961259"/>
    <w:rsid w:val="009615B4"/>
    <w:rsid w:val="00962E07"/>
    <w:rsid w:val="00963457"/>
    <w:rsid w:val="00967464"/>
    <w:rsid w:val="00967747"/>
    <w:rsid w:val="00971EF5"/>
    <w:rsid w:val="00972FDA"/>
    <w:rsid w:val="00974032"/>
    <w:rsid w:val="009746FE"/>
    <w:rsid w:val="009748FB"/>
    <w:rsid w:val="0097648B"/>
    <w:rsid w:val="00977AA3"/>
    <w:rsid w:val="00981ED2"/>
    <w:rsid w:val="009830F6"/>
    <w:rsid w:val="0098376D"/>
    <w:rsid w:val="009937ED"/>
    <w:rsid w:val="0099604A"/>
    <w:rsid w:val="00996D54"/>
    <w:rsid w:val="009A625D"/>
    <w:rsid w:val="009A6495"/>
    <w:rsid w:val="009B0AC8"/>
    <w:rsid w:val="009B4DB1"/>
    <w:rsid w:val="009B71FC"/>
    <w:rsid w:val="009B7FD8"/>
    <w:rsid w:val="009C0DEF"/>
    <w:rsid w:val="009C2631"/>
    <w:rsid w:val="009C399F"/>
    <w:rsid w:val="009C4679"/>
    <w:rsid w:val="009C6D43"/>
    <w:rsid w:val="009D034D"/>
    <w:rsid w:val="009D0881"/>
    <w:rsid w:val="009D09F4"/>
    <w:rsid w:val="009D29C7"/>
    <w:rsid w:val="009D4068"/>
    <w:rsid w:val="009E3063"/>
    <w:rsid w:val="009E6ABB"/>
    <w:rsid w:val="009F059F"/>
    <w:rsid w:val="009F46F2"/>
    <w:rsid w:val="00A05235"/>
    <w:rsid w:val="00A13153"/>
    <w:rsid w:val="00A138D6"/>
    <w:rsid w:val="00A1390B"/>
    <w:rsid w:val="00A1573D"/>
    <w:rsid w:val="00A15760"/>
    <w:rsid w:val="00A17125"/>
    <w:rsid w:val="00A23D58"/>
    <w:rsid w:val="00A2414C"/>
    <w:rsid w:val="00A26176"/>
    <w:rsid w:val="00A320D2"/>
    <w:rsid w:val="00A33BA2"/>
    <w:rsid w:val="00A34B39"/>
    <w:rsid w:val="00A41F9A"/>
    <w:rsid w:val="00A45272"/>
    <w:rsid w:val="00A5254E"/>
    <w:rsid w:val="00A52FE5"/>
    <w:rsid w:val="00A53033"/>
    <w:rsid w:val="00A54B45"/>
    <w:rsid w:val="00A54D94"/>
    <w:rsid w:val="00A5517A"/>
    <w:rsid w:val="00A56685"/>
    <w:rsid w:val="00A60A2F"/>
    <w:rsid w:val="00A62B36"/>
    <w:rsid w:val="00A640EF"/>
    <w:rsid w:val="00A70040"/>
    <w:rsid w:val="00A74501"/>
    <w:rsid w:val="00A76FFB"/>
    <w:rsid w:val="00A91B3E"/>
    <w:rsid w:val="00A91E9A"/>
    <w:rsid w:val="00A96346"/>
    <w:rsid w:val="00A96620"/>
    <w:rsid w:val="00A96686"/>
    <w:rsid w:val="00AA3AC7"/>
    <w:rsid w:val="00AA48BC"/>
    <w:rsid w:val="00AA4BB1"/>
    <w:rsid w:val="00AA50DA"/>
    <w:rsid w:val="00AA6BC4"/>
    <w:rsid w:val="00AB413A"/>
    <w:rsid w:val="00AB77F2"/>
    <w:rsid w:val="00AC2121"/>
    <w:rsid w:val="00AC518A"/>
    <w:rsid w:val="00AC74EE"/>
    <w:rsid w:val="00AD0683"/>
    <w:rsid w:val="00AD2829"/>
    <w:rsid w:val="00AD6E0D"/>
    <w:rsid w:val="00AD6E1F"/>
    <w:rsid w:val="00AE0D31"/>
    <w:rsid w:val="00AE5041"/>
    <w:rsid w:val="00AE7152"/>
    <w:rsid w:val="00AF3C01"/>
    <w:rsid w:val="00AF4DC8"/>
    <w:rsid w:val="00AF6DB8"/>
    <w:rsid w:val="00B10512"/>
    <w:rsid w:val="00B1053A"/>
    <w:rsid w:val="00B22C31"/>
    <w:rsid w:val="00B35569"/>
    <w:rsid w:val="00B36311"/>
    <w:rsid w:val="00B40241"/>
    <w:rsid w:val="00B4081B"/>
    <w:rsid w:val="00B411A7"/>
    <w:rsid w:val="00B4242E"/>
    <w:rsid w:val="00B42DC7"/>
    <w:rsid w:val="00B43C32"/>
    <w:rsid w:val="00B46775"/>
    <w:rsid w:val="00B47FB4"/>
    <w:rsid w:val="00B50703"/>
    <w:rsid w:val="00B50D58"/>
    <w:rsid w:val="00B50F96"/>
    <w:rsid w:val="00B56957"/>
    <w:rsid w:val="00B57222"/>
    <w:rsid w:val="00B636CE"/>
    <w:rsid w:val="00B63D76"/>
    <w:rsid w:val="00B6452B"/>
    <w:rsid w:val="00B6741F"/>
    <w:rsid w:val="00B716DC"/>
    <w:rsid w:val="00B7306B"/>
    <w:rsid w:val="00B73E68"/>
    <w:rsid w:val="00B7636C"/>
    <w:rsid w:val="00B81102"/>
    <w:rsid w:val="00B82007"/>
    <w:rsid w:val="00BA1F85"/>
    <w:rsid w:val="00BA31E4"/>
    <w:rsid w:val="00BA3EB8"/>
    <w:rsid w:val="00BA3F2F"/>
    <w:rsid w:val="00BA6291"/>
    <w:rsid w:val="00BB0125"/>
    <w:rsid w:val="00BB0F21"/>
    <w:rsid w:val="00BB1161"/>
    <w:rsid w:val="00BB5D5B"/>
    <w:rsid w:val="00BB6F60"/>
    <w:rsid w:val="00BB7105"/>
    <w:rsid w:val="00BB7E72"/>
    <w:rsid w:val="00BC1773"/>
    <w:rsid w:val="00BC5570"/>
    <w:rsid w:val="00BC6C72"/>
    <w:rsid w:val="00BC6EF2"/>
    <w:rsid w:val="00BC7203"/>
    <w:rsid w:val="00BD2F8A"/>
    <w:rsid w:val="00BD4940"/>
    <w:rsid w:val="00BE0F0C"/>
    <w:rsid w:val="00BE41AE"/>
    <w:rsid w:val="00BE5E58"/>
    <w:rsid w:val="00BE6CD2"/>
    <w:rsid w:val="00BE7C55"/>
    <w:rsid w:val="00BF2CB6"/>
    <w:rsid w:val="00BF4991"/>
    <w:rsid w:val="00BF5DE3"/>
    <w:rsid w:val="00C008FC"/>
    <w:rsid w:val="00C00A96"/>
    <w:rsid w:val="00C02A44"/>
    <w:rsid w:val="00C0737F"/>
    <w:rsid w:val="00C11016"/>
    <w:rsid w:val="00C14E73"/>
    <w:rsid w:val="00C15158"/>
    <w:rsid w:val="00C16ED7"/>
    <w:rsid w:val="00C23DE1"/>
    <w:rsid w:val="00C2482A"/>
    <w:rsid w:val="00C27E7C"/>
    <w:rsid w:val="00C33FA5"/>
    <w:rsid w:val="00C41F31"/>
    <w:rsid w:val="00C4784A"/>
    <w:rsid w:val="00C47DC6"/>
    <w:rsid w:val="00C5342F"/>
    <w:rsid w:val="00C56247"/>
    <w:rsid w:val="00C6001A"/>
    <w:rsid w:val="00C6074D"/>
    <w:rsid w:val="00C62F94"/>
    <w:rsid w:val="00C70707"/>
    <w:rsid w:val="00C73264"/>
    <w:rsid w:val="00C756F0"/>
    <w:rsid w:val="00C76140"/>
    <w:rsid w:val="00C76151"/>
    <w:rsid w:val="00C76D99"/>
    <w:rsid w:val="00C76F4E"/>
    <w:rsid w:val="00C81462"/>
    <w:rsid w:val="00C8310A"/>
    <w:rsid w:val="00C934E4"/>
    <w:rsid w:val="00C956E0"/>
    <w:rsid w:val="00C966A8"/>
    <w:rsid w:val="00C97C07"/>
    <w:rsid w:val="00CA0575"/>
    <w:rsid w:val="00CA3D9A"/>
    <w:rsid w:val="00CA50D9"/>
    <w:rsid w:val="00CA5C54"/>
    <w:rsid w:val="00CA7C2E"/>
    <w:rsid w:val="00CB0E6D"/>
    <w:rsid w:val="00CB1765"/>
    <w:rsid w:val="00CB357B"/>
    <w:rsid w:val="00CB4C91"/>
    <w:rsid w:val="00CB5F6A"/>
    <w:rsid w:val="00CB6343"/>
    <w:rsid w:val="00CB6BF2"/>
    <w:rsid w:val="00CB7045"/>
    <w:rsid w:val="00CC6CAE"/>
    <w:rsid w:val="00CD4539"/>
    <w:rsid w:val="00CD6AA8"/>
    <w:rsid w:val="00CD719A"/>
    <w:rsid w:val="00CE2537"/>
    <w:rsid w:val="00CE29F0"/>
    <w:rsid w:val="00CE3825"/>
    <w:rsid w:val="00CE5682"/>
    <w:rsid w:val="00CE5ECE"/>
    <w:rsid w:val="00CE773D"/>
    <w:rsid w:val="00CF62F0"/>
    <w:rsid w:val="00CF697B"/>
    <w:rsid w:val="00CF7E88"/>
    <w:rsid w:val="00CF7F6F"/>
    <w:rsid w:val="00D01179"/>
    <w:rsid w:val="00D011E5"/>
    <w:rsid w:val="00D02A63"/>
    <w:rsid w:val="00D07BAD"/>
    <w:rsid w:val="00D12E37"/>
    <w:rsid w:val="00D1386D"/>
    <w:rsid w:val="00D17F09"/>
    <w:rsid w:val="00D19988"/>
    <w:rsid w:val="00D21F63"/>
    <w:rsid w:val="00D245C3"/>
    <w:rsid w:val="00D25211"/>
    <w:rsid w:val="00D2585D"/>
    <w:rsid w:val="00D32D28"/>
    <w:rsid w:val="00D35F50"/>
    <w:rsid w:val="00D424AF"/>
    <w:rsid w:val="00D42FA2"/>
    <w:rsid w:val="00D44290"/>
    <w:rsid w:val="00D4769C"/>
    <w:rsid w:val="00D50E99"/>
    <w:rsid w:val="00D52867"/>
    <w:rsid w:val="00D55157"/>
    <w:rsid w:val="00D633C2"/>
    <w:rsid w:val="00D63B90"/>
    <w:rsid w:val="00D654A2"/>
    <w:rsid w:val="00D7077B"/>
    <w:rsid w:val="00D71228"/>
    <w:rsid w:val="00D719D6"/>
    <w:rsid w:val="00D73CFA"/>
    <w:rsid w:val="00D76229"/>
    <w:rsid w:val="00D81031"/>
    <w:rsid w:val="00D8139C"/>
    <w:rsid w:val="00D8760F"/>
    <w:rsid w:val="00D9559F"/>
    <w:rsid w:val="00D96701"/>
    <w:rsid w:val="00DA2A20"/>
    <w:rsid w:val="00DA6E10"/>
    <w:rsid w:val="00DA7A6F"/>
    <w:rsid w:val="00DB0142"/>
    <w:rsid w:val="00DB15E5"/>
    <w:rsid w:val="00DB162E"/>
    <w:rsid w:val="00DB2E28"/>
    <w:rsid w:val="00DB33C3"/>
    <w:rsid w:val="00DC0009"/>
    <w:rsid w:val="00DC0B6F"/>
    <w:rsid w:val="00DC0CFF"/>
    <w:rsid w:val="00DC5403"/>
    <w:rsid w:val="00DD3C97"/>
    <w:rsid w:val="00DD56D4"/>
    <w:rsid w:val="00DE03A7"/>
    <w:rsid w:val="00DE1BA4"/>
    <w:rsid w:val="00DE3CDE"/>
    <w:rsid w:val="00DE70BB"/>
    <w:rsid w:val="00DF00B1"/>
    <w:rsid w:val="00DF21F0"/>
    <w:rsid w:val="00DF255A"/>
    <w:rsid w:val="00DF25A4"/>
    <w:rsid w:val="00DF2E33"/>
    <w:rsid w:val="00DF5BC8"/>
    <w:rsid w:val="00DF65A0"/>
    <w:rsid w:val="00DF6870"/>
    <w:rsid w:val="00DF7875"/>
    <w:rsid w:val="00E012DE"/>
    <w:rsid w:val="00E03962"/>
    <w:rsid w:val="00E04A87"/>
    <w:rsid w:val="00E04E76"/>
    <w:rsid w:val="00E15D1A"/>
    <w:rsid w:val="00E15E78"/>
    <w:rsid w:val="00E209B5"/>
    <w:rsid w:val="00E20A79"/>
    <w:rsid w:val="00E2156F"/>
    <w:rsid w:val="00E21DEA"/>
    <w:rsid w:val="00E22982"/>
    <w:rsid w:val="00E25457"/>
    <w:rsid w:val="00E26FB6"/>
    <w:rsid w:val="00E30A42"/>
    <w:rsid w:val="00E3471A"/>
    <w:rsid w:val="00E40627"/>
    <w:rsid w:val="00E40A08"/>
    <w:rsid w:val="00E413A6"/>
    <w:rsid w:val="00E42429"/>
    <w:rsid w:val="00E503F5"/>
    <w:rsid w:val="00E515CF"/>
    <w:rsid w:val="00E51BDD"/>
    <w:rsid w:val="00E57646"/>
    <w:rsid w:val="00E61A00"/>
    <w:rsid w:val="00E61F21"/>
    <w:rsid w:val="00E679E8"/>
    <w:rsid w:val="00E704D6"/>
    <w:rsid w:val="00E7069B"/>
    <w:rsid w:val="00E73B14"/>
    <w:rsid w:val="00E75104"/>
    <w:rsid w:val="00E75CC6"/>
    <w:rsid w:val="00E76051"/>
    <w:rsid w:val="00E772C9"/>
    <w:rsid w:val="00E80C29"/>
    <w:rsid w:val="00E83DA3"/>
    <w:rsid w:val="00E909CC"/>
    <w:rsid w:val="00E938FF"/>
    <w:rsid w:val="00E93B5B"/>
    <w:rsid w:val="00E952C7"/>
    <w:rsid w:val="00EA1E1D"/>
    <w:rsid w:val="00EA2152"/>
    <w:rsid w:val="00EA3710"/>
    <w:rsid w:val="00EA3A53"/>
    <w:rsid w:val="00EB00F7"/>
    <w:rsid w:val="00EB1E2C"/>
    <w:rsid w:val="00EB4EEC"/>
    <w:rsid w:val="00EB545A"/>
    <w:rsid w:val="00EB755F"/>
    <w:rsid w:val="00EC13C8"/>
    <w:rsid w:val="00EC2074"/>
    <w:rsid w:val="00EC508A"/>
    <w:rsid w:val="00EC5E9E"/>
    <w:rsid w:val="00EC75DD"/>
    <w:rsid w:val="00ED0102"/>
    <w:rsid w:val="00ED1030"/>
    <w:rsid w:val="00ED545B"/>
    <w:rsid w:val="00ED7620"/>
    <w:rsid w:val="00ED76B6"/>
    <w:rsid w:val="00EE0013"/>
    <w:rsid w:val="00EE2608"/>
    <w:rsid w:val="00EE3394"/>
    <w:rsid w:val="00EE42D2"/>
    <w:rsid w:val="00EE42E5"/>
    <w:rsid w:val="00EE77F9"/>
    <w:rsid w:val="00EF031F"/>
    <w:rsid w:val="00EF213E"/>
    <w:rsid w:val="00EF48BC"/>
    <w:rsid w:val="00EF5045"/>
    <w:rsid w:val="00EF5C69"/>
    <w:rsid w:val="00F00A21"/>
    <w:rsid w:val="00F00ABA"/>
    <w:rsid w:val="00F01717"/>
    <w:rsid w:val="00F06912"/>
    <w:rsid w:val="00F06E5E"/>
    <w:rsid w:val="00F11C9E"/>
    <w:rsid w:val="00F128AF"/>
    <w:rsid w:val="00F14475"/>
    <w:rsid w:val="00F15124"/>
    <w:rsid w:val="00F16124"/>
    <w:rsid w:val="00F16A7B"/>
    <w:rsid w:val="00F17B01"/>
    <w:rsid w:val="00F25E1C"/>
    <w:rsid w:val="00F27276"/>
    <w:rsid w:val="00F352CD"/>
    <w:rsid w:val="00F37DF2"/>
    <w:rsid w:val="00F40FFE"/>
    <w:rsid w:val="00F42891"/>
    <w:rsid w:val="00F43D35"/>
    <w:rsid w:val="00F44922"/>
    <w:rsid w:val="00F4676F"/>
    <w:rsid w:val="00F46A7B"/>
    <w:rsid w:val="00F50998"/>
    <w:rsid w:val="00F50C9F"/>
    <w:rsid w:val="00F51389"/>
    <w:rsid w:val="00F54F69"/>
    <w:rsid w:val="00F56337"/>
    <w:rsid w:val="00F60801"/>
    <w:rsid w:val="00F608D8"/>
    <w:rsid w:val="00F63243"/>
    <w:rsid w:val="00F703B6"/>
    <w:rsid w:val="00F71320"/>
    <w:rsid w:val="00F7541C"/>
    <w:rsid w:val="00F76A04"/>
    <w:rsid w:val="00F8120E"/>
    <w:rsid w:val="00F82061"/>
    <w:rsid w:val="00F827D0"/>
    <w:rsid w:val="00F85DC0"/>
    <w:rsid w:val="00F9167C"/>
    <w:rsid w:val="00F9188A"/>
    <w:rsid w:val="00F92A0E"/>
    <w:rsid w:val="00F933F7"/>
    <w:rsid w:val="00F96058"/>
    <w:rsid w:val="00FA0C1F"/>
    <w:rsid w:val="00FA0CE6"/>
    <w:rsid w:val="00FA2104"/>
    <w:rsid w:val="00FA2E18"/>
    <w:rsid w:val="00FA6717"/>
    <w:rsid w:val="00FB0851"/>
    <w:rsid w:val="00FB0EC2"/>
    <w:rsid w:val="00FB1739"/>
    <w:rsid w:val="00FC04DE"/>
    <w:rsid w:val="00FC0E3A"/>
    <w:rsid w:val="00FC326F"/>
    <w:rsid w:val="00FC3F0F"/>
    <w:rsid w:val="00FC4A9B"/>
    <w:rsid w:val="00FD12E7"/>
    <w:rsid w:val="00FD1EA9"/>
    <w:rsid w:val="00FD2471"/>
    <w:rsid w:val="00FD48F9"/>
    <w:rsid w:val="00FD6A6F"/>
    <w:rsid w:val="00FD76B9"/>
    <w:rsid w:val="00FE0F4B"/>
    <w:rsid w:val="00FE3BCB"/>
    <w:rsid w:val="00FE4060"/>
    <w:rsid w:val="00FE631C"/>
    <w:rsid w:val="00FE67F6"/>
    <w:rsid w:val="00FF1EB0"/>
    <w:rsid w:val="00FF2BD4"/>
    <w:rsid w:val="00FF2FA3"/>
    <w:rsid w:val="00FF386B"/>
    <w:rsid w:val="00FF4059"/>
    <w:rsid w:val="013B2ED6"/>
    <w:rsid w:val="05D0A6E4"/>
    <w:rsid w:val="10F3A489"/>
    <w:rsid w:val="119BE62B"/>
    <w:rsid w:val="17F18DB5"/>
    <w:rsid w:val="1E91FB9B"/>
    <w:rsid w:val="20F8CBC5"/>
    <w:rsid w:val="246E68F5"/>
    <w:rsid w:val="24B6474B"/>
    <w:rsid w:val="256AB666"/>
    <w:rsid w:val="2B099DEB"/>
    <w:rsid w:val="3491013E"/>
    <w:rsid w:val="35D0E8F5"/>
    <w:rsid w:val="3A121B08"/>
    <w:rsid w:val="42BB22C1"/>
    <w:rsid w:val="467CFD7F"/>
    <w:rsid w:val="468F7D71"/>
    <w:rsid w:val="4824A3A8"/>
    <w:rsid w:val="49F63353"/>
    <w:rsid w:val="4DC6C886"/>
    <w:rsid w:val="51D35F08"/>
    <w:rsid w:val="59A79FC9"/>
    <w:rsid w:val="5EAF5F50"/>
    <w:rsid w:val="5F371FC1"/>
    <w:rsid w:val="68DC1D3A"/>
    <w:rsid w:val="6C3FA05B"/>
    <w:rsid w:val="6D699B4F"/>
    <w:rsid w:val="71D674B6"/>
    <w:rsid w:val="7D516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62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4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76F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alibri">
    <w:name w:val="Text-Calibri"/>
    <w:basedOn w:val="BodyText"/>
    <w:qFormat/>
    <w:rsid w:val="00431E03"/>
    <w:rPr>
      <w:rFonts w:asciiTheme="minorHAnsi" w:hAnsiTheme="minorHAnsi"/>
      <w:sz w:val="22"/>
    </w:rPr>
  </w:style>
  <w:style w:type="paragraph" w:styleId="BodyText">
    <w:name w:val="Body Text"/>
    <w:basedOn w:val="Normal"/>
    <w:link w:val="BodyTextChar"/>
    <w:uiPriority w:val="99"/>
    <w:semiHidden/>
    <w:unhideWhenUsed/>
    <w:rsid w:val="00431E03"/>
    <w:pPr>
      <w:spacing w:after="120"/>
    </w:pPr>
  </w:style>
  <w:style w:type="character" w:customStyle="1" w:styleId="BodyTextChar">
    <w:name w:val="Body Text Char"/>
    <w:basedOn w:val="DefaultParagraphFont"/>
    <w:link w:val="BodyText"/>
    <w:uiPriority w:val="99"/>
    <w:semiHidden/>
    <w:rsid w:val="00431E03"/>
    <w:rPr>
      <w:rFonts w:ascii="Times New Roman" w:hAnsi="Times New Roman"/>
      <w:sz w:val="24"/>
    </w:rPr>
  </w:style>
  <w:style w:type="paragraph" w:customStyle="1" w:styleId="FN-Calibri">
    <w:name w:val="FN-Calibri"/>
    <w:basedOn w:val="BodyText"/>
    <w:link w:val="FN-CalibriChar"/>
    <w:autoRedefine/>
    <w:qFormat/>
    <w:rsid w:val="00431E03"/>
    <w:rPr>
      <w:sz w:val="18"/>
      <w:szCs w:val="20"/>
    </w:rPr>
  </w:style>
  <w:style w:type="character" w:customStyle="1" w:styleId="FN-CalibriChar">
    <w:name w:val="FN-Calibri Char"/>
    <w:basedOn w:val="DefaultParagraphFont"/>
    <w:link w:val="FN-Calibri"/>
    <w:rsid w:val="00431E03"/>
    <w:rPr>
      <w:rFonts w:ascii="Times New Roman" w:hAnsi="Times New Roman"/>
      <w:sz w:val="18"/>
      <w:szCs w:val="20"/>
    </w:rPr>
  </w:style>
  <w:style w:type="numbering" w:customStyle="1" w:styleId="Bulletstyle">
    <w:name w:val="Bulletstyle"/>
    <w:uiPriority w:val="99"/>
    <w:rsid w:val="00B46775"/>
    <w:pPr>
      <w:numPr>
        <w:numId w:val="1"/>
      </w:numPr>
    </w:pPr>
  </w:style>
  <w:style w:type="paragraph" w:styleId="Header">
    <w:name w:val="header"/>
    <w:basedOn w:val="Normal"/>
    <w:link w:val="HeaderChar"/>
    <w:uiPriority w:val="99"/>
    <w:unhideWhenUsed/>
    <w:rsid w:val="00CB6BF2"/>
    <w:pPr>
      <w:tabs>
        <w:tab w:val="center" w:pos="4680"/>
        <w:tab w:val="right" w:pos="9360"/>
      </w:tabs>
    </w:pPr>
  </w:style>
  <w:style w:type="character" w:customStyle="1" w:styleId="HeaderChar">
    <w:name w:val="Header Char"/>
    <w:basedOn w:val="DefaultParagraphFont"/>
    <w:link w:val="Header"/>
    <w:uiPriority w:val="99"/>
    <w:rsid w:val="00CB6BF2"/>
    <w:rPr>
      <w:rFonts w:ascii="Times New Roman" w:hAnsi="Times New Roman"/>
      <w:sz w:val="24"/>
    </w:rPr>
  </w:style>
  <w:style w:type="paragraph" w:styleId="Footer">
    <w:name w:val="footer"/>
    <w:basedOn w:val="Normal"/>
    <w:link w:val="FooterChar"/>
    <w:uiPriority w:val="99"/>
    <w:unhideWhenUsed/>
    <w:rsid w:val="00CB6BF2"/>
    <w:pPr>
      <w:tabs>
        <w:tab w:val="center" w:pos="4680"/>
        <w:tab w:val="right" w:pos="9360"/>
      </w:tabs>
    </w:pPr>
  </w:style>
  <w:style w:type="character" w:customStyle="1" w:styleId="FooterChar">
    <w:name w:val="Footer Char"/>
    <w:basedOn w:val="DefaultParagraphFont"/>
    <w:link w:val="Footer"/>
    <w:uiPriority w:val="99"/>
    <w:rsid w:val="00CB6BF2"/>
    <w:rPr>
      <w:rFonts w:ascii="Times New Roman" w:hAnsi="Times New Roman"/>
      <w:sz w:val="24"/>
    </w:rPr>
  </w:style>
  <w:style w:type="paragraph" w:styleId="FootnoteText">
    <w:name w:val="footnote text"/>
    <w:basedOn w:val="Normal"/>
    <w:link w:val="FootnoteTextChar"/>
    <w:uiPriority w:val="99"/>
    <w:unhideWhenUsed/>
    <w:rsid w:val="00001165"/>
    <w:rPr>
      <w:sz w:val="20"/>
      <w:szCs w:val="20"/>
    </w:rPr>
  </w:style>
  <w:style w:type="character" w:customStyle="1" w:styleId="FootnoteTextChar">
    <w:name w:val="Footnote Text Char"/>
    <w:basedOn w:val="DefaultParagraphFont"/>
    <w:link w:val="FootnoteText"/>
    <w:uiPriority w:val="99"/>
    <w:rsid w:val="00001165"/>
    <w:rPr>
      <w:rFonts w:ascii="Times New Roman" w:hAnsi="Times New Roman"/>
      <w:sz w:val="20"/>
      <w:szCs w:val="20"/>
    </w:rPr>
  </w:style>
  <w:style w:type="character" w:styleId="FootnoteReference">
    <w:name w:val="footnote reference"/>
    <w:basedOn w:val="DefaultParagraphFont"/>
    <w:uiPriority w:val="99"/>
    <w:unhideWhenUsed/>
    <w:rsid w:val="00001165"/>
    <w:rPr>
      <w:vertAlign w:val="superscript"/>
    </w:rPr>
  </w:style>
  <w:style w:type="paragraph" w:styleId="ListParagraph">
    <w:name w:val="List Paragraph"/>
    <w:basedOn w:val="Normal"/>
    <w:uiPriority w:val="34"/>
    <w:qFormat/>
    <w:rsid w:val="00EE77F9"/>
    <w:pPr>
      <w:ind w:left="720"/>
      <w:contextualSpacing/>
    </w:pPr>
  </w:style>
  <w:style w:type="character" w:styleId="Hyperlink">
    <w:name w:val="Hyperlink"/>
    <w:rsid w:val="002466F5"/>
    <w:rPr>
      <w:color w:val="0000FF"/>
      <w:u w:val="single"/>
    </w:rPr>
  </w:style>
  <w:style w:type="character" w:customStyle="1" w:styleId="Heading1Char">
    <w:name w:val="Heading 1 Char"/>
    <w:basedOn w:val="DefaultParagraphFont"/>
    <w:link w:val="Heading1"/>
    <w:uiPriority w:val="9"/>
    <w:rsid w:val="00A76FF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300BF"/>
    <w:rPr>
      <w:color w:val="954F72" w:themeColor="followedHyperlink"/>
      <w:u w:val="single"/>
    </w:rPr>
  </w:style>
  <w:style w:type="paragraph" w:styleId="Revision">
    <w:name w:val="Revision"/>
    <w:hidden/>
    <w:uiPriority w:val="99"/>
    <w:semiHidden/>
    <w:rsid w:val="00C41F3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4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31"/>
    <w:rPr>
      <w:rFonts w:ascii="Segoe UI" w:hAnsi="Segoe UI" w:cs="Segoe UI"/>
      <w:sz w:val="18"/>
      <w:szCs w:val="18"/>
    </w:rPr>
  </w:style>
  <w:style w:type="character" w:styleId="CommentReference">
    <w:name w:val="annotation reference"/>
    <w:basedOn w:val="DefaultParagraphFont"/>
    <w:uiPriority w:val="99"/>
    <w:semiHidden/>
    <w:unhideWhenUsed/>
    <w:rsid w:val="00417451"/>
    <w:rPr>
      <w:sz w:val="16"/>
      <w:szCs w:val="16"/>
    </w:rPr>
  </w:style>
  <w:style w:type="paragraph" w:styleId="CommentText">
    <w:name w:val="annotation text"/>
    <w:basedOn w:val="Normal"/>
    <w:link w:val="CommentTextChar"/>
    <w:uiPriority w:val="99"/>
    <w:unhideWhenUsed/>
    <w:rsid w:val="00516A77"/>
    <w:rPr>
      <w:sz w:val="20"/>
      <w:szCs w:val="20"/>
    </w:rPr>
  </w:style>
  <w:style w:type="character" w:customStyle="1" w:styleId="CommentTextChar">
    <w:name w:val="Comment Text Char"/>
    <w:basedOn w:val="DefaultParagraphFont"/>
    <w:link w:val="CommentText"/>
    <w:uiPriority w:val="99"/>
    <w:rsid w:val="0041745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7451"/>
    <w:rPr>
      <w:b/>
      <w:bCs/>
    </w:rPr>
  </w:style>
  <w:style w:type="character" w:customStyle="1" w:styleId="CommentSubjectChar">
    <w:name w:val="Comment Subject Char"/>
    <w:basedOn w:val="CommentTextChar"/>
    <w:link w:val="CommentSubject"/>
    <w:uiPriority w:val="99"/>
    <w:semiHidden/>
    <w:rsid w:val="00417451"/>
    <w:rPr>
      <w:rFonts w:ascii="Times New Roman" w:hAnsi="Times New Roman"/>
      <w:b/>
      <w:bCs/>
      <w:sz w:val="20"/>
      <w:szCs w:val="20"/>
    </w:rPr>
  </w:style>
  <w:style w:type="character" w:styleId="Emphasis">
    <w:name w:val="Emphasis"/>
    <w:basedOn w:val="DefaultParagraphFont"/>
    <w:uiPriority w:val="20"/>
    <w:qFormat/>
    <w:rsid w:val="00AC74EE"/>
    <w:rPr>
      <w:i/>
      <w:iCs/>
    </w:rPr>
  </w:style>
  <w:style w:type="paragraph" w:styleId="PlainText">
    <w:name w:val="Plain Text"/>
    <w:basedOn w:val="Normal"/>
    <w:link w:val="PlainTextChar"/>
    <w:uiPriority w:val="99"/>
    <w:unhideWhenUsed/>
    <w:rsid w:val="00714337"/>
    <w:rPr>
      <w:rFonts w:ascii="Calibri" w:hAnsi="Calibri"/>
      <w:sz w:val="22"/>
      <w:szCs w:val="21"/>
    </w:rPr>
  </w:style>
  <w:style w:type="character" w:customStyle="1" w:styleId="PlainTextChar">
    <w:name w:val="Plain Text Char"/>
    <w:basedOn w:val="DefaultParagraphFont"/>
    <w:link w:val="PlainText"/>
    <w:uiPriority w:val="99"/>
    <w:rsid w:val="0071433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4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76F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alibri">
    <w:name w:val="Text-Calibri"/>
    <w:basedOn w:val="BodyText"/>
    <w:qFormat/>
    <w:rsid w:val="00431E03"/>
    <w:rPr>
      <w:rFonts w:asciiTheme="minorHAnsi" w:hAnsiTheme="minorHAnsi"/>
      <w:sz w:val="22"/>
    </w:rPr>
  </w:style>
  <w:style w:type="paragraph" w:styleId="BodyText">
    <w:name w:val="Body Text"/>
    <w:basedOn w:val="Normal"/>
    <w:link w:val="BodyTextChar"/>
    <w:uiPriority w:val="99"/>
    <w:semiHidden/>
    <w:unhideWhenUsed/>
    <w:rsid w:val="00431E03"/>
    <w:pPr>
      <w:spacing w:after="120"/>
    </w:pPr>
  </w:style>
  <w:style w:type="character" w:customStyle="1" w:styleId="BodyTextChar">
    <w:name w:val="Body Text Char"/>
    <w:basedOn w:val="DefaultParagraphFont"/>
    <w:link w:val="BodyText"/>
    <w:uiPriority w:val="99"/>
    <w:semiHidden/>
    <w:rsid w:val="00431E03"/>
    <w:rPr>
      <w:rFonts w:ascii="Times New Roman" w:hAnsi="Times New Roman"/>
      <w:sz w:val="24"/>
    </w:rPr>
  </w:style>
  <w:style w:type="paragraph" w:customStyle="1" w:styleId="FN-Calibri">
    <w:name w:val="FN-Calibri"/>
    <w:basedOn w:val="BodyText"/>
    <w:link w:val="FN-CalibriChar"/>
    <w:autoRedefine/>
    <w:qFormat/>
    <w:rsid w:val="00431E03"/>
    <w:rPr>
      <w:sz w:val="18"/>
      <w:szCs w:val="20"/>
    </w:rPr>
  </w:style>
  <w:style w:type="character" w:customStyle="1" w:styleId="FN-CalibriChar">
    <w:name w:val="FN-Calibri Char"/>
    <w:basedOn w:val="DefaultParagraphFont"/>
    <w:link w:val="FN-Calibri"/>
    <w:rsid w:val="00431E03"/>
    <w:rPr>
      <w:rFonts w:ascii="Times New Roman" w:hAnsi="Times New Roman"/>
      <w:sz w:val="18"/>
      <w:szCs w:val="20"/>
    </w:rPr>
  </w:style>
  <w:style w:type="numbering" w:customStyle="1" w:styleId="Bulletstyle">
    <w:name w:val="Bulletstyle"/>
    <w:uiPriority w:val="99"/>
    <w:rsid w:val="00B46775"/>
    <w:pPr>
      <w:numPr>
        <w:numId w:val="1"/>
      </w:numPr>
    </w:pPr>
  </w:style>
  <w:style w:type="paragraph" w:styleId="Header">
    <w:name w:val="header"/>
    <w:basedOn w:val="Normal"/>
    <w:link w:val="HeaderChar"/>
    <w:uiPriority w:val="99"/>
    <w:unhideWhenUsed/>
    <w:rsid w:val="00CB6BF2"/>
    <w:pPr>
      <w:tabs>
        <w:tab w:val="center" w:pos="4680"/>
        <w:tab w:val="right" w:pos="9360"/>
      </w:tabs>
    </w:pPr>
  </w:style>
  <w:style w:type="character" w:customStyle="1" w:styleId="HeaderChar">
    <w:name w:val="Header Char"/>
    <w:basedOn w:val="DefaultParagraphFont"/>
    <w:link w:val="Header"/>
    <w:uiPriority w:val="99"/>
    <w:rsid w:val="00CB6BF2"/>
    <w:rPr>
      <w:rFonts w:ascii="Times New Roman" w:hAnsi="Times New Roman"/>
      <w:sz w:val="24"/>
    </w:rPr>
  </w:style>
  <w:style w:type="paragraph" w:styleId="Footer">
    <w:name w:val="footer"/>
    <w:basedOn w:val="Normal"/>
    <w:link w:val="FooterChar"/>
    <w:uiPriority w:val="99"/>
    <w:unhideWhenUsed/>
    <w:rsid w:val="00CB6BF2"/>
    <w:pPr>
      <w:tabs>
        <w:tab w:val="center" w:pos="4680"/>
        <w:tab w:val="right" w:pos="9360"/>
      </w:tabs>
    </w:pPr>
  </w:style>
  <w:style w:type="character" w:customStyle="1" w:styleId="FooterChar">
    <w:name w:val="Footer Char"/>
    <w:basedOn w:val="DefaultParagraphFont"/>
    <w:link w:val="Footer"/>
    <w:uiPriority w:val="99"/>
    <w:rsid w:val="00CB6BF2"/>
    <w:rPr>
      <w:rFonts w:ascii="Times New Roman" w:hAnsi="Times New Roman"/>
      <w:sz w:val="24"/>
    </w:rPr>
  </w:style>
  <w:style w:type="paragraph" w:styleId="FootnoteText">
    <w:name w:val="footnote text"/>
    <w:basedOn w:val="Normal"/>
    <w:link w:val="FootnoteTextChar"/>
    <w:uiPriority w:val="99"/>
    <w:unhideWhenUsed/>
    <w:rsid w:val="00001165"/>
    <w:rPr>
      <w:sz w:val="20"/>
      <w:szCs w:val="20"/>
    </w:rPr>
  </w:style>
  <w:style w:type="character" w:customStyle="1" w:styleId="FootnoteTextChar">
    <w:name w:val="Footnote Text Char"/>
    <w:basedOn w:val="DefaultParagraphFont"/>
    <w:link w:val="FootnoteText"/>
    <w:uiPriority w:val="99"/>
    <w:rsid w:val="00001165"/>
    <w:rPr>
      <w:rFonts w:ascii="Times New Roman" w:hAnsi="Times New Roman"/>
      <w:sz w:val="20"/>
      <w:szCs w:val="20"/>
    </w:rPr>
  </w:style>
  <w:style w:type="character" w:styleId="FootnoteReference">
    <w:name w:val="footnote reference"/>
    <w:basedOn w:val="DefaultParagraphFont"/>
    <w:uiPriority w:val="99"/>
    <w:unhideWhenUsed/>
    <w:rsid w:val="00001165"/>
    <w:rPr>
      <w:vertAlign w:val="superscript"/>
    </w:rPr>
  </w:style>
  <w:style w:type="paragraph" w:styleId="ListParagraph">
    <w:name w:val="List Paragraph"/>
    <w:basedOn w:val="Normal"/>
    <w:uiPriority w:val="34"/>
    <w:qFormat/>
    <w:rsid w:val="00EE77F9"/>
    <w:pPr>
      <w:ind w:left="720"/>
      <w:contextualSpacing/>
    </w:pPr>
  </w:style>
  <w:style w:type="character" w:styleId="Hyperlink">
    <w:name w:val="Hyperlink"/>
    <w:rsid w:val="002466F5"/>
    <w:rPr>
      <w:color w:val="0000FF"/>
      <w:u w:val="single"/>
    </w:rPr>
  </w:style>
  <w:style w:type="character" w:customStyle="1" w:styleId="Heading1Char">
    <w:name w:val="Heading 1 Char"/>
    <w:basedOn w:val="DefaultParagraphFont"/>
    <w:link w:val="Heading1"/>
    <w:uiPriority w:val="9"/>
    <w:rsid w:val="00A76FF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300BF"/>
    <w:rPr>
      <w:color w:val="954F72" w:themeColor="followedHyperlink"/>
      <w:u w:val="single"/>
    </w:rPr>
  </w:style>
  <w:style w:type="paragraph" w:styleId="Revision">
    <w:name w:val="Revision"/>
    <w:hidden/>
    <w:uiPriority w:val="99"/>
    <w:semiHidden/>
    <w:rsid w:val="00C41F3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C41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31"/>
    <w:rPr>
      <w:rFonts w:ascii="Segoe UI" w:hAnsi="Segoe UI" w:cs="Segoe UI"/>
      <w:sz w:val="18"/>
      <w:szCs w:val="18"/>
    </w:rPr>
  </w:style>
  <w:style w:type="character" w:styleId="CommentReference">
    <w:name w:val="annotation reference"/>
    <w:basedOn w:val="DefaultParagraphFont"/>
    <w:uiPriority w:val="99"/>
    <w:semiHidden/>
    <w:unhideWhenUsed/>
    <w:rsid w:val="00417451"/>
    <w:rPr>
      <w:sz w:val="16"/>
      <w:szCs w:val="16"/>
    </w:rPr>
  </w:style>
  <w:style w:type="paragraph" w:styleId="CommentText">
    <w:name w:val="annotation text"/>
    <w:basedOn w:val="Normal"/>
    <w:link w:val="CommentTextChar"/>
    <w:uiPriority w:val="99"/>
    <w:unhideWhenUsed/>
    <w:rsid w:val="00516A77"/>
    <w:rPr>
      <w:sz w:val="20"/>
      <w:szCs w:val="20"/>
    </w:rPr>
  </w:style>
  <w:style w:type="character" w:customStyle="1" w:styleId="CommentTextChar">
    <w:name w:val="Comment Text Char"/>
    <w:basedOn w:val="DefaultParagraphFont"/>
    <w:link w:val="CommentText"/>
    <w:uiPriority w:val="99"/>
    <w:rsid w:val="0041745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17451"/>
    <w:rPr>
      <w:b/>
      <w:bCs/>
    </w:rPr>
  </w:style>
  <w:style w:type="character" w:customStyle="1" w:styleId="CommentSubjectChar">
    <w:name w:val="Comment Subject Char"/>
    <w:basedOn w:val="CommentTextChar"/>
    <w:link w:val="CommentSubject"/>
    <w:uiPriority w:val="99"/>
    <w:semiHidden/>
    <w:rsid w:val="00417451"/>
    <w:rPr>
      <w:rFonts w:ascii="Times New Roman" w:hAnsi="Times New Roman"/>
      <w:b/>
      <w:bCs/>
      <w:sz w:val="20"/>
      <w:szCs w:val="20"/>
    </w:rPr>
  </w:style>
  <w:style w:type="character" w:styleId="Emphasis">
    <w:name w:val="Emphasis"/>
    <w:basedOn w:val="DefaultParagraphFont"/>
    <w:uiPriority w:val="20"/>
    <w:qFormat/>
    <w:rsid w:val="00AC74EE"/>
    <w:rPr>
      <w:i/>
      <w:iCs/>
    </w:rPr>
  </w:style>
  <w:style w:type="paragraph" w:styleId="PlainText">
    <w:name w:val="Plain Text"/>
    <w:basedOn w:val="Normal"/>
    <w:link w:val="PlainTextChar"/>
    <w:uiPriority w:val="99"/>
    <w:unhideWhenUsed/>
    <w:rsid w:val="00714337"/>
    <w:rPr>
      <w:rFonts w:ascii="Calibri" w:hAnsi="Calibri"/>
      <w:sz w:val="22"/>
      <w:szCs w:val="21"/>
    </w:rPr>
  </w:style>
  <w:style w:type="character" w:customStyle="1" w:styleId="PlainTextChar">
    <w:name w:val="Plain Text Char"/>
    <w:basedOn w:val="DefaultParagraphFont"/>
    <w:link w:val="PlainText"/>
    <w:uiPriority w:val="99"/>
    <w:rsid w:val="007143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855">
      <w:bodyDiv w:val="1"/>
      <w:marLeft w:val="0"/>
      <w:marRight w:val="0"/>
      <w:marTop w:val="0"/>
      <w:marBottom w:val="0"/>
      <w:divBdr>
        <w:top w:val="none" w:sz="0" w:space="0" w:color="auto"/>
        <w:left w:val="none" w:sz="0" w:space="0" w:color="auto"/>
        <w:bottom w:val="none" w:sz="0" w:space="0" w:color="auto"/>
        <w:right w:val="none" w:sz="0" w:space="0" w:color="auto"/>
      </w:divBdr>
    </w:div>
    <w:div w:id="105274545">
      <w:bodyDiv w:val="1"/>
      <w:marLeft w:val="0"/>
      <w:marRight w:val="0"/>
      <w:marTop w:val="0"/>
      <w:marBottom w:val="0"/>
      <w:divBdr>
        <w:top w:val="none" w:sz="0" w:space="0" w:color="auto"/>
        <w:left w:val="none" w:sz="0" w:space="0" w:color="auto"/>
        <w:bottom w:val="none" w:sz="0" w:space="0" w:color="auto"/>
        <w:right w:val="none" w:sz="0" w:space="0" w:color="auto"/>
      </w:divBdr>
    </w:div>
    <w:div w:id="122430869">
      <w:bodyDiv w:val="1"/>
      <w:marLeft w:val="0"/>
      <w:marRight w:val="0"/>
      <w:marTop w:val="0"/>
      <w:marBottom w:val="0"/>
      <w:divBdr>
        <w:top w:val="none" w:sz="0" w:space="0" w:color="auto"/>
        <w:left w:val="none" w:sz="0" w:space="0" w:color="auto"/>
        <w:bottom w:val="none" w:sz="0" w:space="0" w:color="auto"/>
        <w:right w:val="none" w:sz="0" w:space="0" w:color="auto"/>
      </w:divBdr>
    </w:div>
    <w:div w:id="170221242">
      <w:bodyDiv w:val="1"/>
      <w:marLeft w:val="0"/>
      <w:marRight w:val="0"/>
      <w:marTop w:val="0"/>
      <w:marBottom w:val="0"/>
      <w:divBdr>
        <w:top w:val="none" w:sz="0" w:space="0" w:color="auto"/>
        <w:left w:val="none" w:sz="0" w:space="0" w:color="auto"/>
        <w:bottom w:val="none" w:sz="0" w:space="0" w:color="auto"/>
        <w:right w:val="none" w:sz="0" w:space="0" w:color="auto"/>
      </w:divBdr>
    </w:div>
    <w:div w:id="417945060">
      <w:bodyDiv w:val="1"/>
      <w:marLeft w:val="0"/>
      <w:marRight w:val="0"/>
      <w:marTop w:val="0"/>
      <w:marBottom w:val="0"/>
      <w:divBdr>
        <w:top w:val="none" w:sz="0" w:space="0" w:color="auto"/>
        <w:left w:val="none" w:sz="0" w:space="0" w:color="auto"/>
        <w:bottom w:val="none" w:sz="0" w:space="0" w:color="auto"/>
        <w:right w:val="none" w:sz="0" w:space="0" w:color="auto"/>
      </w:divBdr>
    </w:div>
    <w:div w:id="639724801">
      <w:bodyDiv w:val="1"/>
      <w:marLeft w:val="0"/>
      <w:marRight w:val="0"/>
      <w:marTop w:val="0"/>
      <w:marBottom w:val="0"/>
      <w:divBdr>
        <w:top w:val="none" w:sz="0" w:space="0" w:color="auto"/>
        <w:left w:val="none" w:sz="0" w:space="0" w:color="auto"/>
        <w:bottom w:val="none" w:sz="0" w:space="0" w:color="auto"/>
        <w:right w:val="none" w:sz="0" w:space="0" w:color="auto"/>
      </w:divBdr>
    </w:div>
    <w:div w:id="765271385">
      <w:bodyDiv w:val="1"/>
      <w:marLeft w:val="0"/>
      <w:marRight w:val="0"/>
      <w:marTop w:val="0"/>
      <w:marBottom w:val="0"/>
      <w:divBdr>
        <w:top w:val="none" w:sz="0" w:space="0" w:color="auto"/>
        <w:left w:val="none" w:sz="0" w:space="0" w:color="auto"/>
        <w:bottom w:val="none" w:sz="0" w:space="0" w:color="auto"/>
        <w:right w:val="none" w:sz="0" w:space="0" w:color="auto"/>
      </w:divBdr>
    </w:div>
    <w:div w:id="1362125813">
      <w:bodyDiv w:val="1"/>
      <w:marLeft w:val="0"/>
      <w:marRight w:val="0"/>
      <w:marTop w:val="0"/>
      <w:marBottom w:val="0"/>
      <w:divBdr>
        <w:top w:val="none" w:sz="0" w:space="0" w:color="auto"/>
        <w:left w:val="none" w:sz="0" w:space="0" w:color="auto"/>
        <w:bottom w:val="none" w:sz="0" w:space="0" w:color="auto"/>
        <w:right w:val="none" w:sz="0" w:space="0" w:color="auto"/>
      </w:divBdr>
    </w:div>
    <w:div w:id="1499341988">
      <w:bodyDiv w:val="1"/>
      <w:marLeft w:val="0"/>
      <w:marRight w:val="0"/>
      <w:marTop w:val="0"/>
      <w:marBottom w:val="0"/>
      <w:divBdr>
        <w:top w:val="none" w:sz="0" w:space="0" w:color="auto"/>
        <w:left w:val="none" w:sz="0" w:space="0" w:color="auto"/>
        <w:bottom w:val="none" w:sz="0" w:space="0" w:color="auto"/>
        <w:right w:val="none" w:sz="0" w:space="0" w:color="auto"/>
      </w:divBdr>
    </w:div>
    <w:div w:id="1743598652">
      <w:bodyDiv w:val="1"/>
      <w:marLeft w:val="0"/>
      <w:marRight w:val="0"/>
      <w:marTop w:val="0"/>
      <w:marBottom w:val="0"/>
      <w:divBdr>
        <w:top w:val="none" w:sz="0" w:space="0" w:color="auto"/>
        <w:left w:val="none" w:sz="0" w:space="0" w:color="auto"/>
        <w:bottom w:val="none" w:sz="0" w:space="0" w:color="auto"/>
        <w:right w:val="none" w:sz="0" w:space="0" w:color="auto"/>
      </w:divBdr>
    </w:div>
    <w:div w:id="1904020787">
      <w:bodyDiv w:val="1"/>
      <w:marLeft w:val="0"/>
      <w:marRight w:val="0"/>
      <w:marTop w:val="0"/>
      <w:marBottom w:val="0"/>
      <w:divBdr>
        <w:top w:val="none" w:sz="0" w:space="0" w:color="auto"/>
        <w:left w:val="none" w:sz="0" w:space="0" w:color="auto"/>
        <w:bottom w:val="none" w:sz="0" w:space="0" w:color="auto"/>
        <w:right w:val="none" w:sz="0" w:space="0" w:color="auto"/>
      </w:divBdr>
    </w:div>
    <w:div w:id="1982692378">
      <w:bodyDiv w:val="1"/>
      <w:marLeft w:val="0"/>
      <w:marRight w:val="0"/>
      <w:marTop w:val="0"/>
      <w:marBottom w:val="0"/>
      <w:divBdr>
        <w:top w:val="none" w:sz="0" w:space="0" w:color="auto"/>
        <w:left w:val="none" w:sz="0" w:space="0" w:color="auto"/>
        <w:bottom w:val="none" w:sz="0" w:space="0" w:color="auto"/>
        <w:right w:val="none" w:sz="0" w:space="0" w:color="auto"/>
      </w:divBdr>
    </w:div>
    <w:div w:id="1986665818">
      <w:bodyDiv w:val="1"/>
      <w:marLeft w:val="0"/>
      <w:marRight w:val="0"/>
      <w:marTop w:val="0"/>
      <w:marBottom w:val="0"/>
      <w:divBdr>
        <w:top w:val="none" w:sz="0" w:space="0" w:color="auto"/>
        <w:left w:val="none" w:sz="0" w:space="0" w:color="auto"/>
        <w:bottom w:val="none" w:sz="0" w:space="0" w:color="auto"/>
        <w:right w:val="none" w:sz="0" w:space="0" w:color="auto"/>
      </w:divBdr>
    </w:div>
    <w:div w:id="2057972699">
      <w:bodyDiv w:val="1"/>
      <w:marLeft w:val="0"/>
      <w:marRight w:val="0"/>
      <w:marTop w:val="0"/>
      <w:marBottom w:val="0"/>
      <w:divBdr>
        <w:top w:val="none" w:sz="0" w:space="0" w:color="auto"/>
        <w:left w:val="none" w:sz="0" w:space="0" w:color="auto"/>
        <w:bottom w:val="none" w:sz="0" w:space="0" w:color="auto"/>
        <w:right w:val="none" w:sz="0" w:space="0" w:color="auto"/>
      </w:divBdr>
    </w:div>
    <w:div w:id="21345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ewsroom.sprint.com/news-releases/customers-score-big-as-sprint-provides-exclusive-free-access-with-no-data-charges-to-every-live-match-of-2016-copa-amrica-centenario-with-fubotv.htm" TargetMode="External"/><Relationship Id="rId13" Type="http://schemas.openxmlformats.org/officeDocument/2006/relationships/hyperlink" Target="http://www.verizonwireless.com/landingpages/go90/" TargetMode="External"/><Relationship Id="rId18" Type="http://schemas.openxmlformats.org/officeDocument/2006/relationships/hyperlink" Target="https://support.t-mobile.com/docs/DOC-24294" TargetMode="External"/><Relationship Id="rId26" Type="http://schemas.openxmlformats.org/officeDocument/2006/relationships/hyperlink" Target="http://www.verizon.com/about/news/introducing-freebee-data-new-sponsored-data-service-verizon" TargetMode="External"/><Relationship Id="rId39" Type="http://schemas.openxmlformats.org/officeDocument/2006/relationships/hyperlink" Target="https://apps.fcc.gov/edocs_public/attachmatch/DOC-342944A1.pdf" TargetMode="External"/><Relationship Id="rId3" Type="http://schemas.openxmlformats.org/officeDocument/2006/relationships/hyperlink" Target="https://newsroom.t-mobile.com/news-and-blogs/rip-data-plans.htm" TargetMode="External"/><Relationship Id="rId21" Type="http://schemas.openxmlformats.org/officeDocument/2006/relationships/hyperlink" Target="https://www.att.com/gen/press-room?pid=25183&amp;cdvn=news&amp;newsarticleid=37366" TargetMode="External"/><Relationship Id="rId34" Type="http://schemas.openxmlformats.org/officeDocument/2006/relationships/hyperlink" Target="https://apps.fcc.gov/edocs_public/attachmatch/DOC-342939A1.pdf" TargetMode="External"/><Relationship Id="rId42" Type="http://schemas.openxmlformats.org/officeDocument/2006/relationships/hyperlink" Target="http://about.att.com/story/att_offers_three_ways_to_stream_premium_video_content.html" TargetMode="External"/><Relationship Id="rId7" Type="http://schemas.openxmlformats.org/officeDocument/2006/relationships/hyperlink" Target="https://support.sprint.com/support/article/Sprint-Launches-Unlimited-Freedom/0db2c4e7-3a6a-4d46-9dff-84cd6c402527" TargetMode="External"/><Relationship Id="rId12" Type="http://schemas.openxmlformats.org/officeDocument/2006/relationships/hyperlink" Target="http://www.verizon.com/about/news/introducing-freebee-data-new-sponsored-data-service-verizon" TargetMode="External"/><Relationship Id="rId17" Type="http://schemas.openxmlformats.org/officeDocument/2006/relationships/hyperlink" Target="https://newsroom.t-mobile.com/media-kits/un-carrier-x.htm" TargetMode="External"/><Relationship Id="rId25" Type="http://schemas.openxmlformats.org/officeDocument/2006/relationships/hyperlink" Target="https://apps.fcc.gov/edocs_public/attachmatch/DOC-342940A1.pdf" TargetMode="External"/><Relationship Id="rId33" Type="http://schemas.openxmlformats.org/officeDocument/2006/relationships/hyperlink" Target="http://www.att.com/att/dataperks/en/index.html" TargetMode="External"/><Relationship Id="rId38" Type="http://schemas.openxmlformats.org/officeDocument/2006/relationships/hyperlink" Target="http://www.theverge.com/2016/12/29/14118134/directv-now-100-channels-35-deal-ends-january-9" TargetMode="External"/><Relationship Id="rId2" Type="http://schemas.openxmlformats.org/officeDocument/2006/relationships/hyperlink" Target="https://explore.t-mobile.com/t-mobile-one?icid=WMM_TM_HMPGRDSGNA_FLRTJFSULP95838" TargetMode="External"/><Relationship Id="rId16" Type="http://schemas.openxmlformats.org/officeDocument/2006/relationships/hyperlink" Target="https://www.t-mobile.com/offer/binge-on-streaming-video.html" TargetMode="External"/><Relationship Id="rId20" Type="http://schemas.openxmlformats.org/officeDocument/2006/relationships/hyperlink" Target="http://www.att.com/att/dataperks/en/index.html" TargetMode="External"/><Relationship Id="rId29" Type="http://schemas.openxmlformats.org/officeDocument/2006/relationships/hyperlink" Target="http://www.theverge.com/2016/1/28/10859920/t-mobile-binge-on-adds-amazon-video-wwe-fox-news" TargetMode="External"/><Relationship Id="rId41" Type="http://schemas.openxmlformats.org/officeDocument/2006/relationships/hyperlink" Target="https://www.go90.com/about-us" TargetMode="External"/><Relationship Id="rId1" Type="http://schemas.openxmlformats.org/officeDocument/2006/relationships/hyperlink" Target="https://newsroom.t-mobile.com/news-and-blogs/binge-on-100-providers.htm" TargetMode="External"/><Relationship Id="rId6" Type="http://schemas.openxmlformats.org/officeDocument/2006/relationships/hyperlink" Target="https://www.sprint.com/landings/unlimited-cell-phone-plans/index.html" TargetMode="External"/><Relationship Id="rId11" Type="http://schemas.openxmlformats.org/officeDocument/2006/relationships/hyperlink" Target="http://about.att.com/story/att_offers_three_ways_to_stream_premium_video_content.html" TargetMode="External"/><Relationship Id="rId24" Type="http://schemas.openxmlformats.org/officeDocument/2006/relationships/hyperlink" Target="http://about.att.com/story/att_offers_three_ways_to_stream_premium_video_content.html" TargetMode="External"/><Relationship Id="rId32" Type="http://schemas.openxmlformats.org/officeDocument/2006/relationships/hyperlink" Target="https://newsroom.t-mobile.com/media-kits/un-carrier-x.htm" TargetMode="External"/><Relationship Id="rId37" Type="http://schemas.openxmlformats.org/officeDocument/2006/relationships/hyperlink" Target="http://www.broadcastingcable.com/news/currency/att-sets-launch-event-streaming-directv-now/161270" TargetMode="External"/><Relationship Id="rId40" Type="http://schemas.openxmlformats.org/officeDocument/2006/relationships/hyperlink" Target="https://apps.fcc.gov/edocs_public/attachmatch/DOC-342943A1.pdf" TargetMode="External"/><Relationship Id="rId5" Type="http://schemas.openxmlformats.org/officeDocument/2006/relationships/hyperlink" Target="https://newsroom.t-mobile.com/news-and-blogs/t-mobile-shakes-things-up-with-t-mobile-one-plus.htm" TargetMode="External"/><Relationship Id="rId15" Type="http://schemas.openxmlformats.org/officeDocument/2006/relationships/hyperlink" Target="https://newsroom.t-mobile.com/news-and-blogs/rip-data-plans.htm" TargetMode="External"/><Relationship Id="rId23" Type="http://schemas.openxmlformats.org/officeDocument/2006/relationships/hyperlink" Target="http://www.att.com/att/sponsoreddata/en/index.html" TargetMode="External"/><Relationship Id="rId28" Type="http://schemas.openxmlformats.org/officeDocument/2006/relationships/hyperlink" Target="https://www.verizonwireless.com/support/go90-faqs/" TargetMode="External"/><Relationship Id="rId36" Type="http://schemas.openxmlformats.org/officeDocument/2006/relationships/hyperlink" Target="https://apps.fcc.gov/edocs_public/attachmatch/DOC-342942A1.pdf" TargetMode="External"/><Relationship Id="rId10" Type="http://schemas.openxmlformats.org/officeDocument/2006/relationships/hyperlink" Target="http://about.att.com/story/watch_it_anywhere_with_att_directv.html" TargetMode="External"/><Relationship Id="rId19" Type="http://schemas.openxmlformats.org/officeDocument/2006/relationships/hyperlink" Target="http://abc7chicago.com/news/one-size-fits-all-t-mobile-says-umlimited-plans-will-be-only-option/1690368" TargetMode="External"/><Relationship Id="rId31" Type="http://schemas.openxmlformats.org/officeDocument/2006/relationships/hyperlink" Target="https://newsroom.t-mobile.com/news-and-blogs/binge-on-100-providers.htm" TargetMode="External"/><Relationship Id="rId4" Type="http://schemas.openxmlformats.org/officeDocument/2006/relationships/hyperlink" Target="https://newsroom.t-mobile.com/news-and-blogs/t-mobile-one-amped.htm" TargetMode="External"/><Relationship Id="rId9" Type="http://schemas.openxmlformats.org/officeDocument/2006/relationships/hyperlink" Target="https://www.att.com/shop/wireless/unlimited-plan.html" TargetMode="External"/><Relationship Id="rId14" Type="http://schemas.openxmlformats.org/officeDocument/2006/relationships/hyperlink" Target="https://www.verizonwireless.com/support/go90-faqs/" TargetMode="External"/><Relationship Id="rId22" Type="http://schemas.openxmlformats.org/officeDocument/2006/relationships/hyperlink" Target="http://www.cheatsheet.com/business/heres-why-no-one-is-buying-into-atts-sponsored-data-plan.html" TargetMode="External"/><Relationship Id="rId27" Type="http://schemas.openxmlformats.org/officeDocument/2006/relationships/hyperlink" Target="http://freebee.verizonwireless.com/business/support/faqs" TargetMode="External"/><Relationship Id="rId30" Type="http://schemas.openxmlformats.org/officeDocument/2006/relationships/hyperlink" Target="https://support.t-mobile.com/docs/DOC-24294" TargetMode="External"/><Relationship Id="rId35" Type="http://schemas.openxmlformats.org/officeDocument/2006/relationships/hyperlink" Target="https://apps.fcc.gov/edocs_public/attachmatch/DOC-342941A1.pdf" TargetMode="External"/><Relationship Id="rId43" Type="http://schemas.openxmlformats.org/officeDocument/2006/relationships/hyperlink" Target="http://www.nytimes.com/2016/11/28/business/media/att-appeals-to-cord-cutters-with-directv-now-a-new-streaming-service.html?_r=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5699</Words>
  <Characters>32912</Characters>
  <Application>Microsoft Office Word</Application>
  <DocSecurity>0</DocSecurity>
  <Lines>474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2017-01-11T16:39:00Z</cp:lastPrinted>
  <dcterms:created xsi:type="dcterms:W3CDTF">2017-01-11T17:23:00Z</dcterms:created>
  <dcterms:modified xsi:type="dcterms:W3CDTF">2017-01-11T17:23:00Z</dcterms:modified>
  <cp:category> </cp:category>
  <cp:contentStatus> </cp:contentStatus>
</cp:coreProperties>
</file>