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79634E" w:rsidRPr="008A3F9A" w:rsidRDefault="0079634E" w:rsidP="0079634E">
      <w:pPr>
        <w:spacing w:after="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634E" w:rsidTr="00F9520A">
        <w:tc>
          <w:tcPr>
            <w:tcW w:w="4675" w:type="dxa"/>
          </w:tcPr>
          <w:p w:rsidR="0079634E" w:rsidRPr="008A3F9A" w:rsidRDefault="0079634E" w:rsidP="00F9520A">
            <w:pPr>
              <w:spacing w:after="0"/>
              <w:rPr>
                <w:bCs/>
                <w:szCs w:val="22"/>
              </w:rPr>
            </w:pPr>
            <w:r>
              <w:rPr>
                <w:b/>
                <w:bCs/>
                <w:szCs w:val="22"/>
              </w:rPr>
              <w:t>Media Contacts:</w:t>
            </w:r>
          </w:p>
          <w:p w:rsidR="0079634E" w:rsidRDefault="0079634E" w:rsidP="00F9520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79634E" w:rsidRDefault="0079634E" w:rsidP="00F9520A">
            <w:pPr>
              <w:spacing w:after="0"/>
              <w:rPr>
                <w:b/>
                <w:bCs/>
                <w:szCs w:val="22"/>
              </w:rPr>
            </w:pPr>
            <w:r>
              <w:rPr>
                <w:bCs/>
                <w:szCs w:val="22"/>
              </w:rPr>
              <w:t>matthew.berry</w:t>
            </w:r>
            <w:r w:rsidRPr="008A3940">
              <w:rPr>
                <w:bCs/>
                <w:szCs w:val="22"/>
              </w:rPr>
              <w:t>@fcc.gov</w:t>
            </w:r>
          </w:p>
        </w:tc>
        <w:tc>
          <w:tcPr>
            <w:tcW w:w="4675" w:type="dxa"/>
          </w:tcPr>
          <w:p w:rsidR="0079634E" w:rsidRDefault="0079634E" w:rsidP="00F9520A">
            <w:pPr>
              <w:spacing w:after="0"/>
              <w:rPr>
                <w:b/>
                <w:bCs/>
                <w:szCs w:val="22"/>
              </w:rPr>
            </w:pPr>
          </w:p>
          <w:p w:rsidR="0079634E" w:rsidRDefault="0079634E" w:rsidP="00F9520A">
            <w:pPr>
              <w:spacing w:after="0"/>
              <w:rPr>
                <w:bCs/>
                <w:szCs w:val="22"/>
              </w:rPr>
            </w:pPr>
            <w:r>
              <w:rPr>
                <w:bCs/>
                <w:szCs w:val="22"/>
              </w:rPr>
              <w:t>Robin Colwell, (202) 418-2013</w:t>
            </w:r>
          </w:p>
          <w:p w:rsidR="0079634E" w:rsidRDefault="0079634E" w:rsidP="00F9520A">
            <w:pPr>
              <w:spacing w:after="0"/>
              <w:rPr>
                <w:b/>
                <w:bCs/>
                <w:szCs w:val="22"/>
              </w:rPr>
            </w:pPr>
            <w:r>
              <w:rPr>
                <w:bCs/>
                <w:szCs w:val="22"/>
              </w:rPr>
              <w:t>robin.colwell@fcc.gov</w:t>
            </w:r>
          </w:p>
        </w:tc>
      </w:tr>
      <w:tr w:rsidR="0079634E" w:rsidTr="00F9520A">
        <w:tc>
          <w:tcPr>
            <w:tcW w:w="4675" w:type="dxa"/>
          </w:tcPr>
          <w:p w:rsidR="0079634E" w:rsidRDefault="0079634E" w:rsidP="00F9520A">
            <w:pPr>
              <w:spacing w:after="0"/>
              <w:rPr>
                <w:b/>
                <w:bCs/>
                <w:szCs w:val="22"/>
              </w:rPr>
            </w:pPr>
          </w:p>
        </w:tc>
        <w:tc>
          <w:tcPr>
            <w:tcW w:w="4675" w:type="dxa"/>
          </w:tcPr>
          <w:p w:rsidR="0079634E" w:rsidRDefault="0079634E" w:rsidP="00F9520A">
            <w:pPr>
              <w:spacing w:after="0"/>
              <w:rPr>
                <w:b/>
                <w:bCs/>
                <w:szCs w:val="22"/>
              </w:rPr>
            </w:pPr>
          </w:p>
        </w:tc>
      </w:tr>
    </w:tbl>
    <w:p w:rsidR="0079634E" w:rsidRPr="008A3940" w:rsidRDefault="0079634E" w:rsidP="0079634E">
      <w:pPr>
        <w:spacing w:after="0"/>
        <w:rPr>
          <w:bCs/>
          <w:szCs w:val="22"/>
        </w:rPr>
      </w:pPr>
    </w:p>
    <w:p w:rsidR="0079634E" w:rsidRPr="008A3F9A" w:rsidRDefault="0079634E" w:rsidP="0079634E">
      <w:pPr>
        <w:spacing w:after="0"/>
        <w:rPr>
          <w:szCs w:val="22"/>
        </w:rPr>
      </w:pPr>
      <w:r w:rsidRPr="00FB6D4F">
        <w:rPr>
          <w:b/>
          <w:szCs w:val="22"/>
        </w:rPr>
        <w:t>For Immediate Release</w:t>
      </w:r>
    </w:p>
    <w:p w:rsidR="0079634E" w:rsidRPr="008A3F9A" w:rsidRDefault="0079634E" w:rsidP="0079634E">
      <w:pPr>
        <w:spacing w:after="0"/>
        <w:rPr>
          <w:szCs w:val="22"/>
        </w:rPr>
      </w:pPr>
    </w:p>
    <w:p w:rsidR="0079634E" w:rsidRPr="00FB6D4F" w:rsidRDefault="0079634E" w:rsidP="0079634E">
      <w:pPr>
        <w:tabs>
          <w:tab w:val="left" w:pos="8625"/>
        </w:tabs>
        <w:spacing w:after="240"/>
        <w:jc w:val="center"/>
        <w:rPr>
          <w:i/>
        </w:rPr>
      </w:pPr>
      <w:r>
        <w:rPr>
          <w:b/>
          <w:bCs/>
          <w:sz w:val="26"/>
          <w:szCs w:val="26"/>
        </w:rPr>
        <w:t>STATEMENT OF COMMISSIONERS AJIT PAI AND MICHAEL O’RIELLY</w:t>
      </w:r>
      <w:r>
        <w:rPr>
          <w:b/>
          <w:bCs/>
          <w:sz w:val="26"/>
          <w:szCs w:val="26"/>
        </w:rPr>
        <w:br/>
      </w:r>
      <w:r>
        <w:rPr>
          <w:b/>
          <w:bCs/>
          <w:i/>
        </w:rPr>
        <w:t xml:space="preserve">On Protecting </w:t>
      </w:r>
      <w:r w:rsidR="00061870">
        <w:rPr>
          <w:b/>
          <w:bCs/>
          <w:i/>
        </w:rPr>
        <w:t>Noncommercial Education</w:t>
      </w:r>
      <w:r w:rsidR="00513F98">
        <w:rPr>
          <w:b/>
          <w:bCs/>
          <w:i/>
        </w:rPr>
        <w:t>al</w:t>
      </w:r>
      <w:r w:rsidR="00061870">
        <w:rPr>
          <w:b/>
          <w:bCs/>
          <w:i/>
        </w:rPr>
        <w:t xml:space="preserve"> Broadcasters</w:t>
      </w:r>
      <w:r>
        <w:rPr>
          <w:b/>
          <w:bCs/>
          <w:i/>
        </w:rPr>
        <w:t xml:space="preserve"> from Needless Regulation</w:t>
      </w:r>
    </w:p>
    <w:p w:rsidR="0079634E" w:rsidRDefault="0079634E" w:rsidP="0079634E">
      <w:pPr>
        <w:rPr>
          <w:szCs w:val="22"/>
        </w:rPr>
      </w:pPr>
      <w:r w:rsidRPr="00FB6D4F">
        <w:rPr>
          <w:szCs w:val="22"/>
        </w:rPr>
        <w:t xml:space="preserve">WASHINGTON, </w:t>
      </w:r>
      <w:r w:rsidR="00061870">
        <w:rPr>
          <w:szCs w:val="22"/>
        </w:rPr>
        <w:t>January 4</w:t>
      </w:r>
      <w:r w:rsidRPr="00FB6D4F">
        <w:rPr>
          <w:szCs w:val="22"/>
        </w:rPr>
        <w:t>, 201</w:t>
      </w:r>
      <w:r w:rsidR="00061870">
        <w:rPr>
          <w:szCs w:val="22"/>
        </w:rPr>
        <w:t>7</w:t>
      </w:r>
      <w:r w:rsidRPr="00FB6D4F">
        <w:rPr>
          <w:szCs w:val="22"/>
        </w:rPr>
        <w:t>.—</w:t>
      </w:r>
      <w:r w:rsidR="00061870">
        <w:t>W</w:t>
      </w:r>
      <w:r w:rsidR="00061870" w:rsidRPr="00061870">
        <w:rPr>
          <w:szCs w:val="22"/>
        </w:rPr>
        <w:t>e strongly object to the Media Bureau’s decision today to resolve the petitions for reconsideration of the Commission’s decision last year to impose unnecessary reporting requirements on noncommercial educational (NCE) television stations.  The Commission’s ruling no longer enjoys the support of the majority of Commissioners—nor is there a majority that supports today’s Media Bureau decision—so it was wrong for the Bureau to bypass Commissioners and reaffirm these reporting requirements unilaterally.  And making matters worse, the Bureau gave no notice to Commissioners of its decision, leaving our offices to find out about its order from the press.  This basic lack of comity is unacceptable in any situation, but is especially unfortunate during a transition between Administrations.  Procedurally, it’s just another example showing why the Commission’s use of delegated authority needs to be fixed.</w:t>
      </w:r>
    </w:p>
    <w:p w:rsidR="0079634E" w:rsidRPr="00F54738" w:rsidRDefault="00061870" w:rsidP="0079634E">
      <w:pPr>
        <w:ind w:firstLine="720"/>
        <w:rPr>
          <w:szCs w:val="22"/>
        </w:rPr>
      </w:pPr>
      <w:r w:rsidRPr="00061870">
        <w:rPr>
          <w:szCs w:val="22"/>
        </w:rPr>
        <w:t>The good news is that today’s decision need not be the final word.  We encourage public broadcasters to file an application for review so that the newly constituted Commission will have an opportunity to revisit this matter.  It is pointless to require board members of NCE stations to report sensitive personal information (like the last four digits of individual Social Security numbers) to the Commission and will only serve to discourage these volunteers from serving their communities.  This is why public broadcasters from at least two-thirds of the states have sought relief from the Commission.  We hope that we will be in a position to respond to their call soon.</w:t>
      </w:r>
    </w:p>
    <w:p w:rsidR="0079634E" w:rsidRPr="00FB6D4F" w:rsidRDefault="0079634E" w:rsidP="0079634E">
      <w:pPr>
        <w:rPr>
          <w:szCs w:val="22"/>
        </w:rPr>
      </w:pPr>
    </w:p>
    <w:p w:rsidR="0079634E" w:rsidRPr="008A3F9A" w:rsidRDefault="0079634E" w:rsidP="0079634E">
      <w:pPr>
        <w:jc w:val="center"/>
        <w:rPr>
          <w:sz w:val="18"/>
          <w:szCs w:val="18"/>
        </w:rPr>
      </w:pPr>
      <w:r w:rsidRPr="008A3F9A">
        <w:rPr>
          <w:sz w:val="18"/>
          <w:szCs w:val="18"/>
        </w:rPr>
        <w:t>###</w:t>
      </w:r>
    </w:p>
    <w:p w:rsidR="0079634E" w:rsidRDefault="0079634E" w:rsidP="0079634E">
      <w:pPr>
        <w:spacing w:after="0"/>
        <w:jc w:val="center"/>
        <w:rPr>
          <w:b/>
          <w:bCs/>
          <w:sz w:val="18"/>
          <w:szCs w:val="18"/>
        </w:rPr>
      </w:pPr>
      <w:r w:rsidRPr="008A3F9A">
        <w:rPr>
          <w:b/>
          <w:bCs/>
          <w:sz w:val="18"/>
          <w:szCs w:val="18"/>
        </w:rPr>
        <w:t>Office of Commissioner Ajit Pai: (202) 418-2000</w:t>
      </w:r>
    </w:p>
    <w:p w:rsidR="0079634E" w:rsidRDefault="0079634E" w:rsidP="0079634E">
      <w:pPr>
        <w:spacing w:after="0"/>
        <w:jc w:val="center"/>
        <w:rPr>
          <w:b/>
          <w:bCs/>
          <w:sz w:val="18"/>
          <w:szCs w:val="18"/>
        </w:rPr>
      </w:pPr>
      <w:r w:rsidRPr="008A3F9A">
        <w:rPr>
          <w:b/>
          <w:bCs/>
          <w:sz w:val="18"/>
          <w:szCs w:val="18"/>
        </w:rPr>
        <w:t>Twitter: @AjitPaiFCC</w:t>
      </w:r>
    </w:p>
    <w:p w:rsidR="0079634E" w:rsidRDefault="009756A5" w:rsidP="0079634E">
      <w:pPr>
        <w:spacing w:after="0"/>
        <w:jc w:val="center"/>
        <w:rPr>
          <w:b/>
          <w:bCs/>
          <w:sz w:val="18"/>
          <w:szCs w:val="18"/>
        </w:rPr>
      </w:pPr>
      <w:hyperlink r:id="rId9" w:history="1">
        <w:r w:rsidR="0079634E" w:rsidRPr="008A3F9A">
          <w:rPr>
            <w:b/>
            <w:bCs/>
            <w:sz w:val="18"/>
            <w:szCs w:val="18"/>
          </w:rPr>
          <w:t>www.fcc.gov/leadership/ajit-pai</w:t>
        </w:r>
      </w:hyperlink>
    </w:p>
    <w:p w:rsidR="0079634E" w:rsidRDefault="0079634E" w:rsidP="0079634E">
      <w:pPr>
        <w:spacing w:after="0"/>
        <w:jc w:val="center"/>
        <w:rPr>
          <w:b/>
          <w:bCs/>
          <w:sz w:val="18"/>
          <w:szCs w:val="18"/>
        </w:rPr>
      </w:pPr>
    </w:p>
    <w:p w:rsidR="0079634E" w:rsidRDefault="0079634E" w:rsidP="0079634E">
      <w:pPr>
        <w:spacing w:after="0"/>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79634E" w:rsidRDefault="0079634E" w:rsidP="0079634E">
      <w:pPr>
        <w:spacing w:after="0"/>
        <w:jc w:val="center"/>
        <w:rPr>
          <w:b/>
          <w:bCs/>
          <w:sz w:val="18"/>
          <w:szCs w:val="18"/>
        </w:rPr>
      </w:pPr>
      <w:r>
        <w:rPr>
          <w:b/>
          <w:bCs/>
          <w:sz w:val="18"/>
          <w:szCs w:val="18"/>
        </w:rPr>
        <w:t>Twitter: @MikeO</w:t>
      </w:r>
      <w:r w:rsidRPr="008A3F9A">
        <w:rPr>
          <w:b/>
          <w:bCs/>
          <w:sz w:val="18"/>
          <w:szCs w:val="18"/>
        </w:rPr>
        <w:t>FCC</w:t>
      </w:r>
    </w:p>
    <w:p w:rsidR="0079634E" w:rsidRPr="008A3F9A" w:rsidRDefault="0079634E" w:rsidP="0079634E">
      <w:pPr>
        <w:spacing w:after="0"/>
        <w:jc w:val="center"/>
        <w:rPr>
          <w:b/>
          <w:bCs/>
          <w:sz w:val="18"/>
          <w:szCs w:val="18"/>
        </w:rPr>
      </w:pPr>
      <w:r w:rsidRPr="00F20FEE">
        <w:rPr>
          <w:b/>
          <w:bCs/>
          <w:sz w:val="18"/>
          <w:szCs w:val="18"/>
        </w:rPr>
        <w:t>www.fcc.gov/leadership/michael-orielly</w:t>
      </w:r>
    </w:p>
    <w:p w:rsidR="0079634E" w:rsidRPr="008A3F9A" w:rsidRDefault="0079634E" w:rsidP="0079634E">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9B" w:rsidRDefault="0020359B" w:rsidP="0020359B">
      <w:pPr>
        <w:spacing w:after="0"/>
      </w:pPr>
      <w:r>
        <w:separator/>
      </w:r>
    </w:p>
  </w:endnote>
  <w:endnote w:type="continuationSeparator" w:id="0">
    <w:p w:rsidR="0020359B" w:rsidRDefault="0020359B" w:rsidP="002035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B" w:rsidRDefault="00203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B" w:rsidRDefault="00203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B" w:rsidRDefault="0020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9B" w:rsidRDefault="0020359B" w:rsidP="0020359B">
      <w:pPr>
        <w:spacing w:after="0"/>
      </w:pPr>
      <w:r>
        <w:separator/>
      </w:r>
    </w:p>
  </w:footnote>
  <w:footnote w:type="continuationSeparator" w:id="0">
    <w:p w:rsidR="0020359B" w:rsidRDefault="0020359B" w:rsidP="002035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B" w:rsidRDefault="00203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B" w:rsidRDefault="00203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B" w:rsidRDefault="00203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61870"/>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59B"/>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3F98"/>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9634E"/>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756A5"/>
    <w:rsid w:val="0098096F"/>
    <w:rsid w:val="0098390B"/>
    <w:rsid w:val="0098437A"/>
    <w:rsid w:val="00986C92"/>
    <w:rsid w:val="00993C47"/>
    <w:rsid w:val="009B4B16"/>
    <w:rsid w:val="009E54A1"/>
    <w:rsid w:val="009F4E25"/>
    <w:rsid w:val="009F5B1F"/>
    <w:rsid w:val="00A21F07"/>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table" w:styleId="TableGrid">
    <w:name w:val="Table Grid"/>
    <w:basedOn w:val="TableNormal"/>
    <w:rsid w:val="00796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0359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0359B"/>
    <w:rPr>
      <w:rFonts w:ascii="Tahoma" w:hAnsi="Tahoma" w:cs="Tahoma"/>
      <w:sz w:val="16"/>
      <w:szCs w:val="16"/>
    </w:rPr>
  </w:style>
  <w:style w:type="paragraph" w:styleId="Header">
    <w:name w:val="header"/>
    <w:basedOn w:val="Normal"/>
    <w:link w:val="HeaderChar"/>
    <w:unhideWhenUsed/>
    <w:rsid w:val="0020359B"/>
    <w:pPr>
      <w:tabs>
        <w:tab w:val="center" w:pos="4680"/>
        <w:tab w:val="right" w:pos="9360"/>
      </w:tabs>
      <w:spacing w:after="0"/>
    </w:pPr>
  </w:style>
  <w:style w:type="character" w:customStyle="1" w:styleId="HeaderChar">
    <w:name w:val="Header Char"/>
    <w:basedOn w:val="DefaultParagraphFont"/>
    <w:link w:val="Header"/>
    <w:rsid w:val="0020359B"/>
    <w:rPr>
      <w:sz w:val="22"/>
      <w:szCs w:val="24"/>
    </w:rPr>
  </w:style>
  <w:style w:type="paragraph" w:styleId="Footer">
    <w:name w:val="footer"/>
    <w:basedOn w:val="Normal"/>
    <w:link w:val="FooterChar"/>
    <w:unhideWhenUsed/>
    <w:rsid w:val="0020359B"/>
    <w:pPr>
      <w:tabs>
        <w:tab w:val="center" w:pos="4680"/>
        <w:tab w:val="right" w:pos="9360"/>
      </w:tabs>
      <w:spacing w:after="0"/>
    </w:pPr>
  </w:style>
  <w:style w:type="character" w:customStyle="1" w:styleId="FooterChar">
    <w:name w:val="Footer Char"/>
    <w:basedOn w:val="DefaultParagraphFont"/>
    <w:link w:val="Footer"/>
    <w:rsid w:val="0020359B"/>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table" w:styleId="TableGrid">
    <w:name w:val="Table Grid"/>
    <w:basedOn w:val="TableNormal"/>
    <w:rsid w:val="00796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0359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0359B"/>
    <w:rPr>
      <w:rFonts w:ascii="Tahoma" w:hAnsi="Tahoma" w:cs="Tahoma"/>
      <w:sz w:val="16"/>
      <w:szCs w:val="16"/>
    </w:rPr>
  </w:style>
  <w:style w:type="paragraph" w:styleId="Header">
    <w:name w:val="header"/>
    <w:basedOn w:val="Normal"/>
    <w:link w:val="HeaderChar"/>
    <w:unhideWhenUsed/>
    <w:rsid w:val="0020359B"/>
    <w:pPr>
      <w:tabs>
        <w:tab w:val="center" w:pos="4680"/>
        <w:tab w:val="right" w:pos="9360"/>
      </w:tabs>
      <w:spacing w:after="0"/>
    </w:pPr>
  </w:style>
  <w:style w:type="character" w:customStyle="1" w:styleId="HeaderChar">
    <w:name w:val="Header Char"/>
    <w:basedOn w:val="DefaultParagraphFont"/>
    <w:link w:val="Header"/>
    <w:rsid w:val="0020359B"/>
    <w:rPr>
      <w:sz w:val="22"/>
      <w:szCs w:val="24"/>
    </w:rPr>
  </w:style>
  <w:style w:type="paragraph" w:styleId="Footer">
    <w:name w:val="footer"/>
    <w:basedOn w:val="Normal"/>
    <w:link w:val="FooterChar"/>
    <w:unhideWhenUsed/>
    <w:rsid w:val="0020359B"/>
    <w:pPr>
      <w:tabs>
        <w:tab w:val="center" w:pos="4680"/>
        <w:tab w:val="right" w:pos="9360"/>
      </w:tabs>
      <w:spacing w:after="0"/>
    </w:pPr>
  </w:style>
  <w:style w:type="character" w:customStyle="1" w:styleId="FooterChar">
    <w:name w:val="Footer Char"/>
    <w:basedOn w:val="DefaultParagraphFont"/>
    <w:link w:val="Footer"/>
    <w:rsid w:val="0020359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1950</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2017-01-04T21:54:00Z</dcterms:created>
  <dcterms:modified xsi:type="dcterms:W3CDTF">2017-01-04T21:54:00Z</dcterms:modified>
  <cp:category> </cp:category>
  <cp:contentStatus> </cp:contentStatus>
</cp:coreProperties>
</file>