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173388">
        <w:rPr>
          <w:szCs w:val="22"/>
        </w:rPr>
        <w:t>ORTH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A2410B">
        <w:rPr>
          <w:szCs w:val="22"/>
        </w:rPr>
        <w:t>7</w:t>
      </w:r>
      <w:r>
        <w:rPr>
          <w:szCs w:val="22"/>
        </w:rPr>
        <w:t>-</w:t>
      </w:r>
      <w:r w:rsidR="005E08D5">
        <w:rPr>
          <w:szCs w:val="22"/>
        </w:rPr>
        <w:t>1</w:t>
      </w:r>
      <w:r w:rsidR="0051473A">
        <w:rPr>
          <w:szCs w:val="22"/>
        </w:rPr>
        <w:tab/>
      </w:r>
      <w:r w:rsidR="0051473A">
        <w:rPr>
          <w:szCs w:val="22"/>
        </w:rPr>
        <w:tab/>
      </w:r>
      <w:r w:rsidR="0051473A">
        <w:rPr>
          <w:szCs w:val="22"/>
        </w:rPr>
        <w:tab/>
      </w:r>
      <w:r w:rsidR="0051473A">
        <w:rPr>
          <w:szCs w:val="22"/>
        </w:rPr>
        <w:tab/>
      </w:r>
      <w:r w:rsidR="0051473A">
        <w:rPr>
          <w:szCs w:val="22"/>
        </w:rPr>
        <w:tab/>
        <w:t xml:space="preserve">    </w:t>
      </w:r>
      <w:r w:rsidR="00A2410B">
        <w:rPr>
          <w:szCs w:val="22"/>
        </w:rPr>
        <w:t xml:space="preserve">        January 3</w:t>
      </w:r>
      <w:r w:rsidR="00A33DB7">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51473A">
        <w:rPr>
          <w:szCs w:val="22"/>
        </w:rPr>
        <w:t>620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34449">
        <w:rPr>
          <w:szCs w:val="22"/>
        </w:rPr>
        <w:t>N</w:t>
      </w:r>
      <w:r w:rsidR="00173388">
        <w:rPr>
          <w:szCs w:val="22"/>
        </w:rPr>
        <w:t>orth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A2410B" w:rsidRPr="00A2410B">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A2410B">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060"/>
        <w:gridCol w:w="3330"/>
      </w:tblGrid>
      <w:tr w:rsidR="002912B5" w:rsidRPr="007E723C" w:rsidTr="005E0779">
        <w:trPr>
          <w:trHeight w:val="305"/>
        </w:trPr>
        <w:tc>
          <w:tcPr>
            <w:tcW w:w="297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06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5E0779">
        <w:tc>
          <w:tcPr>
            <w:tcW w:w="2970" w:type="dxa"/>
            <w:shd w:val="clear" w:color="auto" w:fill="auto"/>
          </w:tcPr>
          <w:p w:rsidR="005833F6" w:rsidRPr="007E723C" w:rsidRDefault="004B6024" w:rsidP="00F02638">
            <w:pPr>
              <w:tabs>
                <w:tab w:val="left" w:pos="0"/>
              </w:tabs>
              <w:suppressAutoHyphens/>
              <w:rPr>
                <w:szCs w:val="22"/>
              </w:rPr>
            </w:pPr>
            <w:r>
              <w:rPr>
                <w:szCs w:val="22"/>
              </w:rPr>
              <w:t xml:space="preserve">Verizon is </w:t>
            </w:r>
            <w:r w:rsidR="00F44EB7">
              <w:rPr>
                <w:szCs w:val="22"/>
              </w:rPr>
              <w:t xml:space="preserve">retiring and removing the </w:t>
            </w:r>
            <w:r w:rsidR="00CA2AF2">
              <w:rPr>
                <w:szCs w:val="22"/>
              </w:rPr>
              <w:t xml:space="preserve">Barbours and </w:t>
            </w:r>
            <w:r w:rsidR="00475BD0">
              <w:rPr>
                <w:szCs w:val="22"/>
              </w:rPr>
              <w:t xml:space="preserve">Ralston </w:t>
            </w:r>
            <w:r w:rsidR="00F44EB7">
              <w:rPr>
                <w:szCs w:val="22"/>
              </w:rPr>
              <w:t>Digital Central Office remote office switch</w:t>
            </w:r>
            <w:r w:rsidR="00CA2AF2">
              <w:rPr>
                <w:szCs w:val="22"/>
              </w:rPr>
              <w:t>es</w:t>
            </w:r>
            <w:r w:rsidR="00F44EB7">
              <w:rPr>
                <w:szCs w:val="22"/>
              </w:rPr>
              <w:t xml:space="preserve"> (</w:t>
            </w:r>
            <w:r w:rsidR="00CA2AF2" w:rsidRPr="00B54A30">
              <w:rPr>
                <w:bCs/>
                <w:szCs w:val="22"/>
              </w:rPr>
              <w:t>BRBSPAXBRS0</w:t>
            </w:r>
            <w:r w:rsidR="00CA2AF2">
              <w:rPr>
                <w:bCs/>
                <w:szCs w:val="22"/>
              </w:rPr>
              <w:t xml:space="preserve"> and </w:t>
            </w:r>
            <w:r w:rsidR="003947CC" w:rsidRPr="00B54A30">
              <w:rPr>
                <w:bCs/>
                <w:szCs w:val="22"/>
              </w:rPr>
              <w:t>RLTNPAXRRS0</w:t>
            </w:r>
            <w:r w:rsidR="00F44EB7">
              <w:rPr>
                <w:szCs w:val="22"/>
              </w:rPr>
              <w:t xml:space="preserve">) </w:t>
            </w:r>
            <w:r w:rsidR="00214424">
              <w:rPr>
                <w:szCs w:val="22"/>
              </w:rPr>
              <w:t xml:space="preserve">from the network </w:t>
            </w:r>
            <w:r w:rsidR="00F44EB7">
              <w:rPr>
                <w:szCs w:val="22"/>
              </w:rPr>
              <w:t>after all traffic served by th</w:t>
            </w:r>
            <w:r w:rsidR="0073590E">
              <w:rPr>
                <w:szCs w:val="22"/>
              </w:rPr>
              <w:t>ese</w:t>
            </w:r>
            <w:r w:rsidR="00F44EB7">
              <w:rPr>
                <w:szCs w:val="22"/>
              </w:rPr>
              <w:t xml:space="preserve"> switch</w:t>
            </w:r>
            <w:r w:rsidR="0073590E">
              <w:rPr>
                <w:szCs w:val="22"/>
              </w:rPr>
              <w:t>es</w:t>
            </w:r>
            <w:r w:rsidR="00F44EB7">
              <w:rPr>
                <w:szCs w:val="22"/>
              </w:rPr>
              <w:t xml:space="preserve"> is migrated to the alternative Selinsgrove Digital Multiplex S</w:t>
            </w:r>
            <w:r w:rsidR="00F02638">
              <w:rPr>
                <w:szCs w:val="22"/>
              </w:rPr>
              <w:t>ystem 100 switch (SLGVPAXSDS0).</w:t>
            </w:r>
          </w:p>
        </w:tc>
        <w:tc>
          <w:tcPr>
            <w:tcW w:w="3060" w:type="dxa"/>
            <w:shd w:val="clear" w:color="auto" w:fill="auto"/>
          </w:tcPr>
          <w:p w:rsidR="00CE03B4" w:rsidRPr="00B54A30" w:rsidRDefault="004223AB" w:rsidP="00CD40C0">
            <w:pPr>
              <w:rPr>
                <w:szCs w:val="22"/>
              </w:rPr>
            </w:pPr>
            <w:r>
              <w:rPr>
                <w:szCs w:val="22"/>
              </w:rPr>
              <w:t xml:space="preserve">The </w:t>
            </w:r>
            <w:r w:rsidR="00CE03B4">
              <w:rPr>
                <w:szCs w:val="22"/>
              </w:rPr>
              <w:t>Barbours</w:t>
            </w:r>
            <w:r w:rsidR="00806AB5">
              <w:rPr>
                <w:szCs w:val="22"/>
              </w:rPr>
              <w:t>, PA</w:t>
            </w:r>
            <w:r>
              <w:rPr>
                <w:szCs w:val="22"/>
              </w:rPr>
              <w:t xml:space="preserve"> Central Office</w:t>
            </w:r>
            <w:r w:rsidR="00806AB5">
              <w:rPr>
                <w:szCs w:val="22"/>
              </w:rPr>
              <w:t xml:space="preserve"> (</w:t>
            </w:r>
            <w:r w:rsidR="00CE03B4" w:rsidRPr="00B54A30">
              <w:rPr>
                <w:bCs/>
                <w:szCs w:val="22"/>
              </w:rPr>
              <w:t>BRBSPAXBRS0</w:t>
            </w:r>
            <w:r w:rsidR="00806AB5" w:rsidRPr="00B54A30">
              <w:rPr>
                <w:szCs w:val="22"/>
              </w:rPr>
              <w:t xml:space="preserve">), </w:t>
            </w:r>
          </w:p>
          <w:p w:rsidR="00D71A93" w:rsidRPr="004223AB" w:rsidRDefault="00CE03B4" w:rsidP="008F7D06">
            <w:pPr>
              <w:pStyle w:val="Default"/>
              <w:rPr>
                <w:sz w:val="22"/>
                <w:szCs w:val="22"/>
              </w:rPr>
            </w:pPr>
            <w:r w:rsidRPr="00B54A30">
              <w:rPr>
                <w:sz w:val="22"/>
                <w:szCs w:val="22"/>
              </w:rPr>
              <w:t>608 Lower Barbours Rd, Barbours, PA 17771</w:t>
            </w:r>
            <w:r w:rsidR="00841B2E" w:rsidRPr="00B54A30">
              <w:rPr>
                <w:sz w:val="22"/>
                <w:szCs w:val="22"/>
              </w:rPr>
              <w:t xml:space="preserve">; </w:t>
            </w:r>
            <w:r w:rsidR="004223AB">
              <w:rPr>
                <w:sz w:val="22"/>
                <w:szCs w:val="22"/>
              </w:rPr>
              <w:t xml:space="preserve">the </w:t>
            </w:r>
            <w:r w:rsidR="00DE7011" w:rsidRPr="00B54A30">
              <w:rPr>
                <w:sz w:val="22"/>
                <w:szCs w:val="22"/>
              </w:rPr>
              <w:t>Ralston</w:t>
            </w:r>
            <w:r w:rsidR="00806AB5" w:rsidRPr="00B54A30">
              <w:rPr>
                <w:sz w:val="22"/>
                <w:szCs w:val="22"/>
              </w:rPr>
              <w:t>, PA</w:t>
            </w:r>
            <w:r w:rsidR="004223AB">
              <w:rPr>
                <w:sz w:val="22"/>
                <w:szCs w:val="22"/>
              </w:rPr>
              <w:t xml:space="preserve"> Central Office </w:t>
            </w:r>
            <w:r w:rsidR="00806AB5" w:rsidRPr="00B54A30">
              <w:rPr>
                <w:sz w:val="22"/>
                <w:szCs w:val="22"/>
              </w:rPr>
              <w:t>(</w:t>
            </w:r>
            <w:r w:rsidR="00B54A30" w:rsidRPr="00B54A30">
              <w:rPr>
                <w:bCs/>
                <w:sz w:val="22"/>
                <w:szCs w:val="22"/>
              </w:rPr>
              <w:t>RLTNPAXRRS0</w:t>
            </w:r>
            <w:r w:rsidR="004223AB">
              <w:rPr>
                <w:sz w:val="22"/>
                <w:szCs w:val="22"/>
              </w:rPr>
              <w:t xml:space="preserve">), </w:t>
            </w:r>
            <w:r w:rsidR="00B54A30" w:rsidRPr="00B54A30">
              <w:rPr>
                <w:sz w:val="22"/>
                <w:szCs w:val="22"/>
              </w:rPr>
              <w:t>86</w:t>
            </w:r>
            <w:r w:rsidR="008F7D06">
              <w:rPr>
                <w:sz w:val="22"/>
                <w:szCs w:val="22"/>
              </w:rPr>
              <w:t xml:space="preserve">20 RT 14 HWY, Ralston, PA 17771; and </w:t>
            </w:r>
            <w:r w:rsidR="004223AB">
              <w:rPr>
                <w:sz w:val="22"/>
                <w:szCs w:val="22"/>
              </w:rPr>
              <w:t xml:space="preserve">the </w:t>
            </w:r>
            <w:r w:rsidR="008F7D06">
              <w:rPr>
                <w:sz w:val="22"/>
                <w:szCs w:val="22"/>
              </w:rPr>
              <w:t xml:space="preserve">Selinsgrove, PA </w:t>
            </w:r>
            <w:r w:rsidR="004223AB">
              <w:rPr>
                <w:sz w:val="22"/>
                <w:szCs w:val="22"/>
              </w:rPr>
              <w:t xml:space="preserve">Central Office </w:t>
            </w:r>
            <w:r w:rsidR="008F7D06">
              <w:rPr>
                <w:sz w:val="22"/>
                <w:szCs w:val="22"/>
              </w:rPr>
              <w:t>(</w:t>
            </w:r>
            <w:r w:rsidR="008F7D06" w:rsidRPr="008F7D06">
              <w:rPr>
                <w:bCs/>
                <w:sz w:val="22"/>
                <w:szCs w:val="22"/>
              </w:rPr>
              <w:t>SLGVPAXSDS0</w:t>
            </w:r>
            <w:r w:rsidR="004223AB">
              <w:rPr>
                <w:bCs/>
                <w:sz w:val="22"/>
                <w:szCs w:val="22"/>
              </w:rPr>
              <w:t xml:space="preserve">), </w:t>
            </w:r>
            <w:r w:rsidR="008F7D06">
              <w:rPr>
                <w:sz w:val="22"/>
                <w:szCs w:val="22"/>
              </w:rPr>
              <w:t>21 S. Market Street, Selinsgrove, PA 17870</w:t>
            </w:r>
            <w:r w:rsidR="00806AB5">
              <w:rPr>
                <w:szCs w:val="22"/>
              </w:rPr>
              <w:t>.</w:t>
            </w:r>
          </w:p>
        </w:tc>
        <w:tc>
          <w:tcPr>
            <w:tcW w:w="3330" w:type="dxa"/>
            <w:shd w:val="clear" w:color="auto" w:fill="auto"/>
          </w:tcPr>
          <w:p w:rsidR="005833F6" w:rsidRPr="00370AEA" w:rsidRDefault="005833F6" w:rsidP="00806AB5">
            <w:pPr>
              <w:tabs>
                <w:tab w:val="left" w:pos="0"/>
              </w:tabs>
              <w:suppressAutoHyphens/>
              <w:rPr>
                <w:b/>
                <w:szCs w:val="22"/>
              </w:rPr>
            </w:pPr>
            <w:r>
              <w:rPr>
                <w:szCs w:val="22"/>
              </w:rPr>
              <w:t xml:space="preserve">On or after </w:t>
            </w:r>
            <w:r w:rsidR="0051473A">
              <w:rPr>
                <w:szCs w:val="22"/>
              </w:rPr>
              <w:t>January 18</w:t>
            </w:r>
            <w:r>
              <w:rPr>
                <w:szCs w:val="22"/>
              </w:rPr>
              <w:t>, 201</w:t>
            </w:r>
            <w:r w:rsidR="0051473A">
              <w:rPr>
                <w:szCs w:val="22"/>
              </w:rPr>
              <w:t>7</w:t>
            </w:r>
          </w:p>
        </w:tc>
      </w:tr>
    </w:tbl>
    <w:p w:rsidR="005833F6" w:rsidRDefault="005833F6" w:rsidP="005833F6">
      <w:pPr>
        <w:tabs>
          <w:tab w:val="left" w:pos="0"/>
        </w:tabs>
        <w:suppressAutoHyphens/>
        <w:rPr>
          <w:szCs w:val="22"/>
          <w:lang w:val="de-DE"/>
        </w:rPr>
      </w:pPr>
    </w:p>
    <w:p w:rsidR="005833F6" w:rsidRPr="005833F6" w:rsidRDefault="005833F6" w:rsidP="005E0779">
      <w:pPr>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184115">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 xml:space="preserve">1300 I Street, N.W., Suite </w:t>
      </w:r>
      <w:r w:rsidR="00E76211">
        <w:rPr>
          <w:szCs w:val="22"/>
        </w:rPr>
        <w:t>500 East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lastRenderedPageBreak/>
        <w:t>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lastRenderedPageBreak/>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397327">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C78">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D5" w:rsidRDefault="00B07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D5" w:rsidRDefault="00B07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D5" w:rsidRDefault="00B07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44C78">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496082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B0F6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424"/>
    <w:rsid w:val="002147B6"/>
    <w:rsid w:val="00216423"/>
    <w:rsid w:val="00216A98"/>
    <w:rsid w:val="00217CB0"/>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47C8"/>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66DC"/>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6113"/>
    <w:rsid w:val="00367E00"/>
    <w:rsid w:val="00370AEA"/>
    <w:rsid w:val="00370BD4"/>
    <w:rsid w:val="003711B9"/>
    <w:rsid w:val="00372F10"/>
    <w:rsid w:val="00372F26"/>
    <w:rsid w:val="00377AA7"/>
    <w:rsid w:val="00384264"/>
    <w:rsid w:val="00386761"/>
    <w:rsid w:val="003873CF"/>
    <w:rsid w:val="0039140C"/>
    <w:rsid w:val="003933DF"/>
    <w:rsid w:val="003940E8"/>
    <w:rsid w:val="003947CC"/>
    <w:rsid w:val="00395D3D"/>
    <w:rsid w:val="00395D76"/>
    <w:rsid w:val="003962E8"/>
    <w:rsid w:val="00396B57"/>
    <w:rsid w:val="00397327"/>
    <w:rsid w:val="003A068E"/>
    <w:rsid w:val="003A1C7C"/>
    <w:rsid w:val="003A20FA"/>
    <w:rsid w:val="003A6B2F"/>
    <w:rsid w:val="003A728B"/>
    <w:rsid w:val="003B1FC7"/>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23AB"/>
    <w:rsid w:val="00423B6B"/>
    <w:rsid w:val="00425DC5"/>
    <w:rsid w:val="0042674D"/>
    <w:rsid w:val="0043054A"/>
    <w:rsid w:val="00433B37"/>
    <w:rsid w:val="0044145B"/>
    <w:rsid w:val="004423A2"/>
    <w:rsid w:val="00442D82"/>
    <w:rsid w:val="00444482"/>
    <w:rsid w:val="00444C78"/>
    <w:rsid w:val="00446346"/>
    <w:rsid w:val="004466FF"/>
    <w:rsid w:val="00450B94"/>
    <w:rsid w:val="00455CB4"/>
    <w:rsid w:val="00457271"/>
    <w:rsid w:val="0046226E"/>
    <w:rsid w:val="0046324A"/>
    <w:rsid w:val="00470A24"/>
    <w:rsid w:val="004714D7"/>
    <w:rsid w:val="00475BD0"/>
    <w:rsid w:val="00475C63"/>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6024"/>
    <w:rsid w:val="004B7153"/>
    <w:rsid w:val="004B78B1"/>
    <w:rsid w:val="004C2152"/>
    <w:rsid w:val="004C39F7"/>
    <w:rsid w:val="004C49DC"/>
    <w:rsid w:val="004C56F5"/>
    <w:rsid w:val="004D071B"/>
    <w:rsid w:val="004D1BC1"/>
    <w:rsid w:val="004E1CD6"/>
    <w:rsid w:val="004E2897"/>
    <w:rsid w:val="004E5BB1"/>
    <w:rsid w:val="004F02A6"/>
    <w:rsid w:val="004F1BAD"/>
    <w:rsid w:val="004F328E"/>
    <w:rsid w:val="004F48EF"/>
    <w:rsid w:val="004F4F48"/>
    <w:rsid w:val="004F6E87"/>
    <w:rsid w:val="004F7C2D"/>
    <w:rsid w:val="0050004C"/>
    <w:rsid w:val="00504EBA"/>
    <w:rsid w:val="00506313"/>
    <w:rsid w:val="005066F1"/>
    <w:rsid w:val="005115AE"/>
    <w:rsid w:val="0051473A"/>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58F"/>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779"/>
    <w:rsid w:val="005E08D5"/>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38CE"/>
    <w:rsid w:val="0065600E"/>
    <w:rsid w:val="00656B95"/>
    <w:rsid w:val="00657DEE"/>
    <w:rsid w:val="00660690"/>
    <w:rsid w:val="00662E86"/>
    <w:rsid w:val="006652DA"/>
    <w:rsid w:val="00665E94"/>
    <w:rsid w:val="006672DF"/>
    <w:rsid w:val="00667891"/>
    <w:rsid w:val="00670E65"/>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C56"/>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A8C"/>
    <w:rsid w:val="00702BD5"/>
    <w:rsid w:val="00704B4A"/>
    <w:rsid w:val="007129CF"/>
    <w:rsid w:val="00713F2D"/>
    <w:rsid w:val="0071618A"/>
    <w:rsid w:val="00720BE1"/>
    <w:rsid w:val="0072201A"/>
    <w:rsid w:val="00723EEF"/>
    <w:rsid w:val="00725B2C"/>
    <w:rsid w:val="00726EE2"/>
    <w:rsid w:val="00726F61"/>
    <w:rsid w:val="00731EE0"/>
    <w:rsid w:val="007339C5"/>
    <w:rsid w:val="0073590E"/>
    <w:rsid w:val="0073602F"/>
    <w:rsid w:val="0073737F"/>
    <w:rsid w:val="00742670"/>
    <w:rsid w:val="00743A92"/>
    <w:rsid w:val="00745C2C"/>
    <w:rsid w:val="0075225F"/>
    <w:rsid w:val="00752DC6"/>
    <w:rsid w:val="00755787"/>
    <w:rsid w:val="007567FC"/>
    <w:rsid w:val="00757F55"/>
    <w:rsid w:val="007605C2"/>
    <w:rsid w:val="00760A5E"/>
    <w:rsid w:val="00763E68"/>
    <w:rsid w:val="0077422E"/>
    <w:rsid w:val="00780E8F"/>
    <w:rsid w:val="007811A6"/>
    <w:rsid w:val="0078213E"/>
    <w:rsid w:val="00782A75"/>
    <w:rsid w:val="00783C9F"/>
    <w:rsid w:val="007847D4"/>
    <w:rsid w:val="007864F5"/>
    <w:rsid w:val="007873BE"/>
    <w:rsid w:val="00791FAA"/>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AB5"/>
    <w:rsid w:val="00806DD7"/>
    <w:rsid w:val="0080722F"/>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4DED"/>
    <w:rsid w:val="00846A35"/>
    <w:rsid w:val="008475CB"/>
    <w:rsid w:val="008511D6"/>
    <w:rsid w:val="0085584E"/>
    <w:rsid w:val="008565EA"/>
    <w:rsid w:val="0085762B"/>
    <w:rsid w:val="00861389"/>
    <w:rsid w:val="00861B73"/>
    <w:rsid w:val="00864F79"/>
    <w:rsid w:val="008675E4"/>
    <w:rsid w:val="008701A7"/>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5E0C"/>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1715"/>
    <w:rsid w:val="008E270D"/>
    <w:rsid w:val="008E3372"/>
    <w:rsid w:val="008E42F1"/>
    <w:rsid w:val="008E6E40"/>
    <w:rsid w:val="008F06C9"/>
    <w:rsid w:val="008F155B"/>
    <w:rsid w:val="008F2035"/>
    <w:rsid w:val="008F4E32"/>
    <w:rsid w:val="008F7D06"/>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10B"/>
    <w:rsid w:val="00A24790"/>
    <w:rsid w:val="00A33DB7"/>
    <w:rsid w:val="00A341A0"/>
    <w:rsid w:val="00A34B54"/>
    <w:rsid w:val="00A35C1E"/>
    <w:rsid w:val="00A37F2D"/>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072D5"/>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4A30"/>
    <w:rsid w:val="00B614C5"/>
    <w:rsid w:val="00B64199"/>
    <w:rsid w:val="00B64D56"/>
    <w:rsid w:val="00B64DEF"/>
    <w:rsid w:val="00B65167"/>
    <w:rsid w:val="00B66421"/>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071"/>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4449"/>
    <w:rsid w:val="00C36040"/>
    <w:rsid w:val="00C40738"/>
    <w:rsid w:val="00C469A4"/>
    <w:rsid w:val="00C46B13"/>
    <w:rsid w:val="00C46C3B"/>
    <w:rsid w:val="00C46E14"/>
    <w:rsid w:val="00C471BF"/>
    <w:rsid w:val="00C5035B"/>
    <w:rsid w:val="00C543AF"/>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2AF2"/>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40C0"/>
    <w:rsid w:val="00CD72BC"/>
    <w:rsid w:val="00CE03B4"/>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6D88"/>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011"/>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211"/>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4577"/>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2638"/>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3BF"/>
    <w:rsid w:val="00F7576A"/>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B7B57"/>
    <w:rsid w:val="00FC058D"/>
    <w:rsid w:val="00FC2418"/>
    <w:rsid w:val="00FC3A7A"/>
    <w:rsid w:val="00FC4914"/>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E03B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E03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995</Words>
  <Characters>5784</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6802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2017-01-03T20:01:00Z</dcterms:created>
  <dcterms:modified xsi:type="dcterms:W3CDTF">2017-01-03T20:01:00Z</dcterms:modified>
  <cp:category> </cp:category>
  <cp:contentStatus> </cp:contentStatus>
</cp:coreProperties>
</file>