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CE14F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550B22" w:rsidP="00BB4E29">
            <w:pPr>
              <w:rPr>
                <w:bCs/>
                <w:sz w:val="22"/>
                <w:szCs w:val="22"/>
              </w:rPr>
            </w:pPr>
            <w:r>
              <w:rPr>
                <w:bCs/>
                <w:sz w:val="22"/>
                <w:szCs w:val="22"/>
              </w:rPr>
              <w:t>Rochelle Cohen</w:t>
            </w:r>
            <w:r w:rsidR="007A44F8" w:rsidRPr="008A3940">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sidR="00FB7558">
              <w:rPr>
                <w:bCs/>
                <w:sz w:val="22"/>
                <w:szCs w:val="22"/>
              </w:rPr>
              <w:t>418-</w:t>
            </w:r>
            <w:r>
              <w:rPr>
                <w:bCs/>
                <w:sz w:val="22"/>
                <w:szCs w:val="22"/>
              </w:rPr>
              <w:t>1162</w:t>
            </w:r>
          </w:p>
          <w:p w:rsidR="00FF232D" w:rsidRPr="008A3940" w:rsidRDefault="00FB7558" w:rsidP="00BB4E29">
            <w:pPr>
              <w:rPr>
                <w:bCs/>
                <w:sz w:val="22"/>
                <w:szCs w:val="22"/>
              </w:rPr>
            </w:pPr>
            <w:r>
              <w:rPr>
                <w:bCs/>
                <w:sz w:val="22"/>
                <w:szCs w:val="22"/>
              </w:rPr>
              <w:t>r</w:t>
            </w:r>
            <w:r w:rsidR="00550B22">
              <w:rPr>
                <w:bCs/>
                <w:sz w:val="22"/>
                <w:szCs w:val="22"/>
              </w:rPr>
              <w:t>ochelle.cohen</w:t>
            </w:r>
            <w:r w:rsidR="007A44F8" w:rsidRPr="008A3940">
              <w:rPr>
                <w:bCs/>
                <w:sz w:val="22"/>
                <w:szCs w:val="22"/>
              </w:rPr>
              <w:t>@fcc.gov</w:t>
            </w:r>
          </w:p>
          <w:p w:rsidR="007A44F8" w:rsidRPr="008A3940" w:rsidRDefault="007A44F8"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550B22" w:rsidRPr="00550B22" w:rsidRDefault="00550B22" w:rsidP="00550B22">
            <w:pPr>
              <w:tabs>
                <w:tab w:val="left" w:pos="8625"/>
              </w:tabs>
              <w:jc w:val="center"/>
              <w:rPr>
                <w:b/>
                <w:bCs/>
                <w:sz w:val="26"/>
                <w:szCs w:val="26"/>
              </w:rPr>
            </w:pPr>
            <w:r w:rsidRPr="00550B22">
              <w:rPr>
                <w:b/>
                <w:bCs/>
                <w:sz w:val="26"/>
                <w:szCs w:val="26"/>
              </w:rPr>
              <w:t xml:space="preserve">FCC STRENGTHENS WIRELESS EMERGENCY ALERTS </w:t>
            </w:r>
          </w:p>
          <w:p w:rsidR="00550B22" w:rsidRDefault="00550B22" w:rsidP="00550B22">
            <w:pPr>
              <w:tabs>
                <w:tab w:val="left" w:pos="8625"/>
              </w:tabs>
              <w:jc w:val="center"/>
              <w:rPr>
                <w:b/>
                <w:bCs/>
                <w:sz w:val="26"/>
                <w:szCs w:val="26"/>
              </w:rPr>
            </w:pPr>
            <w:r w:rsidRPr="00550B22">
              <w:rPr>
                <w:b/>
                <w:bCs/>
                <w:sz w:val="26"/>
                <w:szCs w:val="26"/>
              </w:rPr>
              <w:t>AS A PUBLIC SAFETY TOOL</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550B22" w:rsidRPr="00550B22" w:rsidRDefault="00FF1C0B" w:rsidP="00550B22">
            <w:pPr>
              <w:tabs>
                <w:tab w:val="left" w:pos="8640"/>
              </w:tabs>
              <w:rPr>
                <w:sz w:val="22"/>
                <w:szCs w:val="22"/>
              </w:rPr>
            </w:pPr>
            <w:r w:rsidRPr="008A3940">
              <w:rPr>
                <w:sz w:val="22"/>
                <w:szCs w:val="22"/>
              </w:rPr>
              <w:t xml:space="preserve">WASHINGTON, </w:t>
            </w:r>
            <w:r w:rsidR="00550B22">
              <w:rPr>
                <w:sz w:val="22"/>
                <w:szCs w:val="22"/>
              </w:rPr>
              <w:t>September 29</w:t>
            </w:r>
            <w:r w:rsidR="0042116E">
              <w:rPr>
                <w:sz w:val="22"/>
                <w:szCs w:val="22"/>
              </w:rPr>
              <w:t>, 2016</w:t>
            </w:r>
            <w:r w:rsidR="002B1013" w:rsidRPr="008A3940">
              <w:rPr>
                <w:sz w:val="22"/>
                <w:szCs w:val="22"/>
              </w:rPr>
              <w:t xml:space="preserve"> – </w:t>
            </w:r>
            <w:r w:rsidR="00550B22" w:rsidRPr="00550B22">
              <w:rPr>
                <w:sz w:val="22"/>
                <w:szCs w:val="22"/>
              </w:rPr>
              <w:t>The Federal Communications Commission today adopted rules to update and strengthen Wireless Emergency Alerts (WEA), a system that delivers critical warnings and information to Americans on their wireless phones. The updated rules are intended to promote the wider use and effectiveness of this lifesaving service, especially for state and local authorities to convey important information to their communities.</w:t>
            </w:r>
          </w:p>
          <w:p w:rsidR="00550B22" w:rsidRPr="00550B22" w:rsidRDefault="00550B22" w:rsidP="00550B22">
            <w:pPr>
              <w:tabs>
                <w:tab w:val="left" w:pos="8640"/>
              </w:tabs>
              <w:rPr>
                <w:sz w:val="22"/>
                <w:szCs w:val="22"/>
              </w:rPr>
            </w:pPr>
          </w:p>
          <w:p w:rsidR="00550B22" w:rsidRPr="00550B22" w:rsidRDefault="00550B22" w:rsidP="00550B22">
            <w:pPr>
              <w:tabs>
                <w:tab w:val="left" w:pos="8640"/>
              </w:tabs>
              <w:rPr>
                <w:sz w:val="22"/>
                <w:szCs w:val="22"/>
              </w:rPr>
            </w:pPr>
            <w:r w:rsidRPr="00550B22">
              <w:rPr>
                <w:sz w:val="22"/>
                <w:szCs w:val="22"/>
              </w:rPr>
              <w:t xml:space="preserve">Since its launch in 2012, WEA has informed the public about severe weather, missing children, and other emergencies through alerts to their wireless phones. Now that stakeholders have four years’ experience with the service, and in light of its real-world use and technological advancements since the FCC adopted technical and procedural requirements for WEA in 2008, the agency has updated its rules. </w:t>
            </w:r>
          </w:p>
          <w:p w:rsidR="00550B22" w:rsidRPr="00550B22" w:rsidRDefault="00550B22" w:rsidP="00550B22">
            <w:pPr>
              <w:tabs>
                <w:tab w:val="left" w:pos="8640"/>
              </w:tabs>
              <w:rPr>
                <w:sz w:val="22"/>
                <w:szCs w:val="22"/>
              </w:rPr>
            </w:pPr>
          </w:p>
          <w:p w:rsidR="00550B22" w:rsidRPr="00550B22" w:rsidRDefault="00550B22" w:rsidP="00550B22">
            <w:pPr>
              <w:tabs>
                <w:tab w:val="left" w:pos="8640"/>
              </w:tabs>
              <w:rPr>
                <w:sz w:val="22"/>
                <w:szCs w:val="22"/>
              </w:rPr>
            </w:pPr>
            <w:r w:rsidRPr="00550B22">
              <w:rPr>
                <w:sz w:val="22"/>
                <w:szCs w:val="22"/>
              </w:rPr>
              <w:t xml:space="preserve">In a Report and Order adopted today, the Commission took action to improve WEA message content, help ensure that the messages reach only those people for whom an alert is relevant, and establish a WEA testing program that will improve the effectiveness of the system for public safety officials and the public. The updated rules will: </w:t>
            </w:r>
          </w:p>
          <w:p w:rsidR="00550B22" w:rsidRPr="00550B22" w:rsidRDefault="00550B22" w:rsidP="00550B22">
            <w:pPr>
              <w:tabs>
                <w:tab w:val="left" w:pos="8640"/>
              </w:tabs>
              <w:rPr>
                <w:sz w:val="22"/>
                <w:szCs w:val="22"/>
              </w:rPr>
            </w:pPr>
          </w:p>
          <w:p w:rsidR="00550B22" w:rsidRPr="00550B22" w:rsidRDefault="00550B22" w:rsidP="00550B22">
            <w:pPr>
              <w:numPr>
                <w:ilvl w:val="0"/>
                <w:numId w:val="2"/>
              </w:numPr>
              <w:tabs>
                <w:tab w:val="left" w:pos="8640"/>
              </w:tabs>
              <w:rPr>
                <w:sz w:val="22"/>
                <w:szCs w:val="22"/>
              </w:rPr>
            </w:pPr>
            <w:r w:rsidRPr="00550B22">
              <w:rPr>
                <w:sz w:val="22"/>
                <w:szCs w:val="22"/>
              </w:rPr>
              <w:t>Increase the maximum length of WEA messages (from 90 to 360 characters) for 4G LTE and future networks;</w:t>
            </w:r>
          </w:p>
          <w:p w:rsidR="00550B22" w:rsidRPr="00550B22" w:rsidRDefault="00550B22" w:rsidP="00550B22">
            <w:pPr>
              <w:numPr>
                <w:ilvl w:val="0"/>
                <w:numId w:val="2"/>
              </w:numPr>
              <w:tabs>
                <w:tab w:val="left" w:pos="8640"/>
              </w:tabs>
              <w:rPr>
                <w:sz w:val="22"/>
                <w:szCs w:val="22"/>
              </w:rPr>
            </w:pPr>
            <w:r w:rsidRPr="00550B22">
              <w:rPr>
                <w:sz w:val="22"/>
                <w:szCs w:val="22"/>
              </w:rPr>
              <w:t>Require participating wireless providers to support inclusion of embedded phone numbers and URLs in all WEA alerts, including WEA AMBER alerts, which will enable the public to click to see a photo or to call authorities;</w:t>
            </w:r>
          </w:p>
          <w:p w:rsidR="00550B22" w:rsidRPr="00550B22" w:rsidRDefault="00550B22" w:rsidP="00550B22">
            <w:pPr>
              <w:numPr>
                <w:ilvl w:val="0"/>
                <w:numId w:val="2"/>
              </w:numPr>
              <w:tabs>
                <w:tab w:val="left" w:pos="8640"/>
              </w:tabs>
              <w:rPr>
                <w:sz w:val="22"/>
                <w:szCs w:val="22"/>
              </w:rPr>
            </w:pPr>
            <w:r w:rsidRPr="00550B22">
              <w:rPr>
                <w:sz w:val="22"/>
                <w:szCs w:val="22"/>
              </w:rPr>
              <w:t>Require participating wireless providers to deliver the alerts to more granular geographic areas;</w:t>
            </w:r>
          </w:p>
          <w:p w:rsidR="00550B22" w:rsidRPr="00550B22" w:rsidRDefault="00550B22" w:rsidP="00550B22">
            <w:pPr>
              <w:numPr>
                <w:ilvl w:val="0"/>
                <w:numId w:val="3"/>
              </w:numPr>
              <w:tabs>
                <w:tab w:val="left" w:pos="8640"/>
              </w:tabs>
              <w:rPr>
                <w:sz w:val="22"/>
                <w:szCs w:val="22"/>
              </w:rPr>
            </w:pPr>
            <w:r w:rsidRPr="00550B22">
              <w:rPr>
                <w:sz w:val="22"/>
                <w:szCs w:val="22"/>
              </w:rPr>
              <w:t xml:space="preserve">Create a new class of alerts (“Public Safety Messages”) to convey essential, recommended actions that can save lives or property (e.g. emergency shelter locations or a boil water order);  </w:t>
            </w:r>
          </w:p>
          <w:p w:rsidR="00550B22" w:rsidRPr="00550B22" w:rsidRDefault="00550B22" w:rsidP="00550B22">
            <w:pPr>
              <w:numPr>
                <w:ilvl w:val="0"/>
                <w:numId w:val="3"/>
              </w:numPr>
              <w:tabs>
                <w:tab w:val="left" w:pos="8640"/>
              </w:tabs>
              <w:rPr>
                <w:sz w:val="22"/>
                <w:szCs w:val="22"/>
              </w:rPr>
            </w:pPr>
            <w:r w:rsidRPr="00550B22">
              <w:rPr>
                <w:sz w:val="22"/>
                <w:szCs w:val="22"/>
              </w:rPr>
              <w:t>Require participating wireless providers to support transmission of Spanish-language alerts; and</w:t>
            </w:r>
          </w:p>
          <w:p w:rsidR="00550B22" w:rsidRPr="00550B22" w:rsidRDefault="00550B22" w:rsidP="00550B22">
            <w:pPr>
              <w:numPr>
                <w:ilvl w:val="0"/>
                <w:numId w:val="3"/>
              </w:numPr>
              <w:tabs>
                <w:tab w:val="left" w:pos="8640"/>
              </w:tabs>
              <w:rPr>
                <w:sz w:val="22"/>
                <w:szCs w:val="22"/>
              </w:rPr>
            </w:pPr>
            <w:r w:rsidRPr="00550B22">
              <w:rPr>
                <w:sz w:val="22"/>
                <w:szCs w:val="22"/>
              </w:rPr>
              <w:t xml:space="preserve">Make it easier for state and local authorities to test WEA, train personnel, and raise public awareness about the service. </w:t>
            </w:r>
          </w:p>
          <w:p w:rsidR="00910164" w:rsidRDefault="00910164" w:rsidP="00550B22">
            <w:pPr>
              <w:tabs>
                <w:tab w:val="left" w:pos="8640"/>
              </w:tabs>
              <w:rPr>
                <w:sz w:val="22"/>
                <w:szCs w:val="22"/>
              </w:rPr>
            </w:pPr>
          </w:p>
          <w:p w:rsidR="00550B22" w:rsidRPr="00550B22" w:rsidRDefault="00550B22" w:rsidP="00550B22">
            <w:pPr>
              <w:tabs>
                <w:tab w:val="left" w:pos="8640"/>
              </w:tabs>
              <w:rPr>
                <w:sz w:val="22"/>
                <w:szCs w:val="22"/>
              </w:rPr>
            </w:pPr>
            <w:r w:rsidRPr="00550B22">
              <w:rPr>
                <w:sz w:val="22"/>
                <w:szCs w:val="22"/>
              </w:rPr>
              <w:t xml:space="preserve">The Commission noted the public safety benefits of including thumbnail-sized photos and symbols in </w:t>
            </w:r>
            <w:r w:rsidR="004148CD" w:rsidRPr="004148CD">
              <w:rPr>
                <w:sz w:val="22"/>
                <w:szCs w:val="22"/>
              </w:rPr>
              <w:t xml:space="preserve">Wireless Emergency Alerts and, in an accompanying Further Notice of Proposed </w:t>
            </w:r>
            <w:r w:rsidR="004148CD" w:rsidRPr="004148CD">
              <w:rPr>
                <w:sz w:val="22"/>
                <w:szCs w:val="22"/>
              </w:rPr>
              <w:lastRenderedPageBreak/>
              <w:t>Rulemaking, sought comment on how to achieve this in Public Safety Messages in particular</w:t>
            </w:r>
            <w:r w:rsidR="004148CD">
              <w:rPr>
                <w:sz w:val="22"/>
                <w:szCs w:val="22"/>
              </w:rPr>
              <w:t>.</w:t>
            </w:r>
          </w:p>
          <w:p w:rsidR="00550B22" w:rsidRPr="00550B22" w:rsidRDefault="00550B22" w:rsidP="00550B22">
            <w:pPr>
              <w:tabs>
                <w:tab w:val="left" w:pos="8640"/>
              </w:tabs>
              <w:rPr>
                <w:sz w:val="22"/>
                <w:szCs w:val="22"/>
              </w:rPr>
            </w:pPr>
          </w:p>
          <w:p w:rsidR="00550B22" w:rsidRPr="00550B22" w:rsidRDefault="00550B22" w:rsidP="00550B22">
            <w:pPr>
              <w:tabs>
                <w:tab w:val="left" w:pos="8640"/>
              </w:tabs>
              <w:rPr>
                <w:sz w:val="22"/>
                <w:szCs w:val="22"/>
              </w:rPr>
            </w:pPr>
            <w:r w:rsidRPr="00550B22">
              <w:rPr>
                <w:sz w:val="22"/>
                <w:szCs w:val="22"/>
              </w:rPr>
              <w:t xml:space="preserve">The Commission also proposed and sought comment on additional improvements to WEA, including how to provide emergency managers with the ability to send multilingual alert content (in addition to Spanish) and measures to improve consumer education about WEA. </w:t>
            </w:r>
          </w:p>
          <w:p w:rsidR="00550B22" w:rsidRPr="00550B22" w:rsidRDefault="00550B22" w:rsidP="00550B22">
            <w:pPr>
              <w:tabs>
                <w:tab w:val="left" w:pos="8640"/>
              </w:tabs>
              <w:rPr>
                <w:sz w:val="22"/>
                <w:szCs w:val="22"/>
              </w:rPr>
            </w:pPr>
          </w:p>
          <w:p w:rsidR="00550B22" w:rsidRPr="00550B22" w:rsidRDefault="00550B22" w:rsidP="00550B22">
            <w:pPr>
              <w:tabs>
                <w:tab w:val="left" w:pos="8640"/>
              </w:tabs>
              <w:rPr>
                <w:sz w:val="22"/>
                <w:szCs w:val="22"/>
              </w:rPr>
            </w:pPr>
            <w:r w:rsidRPr="00550B22">
              <w:rPr>
                <w:sz w:val="22"/>
                <w:szCs w:val="22"/>
              </w:rPr>
              <w:t xml:space="preserve">Today’s action is designed to ensure that WEA keeps pace with evolving technologies and empowers communities to initiate these lifesaving alerts. </w:t>
            </w:r>
          </w:p>
          <w:p w:rsidR="00550B22" w:rsidRPr="00550B22" w:rsidRDefault="00550B22" w:rsidP="00550B22">
            <w:pPr>
              <w:tabs>
                <w:tab w:val="left" w:pos="8640"/>
              </w:tabs>
              <w:rPr>
                <w:sz w:val="22"/>
                <w:szCs w:val="22"/>
              </w:rPr>
            </w:pPr>
          </w:p>
          <w:p w:rsidR="00550B22" w:rsidRDefault="00550B22" w:rsidP="00550B22">
            <w:pPr>
              <w:tabs>
                <w:tab w:val="left" w:pos="8640"/>
              </w:tabs>
              <w:rPr>
                <w:sz w:val="22"/>
                <w:szCs w:val="22"/>
              </w:rPr>
            </w:pPr>
            <w:r w:rsidRPr="00550B22">
              <w:rPr>
                <w:sz w:val="22"/>
                <w:szCs w:val="22"/>
              </w:rPr>
              <w:t xml:space="preserve">For more information on Wireless Emergency Alerts, visit </w:t>
            </w:r>
            <w:hyperlink r:id="rId9" w:history="1">
              <w:r w:rsidRPr="00550B22">
                <w:rPr>
                  <w:rStyle w:val="Hyperlink"/>
                  <w:sz w:val="22"/>
                  <w:szCs w:val="22"/>
                </w:rPr>
                <w:t>www.fcc.gov/guides/wireless-emergency-alerts-wea</w:t>
              </w:r>
            </w:hyperlink>
            <w:r w:rsidRPr="00550B22">
              <w:rPr>
                <w:sz w:val="22"/>
                <w:szCs w:val="22"/>
              </w:rPr>
              <w:t>.</w:t>
            </w:r>
          </w:p>
          <w:p w:rsidR="00C71A5D" w:rsidRDefault="00C71A5D" w:rsidP="00550B22">
            <w:pPr>
              <w:tabs>
                <w:tab w:val="left" w:pos="8640"/>
              </w:tabs>
              <w:rPr>
                <w:sz w:val="22"/>
                <w:szCs w:val="22"/>
              </w:rPr>
            </w:pPr>
          </w:p>
          <w:p w:rsidR="00C71A5D" w:rsidRPr="00550B22" w:rsidRDefault="00C71A5D" w:rsidP="00550B22">
            <w:pPr>
              <w:tabs>
                <w:tab w:val="left" w:pos="8640"/>
              </w:tabs>
              <w:rPr>
                <w:sz w:val="22"/>
                <w:szCs w:val="22"/>
              </w:rPr>
            </w:pPr>
          </w:p>
          <w:p w:rsidR="00BD19E8" w:rsidRDefault="00C71A5D" w:rsidP="00DA7B44">
            <w:pPr>
              <w:rPr>
                <w:rStyle w:val="Hyperlink"/>
                <w:color w:val="auto"/>
                <w:sz w:val="22"/>
                <w:szCs w:val="22"/>
                <w:u w:val="none"/>
              </w:rPr>
            </w:pPr>
            <w:r>
              <w:rPr>
                <w:rStyle w:val="Hyperlink"/>
                <w:color w:val="auto"/>
                <w:sz w:val="22"/>
                <w:szCs w:val="22"/>
                <w:u w:val="none"/>
              </w:rPr>
              <w:t>Action by the Commission, September 29, 2016, by Report and Order and Further Notice of Proposed Rulemaking (FCC 16-127). Chairman Wheeler, Commissioners Clyburn, Rosenworcel and Pai approving. Commissioner O’Rielly approving in part, dissenting in part. Chairman Wheeler, Commissioners Clyburn, Rosenworcel, Pai and O’Rielly issuing separate statements.</w:t>
            </w:r>
          </w:p>
          <w:p w:rsidR="00C71A5D" w:rsidRDefault="00C71A5D" w:rsidP="00DA7B44">
            <w:pPr>
              <w:rPr>
                <w:rStyle w:val="Hyperlink"/>
                <w:color w:val="auto"/>
                <w:sz w:val="22"/>
                <w:szCs w:val="22"/>
                <w:u w:val="none"/>
              </w:rPr>
            </w:pPr>
          </w:p>
          <w:p w:rsidR="007F7C93" w:rsidRPr="009972BC" w:rsidRDefault="007F7C93" w:rsidP="00DA7B44">
            <w:pPr>
              <w:rPr>
                <w:rStyle w:val="Hyperlink"/>
                <w:color w:val="auto"/>
                <w:sz w:val="22"/>
                <w:szCs w:val="22"/>
                <w:u w:val="none"/>
              </w:rPr>
            </w:pPr>
            <w:r>
              <w:rPr>
                <w:rStyle w:val="Hyperlink"/>
                <w:color w:val="auto"/>
                <w:sz w:val="22"/>
                <w:szCs w:val="22"/>
                <w:u w:val="none"/>
              </w:rPr>
              <w:t>Docket No: 15-94</w:t>
            </w:r>
          </w:p>
          <w:p w:rsidR="004F0F1F" w:rsidRPr="009972BC" w:rsidRDefault="00F708E3" w:rsidP="00BB4E29">
            <w:pPr>
              <w:ind w:right="240"/>
              <w:jc w:val="center"/>
              <w:rPr>
                <w:sz w:val="22"/>
                <w:szCs w:val="22"/>
              </w:rPr>
            </w:pPr>
            <w:r w:rsidRPr="009972BC">
              <w:rPr>
                <w:sz w:val="22"/>
                <w:szCs w:val="22"/>
              </w:rPr>
              <w:t>###</w:t>
            </w:r>
          </w:p>
          <w:p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6A2FC5" w:rsidP="00BB4E29">
            <w:pPr>
              <w:ind w:right="498"/>
              <w:jc w:val="center"/>
              <w:rPr>
                <w:b/>
                <w:bCs/>
                <w:sz w:val="18"/>
                <w:szCs w:val="18"/>
              </w:rPr>
            </w:pPr>
            <w:r>
              <w:rPr>
                <w:b/>
                <w:bCs/>
                <w:sz w:val="18"/>
                <w:szCs w:val="18"/>
              </w:rPr>
              <w:t>Twitter: @FCC</w:t>
            </w:r>
          </w:p>
          <w:p w:rsidR="00CC5E08" w:rsidRDefault="00FF7E3F" w:rsidP="00BB4E29">
            <w:pPr>
              <w:ind w:right="498"/>
              <w:jc w:val="center"/>
              <w:rPr>
                <w:rStyle w:val="Hyperlink"/>
                <w:b/>
                <w:bCs/>
                <w:color w:val="auto"/>
                <w:sz w:val="18"/>
                <w:szCs w:val="18"/>
              </w:rPr>
            </w:pPr>
            <w:hyperlink r:id="rId10" w:history="1">
              <w:r w:rsidR="00EE0E90" w:rsidRPr="00EE0E90">
                <w:rPr>
                  <w:rStyle w:val="Hyperlink"/>
                  <w:b/>
                  <w:bCs/>
                  <w:color w:val="auto"/>
                  <w:sz w:val="18"/>
                  <w:szCs w:val="18"/>
                </w:rPr>
                <w:t>www.fcc.gov/office-media-relations</w:t>
              </w:r>
            </w:hyperlink>
          </w:p>
          <w:p w:rsidR="0069420F" w:rsidRPr="00EE0E90" w:rsidRDefault="0069420F" w:rsidP="00BB4E29">
            <w:pPr>
              <w:ind w:right="498"/>
              <w:jc w:val="center"/>
              <w:rPr>
                <w:b/>
                <w:bCs/>
                <w:sz w:val="18"/>
                <w:szCs w:val="18"/>
              </w:rPr>
            </w:pPr>
          </w:p>
          <w:p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rsidRDefault="00D24C3D">
      <w:pPr>
        <w:rPr>
          <w:b/>
          <w:bCs/>
          <w:sz w:val="2"/>
          <w:szCs w:val="2"/>
        </w:rPr>
      </w:pPr>
    </w:p>
    <w:sectPr w:rsidR="00D24C3D" w:rsidRPr="007528A5">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596" w:rsidRDefault="00A05596" w:rsidP="00A05596">
      <w:r>
        <w:separator/>
      </w:r>
    </w:p>
  </w:endnote>
  <w:endnote w:type="continuationSeparator" w:id="0">
    <w:p w:rsidR="00A05596" w:rsidRDefault="00A05596" w:rsidP="00A0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C82" w:rsidRDefault="00FF0C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C82" w:rsidRDefault="00FF0C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C82" w:rsidRDefault="00FF0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596" w:rsidRDefault="00A05596" w:rsidP="00A05596">
      <w:r>
        <w:separator/>
      </w:r>
    </w:p>
  </w:footnote>
  <w:footnote w:type="continuationSeparator" w:id="0">
    <w:p w:rsidR="00A05596" w:rsidRDefault="00A05596" w:rsidP="00A05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C82" w:rsidRDefault="00FF0C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C82" w:rsidRDefault="00FF0C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C82" w:rsidRDefault="00FF0C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A3B42"/>
    <w:multiLevelType w:val="hybridMultilevel"/>
    <w:tmpl w:val="09963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nsid w:val="52AC5EAA"/>
    <w:multiLevelType w:val="hybridMultilevel"/>
    <w:tmpl w:val="C78CD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BC"/>
    <w:rsid w:val="0002500C"/>
    <w:rsid w:val="000311FC"/>
    <w:rsid w:val="00040127"/>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10F1"/>
    <w:rsid w:val="003E42FC"/>
    <w:rsid w:val="003E5991"/>
    <w:rsid w:val="003F344A"/>
    <w:rsid w:val="00403FF0"/>
    <w:rsid w:val="004148CD"/>
    <w:rsid w:val="0042046D"/>
    <w:rsid w:val="0042116E"/>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50B22"/>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528A5"/>
    <w:rsid w:val="007732CC"/>
    <w:rsid w:val="00774079"/>
    <w:rsid w:val="0077752B"/>
    <w:rsid w:val="00793D6F"/>
    <w:rsid w:val="00794090"/>
    <w:rsid w:val="007A44F8"/>
    <w:rsid w:val="007D21BF"/>
    <w:rsid w:val="007F3C12"/>
    <w:rsid w:val="007F5205"/>
    <w:rsid w:val="007F7C93"/>
    <w:rsid w:val="008215E7"/>
    <w:rsid w:val="00830FC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10164"/>
    <w:rsid w:val="00961620"/>
    <w:rsid w:val="009734B6"/>
    <w:rsid w:val="0098096F"/>
    <w:rsid w:val="0098437A"/>
    <w:rsid w:val="00986C92"/>
    <w:rsid w:val="00993C47"/>
    <w:rsid w:val="009972BC"/>
    <w:rsid w:val="009B4B16"/>
    <w:rsid w:val="009E54A1"/>
    <w:rsid w:val="009F4E25"/>
    <w:rsid w:val="009F5B1F"/>
    <w:rsid w:val="00A05596"/>
    <w:rsid w:val="00A35DFD"/>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658EF"/>
    <w:rsid w:val="00B727C9"/>
    <w:rsid w:val="00B735C8"/>
    <w:rsid w:val="00B76A63"/>
    <w:rsid w:val="00BA6350"/>
    <w:rsid w:val="00BB4E29"/>
    <w:rsid w:val="00BB74C9"/>
    <w:rsid w:val="00BC3AB6"/>
    <w:rsid w:val="00BD19E8"/>
    <w:rsid w:val="00BD4273"/>
    <w:rsid w:val="00C03DD0"/>
    <w:rsid w:val="00C432E4"/>
    <w:rsid w:val="00C70C26"/>
    <w:rsid w:val="00C71A5D"/>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91125"/>
    <w:rsid w:val="00FB7558"/>
    <w:rsid w:val="00FC6C29"/>
    <w:rsid w:val="00FD58E0"/>
    <w:rsid w:val="00FE0198"/>
    <w:rsid w:val="00FE3A7C"/>
    <w:rsid w:val="00FF0C82"/>
    <w:rsid w:val="00FF1C0B"/>
    <w:rsid w:val="00FF232D"/>
    <w:rsid w:val="00FF7E3F"/>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Header">
    <w:name w:val="header"/>
    <w:basedOn w:val="Normal"/>
    <w:link w:val="HeaderChar"/>
    <w:unhideWhenUsed/>
    <w:rsid w:val="00A05596"/>
    <w:pPr>
      <w:tabs>
        <w:tab w:val="center" w:pos="4680"/>
        <w:tab w:val="right" w:pos="9360"/>
      </w:tabs>
    </w:pPr>
  </w:style>
  <w:style w:type="character" w:customStyle="1" w:styleId="HeaderChar">
    <w:name w:val="Header Char"/>
    <w:basedOn w:val="DefaultParagraphFont"/>
    <w:link w:val="Header"/>
    <w:rsid w:val="00A05596"/>
    <w:rPr>
      <w:sz w:val="24"/>
      <w:szCs w:val="24"/>
    </w:rPr>
  </w:style>
  <w:style w:type="paragraph" w:styleId="Footer">
    <w:name w:val="footer"/>
    <w:basedOn w:val="Normal"/>
    <w:link w:val="FooterChar"/>
    <w:unhideWhenUsed/>
    <w:rsid w:val="00A05596"/>
    <w:pPr>
      <w:tabs>
        <w:tab w:val="center" w:pos="4680"/>
        <w:tab w:val="right" w:pos="9360"/>
      </w:tabs>
    </w:pPr>
  </w:style>
  <w:style w:type="character" w:customStyle="1" w:styleId="FooterChar">
    <w:name w:val="Footer Char"/>
    <w:basedOn w:val="DefaultParagraphFont"/>
    <w:link w:val="Footer"/>
    <w:rsid w:val="00A05596"/>
    <w:rPr>
      <w:sz w:val="24"/>
      <w:szCs w:val="24"/>
    </w:rPr>
  </w:style>
  <w:style w:type="paragraph" w:styleId="BalloonText">
    <w:name w:val="Balloon Text"/>
    <w:basedOn w:val="Normal"/>
    <w:link w:val="BalloonTextChar"/>
    <w:semiHidden/>
    <w:unhideWhenUsed/>
    <w:rsid w:val="00FF0C82"/>
    <w:rPr>
      <w:rFonts w:ascii="Tahoma" w:hAnsi="Tahoma" w:cs="Tahoma"/>
      <w:sz w:val="16"/>
      <w:szCs w:val="16"/>
    </w:rPr>
  </w:style>
  <w:style w:type="character" w:customStyle="1" w:styleId="BalloonTextChar">
    <w:name w:val="Balloon Text Char"/>
    <w:basedOn w:val="DefaultParagraphFont"/>
    <w:link w:val="BalloonText"/>
    <w:semiHidden/>
    <w:rsid w:val="00FF0C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Header">
    <w:name w:val="header"/>
    <w:basedOn w:val="Normal"/>
    <w:link w:val="HeaderChar"/>
    <w:unhideWhenUsed/>
    <w:rsid w:val="00A05596"/>
    <w:pPr>
      <w:tabs>
        <w:tab w:val="center" w:pos="4680"/>
        <w:tab w:val="right" w:pos="9360"/>
      </w:tabs>
    </w:pPr>
  </w:style>
  <w:style w:type="character" w:customStyle="1" w:styleId="HeaderChar">
    <w:name w:val="Header Char"/>
    <w:basedOn w:val="DefaultParagraphFont"/>
    <w:link w:val="Header"/>
    <w:rsid w:val="00A05596"/>
    <w:rPr>
      <w:sz w:val="24"/>
      <w:szCs w:val="24"/>
    </w:rPr>
  </w:style>
  <w:style w:type="paragraph" w:styleId="Footer">
    <w:name w:val="footer"/>
    <w:basedOn w:val="Normal"/>
    <w:link w:val="FooterChar"/>
    <w:unhideWhenUsed/>
    <w:rsid w:val="00A05596"/>
    <w:pPr>
      <w:tabs>
        <w:tab w:val="center" w:pos="4680"/>
        <w:tab w:val="right" w:pos="9360"/>
      </w:tabs>
    </w:pPr>
  </w:style>
  <w:style w:type="character" w:customStyle="1" w:styleId="FooterChar">
    <w:name w:val="Footer Char"/>
    <w:basedOn w:val="DefaultParagraphFont"/>
    <w:link w:val="Footer"/>
    <w:rsid w:val="00A05596"/>
    <w:rPr>
      <w:sz w:val="24"/>
      <w:szCs w:val="24"/>
    </w:rPr>
  </w:style>
  <w:style w:type="paragraph" w:styleId="BalloonText">
    <w:name w:val="Balloon Text"/>
    <w:basedOn w:val="Normal"/>
    <w:link w:val="BalloonTextChar"/>
    <w:semiHidden/>
    <w:unhideWhenUsed/>
    <w:rsid w:val="00FF0C82"/>
    <w:rPr>
      <w:rFonts w:ascii="Tahoma" w:hAnsi="Tahoma" w:cs="Tahoma"/>
      <w:sz w:val="16"/>
      <w:szCs w:val="16"/>
    </w:rPr>
  </w:style>
  <w:style w:type="character" w:customStyle="1" w:styleId="BalloonTextChar">
    <w:name w:val="Balloon Text Char"/>
    <w:basedOn w:val="DefaultParagraphFont"/>
    <w:link w:val="BalloonText"/>
    <w:semiHidden/>
    <w:rsid w:val="00FF0C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349642886">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483544515">
      <w:bodyDiv w:val="1"/>
      <w:marLeft w:val="0"/>
      <w:marRight w:val="0"/>
      <w:marTop w:val="0"/>
      <w:marBottom w:val="0"/>
      <w:divBdr>
        <w:top w:val="none" w:sz="0" w:space="0" w:color="auto"/>
        <w:left w:val="none" w:sz="0" w:space="0" w:color="auto"/>
        <w:bottom w:val="none" w:sz="0" w:space="0" w:color="auto"/>
        <w:right w:val="none" w:sz="0" w:space="0" w:color="auto"/>
      </w:divBdr>
    </w:div>
    <w:div w:id="1504316969">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office-media-relations" TargetMode="External"/><Relationship Id="rId4" Type="http://schemas.openxmlformats.org/officeDocument/2006/relationships/settings" Target="settings.xml"/><Relationship Id="rId9" Type="http://schemas.openxmlformats.org/officeDocument/2006/relationships/hyperlink" Target="http://www.fcc.gov/guides/wireless-emergency-alerts-we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3094</Characters>
  <Application>Microsoft Office Word</Application>
  <DocSecurity>0</DocSecurity>
  <Lines>73</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2016-09-29T16:58:00Z</dcterms:created>
  <dcterms:modified xsi:type="dcterms:W3CDTF">2016-09-29T16:58:00Z</dcterms:modified>
  <cp:category> </cp:category>
  <cp:contentStatus> </cp:contentStatus>
</cp:coreProperties>
</file>