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3B" w:rsidRDefault="00DA393B">
      <w:pPr>
        <w:tabs>
          <w:tab w:val="left" w:pos="-720"/>
        </w:tabs>
        <w:suppressAutoHyphens/>
        <w:jc w:val="center"/>
        <w:rPr>
          <w:rFonts w:ascii="Times New Roman" w:hAnsi="Times New Roman"/>
          <w:b/>
          <w:sz w:val="24"/>
          <w:szCs w:val="24"/>
        </w:rPr>
      </w:pPr>
      <w:bookmarkStart w:id="0" w:name="_GoBack"/>
      <w:bookmarkEnd w:id="0"/>
      <w:r>
        <w:rPr>
          <w:rFonts w:ascii="Times New Roman" w:hAnsi="Times New Roman"/>
          <w:b/>
          <w:sz w:val="24"/>
          <w:szCs w:val="24"/>
        </w:rPr>
        <w:t>W</w:t>
      </w:r>
      <w:r w:rsidRPr="00C11980">
        <w:rPr>
          <w:rFonts w:ascii="Times New Roman" w:hAnsi="Times New Roman"/>
          <w:b/>
          <w:sz w:val="22"/>
          <w:szCs w:val="24"/>
        </w:rPr>
        <w:t>HA</w:t>
      </w:r>
      <w:r>
        <w:rPr>
          <w:rFonts w:ascii="Times New Roman" w:hAnsi="Times New Roman"/>
          <w:b/>
          <w:sz w:val="24"/>
          <w:szCs w:val="24"/>
        </w:rPr>
        <w:t>T YOU OWE – INTERNATIONAL AND SATELLITE SERVICES</w:t>
      </w:r>
    </w:p>
    <w:p w:rsidR="00DA393B" w:rsidRDefault="00DA393B">
      <w:pPr>
        <w:tabs>
          <w:tab w:val="left" w:pos="-720"/>
        </w:tabs>
        <w:suppressAutoHyphens/>
        <w:jc w:val="center"/>
        <w:rPr>
          <w:rFonts w:ascii="Times New Roman" w:hAnsi="Times New Roman"/>
          <w:b/>
          <w:sz w:val="32"/>
          <w:szCs w:val="32"/>
        </w:rPr>
      </w:pPr>
      <w:r>
        <w:rPr>
          <w:rFonts w:ascii="Times New Roman" w:hAnsi="Times New Roman"/>
          <w:b/>
          <w:sz w:val="24"/>
          <w:szCs w:val="24"/>
        </w:rPr>
        <w:t>LICENSEES FOR FY 201</w:t>
      </w:r>
      <w:r w:rsidR="002B0275">
        <w:rPr>
          <w:rFonts w:ascii="Times New Roman" w:hAnsi="Times New Roman"/>
          <w:b/>
          <w:sz w:val="24"/>
          <w:szCs w:val="24"/>
        </w:rPr>
        <w:t>6</w:t>
      </w:r>
    </w:p>
    <w:p w:rsidR="00DA393B" w:rsidRDefault="00DA393B">
      <w:pPr>
        <w:tabs>
          <w:tab w:val="left" w:pos="-720"/>
        </w:tabs>
        <w:suppressAutoHyphens/>
        <w:rPr>
          <w:rFonts w:ascii="Times New Roman" w:hAnsi="Times New Roman"/>
          <w:sz w:val="24"/>
          <w:szCs w:val="24"/>
        </w:rPr>
      </w:pPr>
    </w:p>
    <w:p w:rsidR="00DA393B" w:rsidRPr="00293A57" w:rsidRDefault="00DA393B" w:rsidP="00DA393B">
      <w:pPr>
        <w:shd w:val="clear" w:color="auto" w:fill="FFFFFF"/>
        <w:rPr>
          <w:rFonts w:ascii="Times New Roman" w:hAnsi="Times New Roman"/>
          <w:i/>
          <w:iCs/>
          <w:sz w:val="22"/>
          <w:szCs w:val="22"/>
          <w:u w:val="single"/>
        </w:rPr>
      </w:pPr>
      <w:r w:rsidRPr="00293A57">
        <w:rPr>
          <w:rFonts w:ascii="Times New Roman" w:hAnsi="Times New Roman"/>
          <w:sz w:val="22"/>
          <w:szCs w:val="22"/>
        </w:rPr>
        <w:t>Each year, the Commission is required to collect regulatory f</w:t>
      </w:r>
      <w:r w:rsidRPr="00293A57">
        <w:rPr>
          <w:rFonts w:ascii="Times New Roman" w:hAnsi="Times New Roman"/>
          <w:snapToGrid w:val="0"/>
          <w:sz w:val="22"/>
          <w:szCs w:val="22"/>
        </w:rPr>
        <w:t xml:space="preserve">ees.  Licensees </w:t>
      </w:r>
      <w:r w:rsidRPr="00293A57">
        <w:rPr>
          <w:rFonts w:ascii="Times New Roman" w:hAnsi="Times New Roman"/>
          <w:sz w:val="22"/>
          <w:szCs w:val="22"/>
        </w:rPr>
        <w:t xml:space="preserve">and regulatees are assessed fees as set forth in </w:t>
      </w:r>
      <w:r w:rsidRPr="00293A57">
        <w:rPr>
          <w:rFonts w:ascii="Times New Roman" w:hAnsi="Times New Roman"/>
          <w:i/>
          <w:sz w:val="22"/>
          <w:szCs w:val="22"/>
        </w:rPr>
        <w:t>Assessment and Collection of Regulatory Fees for Fiscal Year 201</w:t>
      </w:r>
      <w:r w:rsidR="002B0275">
        <w:rPr>
          <w:rFonts w:ascii="Times New Roman" w:hAnsi="Times New Roman"/>
          <w:i/>
          <w:sz w:val="22"/>
          <w:szCs w:val="22"/>
        </w:rPr>
        <w:t>6</w:t>
      </w:r>
      <w:r w:rsidRPr="00293A57">
        <w:rPr>
          <w:rFonts w:ascii="Times New Roman" w:hAnsi="Times New Roman"/>
          <w:i/>
          <w:sz w:val="22"/>
          <w:szCs w:val="22"/>
        </w:rPr>
        <w:t>,</w:t>
      </w:r>
      <w:r w:rsidRPr="00293A57">
        <w:rPr>
          <w:rFonts w:ascii="Times New Roman" w:hAnsi="Times New Roman"/>
          <w:sz w:val="22"/>
          <w:szCs w:val="22"/>
        </w:rPr>
        <w:t xml:space="preserve"> </w:t>
      </w:r>
      <w:r w:rsidRPr="00293A57">
        <w:rPr>
          <w:rFonts w:ascii="Times New Roman" w:hAnsi="Times New Roman"/>
          <w:i/>
          <w:sz w:val="22"/>
          <w:szCs w:val="22"/>
        </w:rPr>
        <w:t>Report and Order</w:t>
      </w:r>
      <w:r w:rsidRPr="00293A57">
        <w:rPr>
          <w:rFonts w:ascii="Times New Roman" w:hAnsi="Times New Roman"/>
          <w:sz w:val="22"/>
          <w:szCs w:val="22"/>
        </w:rPr>
        <w:t xml:space="preserve">, (released September </w:t>
      </w:r>
      <w:r w:rsidR="006355AE">
        <w:rPr>
          <w:rFonts w:ascii="Times New Roman" w:hAnsi="Times New Roman"/>
          <w:sz w:val="22"/>
          <w:szCs w:val="22"/>
        </w:rPr>
        <w:t>2</w:t>
      </w:r>
      <w:r w:rsidRPr="00293A57">
        <w:rPr>
          <w:rFonts w:ascii="Times New Roman" w:hAnsi="Times New Roman"/>
          <w:sz w:val="22"/>
          <w:szCs w:val="22"/>
        </w:rPr>
        <w:t>, 201</w:t>
      </w:r>
      <w:r w:rsidR="002B0275">
        <w:rPr>
          <w:rFonts w:ascii="Times New Roman" w:hAnsi="Times New Roman"/>
          <w:sz w:val="22"/>
          <w:szCs w:val="22"/>
        </w:rPr>
        <w:t>6</w:t>
      </w:r>
      <w:r w:rsidRPr="00293A57">
        <w:rPr>
          <w:rFonts w:ascii="Times New Roman" w:hAnsi="Times New Roman"/>
          <w:sz w:val="22"/>
          <w:szCs w:val="22"/>
        </w:rPr>
        <w:t xml:space="preserve">) </w:t>
      </w:r>
      <w:r w:rsidRPr="00293A57">
        <w:rPr>
          <w:rFonts w:ascii="Times New Roman" w:hAnsi="Times New Roman"/>
          <w:i/>
          <w:sz w:val="22"/>
          <w:szCs w:val="22"/>
        </w:rPr>
        <w:t>(“</w:t>
      </w:r>
      <w:r w:rsidRPr="00293A57">
        <w:rPr>
          <w:rFonts w:ascii="Times New Roman" w:hAnsi="Times New Roman"/>
          <w:sz w:val="22"/>
          <w:szCs w:val="22"/>
        </w:rPr>
        <w:t>FY 201</w:t>
      </w:r>
      <w:r w:rsidR="002B0275">
        <w:rPr>
          <w:rFonts w:ascii="Times New Roman" w:hAnsi="Times New Roman"/>
          <w:sz w:val="22"/>
          <w:szCs w:val="22"/>
        </w:rPr>
        <w:t>6</w:t>
      </w:r>
      <w:r w:rsidRPr="00293A57">
        <w:rPr>
          <w:rFonts w:ascii="Times New Roman" w:hAnsi="Times New Roman"/>
          <w:sz w:val="22"/>
          <w:szCs w:val="22"/>
        </w:rPr>
        <w:t xml:space="preserve"> Regulatory Fees</w:t>
      </w:r>
      <w:r w:rsidRPr="00293A57">
        <w:rPr>
          <w:rFonts w:ascii="Times New Roman" w:hAnsi="Times New Roman"/>
          <w:i/>
          <w:sz w:val="22"/>
          <w:szCs w:val="22"/>
        </w:rPr>
        <w:t>, Report and Order”</w:t>
      </w:r>
      <w:r w:rsidRPr="00293A57">
        <w:rPr>
          <w:rFonts w:ascii="Times New Roman" w:hAnsi="Times New Roman"/>
          <w:sz w:val="22"/>
          <w:szCs w:val="22"/>
        </w:rPr>
        <w:t xml:space="preserve">).  The Commission also publishes industry-specific guidance in </w:t>
      </w:r>
      <w:r w:rsidRPr="00293A57">
        <w:rPr>
          <w:rFonts w:ascii="Times New Roman" w:hAnsi="Times New Roman"/>
          <w:i/>
          <w:iCs/>
          <w:sz w:val="22"/>
          <w:szCs w:val="22"/>
        </w:rPr>
        <w:t>Who Owes Fees &amp; What Is My FY 201</w:t>
      </w:r>
      <w:r w:rsidR="002B0275">
        <w:rPr>
          <w:rFonts w:ascii="Times New Roman" w:hAnsi="Times New Roman"/>
          <w:i/>
          <w:iCs/>
          <w:sz w:val="22"/>
          <w:szCs w:val="22"/>
        </w:rPr>
        <w:t>6</w:t>
      </w:r>
      <w:r w:rsidRPr="00293A57">
        <w:rPr>
          <w:rFonts w:ascii="Times New Roman" w:hAnsi="Times New Roman"/>
          <w:i/>
          <w:iCs/>
          <w:sz w:val="22"/>
          <w:szCs w:val="22"/>
        </w:rPr>
        <w:t xml:space="preserve"> Fee, </w:t>
      </w:r>
      <w:r w:rsidRPr="00293A57">
        <w:rPr>
          <w:rFonts w:ascii="Times New Roman" w:hAnsi="Times New Roman"/>
          <w:sz w:val="22"/>
          <w:szCs w:val="22"/>
        </w:rPr>
        <w:t xml:space="preserve">which can be found on the Commission website at </w:t>
      </w:r>
      <w:hyperlink r:id="rId8"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DA393B" w:rsidRPr="00293A57" w:rsidRDefault="00DA393B" w:rsidP="00DA393B">
      <w:pPr>
        <w:shd w:val="clear" w:color="auto" w:fill="FFFFFF"/>
        <w:rPr>
          <w:rFonts w:ascii="Times New Roman" w:hAnsi="Times New Roman"/>
          <w:sz w:val="22"/>
          <w:szCs w:val="22"/>
        </w:rPr>
      </w:pPr>
    </w:p>
    <w:p w:rsidR="00DA393B" w:rsidRPr="00293A57" w:rsidRDefault="00DA393B" w:rsidP="00DA393B">
      <w:pPr>
        <w:shd w:val="clear" w:color="auto" w:fill="FFFFFF"/>
        <w:rPr>
          <w:rFonts w:ascii="Times New Roman" w:hAnsi="Times New Roman"/>
          <w:sz w:val="22"/>
          <w:szCs w:val="22"/>
        </w:rPr>
      </w:pPr>
      <w:r w:rsidRPr="00293A57">
        <w:rPr>
          <w:rFonts w:ascii="Times New Roman" w:hAnsi="Times New Roman"/>
          <w:sz w:val="22"/>
          <w:szCs w:val="22"/>
        </w:rPr>
        <w:t xml:space="preserve">The Commission’s automated filing and payment system (“Fee Filer”) is available for </w:t>
      </w:r>
      <w:r w:rsidRPr="00293A57">
        <w:rPr>
          <w:rFonts w:ascii="Times New Roman" w:hAnsi="Times New Roman"/>
          <w:sz w:val="22"/>
          <w:szCs w:val="22"/>
          <w:u w:val="single"/>
        </w:rPr>
        <w:t>filing</w:t>
      </w:r>
      <w:r w:rsidRPr="00293A57">
        <w:rPr>
          <w:rFonts w:ascii="Times New Roman" w:hAnsi="Times New Roman"/>
          <w:sz w:val="22"/>
          <w:szCs w:val="22"/>
        </w:rPr>
        <w:t xml:space="preserve"> and </w:t>
      </w:r>
      <w:r w:rsidRPr="00293A57">
        <w:rPr>
          <w:rFonts w:ascii="Times New Roman" w:hAnsi="Times New Roman"/>
          <w:sz w:val="22"/>
          <w:szCs w:val="22"/>
          <w:u w:val="single"/>
        </w:rPr>
        <w:t>viewing</w:t>
      </w:r>
      <w:r w:rsidRPr="00293A57">
        <w:rPr>
          <w:rFonts w:ascii="Times New Roman" w:hAnsi="Times New Roman"/>
          <w:sz w:val="22"/>
          <w:szCs w:val="22"/>
        </w:rPr>
        <w:t xml:space="preserve"> of FY 201</w:t>
      </w:r>
      <w:r w:rsidR="002B0275">
        <w:rPr>
          <w:rFonts w:ascii="Times New Roman" w:hAnsi="Times New Roman"/>
          <w:sz w:val="22"/>
          <w:szCs w:val="22"/>
        </w:rPr>
        <w:t>6</w:t>
      </w:r>
      <w:r w:rsidRPr="00293A57">
        <w:rPr>
          <w:rFonts w:ascii="Times New Roman" w:hAnsi="Times New Roman"/>
          <w:sz w:val="22"/>
          <w:szCs w:val="22"/>
        </w:rPr>
        <w:t xml:space="preserve"> regulatory fees. </w:t>
      </w:r>
      <w:r w:rsidR="00F826FB">
        <w:rPr>
          <w:rFonts w:ascii="Times New Roman" w:hAnsi="Times New Roman"/>
          <w:sz w:val="22"/>
          <w:szCs w:val="22"/>
        </w:rPr>
        <w:t xml:space="preserve"> </w:t>
      </w:r>
      <w:r w:rsidRPr="00293A57">
        <w:rPr>
          <w:rFonts w:ascii="Times New Roman" w:hAnsi="Times New Roman"/>
          <w:sz w:val="22"/>
          <w:szCs w:val="22"/>
        </w:rPr>
        <w:t>While FY 201</w:t>
      </w:r>
      <w:r w:rsidR="002B0275">
        <w:rPr>
          <w:rFonts w:ascii="Times New Roman" w:hAnsi="Times New Roman"/>
          <w:sz w:val="22"/>
          <w:szCs w:val="22"/>
        </w:rPr>
        <w:t>6</w:t>
      </w:r>
      <w:r w:rsidRPr="00293A57">
        <w:rPr>
          <w:rFonts w:ascii="Times New Roman" w:hAnsi="Times New Roman"/>
          <w:sz w:val="22"/>
          <w:szCs w:val="22"/>
        </w:rPr>
        <w:t xml:space="preserve"> regulatory fees will not become effective until the rulemaking is published in the </w:t>
      </w:r>
      <w:r w:rsidRPr="00F826FB">
        <w:rPr>
          <w:rFonts w:ascii="Times New Roman" w:hAnsi="Times New Roman"/>
          <w:i/>
          <w:sz w:val="22"/>
          <w:szCs w:val="22"/>
        </w:rPr>
        <w:t>Federal Register</w:t>
      </w:r>
      <w:r w:rsidRPr="00293A57">
        <w:rPr>
          <w:rFonts w:ascii="Times New Roman" w:hAnsi="Times New Roman"/>
          <w:sz w:val="22"/>
          <w:szCs w:val="22"/>
        </w:rPr>
        <w:t>, regulatees at their own discretion, may submit payments at any time before the effective due date of FY 201</w:t>
      </w:r>
      <w:r w:rsidR="002B0275">
        <w:rPr>
          <w:rFonts w:ascii="Times New Roman" w:hAnsi="Times New Roman"/>
          <w:sz w:val="22"/>
          <w:szCs w:val="22"/>
        </w:rPr>
        <w:t>6</w:t>
      </w:r>
      <w:r w:rsidRPr="00293A57">
        <w:rPr>
          <w:rFonts w:ascii="Times New Roman" w:hAnsi="Times New Roman"/>
          <w:sz w:val="22"/>
          <w:szCs w:val="22"/>
        </w:rPr>
        <w:t xml:space="preserve"> regulatory fees.</w:t>
      </w:r>
      <w:r w:rsidR="00F826FB">
        <w:rPr>
          <w:rFonts w:ascii="Times New Roman" w:hAnsi="Times New Roman"/>
          <w:sz w:val="22"/>
          <w:szCs w:val="22"/>
        </w:rPr>
        <w:t xml:space="preserve"> </w:t>
      </w:r>
      <w:r w:rsidRPr="00293A57">
        <w:rPr>
          <w:rFonts w:ascii="Times New Roman" w:hAnsi="Times New Roman"/>
          <w:sz w:val="22"/>
          <w:szCs w:val="22"/>
        </w:rPr>
        <w:t xml:space="preserve"> </w:t>
      </w:r>
      <w:r w:rsidRPr="00293A57">
        <w:rPr>
          <w:rFonts w:ascii="Times New Roman" w:hAnsi="Times New Roman"/>
          <w:b/>
          <w:sz w:val="22"/>
          <w:szCs w:val="22"/>
        </w:rPr>
        <w:t>Regulatory fee payments</w:t>
      </w:r>
      <w:r w:rsidR="001844DA">
        <w:rPr>
          <w:rStyle w:val="FootnoteReference"/>
          <w:rFonts w:ascii="Times New Roman" w:hAnsi="Times New Roman"/>
          <w:b/>
          <w:sz w:val="22"/>
          <w:szCs w:val="22"/>
        </w:rPr>
        <w:footnoteReference w:id="1"/>
      </w:r>
      <w:r w:rsidRPr="00293A57">
        <w:rPr>
          <w:rFonts w:ascii="Times New Roman" w:hAnsi="Times New Roman"/>
          <w:b/>
          <w:sz w:val="22"/>
          <w:szCs w:val="22"/>
        </w:rPr>
        <w:t xml:space="preserve"> </w:t>
      </w:r>
      <w:r w:rsidR="00F37394">
        <w:rPr>
          <w:rFonts w:ascii="Times New Roman" w:hAnsi="Times New Roman"/>
          <w:b/>
          <w:sz w:val="22"/>
          <w:szCs w:val="22"/>
        </w:rPr>
        <w:t>MUST BE</w:t>
      </w:r>
      <w:r w:rsidR="00F826FB">
        <w:rPr>
          <w:rFonts w:ascii="Times New Roman" w:hAnsi="Times New Roman"/>
          <w:b/>
          <w:sz w:val="22"/>
          <w:szCs w:val="22"/>
        </w:rPr>
        <w:t xml:space="preserve"> </w:t>
      </w:r>
      <w:r w:rsidRPr="00293A57">
        <w:rPr>
          <w:rFonts w:ascii="Times New Roman" w:hAnsi="Times New Roman"/>
          <w:b/>
          <w:sz w:val="22"/>
          <w:szCs w:val="22"/>
        </w:rPr>
        <w:t xml:space="preserve">RECEIVED by the Commission no later than 11:59 PM, Eastern Daylight Time, on September </w:t>
      </w:r>
      <w:r w:rsidR="006355AE">
        <w:rPr>
          <w:rFonts w:ascii="Times New Roman" w:hAnsi="Times New Roman"/>
          <w:b/>
          <w:sz w:val="22"/>
          <w:szCs w:val="22"/>
        </w:rPr>
        <w:t>27</w:t>
      </w:r>
      <w:r w:rsidRPr="00293A57">
        <w:rPr>
          <w:rFonts w:ascii="Times New Roman" w:hAnsi="Times New Roman"/>
          <w:b/>
          <w:sz w:val="22"/>
          <w:szCs w:val="22"/>
        </w:rPr>
        <w:t>, 201</w:t>
      </w:r>
      <w:r w:rsidR="002B0275">
        <w:rPr>
          <w:rFonts w:ascii="Times New Roman" w:hAnsi="Times New Roman"/>
          <w:b/>
          <w:sz w:val="22"/>
          <w:szCs w:val="22"/>
        </w:rPr>
        <w:t>6</w:t>
      </w:r>
      <w:r w:rsidRPr="00293A57">
        <w:rPr>
          <w:rFonts w:ascii="Times New Roman" w:hAnsi="Times New Roman"/>
          <w:b/>
          <w:sz w:val="22"/>
          <w:szCs w:val="22"/>
        </w:rPr>
        <w:t>.</w:t>
      </w:r>
      <w:r w:rsidRPr="00293A57">
        <w:rPr>
          <w:rFonts w:ascii="Times New Roman" w:hAnsi="Times New Roman"/>
          <w:sz w:val="22"/>
          <w:szCs w:val="22"/>
        </w:rPr>
        <w:t xml:space="preserve">   </w:t>
      </w:r>
    </w:p>
    <w:p w:rsidR="00DA393B" w:rsidRPr="00293A57" w:rsidRDefault="00DA393B" w:rsidP="00DA393B">
      <w:pPr>
        <w:shd w:val="clear" w:color="auto" w:fill="FFFFFF"/>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293A57">
        <w:rPr>
          <w:rFonts w:ascii="Times New Roman" w:hAnsi="Times New Roman"/>
          <w:i/>
          <w:sz w:val="22"/>
          <w:szCs w:val="22"/>
        </w:rPr>
        <w:t>Fact Sheet</w:t>
      </w:r>
      <w:r w:rsidRPr="00293A57">
        <w:rPr>
          <w:rFonts w:ascii="Times New Roman" w:hAnsi="Times New Roman"/>
          <w:sz w:val="22"/>
          <w:szCs w:val="22"/>
        </w:rPr>
        <w:t xml:space="preserve"> applies to providers of international bearer circuits, earth station licensees (Part 25), geostationary space station licensees (Part 25) and direct broadcast satellite licensees (Part 100),  non-geostationary orbit satellite system licensees (formerly low earth orbit satellite systems) (Part 25), and submarine cable licensees (</w:t>
      </w:r>
      <w:r w:rsidRPr="00293A57">
        <w:rPr>
          <w:rFonts w:ascii="Times New Roman" w:hAnsi="Times New Roman"/>
          <w:i/>
          <w:sz w:val="22"/>
          <w:szCs w:val="22"/>
        </w:rPr>
        <w:t>see also</w:t>
      </w:r>
      <w:r w:rsidRPr="00293A57">
        <w:rPr>
          <w:rFonts w:ascii="Times New Roman" w:hAnsi="Times New Roman"/>
          <w:sz w:val="22"/>
          <w:szCs w:val="22"/>
        </w:rPr>
        <w:t xml:space="preserve">, </w:t>
      </w:r>
      <w:r w:rsidRPr="00293A57">
        <w:rPr>
          <w:rFonts w:ascii="Times New Roman" w:hAnsi="Times New Roman"/>
          <w:i/>
          <w:sz w:val="22"/>
          <w:szCs w:val="22"/>
        </w:rPr>
        <w:t>Public Notice: Submarine Cable Systems –FY 201</w:t>
      </w:r>
      <w:r w:rsidR="002B0275">
        <w:rPr>
          <w:rFonts w:ascii="Times New Roman" w:hAnsi="Times New Roman"/>
          <w:i/>
          <w:sz w:val="22"/>
          <w:szCs w:val="22"/>
        </w:rPr>
        <w:t>6</w:t>
      </w:r>
      <w:r w:rsidRPr="00293A57">
        <w:rPr>
          <w:rFonts w:ascii="Times New Roman" w:hAnsi="Times New Roman"/>
          <w:sz w:val="22"/>
          <w:szCs w:val="22"/>
        </w:rPr>
        <w:t xml:space="preserve">).  </w:t>
      </w:r>
    </w:p>
    <w:p w:rsidR="00DA393B" w:rsidRPr="00293A57" w:rsidRDefault="00DA393B">
      <w:pPr>
        <w:tabs>
          <w:tab w:val="left" w:pos="-720"/>
        </w:tabs>
        <w:suppressAutoHyphens/>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Pr="00293A57">
        <w:rPr>
          <w:rFonts w:ascii="Times New Roman" w:hAnsi="Times New Roman"/>
          <w:spacing w:val="-2"/>
          <w:sz w:val="22"/>
          <w:szCs w:val="22"/>
        </w:rPr>
        <w:t xml:space="preserve">owe regulatory fees for each license held as of </w:t>
      </w:r>
      <w:r w:rsidRPr="00293A57">
        <w:rPr>
          <w:rFonts w:ascii="Times New Roman" w:hAnsi="Times New Roman"/>
          <w:bCs/>
          <w:sz w:val="22"/>
          <w:szCs w:val="22"/>
        </w:rPr>
        <w:t>October 1, 201</w:t>
      </w:r>
      <w:r w:rsidR="002B0275">
        <w:rPr>
          <w:rFonts w:ascii="Times New Roman" w:hAnsi="Times New Roman"/>
          <w:bCs/>
          <w:sz w:val="22"/>
          <w:szCs w:val="22"/>
        </w:rPr>
        <w:t>5</w:t>
      </w:r>
      <w:r w:rsidRPr="00293A57">
        <w:rPr>
          <w:rFonts w:ascii="Times New Roman" w:hAnsi="Times New Roman"/>
          <w:sz w:val="22"/>
          <w:szCs w:val="22"/>
        </w:rPr>
        <w:t xml:space="preserve">, and payment is due </w:t>
      </w:r>
      <w:r w:rsidRPr="00293A57">
        <w:rPr>
          <w:rFonts w:ascii="Times New Roman" w:hAnsi="Times New Roman"/>
          <w:sz w:val="22"/>
          <w:szCs w:val="22"/>
          <w:u w:val="single"/>
        </w:rPr>
        <w:t>even if a license expired after October 1, 201</w:t>
      </w:r>
      <w:r w:rsidR="002B0275">
        <w:rPr>
          <w:rFonts w:ascii="Times New Roman" w:hAnsi="Times New Roman"/>
          <w:sz w:val="22"/>
          <w:szCs w:val="22"/>
          <w:u w:val="single"/>
        </w:rPr>
        <w:t>5</w:t>
      </w:r>
      <w:r w:rsidRPr="00293A57">
        <w:rPr>
          <w:rFonts w:ascii="Times New Roman" w:hAnsi="Times New Roman"/>
          <w:sz w:val="22"/>
          <w:szCs w:val="22"/>
        </w:rPr>
        <w:t>.  In instances where a license or authorization is transferred or assigned after October 1, 201</w:t>
      </w:r>
      <w:r w:rsidR="002B0275">
        <w:rPr>
          <w:rFonts w:ascii="Times New Roman" w:hAnsi="Times New Roman"/>
          <w:sz w:val="22"/>
          <w:szCs w:val="22"/>
        </w:rPr>
        <w:t>5</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rsidRDefault="00DA393B">
      <w:pPr>
        <w:tabs>
          <w:tab w:val="left" w:pos="-720"/>
        </w:tabs>
        <w:suppressAutoHyphens/>
        <w:rPr>
          <w:rFonts w:ascii="Times New Roman" w:hAnsi="Times New Roman"/>
          <w:bCs/>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an earth station's license limits its operational authority to a particular satellite system that is not yet operational, a regulatory fee payment for the earth station is not due until the first satellite in the system becomes operational pursuant to section 25.121(d) of our rules.</w:t>
      </w:r>
    </w:p>
    <w:p w:rsidR="00DA393B" w:rsidRPr="00293A57" w:rsidRDefault="00DA393B">
      <w:pPr>
        <w:tabs>
          <w:tab w:val="center" w:pos="4680"/>
        </w:tabs>
        <w:suppressAutoHyphens/>
        <w:outlineLvl w:val="0"/>
        <w:rPr>
          <w:rFonts w:ascii="Times New Roman" w:hAnsi="Times New Roman"/>
          <w:b/>
          <w:smallCaps/>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network.  Each system, authorized pursuant to blanket licensing procedures in Part 25 of the Commission’s rules, consists of a network of technically-identical small fixed-satellite earth stations which often includes a larger hub station.  Entities holding these types of authorizations will be assessed a regulatory fee per authorization or registration, </w:t>
      </w:r>
      <w:r w:rsidRPr="00293A57">
        <w:rPr>
          <w:rFonts w:ascii="Times New Roman" w:hAnsi="Times New Roman"/>
          <w:sz w:val="22"/>
          <w:szCs w:val="22"/>
          <w:u w:val="single"/>
        </w:rPr>
        <w:t>as well as a fee for each associated Hub Station</w:t>
      </w:r>
      <w:r w:rsidRPr="00293A57">
        <w:rPr>
          <w:rFonts w:ascii="Times New Roman" w:hAnsi="Times New Roman"/>
          <w:sz w:val="22"/>
          <w:szCs w:val="22"/>
        </w:rPr>
        <w:t>.</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lastRenderedPageBreak/>
        <w:t>Mobile Satellite Earth Stations</w:t>
      </w:r>
      <w:r w:rsidRPr="00293A57">
        <w:rPr>
          <w:rFonts w:ascii="Times New Roman" w:hAnsi="Times New Roman"/>
          <w:sz w:val="22"/>
          <w:szCs w:val="22"/>
        </w:rPr>
        <w:t xml:space="preserve">:  Mobile satellite service providers operate under blanket licenses for mobile antennas (transceivers) which are smaller than one meter and provide voice or data communications, including position location information, for mobile platforms such as cars, buses or trucks.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but this bill will be available for viewing only by accessing </w:t>
      </w:r>
      <w:r w:rsidRPr="00293A57">
        <w:rPr>
          <w:rFonts w:ascii="Times New Roman" w:hAnsi="Times New Roman"/>
          <w:bCs/>
          <w:sz w:val="22"/>
          <w:szCs w:val="22"/>
        </w:rPr>
        <w:t xml:space="preserve">Fee Filer.  Earth Station </w:t>
      </w:r>
      <w:r w:rsidRPr="00293A57">
        <w:rPr>
          <w:rFonts w:ascii="Times New Roman" w:hAnsi="Times New Roman"/>
          <w:sz w:val="22"/>
          <w:szCs w:val="22"/>
        </w:rPr>
        <w:t>licensees are also required to make regulatory fee payments for all other regulatory fees that they owe.</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$3</w:t>
      </w:r>
      <w:r w:rsidR="002B0275">
        <w:rPr>
          <w:rFonts w:ascii="Times New Roman" w:hAnsi="Times New Roman"/>
          <w:sz w:val="22"/>
          <w:szCs w:val="22"/>
        </w:rPr>
        <w:t>45</w:t>
      </w:r>
      <w:r w:rsidRPr="00293A57">
        <w:rPr>
          <w:rFonts w:ascii="Times New Roman" w:hAnsi="Times New Roman"/>
          <w:sz w:val="22"/>
          <w:szCs w:val="22"/>
        </w:rPr>
        <w:t xml:space="preserve"> per license or authorization, and $3</w:t>
      </w:r>
      <w:r w:rsidR="002B0275">
        <w:rPr>
          <w:rFonts w:ascii="Times New Roman" w:hAnsi="Times New Roman"/>
          <w:sz w:val="22"/>
          <w:szCs w:val="22"/>
        </w:rPr>
        <w:t>45</w:t>
      </w:r>
      <w:r w:rsidRPr="00293A57">
        <w:rPr>
          <w:rFonts w:ascii="Times New Roman" w:hAnsi="Times New Roman"/>
          <w:sz w:val="22"/>
          <w:szCs w:val="22"/>
        </w:rPr>
        <w:t xml:space="preserve"> for each associated Hub Station.  </w:t>
      </w:r>
    </w:p>
    <w:p w:rsidR="00DA393B" w:rsidRPr="00293A57" w:rsidRDefault="00DA393B">
      <w:pPr>
        <w:tabs>
          <w:tab w:val="center" w:pos="4680"/>
        </w:tabs>
        <w:suppressAutoHyphens/>
        <w:outlineLvl w:val="0"/>
        <w:rPr>
          <w:rFonts w:ascii="Times New Roman" w:hAnsi="Times New Roman"/>
          <w:b/>
          <w:smallCaps/>
          <w:sz w:val="22"/>
          <w:szCs w:val="22"/>
        </w:rPr>
      </w:pPr>
    </w:p>
    <w:p w:rsidR="00DA393B" w:rsidRPr="00293A57" w:rsidRDefault="00DA393B">
      <w:pPr>
        <w:pStyle w:val="header2"/>
        <w:tabs>
          <w:tab w:val="clear" w:pos="1440"/>
          <w:tab w:val="clear" w:pos="4320"/>
          <w:tab w:val="clear" w:pos="8640"/>
          <w:tab w:val="left" w:pos="-720"/>
        </w:tabs>
        <w:rPr>
          <w:sz w:val="22"/>
          <w:szCs w:val="22"/>
        </w:rPr>
      </w:pPr>
      <w:r w:rsidRPr="00293A57">
        <w:rPr>
          <w:sz w:val="22"/>
          <w:szCs w:val="22"/>
        </w:rPr>
        <w:t>Geostationary Orbit Space Stations and Direct Broadcast Satellite Service</w:t>
      </w:r>
    </w:p>
    <w:p w:rsidR="00DA393B" w:rsidRPr="00293A57" w:rsidRDefault="00DA393B">
      <w:pPr>
        <w:tabs>
          <w:tab w:val="left" w:pos="-720"/>
        </w:tabs>
        <w:suppressAutoHyphens/>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Geostationary orbit space station and Direct Broadcast Satellite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Geostationary</w:t>
      </w:r>
      <w:r w:rsidRPr="00293A57">
        <w:rPr>
          <w:rFonts w:ascii="Times New Roman" w:hAnsi="Times New Roman"/>
          <w:bCs/>
          <w:sz w:val="22"/>
          <w:szCs w:val="22"/>
        </w:rPr>
        <w:t xml:space="preserve"> space station </w:t>
      </w:r>
      <w:r w:rsidRPr="00293A57">
        <w:rPr>
          <w:rFonts w:ascii="Times New Roman" w:hAnsi="Times New Roman"/>
          <w:sz w:val="22"/>
          <w:szCs w:val="22"/>
        </w:rPr>
        <w:t>licensees are also required to make regulatory fee payments for all other fee categories as well.</w:t>
      </w:r>
    </w:p>
    <w:p w:rsidR="00DA393B" w:rsidRPr="00293A57" w:rsidRDefault="00DA393B">
      <w:pPr>
        <w:tabs>
          <w:tab w:val="left" w:pos="-720"/>
        </w:tabs>
        <w:suppressAutoHyphens/>
        <w:rPr>
          <w:rFonts w:ascii="Times New Roman" w:hAnsi="Times New Roman"/>
          <w:b/>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space stations in geostationary orbit</w:t>
      </w:r>
      <w:r w:rsidRPr="00293A57">
        <w:rPr>
          <w:rStyle w:val="FootnoteReference"/>
          <w:rFonts w:ascii="Times New Roman" w:hAnsi="Times New Roman"/>
          <w:sz w:val="22"/>
          <w:szCs w:val="22"/>
        </w:rPr>
        <w:footnoteReference w:id="2"/>
      </w:r>
      <w:r w:rsidRPr="00293A57">
        <w:rPr>
          <w:rFonts w:ascii="Times New Roman" w:hAnsi="Times New Roman"/>
          <w:sz w:val="22"/>
          <w:szCs w:val="22"/>
        </w:rPr>
        <w:t xml:space="preserve"> in accordance with section 25.121(d) and direct broadcast satellites (Part 100).  </w:t>
      </w:r>
    </w:p>
    <w:p w:rsidR="00DA393B" w:rsidRPr="00293A57" w:rsidRDefault="00DA393B">
      <w:pPr>
        <w:tabs>
          <w:tab w:val="left" w:pos="-720"/>
        </w:tabs>
        <w:suppressAutoHyphens/>
        <w:rPr>
          <w:rFonts w:ascii="Times New Roman" w:hAnsi="Times New Roman"/>
          <w:b/>
          <w:smallCaps/>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2B0275">
        <w:rPr>
          <w:rFonts w:ascii="Times New Roman" w:hAnsi="Times New Roman"/>
          <w:sz w:val="22"/>
          <w:szCs w:val="22"/>
        </w:rPr>
        <w:t>38</w:t>
      </w:r>
      <w:r w:rsidRPr="00293A57">
        <w:rPr>
          <w:rFonts w:ascii="Times New Roman" w:hAnsi="Times New Roman"/>
          <w:sz w:val="22"/>
          <w:szCs w:val="22"/>
        </w:rPr>
        <w:t>,</w:t>
      </w:r>
      <w:r w:rsidR="002B0275">
        <w:rPr>
          <w:rFonts w:ascii="Times New Roman" w:hAnsi="Times New Roman"/>
          <w:sz w:val="22"/>
          <w:szCs w:val="22"/>
        </w:rPr>
        <w:t>475</w:t>
      </w:r>
      <w:r w:rsidRPr="00293A57">
        <w:rPr>
          <w:rFonts w:ascii="Times New Roman" w:hAnsi="Times New Roman"/>
          <w:sz w:val="22"/>
          <w:szCs w:val="22"/>
        </w:rPr>
        <w:t xml:space="preserve"> </w:t>
      </w:r>
      <w:r w:rsidRPr="00293A57">
        <w:rPr>
          <w:rFonts w:ascii="Times New Roman" w:hAnsi="Times New Roman"/>
          <w:sz w:val="22"/>
          <w:szCs w:val="22"/>
          <w:u w:val="single"/>
        </w:rPr>
        <w:t>per operational space station</w:t>
      </w:r>
      <w:r w:rsidRPr="00293A57">
        <w:rPr>
          <w:rFonts w:ascii="Times New Roman" w:hAnsi="Times New Roman"/>
          <w:sz w:val="22"/>
          <w:szCs w:val="22"/>
        </w:rPr>
        <w:t xml:space="preserve"> in geostationary orbit in accordance with section 25.121(d) as of October 1, 201</w:t>
      </w:r>
      <w:r w:rsidR="002B0275">
        <w:rPr>
          <w:rFonts w:ascii="Times New Roman" w:hAnsi="Times New Roman"/>
          <w:sz w:val="22"/>
          <w:szCs w:val="22"/>
        </w:rPr>
        <w:t>5</w:t>
      </w:r>
      <w:r w:rsidRPr="00293A57">
        <w:rPr>
          <w:rFonts w:ascii="Times New Roman" w:hAnsi="Times New Roman"/>
          <w:sz w:val="22"/>
          <w:szCs w:val="22"/>
        </w:rPr>
        <w:t>.  A fee payment is required “upon the commencement of operation of a system's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Non-Geostationary Orbit Satellite Systems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Non-Geostationary orbit space station and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Non-Geostationary s</w:t>
      </w:r>
      <w:r w:rsidRPr="00293A57">
        <w:rPr>
          <w:rFonts w:ascii="Times New Roman" w:hAnsi="Times New Roman"/>
          <w:bCs/>
          <w:sz w:val="22"/>
          <w:szCs w:val="22"/>
        </w:rPr>
        <w:t xml:space="preserve">pace station </w:t>
      </w:r>
      <w:r w:rsidRPr="00293A57">
        <w:rPr>
          <w:rFonts w:ascii="Times New Roman" w:hAnsi="Times New Roman"/>
          <w:sz w:val="22"/>
          <w:szCs w:val="22"/>
        </w:rPr>
        <w:t>licensees are also required to make regulatory fee payments for all other regulatory fees that they owe.</w:t>
      </w:r>
    </w:p>
    <w:p w:rsidR="00DA393B" w:rsidRPr="00293A57" w:rsidRDefault="00DA393B">
      <w:pPr>
        <w:tabs>
          <w:tab w:val="left" w:pos="-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systems of satellites in non-geostationary orbit under Part 25 </w:t>
      </w:r>
      <w:r w:rsidRPr="00293A57">
        <w:rPr>
          <w:rFonts w:ascii="Times New Roman" w:hAnsi="Times New Roman"/>
          <w:sz w:val="22"/>
          <w:szCs w:val="22"/>
        </w:rPr>
        <w:lastRenderedPageBreak/>
        <w:t>to provide communications between satellites and earth stations on a common carrier or private carrier basis.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2B0275">
        <w:rPr>
          <w:rFonts w:ascii="Times New Roman" w:hAnsi="Times New Roman"/>
          <w:sz w:val="22"/>
          <w:szCs w:val="22"/>
        </w:rPr>
        <w:t>51</w:t>
      </w:r>
      <w:r w:rsidRPr="00293A57">
        <w:rPr>
          <w:rFonts w:ascii="Times New Roman" w:hAnsi="Times New Roman"/>
          <w:sz w:val="22"/>
          <w:szCs w:val="22"/>
        </w:rPr>
        <w:t>,</w:t>
      </w:r>
      <w:r w:rsidR="002B0275">
        <w:rPr>
          <w:rFonts w:ascii="Times New Roman" w:hAnsi="Times New Roman"/>
          <w:sz w:val="22"/>
          <w:szCs w:val="22"/>
        </w:rPr>
        <w:t>950</w:t>
      </w:r>
      <w:r w:rsidRPr="00293A57">
        <w:rPr>
          <w:rFonts w:ascii="Times New Roman" w:hAnsi="Times New Roman"/>
          <w:sz w:val="22"/>
          <w:szCs w:val="22"/>
        </w:rPr>
        <w:t xml:space="preserve"> </w:t>
      </w:r>
      <w:r w:rsidRPr="00293A57">
        <w:rPr>
          <w:rFonts w:ascii="Times New Roman" w:hAnsi="Times New Roman"/>
          <w:sz w:val="22"/>
          <w:szCs w:val="22"/>
          <w:u w:val="single"/>
        </w:rPr>
        <w:t>per operational system</w:t>
      </w:r>
      <w:r w:rsidRPr="00293A57">
        <w:rPr>
          <w:rFonts w:ascii="Times New Roman" w:hAnsi="Times New Roman"/>
          <w:sz w:val="22"/>
          <w:szCs w:val="22"/>
        </w:rPr>
        <w:t xml:space="preserve"> in non-geostationary orbit.</w:t>
      </w:r>
      <w:r w:rsidRPr="00293A57">
        <w:rPr>
          <w:rStyle w:val="FootnoteReference"/>
          <w:rFonts w:ascii="Times New Roman" w:hAnsi="Times New Roman"/>
          <w:sz w:val="22"/>
          <w:szCs w:val="22"/>
        </w:rPr>
        <w:footnoteReference w:id="3"/>
      </w:r>
      <w:r w:rsidRPr="00293A57">
        <w:rPr>
          <w:rFonts w:ascii="Times New Roman" w:hAnsi="Times New Roman"/>
          <w:sz w:val="22"/>
          <w:szCs w:val="22"/>
        </w:rPr>
        <w:t xml:space="preserve">  A fee payment is required “upon the commencement of operation of a system's first satellite as reported annually pursuant to sections 25.142(c), 25.143(e), 25.145(g), or upon certification of operation of a single satellite pursuant to section 25.121(d).”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In a </w:t>
      </w:r>
      <w:r w:rsidRPr="00293A57">
        <w:rPr>
          <w:rFonts w:ascii="Times New Roman" w:hAnsi="Times New Roman"/>
          <w:i/>
          <w:sz w:val="22"/>
          <w:szCs w:val="22"/>
        </w:rPr>
        <w:t>Second Report and Order</w:t>
      </w:r>
      <w:r w:rsidRPr="00293A57">
        <w:rPr>
          <w:rFonts w:ascii="Times New Roman" w:hAnsi="Times New Roman"/>
          <w:sz w:val="22"/>
          <w:szCs w:val="22"/>
        </w:rPr>
        <w:t xml:space="preserve"> (</w:t>
      </w:r>
      <w:r w:rsidRPr="00293A57">
        <w:rPr>
          <w:rFonts w:ascii="Times New Roman" w:hAnsi="Times New Roman"/>
          <w:i/>
          <w:sz w:val="22"/>
          <w:szCs w:val="22"/>
        </w:rPr>
        <w:t>“Submarine Cable Order”</w:t>
      </w:r>
      <w:r w:rsidRPr="00293A57">
        <w:rPr>
          <w:rFonts w:ascii="Times New Roman" w:hAnsi="Times New Roman"/>
          <w:sz w:val="22"/>
          <w:szCs w:val="22"/>
        </w:rPr>
        <w:t>) released on March 24, 2009, the Commission adopted a new submarine cable bearer circuit methodology that assessed regulatory fees on a per cable landing license basis, with higher fees for larger submarine cable systems and lower fees for smaller systems, without distinguishing between common carriers and non-common carriers.</w:t>
      </w:r>
      <w:r w:rsidRPr="00293A57">
        <w:rPr>
          <w:rStyle w:val="FootnoteReference"/>
          <w:rFonts w:ascii="Times New Roman" w:hAnsi="Times New Roman"/>
          <w:sz w:val="22"/>
          <w:szCs w:val="22"/>
        </w:rPr>
        <w:footnoteReference w:id="4"/>
      </w:r>
      <w:r w:rsidRPr="00293A57">
        <w:rPr>
          <w:rFonts w:ascii="Times New Roman" w:hAnsi="Times New Roman"/>
          <w:sz w:val="22"/>
          <w:szCs w:val="22"/>
        </w:rPr>
        <w:t xml:space="preserve">  For the other categories of international bearer circuits - common carrier and non-common carrier satellite facilities and common carrier terrestrial facilities - the </w:t>
      </w:r>
      <w:r w:rsidRPr="00293A57">
        <w:rPr>
          <w:rFonts w:ascii="Times New Roman" w:hAnsi="Times New Roman"/>
          <w:i/>
          <w:sz w:val="22"/>
          <w:szCs w:val="22"/>
        </w:rPr>
        <w:t>Submarine Cable Order</w:t>
      </w:r>
      <w:r w:rsidRPr="00293A57">
        <w:rPr>
          <w:rFonts w:ascii="Times New Roman" w:hAnsi="Times New Roman"/>
          <w:sz w:val="22"/>
          <w:szCs w:val="22"/>
        </w:rPr>
        <w:t xml:space="preserve"> retained the existing regulatory fee methodology of assessing fees on a per 64 kbps circuit basis.  For these categories of bearer circuits, the fee amount should be based on active circuit counts (used or leased) as of December 31, 201</w:t>
      </w:r>
      <w:r w:rsidR="002B0275">
        <w:rPr>
          <w:rFonts w:ascii="Times New Roman" w:hAnsi="Times New Roman"/>
          <w:sz w:val="22"/>
          <w:szCs w:val="22"/>
        </w:rPr>
        <w:t>5</w:t>
      </w:r>
      <w:r w:rsidRPr="00293A57">
        <w:rPr>
          <w:rFonts w:ascii="Times New Roman" w:hAnsi="Times New Roman"/>
          <w:sz w:val="22"/>
          <w:szCs w:val="22"/>
        </w:rPr>
        <w:t xml:space="preserve">.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201</w:t>
      </w:r>
      <w:r w:rsidR="002B0275">
        <w:rPr>
          <w:rFonts w:ascii="Times New Roman" w:hAnsi="Times New Roman"/>
          <w:sz w:val="22"/>
          <w:szCs w:val="22"/>
        </w:rPr>
        <w:t>5</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$0.0</w:t>
      </w:r>
      <w:r w:rsidR="002B0275">
        <w:rPr>
          <w:rFonts w:ascii="Times New Roman" w:hAnsi="Times New Roman"/>
          <w:sz w:val="22"/>
          <w:szCs w:val="22"/>
        </w:rPr>
        <w:t>2</w:t>
      </w:r>
      <w:r w:rsidRPr="00293A57">
        <w:rPr>
          <w:rFonts w:ascii="Times New Roman" w:hAnsi="Times New Roman"/>
          <w:sz w:val="22"/>
          <w:szCs w:val="22"/>
        </w:rPr>
        <w:t xml:space="preserve"> per active 64 KB circuit or equivalent.</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70"/>
        <w:gridCol w:w="3420"/>
        <w:gridCol w:w="1620"/>
      </w:tblGrid>
      <w:tr w:rsidR="00DA393B" w:rsidRPr="00293A57">
        <w:tc>
          <w:tcPr>
            <w:tcW w:w="4770" w:type="dxa"/>
          </w:tcPr>
          <w:p w:rsidR="00DA393B" w:rsidRPr="00293A57" w:rsidRDefault="00DA393B" w:rsidP="00DA393B">
            <w:pPr>
              <w:tabs>
                <w:tab w:val="center" w:pos="2246"/>
              </w:tabs>
              <w:suppressAutoHyphens/>
              <w:spacing w:before="90"/>
              <w:rPr>
                <w:rFonts w:ascii="Times New Roman" w:hAnsi="Times New Roman"/>
                <w:spacing w:val="-3"/>
                <w:sz w:val="22"/>
                <w:szCs w:val="22"/>
              </w:rPr>
            </w:pPr>
            <w:r w:rsidRPr="00293A57">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sidRPr="00293A57">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RDefault="00DA393B" w:rsidP="00DA393B">
            <w:pPr>
              <w:tabs>
                <w:tab w:val="left" w:pos="-720"/>
              </w:tabs>
              <w:suppressAutoHyphens/>
              <w:spacing w:after="54"/>
              <w:rPr>
                <w:rFonts w:ascii="Times New Roman" w:hAnsi="Times New Roman"/>
                <w:sz w:val="22"/>
                <w:szCs w:val="22"/>
              </w:rPr>
            </w:pPr>
          </w:p>
        </w:tc>
        <w:tc>
          <w:tcPr>
            <w:tcW w:w="3420" w:type="dxa"/>
          </w:tcPr>
          <w:p w:rsidR="00DA393B" w:rsidRPr="00293A57" w:rsidRDefault="00DA393B" w:rsidP="00DA393B">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RDefault="00DA393B" w:rsidP="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rsidR="00DA393B" w:rsidRPr="00293A57">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293A57" w:rsidRDefault="00DA393B" w:rsidP="004130C3">
            <w:pPr>
              <w:tabs>
                <w:tab w:val="left" w:pos="-720"/>
              </w:tabs>
              <w:suppressAutoHyphens/>
              <w:spacing w:before="90"/>
              <w:rPr>
                <w:rFonts w:ascii="Times New Roman" w:hAnsi="Times New Roman"/>
                <w:sz w:val="22"/>
                <w:szCs w:val="22"/>
              </w:rPr>
            </w:pPr>
            <w:r w:rsidRPr="00293A57">
              <w:rPr>
                <w:rFonts w:ascii="Times New Roman" w:hAnsi="Times New Roman"/>
                <w:sz w:val="22"/>
                <w:szCs w:val="22"/>
              </w:rPr>
              <w:t>Terrestrial Common Carrier; Satellite Common Carrier; and Satellite Non-Common Carrier.  Capacity as of December 31, 201</w:t>
            </w:r>
            <w:r w:rsidR="002B0275">
              <w:rPr>
                <w:rFonts w:ascii="Times New Roman" w:hAnsi="Times New Roman"/>
                <w:sz w:val="22"/>
                <w:szCs w:val="22"/>
              </w:rPr>
              <w:t>5</w:t>
            </w:r>
          </w:p>
        </w:tc>
        <w:tc>
          <w:tcPr>
            <w:tcW w:w="3420" w:type="dxa"/>
          </w:tcPr>
          <w:p w:rsidR="00DA393B" w:rsidRPr="00293A57" w:rsidRDefault="00DA393B" w:rsidP="00753510">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$0.0</w:t>
            </w:r>
            <w:r w:rsidR="002B0275">
              <w:rPr>
                <w:rFonts w:ascii="Times New Roman" w:hAnsi="Times New Roman"/>
                <w:sz w:val="22"/>
                <w:szCs w:val="22"/>
              </w:rPr>
              <w:t>2</w:t>
            </w:r>
            <w:r w:rsidRPr="00293A57">
              <w:rPr>
                <w:rFonts w:ascii="Times New Roman" w:hAnsi="Times New Roman"/>
                <w:sz w:val="22"/>
                <w:szCs w:val="22"/>
              </w:rPr>
              <w:t xml:space="preserve"> per active (used or leased) 64 KB circuit or equivalent</w:t>
            </w:r>
          </w:p>
        </w:tc>
        <w:tc>
          <w:tcPr>
            <w:tcW w:w="1620" w:type="dxa"/>
          </w:tcPr>
          <w:p w:rsidR="00DA393B" w:rsidRPr="00293A57" w:rsidRDefault="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76</w:t>
            </w:r>
          </w:p>
        </w:tc>
      </w:tr>
    </w:tbl>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br w:type="page"/>
        <w:t>Submarine Cable Systems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DA393B">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201</w:t>
      </w:r>
      <w:r w:rsidR="002B0275">
        <w:rPr>
          <w:rFonts w:ascii="Times New Roman" w:hAnsi="Times New Roman"/>
          <w:sz w:val="22"/>
          <w:szCs w:val="22"/>
        </w:rPr>
        <w:t>5</w:t>
      </w:r>
      <w:r w:rsidRPr="00293A57">
        <w:rPr>
          <w:rFonts w:ascii="Times New Roman" w:hAnsi="Times New Roman"/>
          <w:sz w:val="22"/>
          <w:szCs w:val="22"/>
        </w:rPr>
        <w:t xml:space="preserve">.    </w:t>
      </w:r>
    </w:p>
    <w:p w:rsidR="00DA393B" w:rsidRPr="00293A57" w:rsidRDefault="00DA393B" w:rsidP="00DA393B">
      <w:pPr>
        <w:widowControl/>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70"/>
        <w:gridCol w:w="3420"/>
        <w:gridCol w:w="1620"/>
      </w:tblGrid>
      <w:tr w:rsidR="00DA393B" w:rsidRPr="00293A57">
        <w:tc>
          <w:tcPr>
            <w:tcW w:w="4770" w:type="dxa"/>
          </w:tcPr>
          <w:p w:rsidR="00DA393B" w:rsidRPr="00293A57" w:rsidRDefault="00DA393B" w:rsidP="00DA393B">
            <w:pPr>
              <w:tabs>
                <w:tab w:val="center" w:pos="2246"/>
              </w:tabs>
              <w:suppressAutoHyphens/>
              <w:spacing w:before="90"/>
              <w:rPr>
                <w:rFonts w:ascii="Times New Roman" w:hAnsi="Times New Roman"/>
                <w:spacing w:val="-3"/>
                <w:sz w:val="22"/>
                <w:szCs w:val="22"/>
              </w:rPr>
            </w:pPr>
            <w:r w:rsidRPr="00293A57">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sidRPr="00293A57">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RDefault="00DA393B" w:rsidP="00DA393B">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Submarine Cable Systems</w:t>
            </w:r>
          </w:p>
          <w:p w:rsidR="00DA393B" w:rsidRPr="00293A57" w:rsidRDefault="00DA393B" w:rsidP="004130C3">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(capacity as of December 31, 201</w:t>
            </w:r>
            <w:r w:rsidR="002B0275">
              <w:rPr>
                <w:rFonts w:ascii="Times New Roman" w:hAnsi="Times New Roman"/>
                <w:sz w:val="22"/>
                <w:szCs w:val="22"/>
              </w:rPr>
              <w:t>5</w:t>
            </w:r>
            <w:r w:rsidRPr="00293A57">
              <w:rPr>
                <w:rFonts w:ascii="Times New Roman" w:hAnsi="Times New Roman"/>
                <w:sz w:val="22"/>
                <w:szCs w:val="22"/>
              </w:rPr>
              <w:t>)</w:t>
            </w:r>
          </w:p>
        </w:tc>
        <w:tc>
          <w:tcPr>
            <w:tcW w:w="3420" w:type="dxa"/>
          </w:tcPr>
          <w:p w:rsidR="00DA393B" w:rsidRPr="00293A57" w:rsidRDefault="00DA393B" w:rsidP="00DA393B">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RDefault="00DA393B" w:rsidP="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&lt; 2.5 Gbps</w:t>
            </w:r>
          </w:p>
        </w:tc>
        <w:tc>
          <w:tcPr>
            <w:tcW w:w="3420" w:type="dxa"/>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8</w:t>
            </w:r>
            <w:r w:rsidRPr="00293A57">
              <w:rPr>
                <w:rFonts w:ascii="Times New Roman" w:hAnsi="Times New Roman"/>
                <w:sz w:val="22"/>
                <w:szCs w:val="22"/>
              </w:rPr>
              <w:t>,</w:t>
            </w:r>
            <w:r w:rsidR="002B0275">
              <w:rPr>
                <w:rFonts w:ascii="Times New Roman" w:hAnsi="Times New Roman"/>
                <w:sz w:val="22"/>
                <w:szCs w:val="22"/>
              </w:rPr>
              <w:t>325</w:t>
            </w:r>
          </w:p>
        </w:tc>
        <w:tc>
          <w:tcPr>
            <w:tcW w:w="1620" w:type="dxa"/>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86</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2.5 Gbps or greater, but less than 5 Gbps</w:t>
            </w:r>
          </w:p>
        </w:tc>
        <w:tc>
          <w:tcPr>
            <w:tcW w:w="3420" w:type="dxa"/>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w:t>
            </w:r>
            <w:r w:rsidR="002B0275">
              <w:rPr>
                <w:rFonts w:ascii="Times New Roman" w:hAnsi="Times New Roman"/>
                <w:sz w:val="22"/>
                <w:szCs w:val="22"/>
              </w:rPr>
              <w:t>6</w:t>
            </w:r>
            <w:r w:rsidRPr="00293A57">
              <w:rPr>
                <w:rFonts w:ascii="Times New Roman" w:hAnsi="Times New Roman"/>
                <w:sz w:val="22"/>
                <w:szCs w:val="22"/>
              </w:rPr>
              <w:t>50</w:t>
            </w:r>
          </w:p>
        </w:tc>
        <w:tc>
          <w:tcPr>
            <w:tcW w:w="1620" w:type="dxa"/>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87</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5 Gbps or greater, but less than 10 Gbps</w:t>
            </w:r>
          </w:p>
        </w:tc>
        <w:tc>
          <w:tcPr>
            <w:tcW w:w="3420" w:type="dxa"/>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33</w:t>
            </w:r>
            <w:r w:rsidRPr="00293A57">
              <w:rPr>
                <w:rFonts w:ascii="Times New Roman" w:hAnsi="Times New Roman"/>
                <w:sz w:val="22"/>
                <w:szCs w:val="22"/>
              </w:rPr>
              <w:t>,</w:t>
            </w:r>
            <w:r w:rsidR="002B0275">
              <w:rPr>
                <w:rFonts w:ascii="Times New Roman" w:hAnsi="Times New Roman"/>
                <w:sz w:val="22"/>
                <w:szCs w:val="22"/>
              </w:rPr>
              <w:t>300</w:t>
            </w:r>
          </w:p>
        </w:tc>
        <w:tc>
          <w:tcPr>
            <w:tcW w:w="1620" w:type="dxa"/>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88</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10 Gbps or greater, but less than 20 Gbps</w:t>
            </w:r>
          </w:p>
        </w:tc>
        <w:tc>
          <w:tcPr>
            <w:tcW w:w="3420" w:type="dxa"/>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66</w:t>
            </w:r>
            <w:r w:rsidRPr="00293A57">
              <w:rPr>
                <w:rFonts w:ascii="Times New Roman" w:hAnsi="Times New Roman"/>
                <w:sz w:val="22"/>
                <w:szCs w:val="22"/>
              </w:rPr>
              <w:t>,</w:t>
            </w:r>
            <w:r w:rsidR="002B0275">
              <w:rPr>
                <w:rFonts w:ascii="Times New Roman" w:hAnsi="Times New Roman"/>
                <w:sz w:val="22"/>
                <w:szCs w:val="22"/>
              </w:rPr>
              <w:t>600</w:t>
            </w:r>
          </w:p>
        </w:tc>
        <w:tc>
          <w:tcPr>
            <w:tcW w:w="1620" w:type="dxa"/>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89</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20 Gbps or greater</w:t>
            </w:r>
          </w:p>
        </w:tc>
        <w:tc>
          <w:tcPr>
            <w:tcW w:w="3420" w:type="dxa"/>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33</w:t>
            </w:r>
            <w:r w:rsidRPr="00293A57">
              <w:rPr>
                <w:rFonts w:ascii="Times New Roman" w:hAnsi="Times New Roman"/>
                <w:sz w:val="22"/>
                <w:szCs w:val="22"/>
              </w:rPr>
              <w:t>,</w:t>
            </w:r>
            <w:r w:rsidR="002B0275">
              <w:rPr>
                <w:rFonts w:ascii="Times New Roman" w:hAnsi="Times New Roman"/>
                <w:sz w:val="22"/>
                <w:szCs w:val="22"/>
              </w:rPr>
              <w:t>200</w:t>
            </w:r>
          </w:p>
        </w:tc>
        <w:tc>
          <w:tcPr>
            <w:tcW w:w="1620" w:type="dxa"/>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6</w:t>
            </w:r>
            <w:r w:rsidRPr="00293A57">
              <w:rPr>
                <w:rFonts w:ascii="Times New Roman" w:hAnsi="Times New Roman"/>
                <w:sz w:val="22"/>
                <w:szCs w:val="22"/>
              </w:rPr>
              <w:t>90</w:t>
            </w:r>
          </w:p>
        </w:tc>
      </w:tr>
    </w:tbl>
    <w:p w:rsidR="00DA393B" w:rsidRPr="00293A57" w:rsidRDefault="00DA393B" w:rsidP="00DA393B">
      <w:pPr>
        <w:widowControl/>
        <w:rPr>
          <w:rFonts w:ascii="Times New Roman" w:hAnsi="Times New Roman"/>
          <w:sz w:val="22"/>
          <w:szCs w:val="22"/>
        </w:rPr>
      </w:pPr>
    </w:p>
    <w:p w:rsidR="00DA393B" w:rsidRPr="00293A57" w:rsidRDefault="00DA393B" w:rsidP="00DA393B">
      <w:pPr>
        <w:widowControl/>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Public Fixed Radio and International (HF) Broadcast Stations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rPr>
        <w:t xml:space="preserve">After a 90-day Congressional notification period in which we did not receive any objections, the fee categories of International Public Fixed Radio and International High Frequency (HF) Broadcast Stations were eliminated from regulatory fee assessment on August 18, 2009.  The elimination of these two categories is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sidRPr="00293A57">
        <w:rPr>
          <w:rStyle w:val="FootnoteReference"/>
          <w:rFonts w:ascii="Times New Roman" w:hAnsi="Times New Roman"/>
          <w:sz w:val="22"/>
          <w:szCs w:val="22"/>
        </w:rPr>
        <w:footnoteReference w:id="5"/>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6A6289" w:rsidP="00DA393B">
      <w:pPr>
        <w:shd w:val="clear" w:color="auto" w:fill="FFFFFF"/>
        <w:rPr>
          <w:rFonts w:ascii="Times New Roman" w:hAnsi="Times New Roman"/>
          <w:i/>
          <w:iCs/>
          <w:sz w:val="22"/>
          <w:szCs w:val="22"/>
          <w:u w:val="single"/>
        </w:rPr>
      </w:pPr>
      <w:r>
        <w:rPr>
          <w:rFonts w:ascii="Times New Roman" w:hAnsi="Times New Roman"/>
          <w:sz w:val="22"/>
          <w:szCs w:val="22"/>
        </w:rPr>
        <w:t xml:space="preserve">In FY 2015, </w:t>
      </w:r>
      <w:r w:rsidR="00DA393B" w:rsidRPr="00293A57">
        <w:rPr>
          <w:rFonts w:ascii="Times New Roman" w:hAnsi="Times New Roman"/>
          <w:sz w:val="22"/>
          <w:szCs w:val="22"/>
        </w:rPr>
        <w:t xml:space="preserve">The Commission instituted a new DBS fee to be paid on a per subscriber basis.  For additional guidance on how to pay this fee, please see </w:t>
      </w:r>
      <w:r w:rsidR="00DA393B" w:rsidRPr="00293A57">
        <w:rPr>
          <w:rFonts w:ascii="Times New Roman" w:hAnsi="Times New Roman"/>
          <w:i/>
          <w:iCs/>
          <w:sz w:val="22"/>
          <w:szCs w:val="22"/>
        </w:rPr>
        <w:t>What You Owe – Cable Television Systems for FY 201</w:t>
      </w:r>
      <w:r>
        <w:rPr>
          <w:rFonts w:ascii="Times New Roman" w:hAnsi="Times New Roman"/>
          <w:i/>
          <w:iCs/>
          <w:sz w:val="22"/>
          <w:szCs w:val="22"/>
        </w:rPr>
        <w:t>6</w:t>
      </w:r>
      <w:r w:rsidR="00DA393B" w:rsidRPr="00293A57">
        <w:rPr>
          <w:rFonts w:ascii="Times New Roman" w:hAnsi="Times New Roman"/>
          <w:i/>
          <w:iCs/>
          <w:sz w:val="22"/>
          <w:szCs w:val="22"/>
        </w:rPr>
        <w:t xml:space="preserve"> </w:t>
      </w:r>
      <w:r w:rsidR="00DA393B" w:rsidRPr="00293A57">
        <w:rPr>
          <w:rFonts w:ascii="Times New Roman" w:hAnsi="Times New Roman"/>
          <w:sz w:val="22"/>
          <w:szCs w:val="22"/>
        </w:rPr>
        <w:t>Fact Sheet</w:t>
      </w:r>
      <w:r w:rsidR="00DA393B" w:rsidRPr="00293A57">
        <w:rPr>
          <w:rFonts w:ascii="Times New Roman" w:hAnsi="Times New Roman"/>
          <w:i/>
          <w:iCs/>
          <w:sz w:val="22"/>
          <w:szCs w:val="22"/>
        </w:rPr>
        <w:t xml:space="preserve">, </w:t>
      </w:r>
      <w:r w:rsidR="00DA393B" w:rsidRPr="00293A57">
        <w:rPr>
          <w:rFonts w:ascii="Times New Roman" w:hAnsi="Times New Roman"/>
          <w:sz w:val="22"/>
          <w:szCs w:val="22"/>
        </w:rPr>
        <w:t xml:space="preserve">which can be found on the Commission website at </w:t>
      </w:r>
      <w:hyperlink r:id="rId9" w:history="1">
        <w:r w:rsidR="00DA393B" w:rsidRPr="00293A57">
          <w:rPr>
            <w:rStyle w:val="Hyperlink"/>
            <w:rFonts w:ascii="Times New Roman" w:hAnsi="Times New Roman"/>
            <w:sz w:val="22"/>
            <w:szCs w:val="22"/>
          </w:rPr>
          <w:t>http://www.fcc.gov/regfees</w:t>
        </w:r>
      </w:hyperlink>
      <w:r w:rsidR="00DA393B" w:rsidRPr="00293A57">
        <w:rPr>
          <w:rFonts w:ascii="Times New Roman" w:hAnsi="Times New Roman"/>
          <w:i/>
          <w:iCs/>
          <w:sz w:val="22"/>
          <w:szCs w:val="22"/>
          <w:u w:val="single"/>
        </w:rPr>
        <w:t>.</w:t>
      </w: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sz w:val="22"/>
          <w:szCs w:val="22"/>
        </w:rPr>
        <w:br w:type="page"/>
      </w:r>
      <w:r w:rsidRPr="00293A57">
        <w:rPr>
          <w:rFonts w:ascii="Times New Roman" w:hAnsi="Times New Roman"/>
          <w:b/>
          <w:sz w:val="22"/>
          <w:szCs w:val="22"/>
        </w:rPr>
        <w:t>SUMMARY OF FEES FOR INTERNATIONAL SERVICES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firstRow="0" w:lastRow="0" w:firstColumn="0" w:lastColumn="0" w:noHBand="0" w:noVBand="0"/>
      </w:tblPr>
      <w:tblGrid>
        <w:gridCol w:w="4590"/>
        <w:gridCol w:w="3600"/>
        <w:gridCol w:w="1620"/>
      </w:tblGrid>
      <w:tr w:rsidR="00DA393B" w:rsidRPr="00293A57">
        <w:tc>
          <w:tcPr>
            <w:tcW w:w="4590" w:type="dxa"/>
            <w:tcBorders>
              <w:top w:val="double" w:sz="6" w:space="0" w:color="auto"/>
              <w:left w:val="double" w:sz="6" w:space="0" w:color="auto"/>
            </w:tcBorders>
          </w:tcPr>
          <w:p w:rsidR="00DA393B" w:rsidRPr="00293A57" w:rsidRDefault="00DA393B">
            <w:pPr>
              <w:tabs>
                <w:tab w:val="center" w:pos="2246"/>
              </w:tabs>
              <w:suppressAutoHyphens/>
              <w:spacing w:before="90"/>
              <w:rPr>
                <w:rFonts w:ascii="Times New Roman" w:hAnsi="Times New Roman"/>
                <w:spacing w:val="-3"/>
                <w:sz w:val="22"/>
                <w:szCs w:val="22"/>
              </w:rPr>
            </w:pPr>
            <w:r w:rsidRPr="00293A57">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sidRPr="00293A57">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RDefault="00DA393B">
            <w:pPr>
              <w:tabs>
                <w:tab w:val="left" w:pos="-720"/>
              </w:tabs>
              <w:suppressAutoHyphens/>
              <w:spacing w:after="54"/>
              <w:rPr>
                <w:rFonts w:ascii="Times New Roman" w:hAnsi="Times New Roman"/>
                <w:sz w:val="22"/>
                <w:szCs w:val="22"/>
              </w:rPr>
            </w:pPr>
          </w:p>
        </w:tc>
        <w:tc>
          <w:tcPr>
            <w:tcW w:w="3600" w:type="dxa"/>
            <w:tcBorders>
              <w:top w:val="double" w:sz="6" w:space="0" w:color="auto"/>
              <w:left w:val="single" w:sz="6" w:space="0" w:color="auto"/>
            </w:tcBorders>
          </w:tcPr>
          <w:p w:rsidR="00DA393B" w:rsidRPr="00293A57" w:rsidRDefault="00DA393B">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1620" w:type="dxa"/>
            <w:tcBorders>
              <w:top w:val="double" w:sz="6" w:space="0" w:color="auto"/>
              <w:left w:val="single" w:sz="6" w:space="0" w:color="auto"/>
              <w:right w:val="double" w:sz="6" w:space="0" w:color="auto"/>
            </w:tcBorders>
          </w:tcPr>
          <w:p w:rsidR="00DA393B" w:rsidRPr="00293A57" w:rsidRDefault="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rsidR="00DA393B" w:rsidRPr="00293A57">
        <w:tc>
          <w:tcPr>
            <w:tcW w:w="4590" w:type="dxa"/>
            <w:tcBorders>
              <w:top w:val="single" w:sz="6" w:space="0" w:color="auto"/>
              <w:left w:val="double" w:sz="6" w:space="0" w:color="auto"/>
            </w:tcBorders>
          </w:tcPr>
          <w:p w:rsidR="00DA393B" w:rsidRPr="00293A57" w:rsidRDefault="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600" w:type="dxa"/>
            <w:tcBorders>
              <w:top w:val="single" w:sz="6" w:space="0" w:color="auto"/>
              <w:left w:val="single" w:sz="6" w:space="0" w:color="auto"/>
            </w:tcBorders>
          </w:tcPr>
          <w:p w:rsidR="00DA393B" w:rsidRPr="00293A57" w:rsidRDefault="00DA393B" w:rsidP="004130C3">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$3</w:t>
            </w:r>
            <w:r w:rsidR="006A6289">
              <w:rPr>
                <w:rFonts w:ascii="Times New Roman" w:hAnsi="Times New Roman"/>
                <w:sz w:val="22"/>
                <w:szCs w:val="22"/>
              </w:rPr>
              <w:t>45</w:t>
            </w:r>
            <w:r w:rsidRPr="00293A57">
              <w:rPr>
                <w:rFonts w:ascii="Times New Roman" w:hAnsi="Times New Roman"/>
                <w:sz w:val="22"/>
                <w:szCs w:val="22"/>
              </w:rPr>
              <w:t xml:space="preserve"> per station or Hub Station</w:t>
            </w:r>
          </w:p>
        </w:tc>
        <w:tc>
          <w:tcPr>
            <w:tcW w:w="1620" w:type="dxa"/>
            <w:tcBorders>
              <w:top w:val="single" w:sz="6" w:space="0" w:color="auto"/>
              <w:left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73</w:t>
            </w:r>
          </w:p>
        </w:tc>
      </w:tr>
      <w:tr w:rsidR="00DA393B" w:rsidRPr="00293A57">
        <w:tc>
          <w:tcPr>
            <w:tcW w:w="4590" w:type="dxa"/>
            <w:tcBorders>
              <w:top w:val="single" w:sz="6" w:space="0" w:color="auto"/>
              <w:left w:val="double" w:sz="6" w:space="0" w:color="auto"/>
            </w:tcBorders>
          </w:tcPr>
          <w:p w:rsidR="00DA393B" w:rsidRPr="00293A57" w:rsidRDefault="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Geostationary Orbit Space Stations and</w:t>
            </w:r>
          </w:p>
          <w:p w:rsidR="00DA393B" w:rsidRPr="00293A57" w:rsidRDefault="00DA393B">
            <w:pPr>
              <w:tabs>
                <w:tab w:val="left" w:pos="-720"/>
              </w:tabs>
              <w:suppressAutoHyphens/>
              <w:spacing w:after="54"/>
              <w:rPr>
                <w:rFonts w:ascii="Times New Roman" w:hAnsi="Times New Roman"/>
                <w:sz w:val="22"/>
                <w:szCs w:val="22"/>
              </w:rPr>
            </w:pPr>
            <w:r w:rsidRPr="00293A57">
              <w:rPr>
                <w:rFonts w:ascii="Times New Roman" w:hAnsi="Times New Roman"/>
                <w:sz w:val="22"/>
                <w:szCs w:val="22"/>
              </w:rPr>
              <w:t>Direct Broadcast Satellite Service Licensees</w:t>
            </w:r>
          </w:p>
        </w:tc>
        <w:tc>
          <w:tcPr>
            <w:tcW w:w="3600" w:type="dxa"/>
            <w:tcBorders>
              <w:top w:val="single" w:sz="6" w:space="0" w:color="auto"/>
              <w:left w:val="single" w:sz="6" w:space="0" w:color="auto"/>
            </w:tcBorders>
          </w:tcPr>
          <w:p w:rsidR="00DA393B" w:rsidRPr="00293A57" w:rsidRDefault="00DA393B" w:rsidP="004130C3">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38</w:t>
            </w:r>
            <w:r w:rsidRPr="00293A57">
              <w:rPr>
                <w:rFonts w:ascii="Times New Roman" w:hAnsi="Times New Roman"/>
                <w:sz w:val="22"/>
                <w:szCs w:val="22"/>
              </w:rPr>
              <w:t>,</w:t>
            </w:r>
            <w:r w:rsidR="006A6289">
              <w:rPr>
                <w:rFonts w:ascii="Times New Roman" w:hAnsi="Times New Roman"/>
                <w:sz w:val="22"/>
                <w:szCs w:val="22"/>
              </w:rPr>
              <w:t>475</w:t>
            </w:r>
            <w:r w:rsidRPr="00293A57">
              <w:rPr>
                <w:rFonts w:ascii="Times New Roman" w:hAnsi="Times New Roman"/>
                <w:sz w:val="22"/>
                <w:szCs w:val="22"/>
              </w:rPr>
              <w:t xml:space="preserve"> per operational station</w:t>
            </w:r>
          </w:p>
        </w:tc>
        <w:tc>
          <w:tcPr>
            <w:tcW w:w="1620" w:type="dxa"/>
            <w:tcBorders>
              <w:top w:val="single" w:sz="6" w:space="0" w:color="auto"/>
              <w:left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74</w:t>
            </w:r>
          </w:p>
        </w:tc>
      </w:tr>
      <w:tr w:rsidR="00DA393B" w:rsidRPr="00293A57">
        <w:tc>
          <w:tcPr>
            <w:tcW w:w="4590" w:type="dxa"/>
            <w:tcBorders>
              <w:top w:val="single" w:sz="6" w:space="0" w:color="auto"/>
              <w:left w:val="double" w:sz="6" w:space="0" w:color="auto"/>
            </w:tcBorders>
          </w:tcPr>
          <w:p w:rsidR="00DA393B" w:rsidRPr="00293A57" w:rsidRDefault="00DA393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Non-Geostationary Orbit Satellite Systems</w:t>
            </w:r>
          </w:p>
        </w:tc>
        <w:tc>
          <w:tcPr>
            <w:tcW w:w="3600" w:type="dxa"/>
            <w:tcBorders>
              <w:top w:val="single" w:sz="6" w:space="0" w:color="auto"/>
              <w:left w:val="single" w:sz="6" w:space="0" w:color="auto"/>
            </w:tcBorders>
          </w:tcPr>
          <w:p w:rsidR="00DA393B" w:rsidRPr="00293A57" w:rsidRDefault="00DA393B" w:rsidP="004130C3">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51</w:t>
            </w:r>
            <w:r w:rsidRPr="00293A57">
              <w:rPr>
                <w:rFonts w:ascii="Times New Roman" w:hAnsi="Times New Roman"/>
                <w:sz w:val="22"/>
                <w:szCs w:val="22"/>
              </w:rPr>
              <w:t>,</w:t>
            </w:r>
            <w:r w:rsidR="006A6289">
              <w:rPr>
                <w:rFonts w:ascii="Times New Roman" w:hAnsi="Times New Roman"/>
                <w:sz w:val="22"/>
                <w:szCs w:val="22"/>
              </w:rPr>
              <w:t>950</w:t>
            </w:r>
            <w:r w:rsidRPr="00293A57">
              <w:rPr>
                <w:rFonts w:ascii="Times New Roman" w:hAnsi="Times New Roman"/>
                <w:sz w:val="22"/>
                <w:szCs w:val="22"/>
              </w:rPr>
              <w:t xml:space="preserve"> per operational system</w:t>
            </w:r>
          </w:p>
        </w:tc>
        <w:tc>
          <w:tcPr>
            <w:tcW w:w="1620" w:type="dxa"/>
            <w:tcBorders>
              <w:top w:val="single" w:sz="6" w:space="0" w:color="auto"/>
              <w:left w:val="single" w:sz="6" w:space="0" w:color="auto"/>
              <w:right w:val="double" w:sz="6" w:space="0" w:color="auto"/>
            </w:tcBorders>
          </w:tcPr>
          <w:p w:rsidR="00DA393B" w:rsidRPr="00293A57" w:rsidRDefault="00DA393B" w:rsidP="00753510">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75</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753510">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International Bearer Circuits: Terrestrial Common Carrier; Satellite Common Carrier; and Satellite Non-Common Carrier (capacity as of December 31, 201</w:t>
            </w:r>
            <w:r w:rsidR="004130C3">
              <w:rPr>
                <w:rFonts w:ascii="Times New Roman" w:hAnsi="Times New Roman"/>
                <w:sz w:val="22"/>
                <w:szCs w:val="22"/>
              </w:rPr>
              <w:t>5</w:t>
            </w:r>
            <w:r w:rsidRPr="00293A57">
              <w:rPr>
                <w:rFonts w:ascii="Times New Roman" w:hAnsi="Times New Roman"/>
                <w:sz w:val="22"/>
                <w:szCs w:val="22"/>
              </w:rPr>
              <w:t>)</w:t>
            </w:r>
          </w:p>
        </w:tc>
        <w:tc>
          <w:tcPr>
            <w:tcW w:w="3600" w:type="dxa"/>
            <w:tcBorders>
              <w:top w:val="single" w:sz="6" w:space="0" w:color="auto"/>
              <w:left w:val="single" w:sz="6" w:space="0" w:color="auto"/>
            </w:tcBorders>
          </w:tcPr>
          <w:p w:rsidR="00DA393B" w:rsidRPr="00293A57" w:rsidRDefault="00DA393B" w:rsidP="004130C3">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$0.0</w:t>
            </w:r>
            <w:r w:rsidR="006A6289">
              <w:rPr>
                <w:rFonts w:ascii="Times New Roman" w:hAnsi="Times New Roman"/>
                <w:sz w:val="22"/>
                <w:szCs w:val="22"/>
              </w:rPr>
              <w:t>2</w:t>
            </w:r>
            <w:r w:rsidRPr="00293A57">
              <w:rPr>
                <w:rFonts w:ascii="Times New Roman" w:hAnsi="Times New Roman"/>
                <w:sz w:val="22"/>
                <w:szCs w:val="22"/>
              </w:rPr>
              <w:t xml:space="preserve"> per active 64 KB circuit or equivalent.  *See further guidance and table below.  </w:t>
            </w:r>
          </w:p>
        </w:tc>
        <w:tc>
          <w:tcPr>
            <w:tcW w:w="1620" w:type="dxa"/>
            <w:tcBorders>
              <w:top w:val="single" w:sz="6" w:space="0" w:color="auto"/>
              <w:left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76</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&lt; 2.5 GBps</w:t>
            </w:r>
          </w:p>
        </w:tc>
        <w:tc>
          <w:tcPr>
            <w:tcW w:w="3600" w:type="dxa"/>
            <w:tcBorders>
              <w:top w:val="single" w:sz="6" w:space="0" w:color="auto"/>
              <w:left w:val="single" w:sz="6" w:space="0" w:color="auto"/>
            </w:tcBorders>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6A6289">
              <w:rPr>
                <w:rFonts w:ascii="Times New Roman" w:hAnsi="Times New Roman"/>
                <w:sz w:val="22"/>
                <w:szCs w:val="22"/>
              </w:rPr>
              <w:t>8</w:t>
            </w:r>
            <w:r w:rsidRPr="00293A57">
              <w:rPr>
                <w:rFonts w:ascii="Times New Roman" w:hAnsi="Times New Roman"/>
                <w:sz w:val="22"/>
                <w:szCs w:val="22"/>
              </w:rPr>
              <w:t>,</w:t>
            </w:r>
            <w:r w:rsidR="006A6289">
              <w:rPr>
                <w:rFonts w:ascii="Times New Roman" w:hAnsi="Times New Roman"/>
                <w:sz w:val="22"/>
                <w:szCs w:val="22"/>
              </w:rPr>
              <w:t>325</w:t>
            </w:r>
          </w:p>
        </w:tc>
        <w:tc>
          <w:tcPr>
            <w:tcW w:w="1620" w:type="dxa"/>
            <w:tcBorders>
              <w:top w:val="single" w:sz="6" w:space="0" w:color="auto"/>
              <w:left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86</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2.5 GBps or greater, but less than 5 Gbps</w:t>
            </w:r>
          </w:p>
        </w:tc>
        <w:tc>
          <w:tcPr>
            <w:tcW w:w="3600" w:type="dxa"/>
            <w:tcBorders>
              <w:top w:val="single" w:sz="6" w:space="0" w:color="auto"/>
              <w:left w:val="single" w:sz="6" w:space="0" w:color="auto"/>
              <w:bottom w:val="single" w:sz="6" w:space="0" w:color="auto"/>
            </w:tcBorders>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w:t>
            </w:r>
            <w:r w:rsidR="006A6289">
              <w:rPr>
                <w:rFonts w:ascii="Times New Roman" w:hAnsi="Times New Roman"/>
                <w:sz w:val="22"/>
                <w:szCs w:val="22"/>
              </w:rPr>
              <w:t>6</w:t>
            </w:r>
            <w:r w:rsidRPr="00293A57">
              <w:rPr>
                <w:rFonts w:ascii="Times New Roman" w:hAnsi="Times New Roman"/>
                <w:sz w:val="22"/>
                <w:szCs w:val="22"/>
              </w:rPr>
              <w:t>50</w:t>
            </w:r>
          </w:p>
        </w:tc>
        <w:tc>
          <w:tcPr>
            <w:tcW w:w="1620" w:type="dxa"/>
            <w:tcBorders>
              <w:top w:val="single" w:sz="6" w:space="0" w:color="auto"/>
              <w:left w:val="single" w:sz="6" w:space="0" w:color="auto"/>
              <w:bottom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87</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5 Gbps or greater, but less than 10 Gbps</w:t>
            </w:r>
          </w:p>
        </w:tc>
        <w:tc>
          <w:tcPr>
            <w:tcW w:w="3600" w:type="dxa"/>
            <w:tcBorders>
              <w:top w:val="single" w:sz="6" w:space="0" w:color="auto"/>
              <w:left w:val="single" w:sz="6" w:space="0" w:color="auto"/>
              <w:bottom w:val="single" w:sz="6" w:space="0" w:color="auto"/>
            </w:tcBorders>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6A6289">
              <w:rPr>
                <w:rFonts w:ascii="Times New Roman" w:hAnsi="Times New Roman"/>
                <w:sz w:val="22"/>
                <w:szCs w:val="22"/>
              </w:rPr>
              <w:t>33</w:t>
            </w:r>
            <w:r w:rsidRPr="00293A57">
              <w:rPr>
                <w:rFonts w:ascii="Times New Roman" w:hAnsi="Times New Roman"/>
                <w:sz w:val="22"/>
                <w:szCs w:val="22"/>
              </w:rPr>
              <w:t>,</w:t>
            </w:r>
            <w:r w:rsidR="006A6289">
              <w:rPr>
                <w:rFonts w:ascii="Times New Roman" w:hAnsi="Times New Roman"/>
                <w:sz w:val="22"/>
                <w:szCs w:val="22"/>
              </w:rPr>
              <w:t>300</w:t>
            </w:r>
          </w:p>
        </w:tc>
        <w:tc>
          <w:tcPr>
            <w:tcW w:w="1620" w:type="dxa"/>
            <w:tcBorders>
              <w:top w:val="single" w:sz="6" w:space="0" w:color="auto"/>
              <w:left w:val="single" w:sz="6" w:space="0" w:color="auto"/>
              <w:bottom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88</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10 Gbps or greater, but less than 20 Gbps</w:t>
            </w:r>
          </w:p>
        </w:tc>
        <w:tc>
          <w:tcPr>
            <w:tcW w:w="3600" w:type="dxa"/>
            <w:tcBorders>
              <w:top w:val="single" w:sz="6" w:space="0" w:color="auto"/>
              <w:left w:val="single" w:sz="6" w:space="0" w:color="auto"/>
              <w:bottom w:val="single" w:sz="6" w:space="0" w:color="auto"/>
            </w:tcBorders>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6A6289">
              <w:rPr>
                <w:rFonts w:ascii="Times New Roman" w:hAnsi="Times New Roman"/>
                <w:sz w:val="22"/>
                <w:szCs w:val="22"/>
              </w:rPr>
              <w:t>66</w:t>
            </w:r>
            <w:r w:rsidRPr="00293A57">
              <w:rPr>
                <w:rFonts w:ascii="Times New Roman" w:hAnsi="Times New Roman"/>
                <w:sz w:val="22"/>
                <w:szCs w:val="22"/>
              </w:rPr>
              <w:t>,</w:t>
            </w:r>
            <w:r w:rsidR="006A6289">
              <w:rPr>
                <w:rFonts w:ascii="Times New Roman" w:hAnsi="Times New Roman"/>
                <w:sz w:val="22"/>
                <w:szCs w:val="22"/>
              </w:rPr>
              <w:t>600</w:t>
            </w:r>
          </w:p>
        </w:tc>
        <w:tc>
          <w:tcPr>
            <w:tcW w:w="1620" w:type="dxa"/>
            <w:tcBorders>
              <w:top w:val="single" w:sz="6" w:space="0" w:color="auto"/>
              <w:left w:val="single" w:sz="6" w:space="0" w:color="auto"/>
              <w:bottom w:val="sing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89</w:t>
            </w:r>
          </w:p>
        </w:tc>
      </w:tr>
      <w:tr w:rsidR="00DA393B" w:rsidRPr="00293A57">
        <w:tc>
          <w:tcPr>
            <w:tcW w:w="4590" w:type="dxa"/>
            <w:tcBorders>
              <w:top w:val="single" w:sz="6" w:space="0" w:color="auto"/>
              <w:left w:val="double" w:sz="6" w:space="0" w:color="auto"/>
              <w:bottom w:val="doub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20 Gbps or greater</w:t>
            </w:r>
          </w:p>
        </w:tc>
        <w:tc>
          <w:tcPr>
            <w:tcW w:w="3600" w:type="dxa"/>
            <w:tcBorders>
              <w:top w:val="single" w:sz="6" w:space="0" w:color="auto"/>
              <w:left w:val="single" w:sz="6" w:space="0" w:color="auto"/>
              <w:bottom w:val="double" w:sz="6" w:space="0" w:color="auto"/>
            </w:tcBorders>
          </w:tcPr>
          <w:p w:rsidR="00DA393B" w:rsidRPr="00293A57" w:rsidRDefault="00DA393B" w:rsidP="004130C3">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33</w:t>
            </w:r>
            <w:r w:rsidRPr="00293A57">
              <w:rPr>
                <w:rFonts w:ascii="Times New Roman" w:hAnsi="Times New Roman"/>
                <w:sz w:val="22"/>
                <w:szCs w:val="22"/>
              </w:rPr>
              <w:t>,</w:t>
            </w:r>
            <w:r w:rsidR="006A6289">
              <w:rPr>
                <w:rFonts w:ascii="Times New Roman" w:hAnsi="Times New Roman"/>
                <w:sz w:val="22"/>
                <w:szCs w:val="22"/>
              </w:rPr>
              <w:t>200</w:t>
            </w:r>
          </w:p>
        </w:tc>
        <w:tc>
          <w:tcPr>
            <w:tcW w:w="1620" w:type="dxa"/>
            <w:tcBorders>
              <w:top w:val="single" w:sz="6" w:space="0" w:color="auto"/>
              <w:left w:val="single" w:sz="6" w:space="0" w:color="auto"/>
              <w:bottom w:val="double" w:sz="6" w:space="0" w:color="auto"/>
              <w:right w:val="double" w:sz="6" w:space="0" w:color="auto"/>
            </w:tcBorders>
          </w:tcPr>
          <w:p w:rsidR="00DA393B" w:rsidRPr="00293A57" w:rsidRDefault="00DA393B" w:rsidP="00753510">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6</w:t>
            </w:r>
            <w:r w:rsidRPr="00293A57">
              <w:rPr>
                <w:rFonts w:ascii="Times New Roman" w:hAnsi="Times New Roman"/>
                <w:sz w:val="22"/>
                <w:szCs w:val="22"/>
              </w:rPr>
              <w:t>90</w:t>
            </w:r>
          </w:p>
        </w:tc>
      </w:tr>
    </w:tbl>
    <w:p w:rsidR="00DA393B" w:rsidRPr="00293A57" w:rsidRDefault="00DA393B">
      <w:pPr>
        <w:ind w:right="47"/>
        <w:rPr>
          <w:rFonts w:ascii="Times New Roman" w:hAnsi="Times New Roman"/>
          <w:sz w:val="22"/>
          <w:szCs w:val="22"/>
        </w:rPr>
      </w:pPr>
    </w:p>
    <w:p w:rsidR="00DA393B" w:rsidRPr="00293A57" w:rsidRDefault="00DA393B">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Equivalent circuits include the 64 KB circuit equivalent of larger bit stream circuits (e.g., the 64 KB equivalent of a 2.048 MB circuit is 30) and analog circuits such as 3 and 4 KHz circuits used for international services.  The number of equivalent 64 KB circuits for analog television channels is given by the following table:</w:t>
      </w:r>
    </w:p>
    <w:p w:rsidR="00DA393B" w:rsidRPr="00293A57" w:rsidRDefault="00DA393B">
      <w:pPr>
        <w:pStyle w:val="FootnoteText"/>
        <w:tabs>
          <w:tab w:val="left" w:pos="-720"/>
        </w:tabs>
        <w:suppressAutoHyphens/>
        <w:ind w:right="47"/>
        <w:rPr>
          <w:rFonts w:ascii="Times New Roman" w:hAnsi="Times New Roman"/>
          <w:sz w:val="22"/>
          <w:szCs w:val="22"/>
        </w:rPr>
      </w:pPr>
    </w:p>
    <w:tbl>
      <w:tblPr>
        <w:tblW w:w="9809" w:type="dxa"/>
        <w:tblInd w:w="120" w:type="dxa"/>
        <w:tblLayout w:type="fixed"/>
        <w:tblCellMar>
          <w:left w:w="120" w:type="dxa"/>
          <w:right w:w="120" w:type="dxa"/>
        </w:tblCellMar>
        <w:tblLook w:val="0000" w:firstRow="0" w:lastRow="0" w:firstColumn="0" w:lastColumn="0" w:noHBand="0" w:noVBand="0"/>
      </w:tblPr>
      <w:tblGrid>
        <w:gridCol w:w="5044"/>
        <w:gridCol w:w="4765"/>
      </w:tblGrid>
      <w:tr w:rsidR="00DA393B" w:rsidRPr="00293A57">
        <w:tc>
          <w:tcPr>
            <w:tcW w:w="5044" w:type="dxa"/>
            <w:tcBorders>
              <w:top w:val="double" w:sz="6" w:space="0" w:color="auto"/>
              <w:left w:val="double" w:sz="6" w:space="0" w:color="auto"/>
              <w:bottom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fldChar w:fldCharType="begin"/>
            </w:r>
            <w:r w:rsidRPr="00293A57">
              <w:rPr>
                <w:rFonts w:ascii="Times New Roman" w:hAnsi="Times New Roman"/>
                <w:sz w:val="22"/>
                <w:szCs w:val="22"/>
              </w:rPr>
              <w:instrText xml:space="preserve">PRIVATE </w:instrText>
            </w:r>
            <w:r w:rsidRPr="00293A57">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rsidR="00DA393B" w:rsidRPr="00293A57">
        <w:tc>
          <w:tcPr>
            <w:tcW w:w="5044" w:type="dxa"/>
            <w:tcBorders>
              <w:lef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rsidR="00DA393B" w:rsidRPr="00293A57">
        <w:tc>
          <w:tcPr>
            <w:tcW w:w="5044" w:type="dxa"/>
            <w:tcBorders>
              <w:top w:val="single" w:sz="6" w:space="0" w:color="auto"/>
              <w:lef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rsidR="00DA393B" w:rsidRPr="00293A57">
        <w:tc>
          <w:tcPr>
            <w:tcW w:w="5044" w:type="dxa"/>
            <w:tcBorders>
              <w:top w:val="single" w:sz="6" w:space="0" w:color="auto"/>
              <w:left w:val="double" w:sz="6" w:space="0" w:color="auto"/>
              <w:bottom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u w:val="single"/>
        </w:rPr>
      </w:pP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in 64 Kbps  Units</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p>
    <w:p w:rsidR="00DA393B" w:rsidRPr="00293A57" w:rsidRDefault="00DA393B" w:rsidP="00DA393B">
      <w:pPr>
        <w:pStyle w:val="ParaNum0"/>
        <w:numPr>
          <w:ilvl w:val="0"/>
          <w:numId w:val="0"/>
        </w:numPr>
        <w:jc w:val="center"/>
        <w:rPr>
          <w:b/>
          <w:szCs w:val="22"/>
        </w:rPr>
      </w:pPr>
      <w:r w:rsidRPr="00293A57">
        <w:rPr>
          <w:b/>
          <w:szCs w:val="22"/>
        </w:rPr>
        <w:br w:type="page"/>
        <w:t>MANDATORY USE OF FEE FILER</w:t>
      </w:r>
    </w:p>
    <w:p w:rsidR="00C11980" w:rsidRPr="00C11980" w:rsidRDefault="00C11980" w:rsidP="00DA393B">
      <w:pPr>
        <w:pStyle w:val="ParaNum0"/>
        <w:numPr>
          <w:ilvl w:val="0"/>
          <w:numId w:val="0"/>
        </w:numPr>
        <w:rPr>
          <w:szCs w:val="22"/>
        </w:rPr>
      </w:pPr>
      <w:r w:rsidRPr="003D572A">
        <w:rPr>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EC44B0">
        <w:rPr>
          <w:b/>
          <w:szCs w:val="22"/>
          <w:u w:val="single"/>
        </w:rPr>
        <w:t xml:space="preserve">will not be </w:t>
      </w:r>
      <w:r w:rsidRPr="003D572A">
        <w:rPr>
          <w:b/>
          <w:szCs w:val="22"/>
          <w:u w:val="single"/>
        </w:rPr>
        <w:t>accepted</w:t>
      </w:r>
      <w:r w:rsidRPr="003D572A">
        <w:rPr>
          <w:szCs w:val="22"/>
        </w:rPr>
        <w:t xml:space="preserve">. </w:t>
      </w:r>
      <w:r w:rsidRPr="003D572A">
        <w:rPr>
          <w:rStyle w:val="FootnoteReference"/>
          <w:szCs w:val="22"/>
        </w:rPr>
        <w:footnoteReference w:id="6"/>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Cs w:val="22"/>
        </w:rPr>
        <w:t>Please note that most wire transfers initiated after 6:00 p.m. (EDT) will be credited the next business day.</w:t>
      </w:r>
    </w:p>
    <w:p w:rsidR="00DA393B" w:rsidRPr="00293A57" w:rsidRDefault="00DA393B" w:rsidP="00DA393B">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293A57">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3A57">
        <w:rPr>
          <w:sz w:val="22"/>
          <w:szCs w:val="22"/>
        </w:rPr>
        <w:t>EGULATORY FEE LEVEL</w:t>
      </w:r>
    </w:p>
    <w:p w:rsidR="00DA393B" w:rsidRPr="00293A57" w:rsidRDefault="00DA393B" w:rsidP="00DA393B">
      <w:pPr>
        <w:pStyle w:val="header2"/>
        <w:tabs>
          <w:tab w:val="clear" w:pos="1440"/>
          <w:tab w:val="clear" w:pos="4320"/>
          <w:tab w:val="clear" w:pos="8640"/>
        </w:tabs>
        <w:suppressAutoHyphens w:val="0"/>
        <w:autoSpaceDE w:val="0"/>
        <w:autoSpaceDN w:val="0"/>
        <w:adjustRightInd w:val="0"/>
        <w:rPr>
          <w:sz w:val="22"/>
          <w:szCs w:val="22"/>
        </w:rPr>
      </w:pPr>
    </w:p>
    <w:p w:rsidR="00DA393B" w:rsidRPr="00293A57" w:rsidRDefault="00DA393B" w:rsidP="00DA393B">
      <w:pPr>
        <w:pStyle w:val="ParaNum0"/>
        <w:numPr>
          <w:ilvl w:val="0"/>
          <w:numId w:val="0"/>
        </w:numPr>
        <w:rPr>
          <w:b/>
          <w:szCs w:val="22"/>
        </w:rPr>
      </w:pPr>
      <w:r w:rsidRPr="00293A57">
        <w:t>Regulatees whose total FY 201</w:t>
      </w:r>
      <w:r w:rsidR="000731F4">
        <w:t>6</w:t>
      </w:r>
      <w:r w:rsidRPr="00293A57">
        <w:t xml:space="preserve"> annual regulatory fee liability, including all categories of fees for which payment is due, is $500 or less are exempt from payment of FY 201</w:t>
      </w:r>
      <w:r w:rsidR="000731F4">
        <w:t>6</w:t>
      </w:r>
      <w:r w:rsidRPr="00293A57">
        <w:t xml:space="preserve"> regulatory fees.  The </w:t>
      </w:r>
      <w:r w:rsidRPr="00293A57">
        <w:rPr>
          <w:i/>
        </w:rPr>
        <w:t>de minimis</w:t>
      </w:r>
      <w:r w:rsidRPr="00293A57">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293A57">
        <w:rPr>
          <w:i/>
        </w:rPr>
        <w:t>de minimis</w:t>
      </w:r>
      <w:r w:rsidRPr="00293A57">
        <w:t xml:space="preserve"> exemption.  </w:t>
      </w:r>
      <w:r w:rsidRPr="00293A57">
        <w:rPr>
          <w:szCs w:val="24"/>
        </w:rPr>
        <w:t>R</w:t>
      </w:r>
      <w:r w:rsidRPr="00293A57">
        <w:rPr>
          <w:spacing w:val="-3"/>
          <w:szCs w:val="24"/>
        </w:rPr>
        <w:t xml:space="preserve">egulatees are responsible for calculating their own total fee obligation to determine whether they qualify for this </w:t>
      </w:r>
      <w:r w:rsidRPr="00293A57">
        <w:rPr>
          <w:i/>
          <w:spacing w:val="-3"/>
          <w:szCs w:val="24"/>
        </w:rPr>
        <w:t>de minimis</w:t>
      </w:r>
      <w:r w:rsidRPr="00293A57">
        <w:rPr>
          <w:spacing w:val="-3"/>
          <w:szCs w:val="24"/>
        </w:rPr>
        <w:t xml:space="preserve"> exemption.  The Commission reserves the right to request documentation that supports a </w:t>
      </w:r>
      <w:r w:rsidRPr="00293A57">
        <w:rPr>
          <w:i/>
          <w:spacing w:val="-3"/>
          <w:szCs w:val="24"/>
        </w:rPr>
        <w:t>de minimis</w:t>
      </w:r>
      <w:r w:rsidRPr="00293A57">
        <w:rPr>
          <w:spacing w:val="-3"/>
          <w:szCs w:val="24"/>
        </w:rPr>
        <w:t xml:space="preserve"> exemption claim.</w:t>
      </w:r>
    </w:p>
    <w:p w:rsidR="00DA393B" w:rsidRPr="00293A57" w:rsidRDefault="00DA393B" w:rsidP="00DA393B">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DA393B" w:rsidRPr="00293A57" w:rsidRDefault="00DA393B" w:rsidP="00DA393B">
      <w:pPr>
        <w:tabs>
          <w:tab w:val="left" w:pos="-720"/>
        </w:tabs>
        <w:suppressAutoHyphens/>
        <w:jc w:val="center"/>
        <w:outlineLvl w:val="0"/>
        <w:rPr>
          <w:rFonts w:ascii="Times New Roman" w:hAnsi="Times New Roman"/>
          <w:b/>
          <w:sz w:val="22"/>
          <w:szCs w:val="22"/>
        </w:rPr>
      </w:pPr>
    </w:p>
    <w:p w:rsidR="00DA393B" w:rsidRPr="00293A57" w:rsidRDefault="00DA393B" w:rsidP="00DA393B">
      <w:pPr>
        <w:ind w:right="758"/>
        <w:rPr>
          <w:rFonts w:ascii="Times New Roman" w:hAnsi="Times New Roman"/>
          <w:sz w:val="22"/>
          <w:szCs w:val="22"/>
        </w:rPr>
      </w:pPr>
      <w:r w:rsidRPr="00293A57">
        <w:rPr>
          <w:rFonts w:ascii="Times New Roman" w:hAnsi="Times New Roman"/>
          <w:sz w:val="22"/>
        </w:rPr>
        <w:t>In accordance with U.S. Treasury Announcement No. A-2014-04 (July 2014), the amount that can be charged on a credit card for transactions with federal agencies has been reduced to $24,999.99.</w:t>
      </w:r>
      <w:r w:rsidRPr="00293A57">
        <w:rPr>
          <w:rStyle w:val="FootnoteReference"/>
          <w:rFonts w:ascii="Times New Roman" w:hAnsi="Times New Roman"/>
          <w:sz w:val="22"/>
        </w:rPr>
        <w:footnoteReference w:id="7"/>
      </w:r>
      <w:r w:rsidRPr="00293A57">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0731F4">
        <w:rPr>
          <w:rFonts w:ascii="Times New Roman" w:hAnsi="Times New Roman"/>
          <w:sz w:val="22"/>
        </w:rPr>
        <w:t>6</w:t>
      </w:r>
      <w:r w:rsidRPr="00293A57">
        <w:rPr>
          <w:rFonts w:ascii="Times New Roman" w:hAnsi="Times New Roman"/>
          <w:sz w:val="22"/>
        </w:rPr>
        <w:t xml:space="preserve"> regulatory fee </w:t>
      </w:r>
      <w:r w:rsidRPr="004130C3">
        <w:rPr>
          <w:rFonts w:ascii="Times New Roman" w:hAnsi="Times New Roman"/>
          <w:sz w:val="22"/>
        </w:rPr>
        <w:t>collection</w:t>
      </w:r>
      <w:r w:rsidRPr="00F826FB">
        <w:rPr>
          <w:rFonts w:ascii="Times New Roman" w:hAnsi="Times New Roman"/>
          <w:sz w:val="22"/>
        </w:rPr>
        <w:t xml:space="preserve"> in Fact Sheets, available at</w:t>
      </w:r>
      <w:r w:rsidRPr="00293A57">
        <w:rPr>
          <w:rFonts w:ascii="Times New Roman" w:hAnsi="Times New Roman"/>
          <w:color w:val="1F497D"/>
          <w:sz w:val="22"/>
        </w:rPr>
        <w:t xml:space="preserve"> </w:t>
      </w:r>
      <w:hyperlink r:id="rId10" w:history="1">
        <w:r w:rsidRPr="00293A57">
          <w:rPr>
            <w:rStyle w:val="Hyperlink"/>
            <w:rFonts w:ascii="Times New Roman" w:hAnsi="Times New Roman"/>
            <w:sz w:val="22"/>
          </w:rPr>
          <w:t>https://www.fcc.gov/regfees</w:t>
        </w:r>
      </w:hyperlink>
      <w:r w:rsidRPr="00293A57">
        <w:rPr>
          <w:rFonts w:ascii="Times New Roman" w:hAnsi="Times New Roman"/>
          <w:color w:val="1F497D"/>
          <w:sz w:val="22"/>
          <w:u w:val="single"/>
        </w:rPr>
        <w:t>.</w:t>
      </w:r>
    </w:p>
    <w:p w:rsidR="00DA393B" w:rsidRPr="00293A57" w:rsidRDefault="00DA393B" w:rsidP="00DA393B">
      <w:pPr>
        <w:ind w:right="758"/>
        <w:rPr>
          <w:rFonts w:ascii="Times New Roman" w:hAnsi="Times New Roman"/>
          <w:sz w:val="22"/>
          <w:szCs w:val="22"/>
        </w:rPr>
      </w:pPr>
    </w:p>
    <w:p w:rsidR="00DA393B" w:rsidRPr="00293A57" w:rsidRDefault="00DA393B" w:rsidP="00DA393B">
      <w:pPr>
        <w:ind w:right="758"/>
        <w:rPr>
          <w:rFonts w:ascii="Times New Roman" w:hAnsi="Times New Roman"/>
          <w:sz w:val="22"/>
          <w:szCs w:val="22"/>
        </w:rPr>
      </w:pPr>
      <w:r w:rsidRPr="00293A57">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A393B" w:rsidRPr="00783B5B" w:rsidRDefault="00DA393B" w:rsidP="00DA393B">
      <w:pPr>
        <w:tabs>
          <w:tab w:val="left" w:pos="-720"/>
        </w:tabs>
        <w:suppressAutoHyphens/>
        <w:jc w:val="center"/>
        <w:outlineLvl w:val="0"/>
        <w:rPr>
          <w:rFonts w:ascii="Times New Roman" w:hAnsi="Times New Roman"/>
          <w:sz w:val="22"/>
          <w:szCs w:val="22"/>
        </w:rPr>
      </w:pPr>
      <w:r w:rsidRPr="00783B5B">
        <w:rPr>
          <w:rFonts w:ascii="Times New Roman" w:hAnsi="Times New Roman"/>
          <w:sz w:val="22"/>
          <w:szCs w:val="22"/>
        </w:rPr>
        <w:t>-FCC-</w:t>
      </w:r>
    </w:p>
    <w:sectPr w:rsidR="00DA393B" w:rsidRPr="00783B5B" w:rsidSect="00DA393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152" w:bottom="864" w:left="1440" w:header="72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A3" w:rsidRDefault="00924FA3">
      <w:r>
        <w:separator/>
      </w:r>
    </w:p>
  </w:endnote>
  <w:endnote w:type="continuationSeparator" w:id="0">
    <w:p w:rsidR="00924FA3" w:rsidRDefault="0092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3B" w:rsidRDefault="00DA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93B" w:rsidRDefault="00DA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3B" w:rsidRDefault="00DA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DC5">
      <w:rPr>
        <w:rStyle w:val="PageNumber"/>
        <w:noProof/>
      </w:rPr>
      <w:t>2</w:t>
    </w:r>
    <w:r>
      <w:rPr>
        <w:rStyle w:val="PageNumber"/>
      </w:rPr>
      <w:fldChar w:fldCharType="end"/>
    </w:r>
  </w:p>
  <w:p w:rsidR="00DA393B" w:rsidRDefault="00DA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6" w:rsidRDefault="00C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A3" w:rsidRDefault="00924FA3">
      <w:r>
        <w:separator/>
      </w:r>
    </w:p>
  </w:footnote>
  <w:footnote w:type="continuationSeparator" w:id="0">
    <w:p w:rsidR="00924FA3" w:rsidRDefault="00924FA3">
      <w:r>
        <w:continuationSeparator/>
      </w:r>
    </w:p>
  </w:footnote>
  <w:footnote w:id="1">
    <w:p w:rsidR="001844DA" w:rsidRDefault="001844DA" w:rsidP="00F826FB">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 by the due date of FY 2016 regulatory fees.</w:t>
      </w:r>
    </w:p>
  </w:footnote>
  <w:footnote w:id="2">
    <w:p w:rsidR="00DA393B" w:rsidRDefault="00DA393B" w:rsidP="00F826FB">
      <w:pPr>
        <w:pStyle w:val="FootnoteText"/>
        <w:spacing w:after="120"/>
      </w:pPr>
      <w:r>
        <w:rPr>
          <w:rStyle w:val="FootnoteReference"/>
        </w:rPr>
        <w:footnoteRef/>
      </w:r>
      <w:r>
        <w:t xml:space="preserve"> </w:t>
      </w:r>
      <w:r>
        <w:rPr>
          <w:color w:val="000000"/>
        </w:rPr>
        <w:t xml:space="preserve">Domestic and international satellites, positioned in orbit to remain approximately fixed relative to the earth, authorized to provide communications between satellites and earth stations on a common carrier or private carrier basis in accordance with section 25.121(d).  </w:t>
      </w:r>
      <w:r>
        <w:t xml:space="preserve"> </w:t>
      </w:r>
    </w:p>
  </w:footnote>
  <w:footnote w:id="3">
    <w:p w:rsidR="00DA393B" w:rsidRDefault="00DA393B" w:rsidP="00F826FB">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A LEO system consists of one or more satellites operating in a non-geostationary satellite constellation.  Payment is required for any LEO System that has one or more satellites operating pursuant to sections 25.142(c), 25.143(e), 25.145(g), or upon certification of operation of a single satellite pursuant to section 25.121(d) as of October 1, 2009.</w:t>
      </w:r>
    </w:p>
  </w:footnote>
  <w:footnote w:id="4">
    <w:p w:rsidR="00DA393B" w:rsidRPr="0054020E" w:rsidRDefault="00DA393B" w:rsidP="00F826FB">
      <w:pPr>
        <w:pStyle w:val="FootnoteText"/>
        <w:spacing w:after="120"/>
      </w:pPr>
      <w:r>
        <w:rPr>
          <w:rStyle w:val="FootnoteReference"/>
        </w:rPr>
        <w:footnoteRef/>
      </w:r>
      <w:r>
        <w:t xml:space="preserve"> </w:t>
      </w:r>
      <w:r>
        <w:rPr>
          <w:i/>
        </w:rPr>
        <w:t>See</w:t>
      </w:r>
      <w:r>
        <w:t xml:space="preserve"> </w:t>
      </w:r>
      <w:r>
        <w:rPr>
          <w:i/>
        </w:rPr>
        <w:t>Assessment and Collection of Regulatory Fees for Fiscal Year 2008</w:t>
      </w:r>
      <w:r>
        <w:t>, Second Report and Order, 24 FCC Rcd 4208, ¶ 1 (May 12, 2009)</w:t>
      </w:r>
      <w:r w:rsidRPr="00935825">
        <w:t xml:space="preserve"> </w:t>
      </w:r>
      <w:r>
        <w:t>(“</w:t>
      </w:r>
      <w:r>
        <w:rPr>
          <w:i/>
        </w:rPr>
        <w:t>Submarine Cable Order</w:t>
      </w:r>
      <w:r>
        <w:t>”).</w:t>
      </w:r>
    </w:p>
  </w:footnote>
  <w:footnote w:id="5">
    <w:p w:rsidR="00DA393B" w:rsidRDefault="00DA393B" w:rsidP="00F826FB">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Rcd 5966 </w:t>
      </w:r>
      <w:r w:rsidRPr="00B8193C">
        <w:t>(</w:t>
      </w:r>
      <w:r>
        <w:t>2009</w:t>
      </w:r>
      <w:r w:rsidRPr="00B8193C">
        <w:t>) (“</w:t>
      </w:r>
      <w:r w:rsidRPr="00B8193C">
        <w:rPr>
          <w:i/>
        </w:rPr>
        <w:t>FY 200</w:t>
      </w:r>
      <w:r>
        <w:rPr>
          <w:i/>
        </w:rPr>
        <w:t>9</w:t>
      </w:r>
      <w:r w:rsidRPr="00B8193C">
        <w:rPr>
          <w:i/>
        </w:rPr>
        <w:t xml:space="preserve"> </w:t>
      </w:r>
      <w:r>
        <w:rPr>
          <w:i/>
        </w:rPr>
        <w:t>NPRM and Order</w:t>
      </w:r>
      <w:r>
        <w:t>”</w:t>
      </w:r>
      <w:r w:rsidRPr="00B8193C">
        <w:t>)</w:t>
      </w:r>
      <w:r>
        <w:t xml:space="preserve">, and </w:t>
      </w:r>
      <w:r w:rsidRPr="00B8193C">
        <w:rPr>
          <w:i/>
        </w:rPr>
        <w:t>Assessment and Collection of Regu</w:t>
      </w:r>
      <w:r>
        <w:rPr>
          <w:i/>
        </w:rPr>
        <w:t>latory Fees for Fiscal Year 2009</w:t>
      </w:r>
      <w:r>
        <w:t>, MD Docket No. 09</w:t>
      </w:r>
      <w:r w:rsidRPr="00B8193C">
        <w:t xml:space="preserve">-65, </w:t>
      </w:r>
      <w:r>
        <w:t>Report and Order</w:t>
      </w:r>
      <w:r w:rsidRPr="00B8193C">
        <w:t xml:space="preserve">, </w:t>
      </w:r>
      <w:r>
        <w:t xml:space="preserve">74 FR 40089 (August 11, 2009) </w:t>
      </w:r>
      <w:r w:rsidRPr="00B8193C">
        <w:t>(“</w:t>
      </w:r>
      <w:r w:rsidRPr="00B8193C">
        <w:rPr>
          <w:i/>
        </w:rPr>
        <w:t>FY 200</w:t>
      </w:r>
      <w:r>
        <w:rPr>
          <w:i/>
        </w:rPr>
        <w:t>9</w:t>
      </w:r>
      <w:r w:rsidRPr="00B8193C">
        <w:rPr>
          <w:i/>
        </w:rPr>
        <w:t xml:space="preserve"> </w:t>
      </w:r>
      <w:r>
        <w:rPr>
          <w:i/>
        </w:rPr>
        <w:t>Report and Order</w:t>
      </w:r>
      <w:r>
        <w:t>”</w:t>
      </w:r>
      <w:r w:rsidRPr="00B8193C">
        <w:t>)</w:t>
      </w:r>
      <w:r>
        <w:t xml:space="preserve"> </w:t>
      </w:r>
      <w:r w:rsidRPr="00B8193C">
        <w:t>.</w:t>
      </w:r>
    </w:p>
  </w:footnote>
  <w:footnote w:id="6">
    <w:p w:rsidR="00C11980" w:rsidRDefault="00C11980" w:rsidP="00F826FB">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DA393B" w:rsidRDefault="00DA393B" w:rsidP="00F826FB">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6" w:rsidRDefault="00CD2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6" w:rsidRDefault="00CD2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3B" w:rsidRPr="00F37394" w:rsidRDefault="00F37394" w:rsidP="00F37394">
    <w:pPr>
      <w:pStyle w:val="Header"/>
      <w:tabs>
        <w:tab w:val="clear" w:pos="4320"/>
        <w:tab w:val="clear" w:pos="8640"/>
      </w:tabs>
      <w:spacing w:before="40"/>
      <w:jc w:val="center"/>
      <w:rPr>
        <w:rFonts w:ascii="Times New Roman" w:hAnsi="Times New Roman"/>
        <w:b/>
        <w:kern w:val="28"/>
        <w:sz w:val="56"/>
        <w:szCs w:val="56"/>
      </w:rPr>
    </w:pPr>
    <w:r w:rsidRPr="00C11980">
      <w:rPr>
        <w:rFonts w:ascii="Times New Roman" w:hAnsi="Times New Roman"/>
        <w:b/>
        <w:noProof/>
        <w:sz w:val="72"/>
        <w:szCs w:val="72"/>
      </w:rPr>
      <mc:AlternateContent>
        <mc:Choice Requires="wps">
          <w:drawing>
            <wp:anchor distT="0" distB="0" distL="114300" distR="114300" simplePos="0" relativeHeight="251656192" behindDoc="0" locked="0" layoutInCell="1" allowOverlap="1" wp14:anchorId="77ED7EDC" wp14:editId="6D28A4F2">
              <wp:simplePos x="0" y="0"/>
              <wp:positionH relativeFrom="column">
                <wp:posOffset>-57150</wp:posOffset>
              </wp:positionH>
              <wp:positionV relativeFrom="paragraph">
                <wp:posOffset>1095375</wp:posOffset>
              </wp:positionV>
              <wp:extent cx="2733675" cy="6000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93B" w:rsidRDefault="00DA393B">
                          <w:pPr>
                            <w:rPr>
                              <w:rFonts w:ascii="Arial" w:hAnsi="Arial"/>
                              <w:b/>
                            </w:rPr>
                          </w:pPr>
                          <w:r>
                            <w:rPr>
                              <w:rFonts w:ascii="Arial" w:hAnsi="Arial"/>
                              <w:b/>
                            </w:rPr>
                            <w:t>Federal Communications Commission</w:t>
                          </w:r>
                        </w:p>
                        <w:p w:rsidR="00DA393B" w:rsidRDefault="00DA393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393B" w:rsidRDefault="00DA393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ED7EDC" id="_x0000_t202" coordsize="21600,21600" o:spt="202" path="m,l,21600r21600,l21600,xe">
              <v:stroke joinstyle="miter"/>
              <v:path gradientshapeok="t" o:connecttype="rect"/>
            </v:shapetype>
            <v:shape id="Text Box 2" o:spid="_x0000_s1026" type="#_x0000_t202" style="position:absolute;left:0;text-align:left;margin-left:-4.5pt;margin-top:86.25pt;width:215.2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BS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" stroked="f">
              <v:textbox>
                <w:txbxContent>
                  <w:p w:rsidR="00DA393B" w:rsidRDefault="00DA393B">
                    <w:pPr>
                      <w:rPr>
                        <w:rFonts w:ascii="Arial" w:hAnsi="Arial"/>
                        <w:b/>
                      </w:rPr>
                    </w:pPr>
                    <w:r>
                      <w:rPr>
                        <w:rFonts w:ascii="Arial" w:hAnsi="Arial"/>
                        <w:b/>
                      </w:rPr>
                      <w:t>Federal Communications Commission</w:t>
                    </w:r>
                  </w:p>
                  <w:p w:rsidR="00DA393B" w:rsidRDefault="00DA393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393B" w:rsidRDefault="00DA393B">
                    <w:pPr>
                      <w:rPr>
                        <w:rFonts w:ascii="Arial" w:hAnsi="Arial"/>
                        <w:sz w:val="24"/>
                      </w:rPr>
                    </w:pPr>
                    <w:r>
                      <w:rPr>
                        <w:rFonts w:ascii="Arial" w:hAnsi="Arial"/>
                        <w:b/>
                      </w:rPr>
                      <w:t>Washington, D.C. 20554</w:t>
                    </w:r>
                  </w:p>
                </w:txbxContent>
              </v:textbox>
            </v:shape>
          </w:pict>
        </mc:Fallback>
      </mc:AlternateContent>
    </w:r>
    <w:r w:rsidR="00753510" w:rsidRPr="00F37394">
      <w:rPr>
        <w:rFonts w:ascii="Times New Roman" w:hAnsi="Times New Roman"/>
        <w:b/>
        <w:noProof/>
        <w:sz w:val="56"/>
        <w:szCs w:val="56"/>
      </w:rPr>
      <w:drawing>
        <wp:anchor distT="0" distB="0" distL="114300" distR="114300" simplePos="0" relativeHeight="251659264" behindDoc="0" locked="0" layoutInCell="0" allowOverlap="1" wp14:anchorId="7200895C" wp14:editId="19A27573">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93B" w:rsidRPr="00F37394">
      <w:rPr>
        <w:rFonts w:ascii="Times New Roman" w:hAnsi="Times New Roman"/>
        <w:b/>
        <w:kern w:val="28"/>
        <w:sz w:val="56"/>
        <w:szCs w:val="56"/>
      </w:rPr>
      <w:t>REGULATORY FEES FACT SHEET</w:t>
    </w:r>
  </w:p>
  <w:p w:rsidR="00DA393B" w:rsidRDefault="0075351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14605</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93B" w:rsidRDefault="00DA393B">
                          <w:pPr>
                            <w:spacing w:before="40"/>
                            <w:jc w:val="right"/>
                            <w:rPr>
                              <w:rFonts w:ascii="Arial" w:hAnsi="Arial"/>
                              <w:b/>
                              <w:sz w:val="16"/>
                            </w:rPr>
                          </w:pPr>
                          <w:r>
                            <w:rPr>
                              <w:rFonts w:ascii="Arial" w:hAnsi="Arial"/>
                              <w:b/>
                            </w:rPr>
                            <w:t xml:space="preserve">September </w:t>
                          </w:r>
                          <w:r w:rsidR="006355AE">
                            <w:rPr>
                              <w:rFonts w:ascii="Arial" w:hAnsi="Arial"/>
                              <w:b/>
                            </w:rPr>
                            <w:t>6</w:t>
                          </w:r>
                          <w:r>
                            <w:rPr>
                              <w:rFonts w:ascii="Arial" w:hAnsi="Arial"/>
                              <w:b/>
                            </w:rPr>
                            <w:t>, 201</w:t>
                          </w:r>
                          <w:r w:rsidR="002B0275">
                            <w:rPr>
                              <w:rFonts w:ascii="Arial" w:hAnsi="Arial"/>
                              <w:b/>
                            </w:rPr>
                            <w:t>6</w:t>
                          </w:r>
                        </w:p>
                        <w:p w:rsidR="00DA393B" w:rsidRDefault="00DA39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56.05pt;margin-top:1.1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" stroked="f">
              <v:textbox inset=",0,,0">
                <w:txbxContent>
                  <w:p w:rsidR="00DA393B" w:rsidRDefault="00DA393B">
                    <w:pPr>
                      <w:spacing w:before="40"/>
                      <w:jc w:val="right"/>
                      <w:rPr>
                        <w:rFonts w:ascii="Arial" w:hAnsi="Arial"/>
                        <w:b/>
                        <w:sz w:val="16"/>
                      </w:rPr>
                    </w:pPr>
                    <w:r>
                      <w:rPr>
                        <w:rFonts w:ascii="Arial" w:hAnsi="Arial"/>
                        <w:b/>
                      </w:rPr>
                      <w:t xml:space="preserve">September </w:t>
                    </w:r>
                    <w:r w:rsidR="006355AE">
                      <w:rPr>
                        <w:rFonts w:ascii="Arial" w:hAnsi="Arial"/>
                        <w:b/>
                      </w:rPr>
                      <w:t>6</w:t>
                    </w:r>
                    <w:r>
                      <w:rPr>
                        <w:rFonts w:ascii="Arial" w:hAnsi="Arial"/>
                        <w:b/>
                      </w:rPr>
                      <w:t>, 201</w:t>
                    </w:r>
                    <w:r w:rsidR="002B0275">
                      <w:rPr>
                        <w:rFonts w:ascii="Arial" w:hAnsi="Arial"/>
                        <w:b/>
                      </w:rPr>
                      <w:t>6</w:t>
                    </w:r>
                  </w:p>
                  <w:p w:rsidR="00DA393B" w:rsidRDefault="00DA39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5763C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DA393B" w:rsidRDefault="00DA39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625"/>
    <w:multiLevelType w:val="hybridMultilevel"/>
    <w:tmpl w:val="E6D2882C"/>
    <w:lvl w:ilvl="0" w:tplc="0409000B">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tplc="E59AFE48">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56"/>
    <w:rsid w:val="00030956"/>
    <w:rsid w:val="000731F4"/>
    <w:rsid w:val="001844DA"/>
    <w:rsid w:val="0029383A"/>
    <w:rsid w:val="002B0275"/>
    <w:rsid w:val="004130C3"/>
    <w:rsid w:val="00460E4C"/>
    <w:rsid w:val="00495AF5"/>
    <w:rsid w:val="00531101"/>
    <w:rsid w:val="005A3E88"/>
    <w:rsid w:val="005B58A0"/>
    <w:rsid w:val="006355AE"/>
    <w:rsid w:val="006A2DC5"/>
    <w:rsid w:val="006A6289"/>
    <w:rsid w:val="006D6C0A"/>
    <w:rsid w:val="00753510"/>
    <w:rsid w:val="008355CA"/>
    <w:rsid w:val="008443DC"/>
    <w:rsid w:val="00924FA3"/>
    <w:rsid w:val="009903CC"/>
    <w:rsid w:val="00B61AF6"/>
    <w:rsid w:val="00C11980"/>
    <w:rsid w:val="00CD2466"/>
    <w:rsid w:val="00D25BF2"/>
    <w:rsid w:val="00D5415F"/>
    <w:rsid w:val="00DA393B"/>
    <w:rsid w:val="00EC44B0"/>
    <w:rsid w:val="00F37394"/>
    <w:rsid w:val="00F8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Style 4,Style 13,o,fr,FR,Style 17,Footnote Reference/,Style 6"/>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Style 4,Style 13,o,fr,FR,Style 17,Footnote Reference/,Style 6"/>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cc.gov/regfees" TargetMode="External"/><Relationship Id="rId4" Type="http://schemas.openxmlformats.org/officeDocument/2006/relationships/settings" Target="settings.xml"/><Relationship Id="rId9" Type="http://schemas.openxmlformats.org/officeDocument/2006/relationships/hyperlink" Target="http://www.fcc.gov/regfe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2266</Words>
  <Characters>12505</Characters>
  <Application>Microsoft Office Word</Application>
  <DocSecurity>0</DocSecurity>
  <Lines>279</Lines>
  <Paragraphs>115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14918</CharactersWithSpaces>
  <SharedDoc>false</SharedDoc>
  <HyperlinkBase> </HyperlinkBase>
  <HLinks>
    <vt:vector size="18" baseType="variant">
      <vt:variant>
        <vt:i4>2293796</vt:i4>
      </vt:variant>
      <vt:variant>
        <vt:i4>6</vt:i4>
      </vt:variant>
      <vt:variant>
        <vt:i4>0</vt:i4>
      </vt:variant>
      <vt:variant>
        <vt:i4>5</vt:i4>
      </vt:variant>
      <vt:variant>
        <vt:lpwstr>https://www.fcc.gov/regfees</vt:lpwstr>
      </vt:variant>
      <vt:variant>
        <vt:lpwstr/>
      </vt:variant>
      <vt:variant>
        <vt:i4>3932219</vt:i4>
      </vt:variant>
      <vt:variant>
        <vt:i4>3</vt:i4>
      </vt:variant>
      <vt:variant>
        <vt:i4>0</vt:i4>
      </vt:variant>
      <vt:variant>
        <vt:i4>5</vt:i4>
      </vt:variant>
      <vt:variant>
        <vt:lpwstr>http://www.fcc.gov/regfees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2007-08-13T13:52:00Z</cp:lastPrinted>
  <dcterms:created xsi:type="dcterms:W3CDTF">2016-09-06T15:17:00Z</dcterms:created>
  <dcterms:modified xsi:type="dcterms:W3CDTF">2016-09-06T15:17:00Z</dcterms:modified>
  <cp:category> </cp:category>
  <cp:contentStatus> </cp:contentStatus>
</cp:coreProperties>
</file>