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19AD8" w14:textId="77777777" w:rsidR="0018553F" w:rsidRDefault="0018553F" w:rsidP="00D01C60">
      <w:pPr>
        <w:pStyle w:val="BodyA"/>
        <w:pBdr>
          <w:right w:val="none" w:sz="16" w:space="12" w:color="000000"/>
        </w:pBdr>
        <w:rPr>
          <w:rFonts w:ascii="Times New Roman Bold" w:hAnsi="Times New Roman Bold"/>
          <w:sz w:val="22"/>
          <w:lang w:val="pt-PT"/>
        </w:rPr>
      </w:pPr>
      <w:bookmarkStart w:id="0" w:name="_GoBack"/>
      <w:bookmarkEnd w:id="0"/>
      <w:r w:rsidRPr="00052DFB">
        <w:rPr>
          <w:b/>
          <w:i/>
          <w:noProof/>
          <w:sz w:val="28"/>
          <w:szCs w:val="28"/>
        </w:rPr>
        <w:drawing>
          <wp:inline distT="0" distB="0" distL="0" distR="0" wp14:anchorId="4C5FCF0E" wp14:editId="129728B3">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512E1FAB" w14:textId="77777777" w:rsidR="0018553F" w:rsidRDefault="0018553F" w:rsidP="00D567C1">
      <w:pPr>
        <w:pStyle w:val="BodyA"/>
        <w:pBdr>
          <w:right w:val="none" w:sz="16" w:space="12" w:color="000000"/>
        </w:pBdr>
        <w:jc w:val="center"/>
        <w:rPr>
          <w:rFonts w:ascii="Times New Roman Bold" w:hAnsi="Times New Roman Bold"/>
          <w:sz w:val="22"/>
          <w:lang w:val="pt-PT"/>
        </w:rPr>
      </w:pPr>
    </w:p>
    <w:p w14:paraId="7181BCBC" w14:textId="77777777" w:rsidR="0018553F" w:rsidRPr="0018553F" w:rsidRDefault="0018553F" w:rsidP="0018553F">
      <w:pPr>
        <w:rPr>
          <w:rFonts w:ascii="Times New Roman" w:hAnsi="Times New Roman"/>
          <w:b/>
          <w:bCs/>
          <w:sz w:val="22"/>
          <w:szCs w:val="22"/>
        </w:rPr>
      </w:pPr>
      <w:r w:rsidRPr="0018553F">
        <w:rPr>
          <w:rFonts w:ascii="Times New Roman" w:hAnsi="Times New Roman"/>
          <w:b/>
          <w:bCs/>
          <w:sz w:val="22"/>
          <w:szCs w:val="22"/>
        </w:rPr>
        <w:t xml:space="preserve">Media Contact: </w:t>
      </w:r>
    </w:p>
    <w:p w14:paraId="02EAEBF6" w14:textId="77777777" w:rsidR="0086364D" w:rsidRPr="0086364D" w:rsidRDefault="0086364D" w:rsidP="0086364D">
      <w:pPr>
        <w:rPr>
          <w:rFonts w:ascii="Times New Roman" w:hAnsi="Times New Roman"/>
          <w:snapToGrid w:val="0"/>
          <w:sz w:val="22"/>
          <w:szCs w:val="22"/>
        </w:rPr>
      </w:pPr>
      <w:r w:rsidRPr="0086364D">
        <w:rPr>
          <w:rFonts w:ascii="Times New Roman" w:hAnsi="Times New Roman"/>
          <w:snapToGrid w:val="0"/>
          <w:sz w:val="22"/>
          <w:szCs w:val="22"/>
        </w:rPr>
        <w:t>Will Wiquist, 202-418-0509</w:t>
      </w:r>
    </w:p>
    <w:p w14:paraId="26360BAB" w14:textId="0271C3E7" w:rsidR="0018553F" w:rsidRPr="0086364D" w:rsidRDefault="0086364D" w:rsidP="0086364D">
      <w:pPr>
        <w:rPr>
          <w:rFonts w:ascii="Times New Roman" w:hAnsi="Times New Roman"/>
          <w:sz w:val="22"/>
          <w:szCs w:val="22"/>
        </w:rPr>
      </w:pPr>
      <w:r w:rsidRPr="0008514A">
        <w:rPr>
          <w:rFonts w:ascii="Times New Roman" w:hAnsi="Times New Roman"/>
          <w:sz w:val="22"/>
          <w:szCs w:val="22"/>
        </w:rPr>
        <w:t>Will.Wiquist@fcc.gov</w:t>
      </w:r>
    </w:p>
    <w:p w14:paraId="6518B34F" w14:textId="77777777" w:rsidR="0086364D" w:rsidRPr="0018553F" w:rsidRDefault="0086364D" w:rsidP="0086364D">
      <w:pPr>
        <w:rPr>
          <w:rFonts w:ascii="Times New Roman" w:hAnsi="Times New Roman"/>
          <w:bCs/>
          <w:sz w:val="22"/>
          <w:szCs w:val="22"/>
        </w:rPr>
      </w:pPr>
    </w:p>
    <w:p w14:paraId="026A7152" w14:textId="77777777" w:rsidR="0018553F" w:rsidRPr="0018553F" w:rsidRDefault="0018553F" w:rsidP="0018553F">
      <w:pPr>
        <w:rPr>
          <w:rFonts w:ascii="Times New Roman" w:hAnsi="Times New Roman"/>
          <w:b/>
          <w:sz w:val="22"/>
          <w:szCs w:val="22"/>
        </w:rPr>
      </w:pPr>
      <w:r w:rsidRPr="0018553F">
        <w:rPr>
          <w:rFonts w:ascii="Times New Roman" w:hAnsi="Times New Roman"/>
          <w:b/>
          <w:sz w:val="22"/>
          <w:szCs w:val="22"/>
        </w:rPr>
        <w:t>For Immediate Release</w:t>
      </w:r>
    </w:p>
    <w:p w14:paraId="488A143B" w14:textId="77777777" w:rsidR="0018553F" w:rsidRDefault="0018553F" w:rsidP="0018553F">
      <w:pPr>
        <w:pStyle w:val="BodyA"/>
        <w:pBdr>
          <w:right w:val="none" w:sz="16" w:space="12" w:color="000000"/>
        </w:pBdr>
        <w:rPr>
          <w:rFonts w:ascii="Times New Roman Bold" w:hAnsi="Times New Roman Bold"/>
          <w:sz w:val="22"/>
          <w:lang w:val="pt-PT"/>
        </w:rPr>
      </w:pPr>
    </w:p>
    <w:p w14:paraId="1574C290" w14:textId="77777777" w:rsidR="006823C9" w:rsidRDefault="00F664AF" w:rsidP="00861A05">
      <w:pPr>
        <w:pStyle w:val="BodyA"/>
        <w:pBdr>
          <w:right w:val="none" w:sz="16" w:space="12" w:color="000000"/>
        </w:pBdr>
        <w:jc w:val="center"/>
        <w:rPr>
          <w:rFonts w:ascii="Times New Roman" w:hAnsi="Times New Roman"/>
          <w:b/>
          <w:sz w:val="22"/>
          <w:szCs w:val="22"/>
          <w:lang w:val="pt-PT"/>
        </w:rPr>
      </w:pPr>
      <w:r>
        <w:rPr>
          <w:rFonts w:ascii="Times New Roman Bold" w:hAnsi="Times New Roman Bold"/>
          <w:sz w:val="22"/>
          <w:lang w:val="pt-PT"/>
        </w:rPr>
        <w:t xml:space="preserve">FCC </w:t>
      </w:r>
      <w:r w:rsidR="0061688B">
        <w:rPr>
          <w:rFonts w:ascii="Times New Roman Bold" w:hAnsi="Times New Roman Bold"/>
          <w:sz w:val="22"/>
          <w:lang w:val="pt-PT"/>
        </w:rPr>
        <w:t>REACHES</w:t>
      </w:r>
      <w:r w:rsidR="00D567C1">
        <w:rPr>
          <w:rFonts w:ascii="Times New Roman Bold" w:hAnsi="Times New Roman Bold"/>
          <w:sz w:val="22"/>
          <w:lang w:val="pt-PT"/>
        </w:rPr>
        <w:t xml:space="preserve"> $</w:t>
      </w:r>
      <w:r w:rsidR="00861A05">
        <w:rPr>
          <w:rFonts w:ascii="Times New Roman Bold" w:hAnsi="Times New Roman Bold"/>
          <w:sz w:val="22"/>
          <w:lang w:val="pt-PT"/>
        </w:rPr>
        <w:t>2.4</w:t>
      </w:r>
      <w:r>
        <w:rPr>
          <w:rFonts w:ascii="Times New Roman Bold" w:hAnsi="Times New Roman Bold"/>
          <w:sz w:val="22"/>
          <w:lang w:val="pt-PT"/>
        </w:rPr>
        <w:t xml:space="preserve"> MILLION </w:t>
      </w:r>
      <w:r w:rsidR="0061688B">
        <w:rPr>
          <w:rFonts w:ascii="Times New Roman Bold" w:hAnsi="Times New Roman Bold"/>
          <w:sz w:val="22"/>
          <w:lang w:val="pt-PT"/>
        </w:rPr>
        <w:t xml:space="preserve">SETTLEMENT WITH </w:t>
      </w:r>
      <w:r w:rsidR="00D03B2C">
        <w:rPr>
          <w:rFonts w:ascii="Times New Roman Bold" w:hAnsi="Times New Roman Bold"/>
          <w:sz w:val="22"/>
          <w:lang w:val="pt-PT"/>
        </w:rPr>
        <w:t>GCI</w:t>
      </w:r>
      <w:r w:rsidR="0061688B">
        <w:rPr>
          <w:rFonts w:ascii="Times New Roman Bold" w:hAnsi="Times New Roman Bold"/>
          <w:sz w:val="22"/>
          <w:lang w:val="pt-PT"/>
        </w:rPr>
        <w:t xml:space="preserve"> </w:t>
      </w:r>
      <w:r w:rsidRPr="00542261">
        <w:rPr>
          <w:rFonts w:ascii="Times New Roman" w:hAnsi="Times New Roman"/>
          <w:b/>
          <w:sz w:val="22"/>
          <w:szCs w:val="22"/>
          <w:lang w:val="pt-PT"/>
        </w:rPr>
        <w:t xml:space="preserve">FOR </w:t>
      </w:r>
    </w:p>
    <w:p w14:paraId="7B1BEAB9" w14:textId="3B58C948" w:rsidR="00F664AF" w:rsidRDefault="00861A05" w:rsidP="00861A05">
      <w:pPr>
        <w:pStyle w:val="BodyA"/>
        <w:pBdr>
          <w:right w:val="none" w:sz="16" w:space="12" w:color="000000"/>
        </w:pBdr>
        <w:jc w:val="center"/>
        <w:rPr>
          <w:rFonts w:ascii="Times New Roman" w:hAnsi="Times New Roman"/>
          <w:b/>
          <w:sz w:val="22"/>
          <w:szCs w:val="22"/>
          <w:lang w:val="pt-PT"/>
        </w:rPr>
      </w:pPr>
      <w:r>
        <w:rPr>
          <w:rFonts w:ascii="Times New Roman" w:hAnsi="Times New Roman"/>
          <w:b/>
          <w:sz w:val="22"/>
          <w:szCs w:val="22"/>
          <w:lang w:val="pt-PT"/>
        </w:rPr>
        <w:t xml:space="preserve">WIRELESS </w:t>
      </w:r>
      <w:r w:rsidR="00D567C1">
        <w:rPr>
          <w:rFonts w:ascii="Times New Roman" w:hAnsi="Times New Roman"/>
          <w:b/>
          <w:sz w:val="22"/>
          <w:szCs w:val="22"/>
          <w:lang w:val="pt-PT"/>
        </w:rPr>
        <w:t>911</w:t>
      </w:r>
      <w:r w:rsidR="00CB2525">
        <w:rPr>
          <w:rFonts w:ascii="Times New Roman" w:hAnsi="Times New Roman"/>
          <w:b/>
          <w:sz w:val="22"/>
          <w:szCs w:val="22"/>
          <w:lang w:val="pt-PT"/>
        </w:rPr>
        <w:t xml:space="preserve"> </w:t>
      </w:r>
      <w:r w:rsidR="00F664AF" w:rsidRPr="00542261">
        <w:rPr>
          <w:rFonts w:ascii="Times New Roman" w:hAnsi="Times New Roman"/>
          <w:b/>
          <w:sz w:val="22"/>
          <w:szCs w:val="22"/>
          <w:lang w:val="pt-PT"/>
        </w:rPr>
        <w:t>OUTAGE</w:t>
      </w:r>
      <w:r w:rsidR="00D567C1">
        <w:rPr>
          <w:rFonts w:ascii="Times New Roman" w:hAnsi="Times New Roman"/>
          <w:b/>
          <w:sz w:val="22"/>
          <w:szCs w:val="22"/>
          <w:lang w:val="pt-PT"/>
        </w:rPr>
        <w:t>S</w:t>
      </w:r>
      <w:r w:rsidR="00D03B2C">
        <w:rPr>
          <w:rFonts w:ascii="Times New Roman" w:hAnsi="Times New Roman"/>
          <w:b/>
          <w:sz w:val="22"/>
          <w:szCs w:val="22"/>
          <w:lang w:val="pt-PT"/>
        </w:rPr>
        <w:t xml:space="preserve"> IN ALASKA</w:t>
      </w:r>
    </w:p>
    <w:p w14:paraId="7908B244" w14:textId="707A046E" w:rsidR="0061747E" w:rsidRPr="006823C9" w:rsidRDefault="0061747E" w:rsidP="00D567C1">
      <w:pPr>
        <w:pStyle w:val="BodyA"/>
        <w:pBdr>
          <w:right w:val="none" w:sz="16" w:space="12" w:color="000000"/>
        </w:pBdr>
        <w:jc w:val="center"/>
        <w:rPr>
          <w:rFonts w:ascii="Times New Roman Bold" w:hAnsi="Times New Roman Bold"/>
          <w:i/>
          <w:sz w:val="22"/>
          <w:lang w:val="pt-PT"/>
        </w:rPr>
      </w:pPr>
    </w:p>
    <w:p w14:paraId="5DABCCAB" w14:textId="77777777" w:rsidR="00F664AF" w:rsidRPr="00F664AF" w:rsidRDefault="00F664AF" w:rsidP="00F664AF">
      <w:pPr>
        <w:pStyle w:val="BodyA"/>
        <w:pBdr>
          <w:right w:val="none" w:sz="16" w:space="12" w:color="000000"/>
        </w:pBdr>
        <w:spacing w:line="276" w:lineRule="auto"/>
        <w:jc w:val="center"/>
        <w:rPr>
          <w:rFonts w:ascii="Times New Roman" w:hAnsi="Times New Roman"/>
          <w:sz w:val="12"/>
          <w:szCs w:val="22"/>
        </w:rPr>
      </w:pPr>
    </w:p>
    <w:p w14:paraId="69480BD8" w14:textId="276AB73A" w:rsidR="0064699F" w:rsidRDefault="00D03B2C" w:rsidP="006079A0">
      <w:pPr>
        <w:shd w:val="clear" w:color="auto" w:fill="FFFFFF"/>
        <w:rPr>
          <w:rFonts w:ascii="Times New Roman" w:hAnsi="Times New Roman"/>
          <w:sz w:val="22"/>
          <w:szCs w:val="22"/>
        </w:rPr>
      </w:pPr>
      <w:r w:rsidRPr="0012306E">
        <w:rPr>
          <w:rFonts w:ascii="Times New Roman" w:hAnsi="Times New Roman"/>
          <w:sz w:val="22"/>
          <w:szCs w:val="22"/>
        </w:rPr>
        <w:t>WASHINGTON</w:t>
      </w:r>
      <w:r w:rsidR="00F664AF" w:rsidRPr="0012306E">
        <w:rPr>
          <w:rFonts w:ascii="Times New Roman" w:hAnsi="Times New Roman"/>
          <w:sz w:val="22"/>
          <w:szCs w:val="22"/>
        </w:rPr>
        <w:t xml:space="preserve">, </w:t>
      </w:r>
      <w:r>
        <w:rPr>
          <w:rFonts w:ascii="Times New Roman" w:hAnsi="Times New Roman"/>
          <w:sz w:val="22"/>
          <w:szCs w:val="22"/>
        </w:rPr>
        <w:t xml:space="preserve">July </w:t>
      </w:r>
      <w:r w:rsidR="00AA6D7C">
        <w:rPr>
          <w:rFonts w:ascii="Times New Roman" w:hAnsi="Times New Roman"/>
          <w:sz w:val="22"/>
          <w:szCs w:val="22"/>
        </w:rPr>
        <w:t>6</w:t>
      </w:r>
      <w:r w:rsidR="00861A05">
        <w:rPr>
          <w:rFonts w:ascii="Times New Roman" w:hAnsi="Times New Roman"/>
          <w:sz w:val="22"/>
          <w:szCs w:val="22"/>
        </w:rPr>
        <w:t>, 2016</w:t>
      </w:r>
      <w:r w:rsidR="00F664AF" w:rsidRPr="0012306E">
        <w:rPr>
          <w:rFonts w:ascii="Times New Roman" w:hAnsi="Times New Roman"/>
          <w:sz w:val="22"/>
          <w:szCs w:val="22"/>
        </w:rPr>
        <w:t xml:space="preserve"> – </w:t>
      </w:r>
      <w:r w:rsidR="00684E38" w:rsidRPr="0012306E">
        <w:rPr>
          <w:rFonts w:ascii="Times New Roman" w:hAnsi="Times New Roman"/>
          <w:sz w:val="22"/>
          <w:szCs w:val="22"/>
        </w:rPr>
        <w:t>The Federal Communication</w:t>
      </w:r>
      <w:r w:rsidR="004E3C42">
        <w:rPr>
          <w:rFonts w:ascii="Times New Roman" w:hAnsi="Times New Roman"/>
          <w:sz w:val="22"/>
          <w:szCs w:val="22"/>
        </w:rPr>
        <w:t>s</w:t>
      </w:r>
      <w:r w:rsidR="00684E38" w:rsidRPr="0012306E">
        <w:rPr>
          <w:rFonts w:ascii="Times New Roman" w:hAnsi="Times New Roman"/>
          <w:sz w:val="22"/>
          <w:szCs w:val="22"/>
        </w:rPr>
        <w:t xml:space="preserve"> Commission’s Enforcement Bureau has reached a $</w:t>
      </w:r>
      <w:r w:rsidR="00861A05">
        <w:rPr>
          <w:rFonts w:ascii="Times New Roman" w:hAnsi="Times New Roman"/>
          <w:sz w:val="22"/>
          <w:szCs w:val="22"/>
        </w:rPr>
        <w:t>2.4</w:t>
      </w:r>
      <w:r w:rsidR="00684E38" w:rsidRPr="0012306E">
        <w:rPr>
          <w:rFonts w:ascii="Times New Roman" w:hAnsi="Times New Roman"/>
          <w:sz w:val="22"/>
          <w:szCs w:val="22"/>
        </w:rPr>
        <w:t xml:space="preserve"> million settlement with </w:t>
      </w:r>
      <w:r w:rsidR="00861A05">
        <w:rPr>
          <w:rFonts w:ascii="Times New Roman" w:hAnsi="Times New Roman"/>
          <w:sz w:val="22"/>
          <w:szCs w:val="22"/>
        </w:rPr>
        <w:t>General Communication, Inc. (GCI)</w:t>
      </w:r>
      <w:r w:rsidR="00E63270" w:rsidRPr="0012306E">
        <w:rPr>
          <w:rFonts w:ascii="Times New Roman" w:hAnsi="Times New Roman"/>
          <w:sz w:val="22"/>
          <w:szCs w:val="22"/>
        </w:rPr>
        <w:t>, resolving an investigation</w:t>
      </w:r>
      <w:r w:rsidR="00684E38" w:rsidRPr="0012306E">
        <w:rPr>
          <w:rFonts w:ascii="Times New Roman" w:hAnsi="Times New Roman"/>
          <w:sz w:val="22"/>
          <w:szCs w:val="22"/>
        </w:rPr>
        <w:t xml:space="preserve"> into </w:t>
      </w:r>
      <w:r w:rsidR="00861A05">
        <w:rPr>
          <w:rFonts w:ascii="Times New Roman" w:hAnsi="Times New Roman"/>
          <w:sz w:val="22"/>
          <w:szCs w:val="22"/>
        </w:rPr>
        <w:t>five</w:t>
      </w:r>
      <w:r w:rsidR="00D567C1" w:rsidRPr="0012306E">
        <w:rPr>
          <w:rFonts w:ascii="Times New Roman" w:hAnsi="Times New Roman"/>
          <w:sz w:val="22"/>
          <w:szCs w:val="22"/>
        </w:rPr>
        <w:t xml:space="preserve"> </w:t>
      </w:r>
      <w:r w:rsidR="00C32D0F" w:rsidRPr="0012306E">
        <w:rPr>
          <w:rFonts w:ascii="Times New Roman" w:hAnsi="Times New Roman"/>
          <w:sz w:val="22"/>
          <w:szCs w:val="22"/>
        </w:rPr>
        <w:t xml:space="preserve">911 service </w:t>
      </w:r>
      <w:r w:rsidR="00F664AF" w:rsidRPr="0012306E">
        <w:rPr>
          <w:rFonts w:ascii="Times New Roman" w:hAnsi="Times New Roman"/>
          <w:sz w:val="22"/>
          <w:szCs w:val="22"/>
        </w:rPr>
        <w:t>outage</w:t>
      </w:r>
      <w:r w:rsidR="00D567C1" w:rsidRPr="0012306E">
        <w:rPr>
          <w:rFonts w:ascii="Times New Roman" w:hAnsi="Times New Roman"/>
          <w:sz w:val="22"/>
          <w:szCs w:val="22"/>
        </w:rPr>
        <w:t>s</w:t>
      </w:r>
      <w:r w:rsidR="009700F7" w:rsidRPr="0012306E">
        <w:rPr>
          <w:rFonts w:ascii="Times New Roman" w:hAnsi="Times New Roman"/>
          <w:sz w:val="22"/>
          <w:szCs w:val="22"/>
        </w:rPr>
        <w:t xml:space="preserve"> that occurred on the company’s </w:t>
      </w:r>
      <w:r w:rsidR="00861A05">
        <w:rPr>
          <w:rFonts w:ascii="Times New Roman" w:hAnsi="Times New Roman"/>
          <w:sz w:val="22"/>
          <w:szCs w:val="22"/>
        </w:rPr>
        <w:t xml:space="preserve">wireless </w:t>
      </w:r>
      <w:r w:rsidR="00D567C1" w:rsidRPr="0012306E">
        <w:rPr>
          <w:rFonts w:ascii="Times New Roman" w:hAnsi="Times New Roman"/>
          <w:sz w:val="22"/>
          <w:szCs w:val="22"/>
        </w:rPr>
        <w:t>network</w:t>
      </w:r>
      <w:r w:rsidR="006A7EC0" w:rsidRPr="0012306E">
        <w:rPr>
          <w:rFonts w:ascii="Times New Roman" w:hAnsi="Times New Roman"/>
          <w:sz w:val="22"/>
          <w:szCs w:val="22"/>
        </w:rPr>
        <w:t xml:space="preserve"> </w:t>
      </w:r>
      <w:r w:rsidR="00861A05">
        <w:rPr>
          <w:rFonts w:ascii="Times New Roman" w:hAnsi="Times New Roman"/>
          <w:sz w:val="22"/>
          <w:szCs w:val="22"/>
        </w:rPr>
        <w:t xml:space="preserve">in </w:t>
      </w:r>
      <w:r w:rsidR="001F3821">
        <w:rPr>
          <w:rFonts w:ascii="Times New Roman" w:hAnsi="Times New Roman"/>
          <w:sz w:val="22"/>
          <w:szCs w:val="22"/>
        </w:rPr>
        <w:t xml:space="preserve">various parts of </w:t>
      </w:r>
      <w:r w:rsidR="00861A05">
        <w:rPr>
          <w:rFonts w:ascii="Times New Roman" w:hAnsi="Times New Roman"/>
          <w:sz w:val="22"/>
          <w:szCs w:val="22"/>
        </w:rPr>
        <w:t>Alaska between August 2008 and April 2016</w:t>
      </w:r>
      <w:r w:rsidR="009700F7" w:rsidRPr="0012306E">
        <w:rPr>
          <w:rFonts w:ascii="Times New Roman" w:hAnsi="Times New Roman"/>
          <w:sz w:val="22"/>
          <w:szCs w:val="22"/>
        </w:rPr>
        <w:t xml:space="preserve">.  </w:t>
      </w:r>
      <w:r w:rsidR="006E6D57" w:rsidRPr="0012306E">
        <w:rPr>
          <w:rFonts w:ascii="Times New Roman" w:hAnsi="Times New Roman"/>
          <w:sz w:val="22"/>
          <w:szCs w:val="22"/>
        </w:rPr>
        <w:t xml:space="preserve">As part of </w:t>
      </w:r>
      <w:r w:rsidR="00331751" w:rsidRPr="0012306E">
        <w:rPr>
          <w:rFonts w:ascii="Times New Roman" w:hAnsi="Times New Roman"/>
          <w:sz w:val="22"/>
          <w:szCs w:val="22"/>
        </w:rPr>
        <w:t>the settlement</w:t>
      </w:r>
      <w:r w:rsidR="006E6D57" w:rsidRPr="0012306E">
        <w:rPr>
          <w:rFonts w:ascii="Times New Roman" w:hAnsi="Times New Roman"/>
          <w:sz w:val="22"/>
          <w:szCs w:val="22"/>
        </w:rPr>
        <w:t xml:space="preserve">, </w:t>
      </w:r>
      <w:r w:rsidR="00861A05">
        <w:rPr>
          <w:rFonts w:ascii="Times New Roman" w:hAnsi="Times New Roman"/>
          <w:sz w:val="22"/>
          <w:szCs w:val="22"/>
        </w:rPr>
        <w:t>GCI</w:t>
      </w:r>
      <w:r w:rsidR="006E6D57" w:rsidRPr="0012306E">
        <w:rPr>
          <w:rFonts w:ascii="Times New Roman" w:hAnsi="Times New Roman"/>
          <w:sz w:val="22"/>
          <w:szCs w:val="22"/>
        </w:rPr>
        <w:t xml:space="preserve"> </w:t>
      </w:r>
      <w:r w:rsidR="00684E38" w:rsidRPr="0012306E">
        <w:rPr>
          <w:rFonts w:ascii="Times New Roman" w:hAnsi="Times New Roman"/>
          <w:sz w:val="22"/>
          <w:szCs w:val="22"/>
        </w:rPr>
        <w:t xml:space="preserve">has agreed to strengthen its </w:t>
      </w:r>
      <w:r w:rsidR="00641091">
        <w:rPr>
          <w:rFonts w:ascii="Times New Roman" w:hAnsi="Times New Roman"/>
          <w:sz w:val="22"/>
          <w:szCs w:val="22"/>
        </w:rPr>
        <w:t xml:space="preserve">procedures for providing </w:t>
      </w:r>
      <w:r w:rsidR="00684E38" w:rsidRPr="0012306E">
        <w:rPr>
          <w:rFonts w:ascii="Times New Roman" w:hAnsi="Times New Roman"/>
          <w:sz w:val="22"/>
          <w:szCs w:val="22"/>
        </w:rPr>
        <w:t>911 service and to adopt</w:t>
      </w:r>
      <w:r w:rsidR="006E6D57" w:rsidRPr="0012306E">
        <w:rPr>
          <w:rFonts w:ascii="Times New Roman" w:hAnsi="Times New Roman"/>
          <w:sz w:val="22"/>
          <w:szCs w:val="22"/>
        </w:rPr>
        <w:t xml:space="preserve"> robust compliance </w:t>
      </w:r>
      <w:r w:rsidR="00882758" w:rsidRPr="0012306E">
        <w:rPr>
          <w:rFonts w:ascii="Times New Roman" w:hAnsi="Times New Roman"/>
          <w:sz w:val="22"/>
          <w:szCs w:val="22"/>
        </w:rPr>
        <w:t xml:space="preserve">measures </w:t>
      </w:r>
      <w:r w:rsidR="00684E38" w:rsidRPr="0012306E">
        <w:rPr>
          <w:rFonts w:ascii="Times New Roman" w:hAnsi="Times New Roman"/>
          <w:sz w:val="22"/>
          <w:szCs w:val="22"/>
        </w:rPr>
        <w:t xml:space="preserve">to ensure that </w:t>
      </w:r>
      <w:r w:rsidR="006E6D57" w:rsidRPr="0012306E">
        <w:rPr>
          <w:rFonts w:ascii="Times New Roman" w:hAnsi="Times New Roman"/>
          <w:sz w:val="22"/>
          <w:szCs w:val="22"/>
        </w:rPr>
        <w:t>it adheres to the FCC’s 911 service reliability and outage notification rules</w:t>
      </w:r>
      <w:r w:rsidR="00574AE1" w:rsidRPr="0012306E">
        <w:rPr>
          <w:rFonts w:ascii="Times New Roman" w:hAnsi="Times New Roman"/>
          <w:sz w:val="22"/>
          <w:szCs w:val="22"/>
        </w:rPr>
        <w:t xml:space="preserve"> in the future</w:t>
      </w:r>
      <w:r w:rsidR="0064699F" w:rsidRPr="0012306E">
        <w:rPr>
          <w:rFonts w:ascii="Times New Roman" w:hAnsi="Times New Roman"/>
          <w:sz w:val="22"/>
          <w:szCs w:val="22"/>
        </w:rPr>
        <w:t xml:space="preserve">. </w:t>
      </w:r>
    </w:p>
    <w:p w14:paraId="2B0C0401" w14:textId="77777777" w:rsidR="006079A0" w:rsidRPr="0012306E" w:rsidRDefault="006079A0" w:rsidP="006079A0">
      <w:pPr>
        <w:shd w:val="clear" w:color="auto" w:fill="FFFFFF"/>
        <w:rPr>
          <w:rFonts w:ascii="Times New Roman" w:hAnsi="Times New Roman"/>
          <w:sz w:val="22"/>
          <w:szCs w:val="22"/>
        </w:rPr>
      </w:pPr>
    </w:p>
    <w:p w14:paraId="0DD6DA6A" w14:textId="77777777" w:rsidR="00DC4ACC" w:rsidRDefault="00DC4ACC" w:rsidP="006079A0">
      <w:pPr>
        <w:shd w:val="clear" w:color="auto" w:fill="FFFFFF"/>
        <w:rPr>
          <w:rFonts w:ascii="Times New Roman" w:hAnsi="Times New Roman"/>
          <w:sz w:val="22"/>
          <w:szCs w:val="22"/>
        </w:rPr>
      </w:pPr>
      <w:r w:rsidRPr="00DC4ACC">
        <w:rPr>
          <w:rFonts w:ascii="Times New Roman" w:hAnsi="Times New Roman"/>
          <w:sz w:val="22"/>
          <w:szCs w:val="22"/>
        </w:rPr>
        <w:t>"Americans should be able to reach 911 at any time, whether they live in New York City or a village in Alaska," said Travis LeBlanc, Chief of the FCC's Enforcement Bureau. "We will continue to work with service providers across the nation to ensure they meet this critical expectation to protect the public's safety."</w:t>
      </w:r>
    </w:p>
    <w:p w14:paraId="07026465" w14:textId="77777777" w:rsidR="006079A0" w:rsidRPr="00DC4ACC" w:rsidRDefault="006079A0" w:rsidP="006079A0">
      <w:pPr>
        <w:shd w:val="clear" w:color="auto" w:fill="FFFFFF"/>
        <w:rPr>
          <w:rFonts w:ascii="Times New Roman" w:hAnsi="Times New Roman"/>
          <w:sz w:val="22"/>
          <w:szCs w:val="22"/>
        </w:rPr>
      </w:pPr>
    </w:p>
    <w:p w14:paraId="737D7ED2" w14:textId="4A8C07AD" w:rsidR="0064699F" w:rsidRPr="0012306E" w:rsidRDefault="00907169" w:rsidP="006079A0">
      <w:pPr>
        <w:shd w:val="clear" w:color="auto" w:fill="FFFFFF"/>
        <w:rPr>
          <w:rFonts w:ascii="Times New Roman" w:hAnsi="Times New Roman"/>
          <w:sz w:val="22"/>
          <w:szCs w:val="22"/>
        </w:rPr>
      </w:pPr>
      <w:r w:rsidRPr="0012306E">
        <w:rPr>
          <w:rFonts w:ascii="Times New Roman" w:hAnsi="Times New Roman"/>
          <w:sz w:val="22"/>
          <w:szCs w:val="22"/>
        </w:rPr>
        <w:t xml:space="preserve">In its investigation, the Enforcement Bureau found that </w:t>
      </w:r>
      <w:r w:rsidR="00B27676">
        <w:rPr>
          <w:rFonts w:ascii="Times New Roman" w:hAnsi="Times New Roman"/>
          <w:sz w:val="22"/>
          <w:szCs w:val="22"/>
        </w:rPr>
        <w:t>t</w:t>
      </w:r>
      <w:r w:rsidR="00B27676" w:rsidRPr="0012306E">
        <w:rPr>
          <w:rFonts w:ascii="Times New Roman" w:hAnsi="Times New Roman"/>
          <w:sz w:val="22"/>
          <w:szCs w:val="22"/>
        </w:rPr>
        <w:t xml:space="preserve">he </w:t>
      </w:r>
      <w:r w:rsidR="00B27676">
        <w:rPr>
          <w:rFonts w:ascii="Times New Roman" w:hAnsi="Times New Roman"/>
          <w:sz w:val="22"/>
          <w:szCs w:val="22"/>
        </w:rPr>
        <w:t xml:space="preserve">five </w:t>
      </w:r>
      <w:r w:rsidR="00B27676" w:rsidRPr="0012306E">
        <w:rPr>
          <w:rFonts w:ascii="Times New Roman" w:hAnsi="Times New Roman"/>
          <w:sz w:val="22"/>
          <w:szCs w:val="22"/>
        </w:rPr>
        <w:t xml:space="preserve">separate </w:t>
      </w:r>
      <w:r w:rsidR="00B27676">
        <w:rPr>
          <w:rFonts w:ascii="Times New Roman" w:hAnsi="Times New Roman"/>
          <w:sz w:val="22"/>
          <w:szCs w:val="22"/>
        </w:rPr>
        <w:t xml:space="preserve">GCI 911 service </w:t>
      </w:r>
      <w:r w:rsidR="00B27676" w:rsidRPr="0012306E">
        <w:rPr>
          <w:rFonts w:ascii="Times New Roman" w:hAnsi="Times New Roman"/>
          <w:sz w:val="22"/>
          <w:szCs w:val="22"/>
        </w:rPr>
        <w:t>outages</w:t>
      </w:r>
      <w:r w:rsidR="00B27676">
        <w:rPr>
          <w:rFonts w:ascii="Times New Roman" w:hAnsi="Times New Roman"/>
          <w:sz w:val="22"/>
          <w:szCs w:val="22"/>
        </w:rPr>
        <w:t xml:space="preserve"> </w:t>
      </w:r>
      <w:r w:rsidR="00B27676" w:rsidRPr="0012306E">
        <w:rPr>
          <w:rFonts w:ascii="Times New Roman" w:hAnsi="Times New Roman"/>
          <w:sz w:val="22"/>
          <w:szCs w:val="22"/>
        </w:rPr>
        <w:t xml:space="preserve">prevented </w:t>
      </w:r>
      <w:r w:rsidR="00B27676">
        <w:rPr>
          <w:rFonts w:ascii="Times New Roman" w:hAnsi="Times New Roman"/>
          <w:sz w:val="22"/>
          <w:szCs w:val="22"/>
        </w:rPr>
        <w:t xml:space="preserve">significant numbers of </w:t>
      </w:r>
      <w:r w:rsidR="00483C24">
        <w:rPr>
          <w:rFonts w:ascii="Times New Roman" w:hAnsi="Times New Roman"/>
          <w:sz w:val="22"/>
          <w:szCs w:val="22"/>
        </w:rPr>
        <w:t xml:space="preserve">the company’s </w:t>
      </w:r>
      <w:r w:rsidR="00B27676">
        <w:rPr>
          <w:rFonts w:ascii="Times New Roman" w:hAnsi="Times New Roman"/>
          <w:sz w:val="22"/>
          <w:szCs w:val="22"/>
        </w:rPr>
        <w:t>wireless</w:t>
      </w:r>
      <w:r w:rsidR="00B27676" w:rsidRPr="0012306E">
        <w:rPr>
          <w:rFonts w:ascii="Times New Roman" w:hAnsi="Times New Roman"/>
          <w:sz w:val="22"/>
          <w:szCs w:val="22"/>
        </w:rPr>
        <w:t xml:space="preserve"> customers</w:t>
      </w:r>
      <w:r w:rsidR="00B27676">
        <w:rPr>
          <w:rFonts w:ascii="Times New Roman" w:hAnsi="Times New Roman"/>
          <w:sz w:val="22"/>
          <w:szCs w:val="22"/>
        </w:rPr>
        <w:t xml:space="preserve"> </w:t>
      </w:r>
      <w:r w:rsidR="00B27676" w:rsidRPr="0012306E">
        <w:rPr>
          <w:rFonts w:ascii="Times New Roman" w:hAnsi="Times New Roman"/>
          <w:sz w:val="22"/>
          <w:szCs w:val="22"/>
        </w:rPr>
        <w:t xml:space="preserve">from reaching first responders </w:t>
      </w:r>
      <w:r w:rsidR="00B27676">
        <w:rPr>
          <w:rFonts w:ascii="Times New Roman" w:hAnsi="Times New Roman"/>
          <w:sz w:val="22"/>
          <w:szCs w:val="22"/>
        </w:rPr>
        <w:t>when making 911 calls.  T</w:t>
      </w:r>
      <w:r w:rsidR="00B27676" w:rsidRPr="0012306E">
        <w:rPr>
          <w:rFonts w:ascii="Times New Roman" w:hAnsi="Times New Roman"/>
          <w:sz w:val="22"/>
          <w:szCs w:val="22"/>
        </w:rPr>
        <w:t xml:space="preserve">he investigation </w:t>
      </w:r>
      <w:r w:rsidR="00B27676">
        <w:rPr>
          <w:rFonts w:ascii="Times New Roman" w:hAnsi="Times New Roman"/>
          <w:sz w:val="22"/>
          <w:szCs w:val="22"/>
        </w:rPr>
        <w:t>determined</w:t>
      </w:r>
      <w:r w:rsidR="00B27676" w:rsidRPr="0012306E">
        <w:rPr>
          <w:rFonts w:ascii="Times New Roman" w:hAnsi="Times New Roman"/>
          <w:sz w:val="22"/>
          <w:szCs w:val="22"/>
        </w:rPr>
        <w:t xml:space="preserve"> that </w:t>
      </w:r>
      <w:r w:rsidR="00B27676">
        <w:rPr>
          <w:rFonts w:ascii="Times New Roman" w:hAnsi="Times New Roman"/>
          <w:sz w:val="22"/>
          <w:szCs w:val="22"/>
        </w:rPr>
        <w:t>all five</w:t>
      </w:r>
      <w:r w:rsidR="00B27676" w:rsidRPr="0012306E">
        <w:rPr>
          <w:rFonts w:ascii="Times New Roman" w:hAnsi="Times New Roman"/>
          <w:sz w:val="22"/>
          <w:szCs w:val="22"/>
        </w:rPr>
        <w:t xml:space="preserve"> outages would</w:t>
      </w:r>
      <w:r w:rsidR="00B27676">
        <w:rPr>
          <w:rFonts w:ascii="Times New Roman" w:hAnsi="Times New Roman"/>
          <w:sz w:val="22"/>
          <w:szCs w:val="22"/>
        </w:rPr>
        <w:t xml:space="preserve"> likely</w:t>
      </w:r>
      <w:r w:rsidR="00B27676" w:rsidRPr="0012306E">
        <w:rPr>
          <w:rFonts w:ascii="Times New Roman" w:hAnsi="Times New Roman"/>
          <w:sz w:val="22"/>
          <w:szCs w:val="22"/>
        </w:rPr>
        <w:t xml:space="preserve"> have been </w:t>
      </w:r>
      <w:r w:rsidR="00B27676">
        <w:rPr>
          <w:rFonts w:ascii="Times New Roman" w:hAnsi="Times New Roman"/>
          <w:sz w:val="22"/>
          <w:szCs w:val="22"/>
        </w:rPr>
        <w:t xml:space="preserve">either minimized, or entirely </w:t>
      </w:r>
      <w:r w:rsidR="00B27676" w:rsidRPr="0012306E">
        <w:rPr>
          <w:rFonts w:ascii="Times New Roman" w:hAnsi="Times New Roman"/>
          <w:sz w:val="22"/>
          <w:szCs w:val="22"/>
        </w:rPr>
        <w:t>avoided</w:t>
      </w:r>
      <w:r w:rsidR="00B27676">
        <w:rPr>
          <w:rFonts w:ascii="Times New Roman" w:hAnsi="Times New Roman"/>
          <w:sz w:val="22"/>
          <w:szCs w:val="22"/>
        </w:rPr>
        <w:t>,</w:t>
      </w:r>
      <w:r w:rsidR="00B27676" w:rsidRPr="0012306E">
        <w:rPr>
          <w:rFonts w:ascii="Times New Roman" w:hAnsi="Times New Roman"/>
          <w:sz w:val="22"/>
          <w:szCs w:val="22"/>
        </w:rPr>
        <w:t xml:space="preserve"> if </w:t>
      </w:r>
      <w:r w:rsidR="00B27676">
        <w:rPr>
          <w:rFonts w:ascii="Times New Roman" w:hAnsi="Times New Roman"/>
          <w:sz w:val="22"/>
          <w:szCs w:val="22"/>
        </w:rPr>
        <w:t>GCI</w:t>
      </w:r>
      <w:r w:rsidR="00B27676" w:rsidRPr="0012306E">
        <w:rPr>
          <w:rFonts w:ascii="Times New Roman" w:hAnsi="Times New Roman"/>
          <w:sz w:val="22"/>
          <w:szCs w:val="22"/>
        </w:rPr>
        <w:t xml:space="preserve"> had implemented appropriate safeguards in its 911 network architecture</w:t>
      </w:r>
      <w:r w:rsidR="00B27676">
        <w:rPr>
          <w:rFonts w:ascii="Times New Roman" w:hAnsi="Times New Roman"/>
          <w:sz w:val="22"/>
          <w:szCs w:val="22"/>
        </w:rPr>
        <w:t xml:space="preserve"> and operational procedures</w:t>
      </w:r>
      <w:r w:rsidR="00B27676" w:rsidRPr="0012306E">
        <w:rPr>
          <w:rFonts w:ascii="Times New Roman" w:hAnsi="Times New Roman"/>
          <w:sz w:val="22"/>
          <w:szCs w:val="22"/>
        </w:rPr>
        <w:t>.</w:t>
      </w:r>
      <w:r w:rsidR="00B27676">
        <w:rPr>
          <w:rFonts w:ascii="Times New Roman" w:hAnsi="Times New Roman"/>
          <w:sz w:val="22"/>
          <w:szCs w:val="22"/>
        </w:rPr>
        <w:t xml:space="preserve">  The investigation also found that </w:t>
      </w:r>
      <w:r w:rsidR="009E5A7E">
        <w:rPr>
          <w:rFonts w:ascii="Times New Roman" w:hAnsi="Times New Roman"/>
          <w:sz w:val="22"/>
          <w:szCs w:val="22"/>
        </w:rPr>
        <w:t>GCI</w:t>
      </w:r>
      <w:r w:rsidRPr="0012306E">
        <w:rPr>
          <w:rFonts w:ascii="Times New Roman" w:hAnsi="Times New Roman"/>
          <w:sz w:val="22"/>
          <w:szCs w:val="22"/>
        </w:rPr>
        <w:t xml:space="preserve"> did not provide timely notification of </w:t>
      </w:r>
      <w:r w:rsidR="009E5A7E">
        <w:rPr>
          <w:rFonts w:ascii="Times New Roman" w:hAnsi="Times New Roman"/>
          <w:sz w:val="22"/>
          <w:szCs w:val="22"/>
        </w:rPr>
        <w:t>three of the five</w:t>
      </w:r>
      <w:r w:rsidRPr="0012306E">
        <w:rPr>
          <w:rFonts w:ascii="Times New Roman" w:hAnsi="Times New Roman"/>
          <w:sz w:val="22"/>
          <w:szCs w:val="22"/>
        </w:rPr>
        <w:t xml:space="preserve"> outages to </w:t>
      </w:r>
      <w:r w:rsidR="009E5A7E">
        <w:rPr>
          <w:rFonts w:ascii="Times New Roman" w:hAnsi="Times New Roman"/>
          <w:sz w:val="22"/>
          <w:szCs w:val="22"/>
        </w:rPr>
        <w:t>the</w:t>
      </w:r>
      <w:r w:rsidRPr="0012306E">
        <w:rPr>
          <w:rFonts w:ascii="Times New Roman" w:hAnsi="Times New Roman"/>
          <w:sz w:val="22"/>
          <w:szCs w:val="22"/>
        </w:rPr>
        <w:t xml:space="preserve"> affected 911 call centers.  </w:t>
      </w:r>
      <w:r w:rsidR="00B27676">
        <w:rPr>
          <w:rFonts w:ascii="Times New Roman" w:hAnsi="Times New Roman"/>
          <w:sz w:val="22"/>
          <w:szCs w:val="22"/>
        </w:rPr>
        <w:t xml:space="preserve">Further, </w:t>
      </w:r>
      <w:r w:rsidR="009E5A7E">
        <w:rPr>
          <w:rFonts w:ascii="Times New Roman" w:hAnsi="Times New Roman"/>
          <w:sz w:val="22"/>
          <w:szCs w:val="22"/>
        </w:rPr>
        <w:t xml:space="preserve">GCI did not submit timely Network Outage Reporting System reports to the Commission in four of the five outages.  </w:t>
      </w:r>
    </w:p>
    <w:p w14:paraId="01D23BDB" w14:textId="77777777" w:rsidR="006079A0" w:rsidRDefault="006079A0" w:rsidP="006079A0">
      <w:pPr>
        <w:shd w:val="clear" w:color="auto" w:fill="FFFFFF"/>
        <w:rPr>
          <w:rFonts w:ascii="Times New Roman" w:hAnsi="Times New Roman"/>
          <w:sz w:val="22"/>
          <w:szCs w:val="22"/>
        </w:rPr>
      </w:pPr>
    </w:p>
    <w:p w14:paraId="76B6B6DC" w14:textId="2F7B3BD3" w:rsidR="0064699F" w:rsidRPr="0012306E" w:rsidRDefault="00907169" w:rsidP="006079A0">
      <w:pPr>
        <w:shd w:val="clear" w:color="auto" w:fill="FFFFFF"/>
        <w:rPr>
          <w:rFonts w:ascii="Times New Roman" w:hAnsi="Times New Roman"/>
          <w:sz w:val="22"/>
          <w:szCs w:val="22"/>
        </w:rPr>
      </w:pPr>
      <w:r w:rsidRPr="0012306E">
        <w:rPr>
          <w:rFonts w:ascii="Times New Roman" w:hAnsi="Times New Roman"/>
          <w:sz w:val="22"/>
          <w:szCs w:val="22"/>
        </w:rPr>
        <w:t xml:space="preserve">To </w:t>
      </w:r>
      <w:r w:rsidR="00A94632" w:rsidRPr="0012306E">
        <w:rPr>
          <w:rFonts w:ascii="Times New Roman" w:hAnsi="Times New Roman"/>
          <w:sz w:val="22"/>
          <w:szCs w:val="22"/>
        </w:rPr>
        <w:t>resolve the Bureau’s investigation</w:t>
      </w:r>
      <w:r w:rsidRPr="0012306E">
        <w:rPr>
          <w:rFonts w:ascii="Times New Roman" w:hAnsi="Times New Roman"/>
          <w:sz w:val="22"/>
          <w:szCs w:val="22"/>
        </w:rPr>
        <w:t xml:space="preserve">, </w:t>
      </w:r>
      <w:r w:rsidR="00861A05">
        <w:rPr>
          <w:rFonts w:ascii="Times New Roman" w:hAnsi="Times New Roman"/>
          <w:sz w:val="22"/>
          <w:szCs w:val="22"/>
        </w:rPr>
        <w:t>GCI</w:t>
      </w:r>
      <w:r w:rsidR="00F664AF" w:rsidRPr="0012306E">
        <w:rPr>
          <w:rFonts w:ascii="Times New Roman" w:hAnsi="Times New Roman"/>
          <w:sz w:val="22"/>
          <w:szCs w:val="22"/>
        </w:rPr>
        <w:t xml:space="preserve"> </w:t>
      </w:r>
      <w:r w:rsidR="00684E38" w:rsidRPr="0012306E">
        <w:rPr>
          <w:rFonts w:ascii="Times New Roman" w:hAnsi="Times New Roman"/>
          <w:sz w:val="22"/>
          <w:szCs w:val="22"/>
        </w:rPr>
        <w:t>will pay a $</w:t>
      </w:r>
      <w:r w:rsidR="00861A05">
        <w:rPr>
          <w:rFonts w:ascii="Times New Roman" w:hAnsi="Times New Roman"/>
          <w:sz w:val="22"/>
          <w:szCs w:val="22"/>
        </w:rPr>
        <w:t>2.4</w:t>
      </w:r>
      <w:r w:rsidR="00684E38" w:rsidRPr="0012306E">
        <w:rPr>
          <w:rFonts w:ascii="Times New Roman" w:hAnsi="Times New Roman"/>
          <w:sz w:val="22"/>
          <w:szCs w:val="22"/>
        </w:rPr>
        <w:t xml:space="preserve"> million fine and </w:t>
      </w:r>
      <w:r w:rsidR="00A94632" w:rsidRPr="0012306E">
        <w:rPr>
          <w:rFonts w:ascii="Times New Roman" w:hAnsi="Times New Roman"/>
          <w:sz w:val="22"/>
          <w:szCs w:val="22"/>
        </w:rPr>
        <w:t>has agreed to implement a compliance program to strengthen its 911 resilience and its</w:t>
      </w:r>
      <w:r w:rsidR="00702425" w:rsidRPr="0012306E">
        <w:rPr>
          <w:rFonts w:ascii="Times New Roman" w:hAnsi="Times New Roman"/>
          <w:sz w:val="22"/>
          <w:szCs w:val="22"/>
        </w:rPr>
        <w:t xml:space="preserve"> 911</w:t>
      </w:r>
      <w:r w:rsidR="00F664AF" w:rsidRPr="0012306E">
        <w:rPr>
          <w:rFonts w:ascii="Times New Roman" w:hAnsi="Times New Roman"/>
          <w:sz w:val="22"/>
          <w:szCs w:val="22"/>
        </w:rPr>
        <w:t xml:space="preserve"> risk management processes</w:t>
      </w:r>
      <w:r w:rsidR="00D567C1" w:rsidRPr="0012306E">
        <w:rPr>
          <w:rFonts w:ascii="Times New Roman" w:hAnsi="Times New Roman"/>
          <w:sz w:val="22"/>
          <w:szCs w:val="22"/>
        </w:rPr>
        <w:t xml:space="preserve">.  In particular, </w:t>
      </w:r>
      <w:r w:rsidR="00861A05">
        <w:rPr>
          <w:rFonts w:ascii="Times New Roman" w:hAnsi="Times New Roman"/>
          <w:sz w:val="22"/>
          <w:szCs w:val="22"/>
        </w:rPr>
        <w:t>GCI</w:t>
      </w:r>
      <w:r w:rsidR="00D567C1" w:rsidRPr="0012306E">
        <w:rPr>
          <w:rFonts w:ascii="Times New Roman" w:hAnsi="Times New Roman"/>
          <w:sz w:val="22"/>
          <w:szCs w:val="22"/>
        </w:rPr>
        <w:t xml:space="preserve"> </w:t>
      </w:r>
      <w:r w:rsidR="00F664AF" w:rsidRPr="0012306E">
        <w:rPr>
          <w:rFonts w:ascii="Times New Roman" w:hAnsi="Times New Roman"/>
          <w:sz w:val="22"/>
          <w:szCs w:val="22"/>
        </w:rPr>
        <w:t>will</w:t>
      </w:r>
      <w:r w:rsidR="00A94632" w:rsidRPr="0012306E">
        <w:rPr>
          <w:rFonts w:ascii="Times New Roman" w:hAnsi="Times New Roman"/>
          <w:sz w:val="22"/>
          <w:szCs w:val="22"/>
        </w:rPr>
        <w:t xml:space="preserve"> develop and implement processes to</w:t>
      </w:r>
      <w:r w:rsidR="00F664AF" w:rsidRPr="0012306E">
        <w:rPr>
          <w:rFonts w:ascii="Times New Roman" w:hAnsi="Times New Roman"/>
          <w:sz w:val="22"/>
          <w:szCs w:val="22"/>
        </w:rPr>
        <w:t xml:space="preserve">: </w:t>
      </w:r>
    </w:p>
    <w:p w14:paraId="29C22E1B" w14:textId="77777777" w:rsidR="00E1393F" w:rsidRPr="0012306E" w:rsidRDefault="00C152F3" w:rsidP="006079A0">
      <w:pPr>
        <w:pStyle w:val="ListParagraph"/>
        <w:numPr>
          <w:ilvl w:val="0"/>
          <w:numId w:val="27"/>
        </w:numPr>
        <w:shd w:val="clear" w:color="auto" w:fill="FFFFFF"/>
        <w:spacing w:after="0" w:line="240" w:lineRule="auto"/>
        <w:rPr>
          <w:rFonts w:ascii="Times New Roman" w:hAnsi="Times New Roman"/>
        </w:rPr>
      </w:pPr>
      <w:r w:rsidRPr="0012306E">
        <w:rPr>
          <w:rFonts w:ascii="Times New Roman" w:hAnsi="Times New Roman"/>
        </w:rPr>
        <w:t xml:space="preserve">Identify risks that could result in disruptions to 911 service; </w:t>
      </w:r>
    </w:p>
    <w:p w14:paraId="423EF330" w14:textId="25B2C7F3" w:rsidR="00E1393F" w:rsidRPr="0012306E" w:rsidRDefault="00F664AF" w:rsidP="006079A0">
      <w:pPr>
        <w:pStyle w:val="ListParagraph"/>
        <w:numPr>
          <w:ilvl w:val="0"/>
          <w:numId w:val="27"/>
        </w:numPr>
        <w:shd w:val="clear" w:color="auto" w:fill="FFFFFF"/>
        <w:spacing w:after="0" w:line="240" w:lineRule="auto"/>
        <w:rPr>
          <w:rFonts w:ascii="Times New Roman" w:hAnsi="Times New Roman"/>
        </w:rPr>
      </w:pPr>
      <w:r w:rsidRPr="0012306E">
        <w:rPr>
          <w:rFonts w:ascii="Times New Roman" w:hAnsi="Times New Roman"/>
        </w:rPr>
        <w:t xml:space="preserve">Protect against such risks; </w:t>
      </w:r>
    </w:p>
    <w:p w14:paraId="28EABF20" w14:textId="56AD74E4" w:rsidR="00E1393F" w:rsidRPr="0012306E" w:rsidRDefault="00F664AF" w:rsidP="006079A0">
      <w:pPr>
        <w:pStyle w:val="ListParagraph"/>
        <w:numPr>
          <w:ilvl w:val="0"/>
          <w:numId w:val="27"/>
        </w:numPr>
        <w:shd w:val="clear" w:color="auto" w:fill="FFFFFF"/>
        <w:spacing w:after="0" w:line="240" w:lineRule="auto"/>
        <w:rPr>
          <w:rFonts w:ascii="Times New Roman" w:hAnsi="Times New Roman"/>
        </w:rPr>
      </w:pPr>
      <w:r w:rsidRPr="0012306E">
        <w:rPr>
          <w:rFonts w:ascii="Times New Roman" w:hAnsi="Times New Roman"/>
        </w:rPr>
        <w:t xml:space="preserve">Detect future 911 outages; </w:t>
      </w:r>
    </w:p>
    <w:p w14:paraId="2984EF2D" w14:textId="6767E1F8" w:rsidR="00E1393F" w:rsidRPr="0012306E" w:rsidRDefault="00F664AF" w:rsidP="006079A0">
      <w:pPr>
        <w:pStyle w:val="ListParagraph"/>
        <w:numPr>
          <w:ilvl w:val="0"/>
          <w:numId w:val="27"/>
        </w:numPr>
        <w:shd w:val="clear" w:color="auto" w:fill="FFFFFF"/>
        <w:spacing w:after="0" w:line="240" w:lineRule="auto"/>
        <w:rPr>
          <w:rFonts w:ascii="Times New Roman" w:hAnsi="Times New Roman"/>
        </w:rPr>
      </w:pPr>
      <w:r w:rsidRPr="0012306E">
        <w:rPr>
          <w:rFonts w:ascii="Times New Roman" w:hAnsi="Times New Roman"/>
        </w:rPr>
        <w:t xml:space="preserve">Respond with remedial actions, including prompt notification to affected </w:t>
      </w:r>
      <w:r w:rsidR="00B30C1F" w:rsidRPr="0012306E">
        <w:rPr>
          <w:rFonts w:ascii="Times New Roman" w:hAnsi="Times New Roman"/>
        </w:rPr>
        <w:t xml:space="preserve">911 </w:t>
      </w:r>
      <w:r w:rsidR="00E1393F" w:rsidRPr="0012306E">
        <w:rPr>
          <w:rFonts w:ascii="Times New Roman" w:hAnsi="Times New Roman"/>
        </w:rPr>
        <w:t>call centers; and</w:t>
      </w:r>
    </w:p>
    <w:p w14:paraId="6CCA326E" w14:textId="6BD85AA0" w:rsidR="0064699F" w:rsidRDefault="00F664AF" w:rsidP="006079A0">
      <w:pPr>
        <w:pStyle w:val="ListParagraph"/>
        <w:numPr>
          <w:ilvl w:val="0"/>
          <w:numId w:val="27"/>
        </w:numPr>
        <w:pBdr>
          <w:top w:val="none" w:sz="16" w:space="0" w:color="000000"/>
          <w:left w:val="none" w:sz="16" w:space="0" w:color="000000"/>
          <w:bottom w:val="none" w:sz="16" w:space="0" w:color="000000"/>
          <w:right w:val="none" w:sz="16" w:space="0" w:color="000000"/>
        </w:pBdr>
        <w:spacing w:after="0" w:line="240" w:lineRule="auto"/>
        <w:contextualSpacing w:val="0"/>
        <w:rPr>
          <w:rFonts w:ascii="Times New Roman" w:hAnsi="Times New Roman"/>
        </w:rPr>
      </w:pPr>
      <w:r w:rsidRPr="0012306E">
        <w:rPr>
          <w:rFonts w:ascii="Times New Roman" w:hAnsi="Times New Roman"/>
        </w:rPr>
        <w:t>Recover from such outages on a timely basis.</w:t>
      </w:r>
    </w:p>
    <w:p w14:paraId="794EE6C5" w14:textId="77777777" w:rsidR="006079A0" w:rsidRPr="0012306E" w:rsidRDefault="006079A0" w:rsidP="006079A0">
      <w:pPr>
        <w:pStyle w:val="ListParagraph"/>
        <w:pBdr>
          <w:top w:val="none" w:sz="16" w:space="0" w:color="000000"/>
          <w:left w:val="none" w:sz="16" w:space="0" w:color="000000"/>
          <w:bottom w:val="none" w:sz="16" w:space="0" w:color="000000"/>
          <w:right w:val="none" w:sz="16" w:space="0" w:color="000000"/>
        </w:pBdr>
        <w:spacing w:after="0" w:line="240" w:lineRule="auto"/>
        <w:contextualSpacing w:val="0"/>
        <w:rPr>
          <w:rFonts w:ascii="Times New Roman" w:hAnsi="Times New Roman"/>
        </w:rPr>
      </w:pPr>
    </w:p>
    <w:p w14:paraId="34B35310" w14:textId="1A22E041" w:rsidR="00F664AF" w:rsidRDefault="00F664AF" w:rsidP="006079A0">
      <w:pPr>
        <w:pBdr>
          <w:top w:val="none" w:sz="16" w:space="0" w:color="000000"/>
          <w:left w:val="none" w:sz="16" w:space="0" w:color="000000"/>
          <w:bottom w:val="none" w:sz="16" w:space="0" w:color="000000"/>
          <w:right w:val="none" w:sz="16" w:space="0" w:color="000000"/>
        </w:pBdr>
        <w:rPr>
          <w:rFonts w:ascii="Times New Roman" w:hAnsi="Times New Roman"/>
          <w:sz w:val="22"/>
          <w:szCs w:val="22"/>
        </w:rPr>
      </w:pPr>
      <w:r w:rsidRPr="0012306E">
        <w:rPr>
          <w:rFonts w:ascii="Times New Roman" w:hAnsi="Times New Roman"/>
          <w:sz w:val="22"/>
          <w:szCs w:val="22"/>
        </w:rPr>
        <w:t xml:space="preserve">In addition, </w:t>
      </w:r>
      <w:r w:rsidR="00861A05">
        <w:rPr>
          <w:rFonts w:ascii="Times New Roman" w:hAnsi="Times New Roman"/>
          <w:sz w:val="22"/>
          <w:szCs w:val="22"/>
        </w:rPr>
        <w:t>GCI</w:t>
      </w:r>
      <w:r w:rsidR="002C59BD" w:rsidRPr="0012306E">
        <w:rPr>
          <w:rFonts w:ascii="Times New Roman" w:hAnsi="Times New Roman"/>
          <w:sz w:val="22"/>
          <w:szCs w:val="22"/>
        </w:rPr>
        <w:t xml:space="preserve"> </w:t>
      </w:r>
      <w:r w:rsidR="00684E38" w:rsidRPr="0012306E">
        <w:rPr>
          <w:rFonts w:ascii="Times New Roman" w:hAnsi="Times New Roman"/>
          <w:sz w:val="22"/>
          <w:szCs w:val="22"/>
        </w:rPr>
        <w:t>will</w:t>
      </w:r>
      <w:r w:rsidRPr="0012306E">
        <w:rPr>
          <w:rFonts w:ascii="Times New Roman" w:hAnsi="Times New Roman"/>
          <w:sz w:val="22"/>
          <w:szCs w:val="22"/>
        </w:rPr>
        <w:t xml:space="preserve"> maintain up-to-date contact information for </w:t>
      </w:r>
      <w:r w:rsidR="00B30C1F" w:rsidRPr="0012306E">
        <w:rPr>
          <w:rFonts w:ascii="Times New Roman" w:hAnsi="Times New Roman"/>
          <w:sz w:val="22"/>
          <w:szCs w:val="22"/>
        </w:rPr>
        <w:t xml:space="preserve">911 </w:t>
      </w:r>
      <w:r w:rsidRPr="0012306E">
        <w:rPr>
          <w:rFonts w:ascii="Times New Roman" w:hAnsi="Times New Roman"/>
          <w:sz w:val="22"/>
          <w:szCs w:val="22"/>
        </w:rPr>
        <w:t>call centers</w:t>
      </w:r>
      <w:r w:rsidR="00F80FD2">
        <w:rPr>
          <w:rFonts w:ascii="Times New Roman" w:hAnsi="Times New Roman"/>
          <w:sz w:val="22"/>
          <w:szCs w:val="22"/>
        </w:rPr>
        <w:t>,</w:t>
      </w:r>
      <w:r w:rsidR="00875257">
        <w:rPr>
          <w:rFonts w:ascii="Times New Roman" w:hAnsi="Times New Roman"/>
          <w:sz w:val="22"/>
          <w:szCs w:val="22"/>
        </w:rPr>
        <w:t xml:space="preserve"> </w:t>
      </w:r>
      <w:r w:rsidR="00684E38" w:rsidRPr="0012306E">
        <w:rPr>
          <w:rFonts w:ascii="Times New Roman" w:hAnsi="Times New Roman"/>
          <w:sz w:val="22"/>
          <w:szCs w:val="22"/>
        </w:rPr>
        <w:t>adopt</w:t>
      </w:r>
      <w:r w:rsidR="00C52E2F" w:rsidRPr="0012306E">
        <w:rPr>
          <w:rFonts w:ascii="Times New Roman" w:hAnsi="Times New Roman"/>
          <w:sz w:val="22"/>
          <w:szCs w:val="22"/>
        </w:rPr>
        <w:t xml:space="preserve"> a plan to notify 911 call center</w:t>
      </w:r>
      <w:r w:rsidR="007B2ED5" w:rsidRPr="0012306E">
        <w:rPr>
          <w:rFonts w:ascii="Times New Roman" w:hAnsi="Times New Roman"/>
          <w:sz w:val="22"/>
          <w:szCs w:val="22"/>
        </w:rPr>
        <w:t>s</w:t>
      </w:r>
      <w:r w:rsidR="00C52E2F" w:rsidRPr="0012306E">
        <w:rPr>
          <w:rFonts w:ascii="Times New Roman" w:hAnsi="Times New Roman"/>
          <w:sz w:val="22"/>
          <w:szCs w:val="22"/>
        </w:rPr>
        <w:t xml:space="preserve"> during outages</w:t>
      </w:r>
      <w:r w:rsidR="00F80FD2">
        <w:rPr>
          <w:rFonts w:ascii="Times New Roman" w:hAnsi="Times New Roman"/>
          <w:sz w:val="22"/>
          <w:szCs w:val="22"/>
        </w:rPr>
        <w:t>, and maintain contact with the Alaska 911 Coordinator’s Office when necessary</w:t>
      </w:r>
      <w:r w:rsidRPr="0012306E">
        <w:rPr>
          <w:rFonts w:ascii="Times New Roman" w:hAnsi="Times New Roman"/>
          <w:sz w:val="22"/>
          <w:szCs w:val="22"/>
        </w:rPr>
        <w:t xml:space="preserve">. </w:t>
      </w:r>
      <w:r w:rsidR="00695A33">
        <w:rPr>
          <w:rFonts w:ascii="Times New Roman" w:hAnsi="Times New Roman"/>
          <w:sz w:val="22"/>
          <w:szCs w:val="22"/>
        </w:rPr>
        <w:t xml:space="preserve"> </w:t>
      </w:r>
      <w:r w:rsidR="00A94632" w:rsidRPr="0012306E">
        <w:rPr>
          <w:rFonts w:ascii="Times New Roman" w:hAnsi="Times New Roman"/>
          <w:sz w:val="22"/>
          <w:szCs w:val="22"/>
        </w:rPr>
        <w:t xml:space="preserve">The consent decree also requires </w:t>
      </w:r>
      <w:r w:rsidR="00861A05">
        <w:rPr>
          <w:rFonts w:ascii="Times New Roman" w:hAnsi="Times New Roman"/>
          <w:sz w:val="22"/>
          <w:szCs w:val="22"/>
        </w:rPr>
        <w:t>GCI</w:t>
      </w:r>
      <w:r w:rsidR="00A94632" w:rsidRPr="0012306E">
        <w:rPr>
          <w:rFonts w:ascii="Times New Roman" w:hAnsi="Times New Roman"/>
          <w:sz w:val="22"/>
          <w:szCs w:val="22"/>
        </w:rPr>
        <w:t xml:space="preserve"> to file detailed compliance reports with the Enforcement Bureau.  </w:t>
      </w:r>
    </w:p>
    <w:p w14:paraId="62F805D5" w14:textId="77777777" w:rsidR="006079A0" w:rsidRDefault="006079A0" w:rsidP="006079A0">
      <w:pPr>
        <w:pBdr>
          <w:top w:val="none" w:sz="16" w:space="0" w:color="000000"/>
          <w:left w:val="none" w:sz="16" w:space="0" w:color="000000"/>
          <w:bottom w:val="none" w:sz="16" w:space="0" w:color="000000"/>
          <w:right w:val="none" w:sz="16" w:space="0" w:color="000000"/>
        </w:pBdr>
        <w:rPr>
          <w:rFonts w:ascii="Times New Roman" w:hAnsi="Times New Roman"/>
          <w:sz w:val="22"/>
          <w:szCs w:val="22"/>
        </w:rPr>
      </w:pPr>
    </w:p>
    <w:p w14:paraId="5F811274" w14:textId="77777777" w:rsidR="00483C24" w:rsidRDefault="00483C24" w:rsidP="006079A0">
      <w:pPr>
        <w:pBdr>
          <w:top w:val="none" w:sz="16" w:space="0" w:color="000000"/>
          <w:left w:val="none" w:sz="16" w:space="0" w:color="000000"/>
          <w:bottom w:val="none" w:sz="16" w:space="0" w:color="000000"/>
          <w:right w:val="none" w:sz="16" w:space="0" w:color="000000"/>
        </w:pBdr>
        <w:rPr>
          <w:rFonts w:ascii="Times New Roman" w:hAnsi="Times New Roman"/>
          <w:sz w:val="22"/>
          <w:szCs w:val="22"/>
        </w:rPr>
      </w:pPr>
    </w:p>
    <w:p w14:paraId="4AE30632" w14:textId="794C8DCA" w:rsidR="00CF72AC" w:rsidRDefault="00A32129" w:rsidP="006079A0">
      <w:pPr>
        <w:pStyle w:val="ParaNum"/>
        <w:widowControl/>
        <w:numPr>
          <w:ilvl w:val="0"/>
          <w:numId w:val="0"/>
        </w:numPr>
        <w:spacing w:after="0"/>
        <w:rPr>
          <w:szCs w:val="22"/>
        </w:rPr>
      </w:pPr>
      <w:r w:rsidRPr="0012306E">
        <w:rPr>
          <w:szCs w:val="22"/>
        </w:rPr>
        <w:lastRenderedPageBreak/>
        <w:t xml:space="preserve">The Commission has adopted a number of rules intended to ensure seamless, ubiquitous, and reliable 911 service nationwide.  </w:t>
      </w:r>
      <w:r w:rsidR="00F80FD2">
        <w:rPr>
          <w:szCs w:val="22"/>
        </w:rPr>
        <w:t>W</w:t>
      </w:r>
      <w:r w:rsidR="008D0989" w:rsidRPr="0012306E">
        <w:rPr>
          <w:szCs w:val="22"/>
        </w:rPr>
        <w:t xml:space="preserve">ireless carriers </w:t>
      </w:r>
      <w:r w:rsidR="00F80FD2">
        <w:rPr>
          <w:szCs w:val="22"/>
        </w:rPr>
        <w:t xml:space="preserve">are required </w:t>
      </w:r>
      <w:r w:rsidRPr="0012306E">
        <w:rPr>
          <w:szCs w:val="22"/>
        </w:rPr>
        <w:t>to implement 911 routing and delivery systems to ensure that 911 calls are transmitted to the appropr</w:t>
      </w:r>
      <w:r w:rsidR="007A73EC">
        <w:rPr>
          <w:szCs w:val="22"/>
        </w:rPr>
        <w:t xml:space="preserve">iate emergency call centers, </w:t>
      </w:r>
      <w:r w:rsidRPr="0012306E">
        <w:rPr>
          <w:szCs w:val="22"/>
        </w:rPr>
        <w:t xml:space="preserve">to </w:t>
      </w:r>
      <w:r w:rsidR="008D0989" w:rsidRPr="0012306E">
        <w:rPr>
          <w:szCs w:val="22"/>
        </w:rPr>
        <w:t xml:space="preserve">notify those call centers of </w:t>
      </w:r>
      <w:r w:rsidRPr="0012306E">
        <w:rPr>
          <w:szCs w:val="22"/>
        </w:rPr>
        <w:t xml:space="preserve">911 service outages </w:t>
      </w:r>
      <w:r w:rsidR="008D0989" w:rsidRPr="0012306E">
        <w:rPr>
          <w:szCs w:val="22"/>
        </w:rPr>
        <w:t>lasting longer than 30 minutes</w:t>
      </w:r>
      <w:r w:rsidR="007A73EC">
        <w:rPr>
          <w:szCs w:val="22"/>
        </w:rPr>
        <w:t xml:space="preserve">, and to timely notify the Commission regarding the nature and extent of </w:t>
      </w:r>
      <w:r w:rsidR="00F80FD2">
        <w:rPr>
          <w:szCs w:val="22"/>
        </w:rPr>
        <w:t xml:space="preserve">those </w:t>
      </w:r>
      <w:r w:rsidR="007A73EC">
        <w:rPr>
          <w:szCs w:val="22"/>
        </w:rPr>
        <w:t>outages</w:t>
      </w:r>
      <w:r w:rsidR="008D0989" w:rsidRPr="0012306E">
        <w:rPr>
          <w:szCs w:val="22"/>
        </w:rPr>
        <w:t>.</w:t>
      </w:r>
      <w:r w:rsidR="000B3416" w:rsidRPr="0012306E" w:rsidDel="008D0989">
        <w:rPr>
          <w:szCs w:val="22"/>
        </w:rPr>
        <w:t xml:space="preserve"> </w:t>
      </w:r>
    </w:p>
    <w:p w14:paraId="6004AD4B" w14:textId="77777777" w:rsidR="006079A0" w:rsidRPr="0012306E" w:rsidRDefault="006079A0" w:rsidP="006079A0">
      <w:pPr>
        <w:pStyle w:val="ParaNum"/>
        <w:widowControl/>
        <w:numPr>
          <w:ilvl w:val="0"/>
          <w:numId w:val="0"/>
        </w:numPr>
        <w:spacing w:after="0"/>
        <w:rPr>
          <w:szCs w:val="22"/>
        </w:rPr>
      </w:pPr>
    </w:p>
    <w:p w14:paraId="2E790C2F" w14:textId="77777777" w:rsidR="006079A0" w:rsidRDefault="00CF72AC" w:rsidP="006079A0">
      <w:pPr>
        <w:pStyle w:val="ParaNum"/>
        <w:widowControl/>
        <w:numPr>
          <w:ilvl w:val="0"/>
          <w:numId w:val="0"/>
        </w:numPr>
        <w:spacing w:after="0"/>
        <w:rPr>
          <w:szCs w:val="22"/>
        </w:rPr>
      </w:pPr>
      <w:r w:rsidRPr="0012306E">
        <w:rPr>
          <w:szCs w:val="22"/>
        </w:rPr>
        <w:t xml:space="preserve">Today’s settlement with </w:t>
      </w:r>
      <w:r w:rsidR="00861A05">
        <w:rPr>
          <w:szCs w:val="22"/>
        </w:rPr>
        <w:t>GCI</w:t>
      </w:r>
      <w:r w:rsidRPr="0012306E">
        <w:rPr>
          <w:szCs w:val="22"/>
        </w:rPr>
        <w:t xml:space="preserve"> is the </w:t>
      </w:r>
      <w:r w:rsidR="00861A05">
        <w:rPr>
          <w:szCs w:val="22"/>
        </w:rPr>
        <w:t>fifth</w:t>
      </w:r>
      <w:r w:rsidRPr="0012306E">
        <w:rPr>
          <w:szCs w:val="22"/>
        </w:rPr>
        <w:t xml:space="preserve"> </w:t>
      </w:r>
      <w:r w:rsidR="002B679C" w:rsidRPr="0012306E">
        <w:rPr>
          <w:szCs w:val="22"/>
        </w:rPr>
        <w:t xml:space="preserve">major </w:t>
      </w:r>
      <w:r w:rsidRPr="0012306E">
        <w:rPr>
          <w:szCs w:val="22"/>
        </w:rPr>
        <w:t>enforcement action</w:t>
      </w:r>
      <w:r w:rsidR="00287094" w:rsidRPr="0012306E">
        <w:rPr>
          <w:szCs w:val="22"/>
        </w:rPr>
        <w:t xml:space="preserve"> involving 911 outages that the FCC has taken</w:t>
      </w:r>
      <w:r w:rsidRPr="0012306E">
        <w:rPr>
          <w:szCs w:val="22"/>
        </w:rPr>
        <w:t xml:space="preserve"> </w:t>
      </w:r>
      <w:r w:rsidR="007A73EC">
        <w:rPr>
          <w:szCs w:val="22"/>
        </w:rPr>
        <w:t>in the last fourteen months</w:t>
      </w:r>
      <w:r w:rsidRPr="0012306E">
        <w:rPr>
          <w:szCs w:val="22"/>
        </w:rPr>
        <w:t xml:space="preserve">. </w:t>
      </w:r>
      <w:r w:rsidR="007A73EC">
        <w:rPr>
          <w:szCs w:val="22"/>
        </w:rPr>
        <w:t xml:space="preserve"> In July 2015, the FCC entered into a $17.5 million settlement with T-Mobile in connection with two nationwide 911 outages </w:t>
      </w:r>
      <w:r w:rsidR="00C07659">
        <w:rPr>
          <w:szCs w:val="22"/>
        </w:rPr>
        <w:t xml:space="preserve">that impacted </w:t>
      </w:r>
      <w:r w:rsidR="007A73EC">
        <w:rPr>
          <w:szCs w:val="22"/>
        </w:rPr>
        <w:t xml:space="preserve">T-Mobile customers.  </w:t>
      </w:r>
      <w:r w:rsidRPr="0012306E">
        <w:rPr>
          <w:szCs w:val="22"/>
        </w:rPr>
        <w:t>In April</w:t>
      </w:r>
      <w:r w:rsidR="007A73EC">
        <w:rPr>
          <w:szCs w:val="22"/>
        </w:rPr>
        <w:t xml:space="preserve"> 2015</w:t>
      </w:r>
      <w:r w:rsidRPr="0012306E">
        <w:rPr>
          <w:szCs w:val="22"/>
        </w:rPr>
        <w:t>, the FCC entered a $16 million settlement with CenturyLink and a $1.4 million settlement with Intrado Communications</w:t>
      </w:r>
      <w:r w:rsidR="00C07659">
        <w:rPr>
          <w:szCs w:val="22"/>
        </w:rPr>
        <w:t>,</w:t>
      </w:r>
      <w:r w:rsidRPr="0012306E">
        <w:rPr>
          <w:szCs w:val="22"/>
        </w:rPr>
        <w:t xml:space="preserve"> in connection with an April 2014 multi-state 911 outage </w:t>
      </w:r>
      <w:r w:rsidR="004B0A7D" w:rsidRPr="0012306E">
        <w:rPr>
          <w:szCs w:val="22"/>
        </w:rPr>
        <w:t>that lasted</w:t>
      </w:r>
      <w:r w:rsidRPr="0012306E">
        <w:rPr>
          <w:szCs w:val="22"/>
        </w:rPr>
        <w:t xml:space="preserve"> for over six hours.  In March</w:t>
      </w:r>
      <w:r w:rsidR="007A73EC">
        <w:rPr>
          <w:szCs w:val="22"/>
        </w:rPr>
        <w:t xml:space="preserve"> 2015</w:t>
      </w:r>
      <w:r w:rsidRPr="0012306E">
        <w:rPr>
          <w:szCs w:val="22"/>
        </w:rPr>
        <w:t>, the FCC settled with Verizon for $3.4 million in connection with the</w:t>
      </w:r>
      <w:r w:rsidR="004B0A7D" w:rsidRPr="0012306E">
        <w:rPr>
          <w:szCs w:val="22"/>
        </w:rPr>
        <w:t xml:space="preserve"> same</w:t>
      </w:r>
      <w:r w:rsidRPr="0012306E">
        <w:rPr>
          <w:szCs w:val="22"/>
        </w:rPr>
        <w:t xml:space="preserve"> April 2014 outage.</w:t>
      </w:r>
    </w:p>
    <w:p w14:paraId="02718735" w14:textId="74D53D2A" w:rsidR="00CF72AC" w:rsidRPr="0012306E" w:rsidRDefault="00CF72AC" w:rsidP="006079A0">
      <w:pPr>
        <w:pStyle w:val="ParaNum"/>
        <w:widowControl/>
        <w:numPr>
          <w:ilvl w:val="0"/>
          <w:numId w:val="0"/>
        </w:numPr>
        <w:spacing w:after="0"/>
        <w:rPr>
          <w:szCs w:val="22"/>
        </w:rPr>
      </w:pPr>
      <w:r w:rsidRPr="0012306E">
        <w:rPr>
          <w:szCs w:val="22"/>
        </w:rPr>
        <w:t xml:space="preserve">  </w:t>
      </w:r>
    </w:p>
    <w:p w14:paraId="2E6179A6" w14:textId="3CE0C7F8" w:rsidR="00861A05" w:rsidRDefault="006079A0" w:rsidP="006079A0">
      <w:pPr>
        <w:pStyle w:val="ParaNum"/>
        <w:numPr>
          <w:ilvl w:val="0"/>
          <w:numId w:val="0"/>
        </w:numPr>
        <w:spacing w:after="0"/>
        <w:rPr>
          <w:szCs w:val="22"/>
        </w:rPr>
      </w:pPr>
      <w:r>
        <w:rPr>
          <w:szCs w:val="22"/>
        </w:rPr>
        <w:t>The GCI consent d</w:t>
      </w:r>
      <w:r w:rsidR="00861A05">
        <w:rPr>
          <w:szCs w:val="22"/>
        </w:rPr>
        <w:t>ecree is available at:</w:t>
      </w:r>
    </w:p>
    <w:p w14:paraId="3DFC40CE" w14:textId="60CFA758" w:rsidR="00861A05" w:rsidRDefault="00447EFB" w:rsidP="006079A0">
      <w:pPr>
        <w:pStyle w:val="ParaNum"/>
        <w:numPr>
          <w:ilvl w:val="0"/>
          <w:numId w:val="0"/>
        </w:numPr>
        <w:spacing w:after="0"/>
        <w:rPr>
          <w:szCs w:val="22"/>
        </w:rPr>
      </w:pPr>
      <w:hyperlink r:id="rId9" w:history="1">
        <w:r w:rsidR="00730C1B" w:rsidRPr="00636264">
          <w:rPr>
            <w:rStyle w:val="Hyperlink"/>
            <w:szCs w:val="22"/>
          </w:rPr>
          <w:t>https://apps.fcc.gov/edocs_public/attachmatch/DA-16-735A1.pdf</w:t>
        </w:r>
      </w:hyperlink>
    </w:p>
    <w:p w14:paraId="1DB1F9FE" w14:textId="77777777" w:rsidR="00861A05" w:rsidRDefault="00861A05" w:rsidP="006079A0">
      <w:pPr>
        <w:pStyle w:val="ParaNum"/>
        <w:numPr>
          <w:ilvl w:val="0"/>
          <w:numId w:val="0"/>
        </w:numPr>
        <w:spacing w:after="0"/>
        <w:rPr>
          <w:szCs w:val="22"/>
        </w:rPr>
      </w:pPr>
    </w:p>
    <w:p w14:paraId="65452487" w14:textId="06626371" w:rsidR="00570387" w:rsidRDefault="006079A0" w:rsidP="006079A0">
      <w:pPr>
        <w:pStyle w:val="ParaNum"/>
        <w:numPr>
          <w:ilvl w:val="0"/>
          <w:numId w:val="0"/>
        </w:numPr>
        <w:spacing w:after="0"/>
        <w:rPr>
          <w:szCs w:val="22"/>
        </w:rPr>
      </w:pPr>
      <w:r>
        <w:rPr>
          <w:szCs w:val="22"/>
        </w:rPr>
        <w:t>The T-Mobile consent d</w:t>
      </w:r>
      <w:r w:rsidR="002C59BD" w:rsidRPr="0012306E">
        <w:rPr>
          <w:szCs w:val="22"/>
        </w:rPr>
        <w:t xml:space="preserve">ecree is </w:t>
      </w:r>
      <w:r w:rsidR="0018553F" w:rsidRPr="0012306E">
        <w:rPr>
          <w:szCs w:val="22"/>
        </w:rPr>
        <w:t>available at:</w:t>
      </w:r>
    </w:p>
    <w:p w14:paraId="3DD582E4" w14:textId="5783DD6F" w:rsidR="00D63B8A" w:rsidRPr="00E1393F" w:rsidRDefault="00447EFB" w:rsidP="006079A0">
      <w:pPr>
        <w:rPr>
          <w:rStyle w:val="Hyperlink"/>
          <w:rFonts w:ascii="Times New Roman" w:hAnsi="Times New Roman"/>
          <w:sz w:val="22"/>
          <w:szCs w:val="22"/>
        </w:rPr>
      </w:pPr>
      <w:hyperlink r:id="rId10" w:history="1">
        <w:r w:rsidR="00D63B8A" w:rsidRPr="00E1393F">
          <w:rPr>
            <w:rStyle w:val="Hyperlink"/>
            <w:rFonts w:ascii="Times New Roman" w:hAnsi="Times New Roman"/>
            <w:sz w:val="22"/>
            <w:szCs w:val="22"/>
          </w:rPr>
          <w:t>https://apps.fcc.gov/edocs_public/attachmatch/DA-15-808A1.pdf</w:t>
        </w:r>
      </w:hyperlink>
    </w:p>
    <w:p w14:paraId="6C5AF63F" w14:textId="77777777" w:rsidR="008D0989" w:rsidRPr="00E1393F" w:rsidRDefault="008D0989" w:rsidP="006079A0">
      <w:pPr>
        <w:rPr>
          <w:rStyle w:val="Hyperlink"/>
          <w:rFonts w:ascii="Times New Roman" w:hAnsi="Times New Roman"/>
          <w:sz w:val="22"/>
          <w:szCs w:val="22"/>
        </w:rPr>
      </w:pPr>
    </w:p>
    <w:p w14:paraId="10EFCC74" w14:textId="77ACD2A3" w:rsidR="00E1393F" w:rsidRDefault="00E1393F" w:rsidP="006079A0">
      <w:pPr>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The CenturyLink, Intrado Communications, and Verizon consent decrees are available at:</w:t>
      </w:r>
    </w:p>
    <w:p w14:paraId="56020DD9" w14:textId="4AEF7CEE" w:rsidR="008D0989" w:rsidRPr="00E1393F" w:rsidRDefault="00447EFB" w:rsidP="006079A0">
      <w:pPr>
        <w:rPr>
          <w:rFonts w:ascii="Times New Roman" w:hAnsi="Times New Roman"/>
          <w:sz w:val="22"/>
          <w:szCs w:val="22"/>
        </w:rPr>
      </w:pPr>
      <w:hyperlink r:id="rId11" w:history="1">
        <w:r w:rsidR="00886618" w:rsidRPr="00E1393F">
          <w:rPr>
            <w:rStyle w:val="Hyperlink"/>
            <w:rFonts w:ascii="Times New Roman" w:hAnsi="Times New Roman"/>
            <w:sz w:val="22"/>
            <w:szCs w:val="22"/>
          </w:rPr>
          <w:t>https://apps.fcc.gov/edocs_public/attachmatch/DA-15-406A1.pdf</w:t>
        </w:r>
      </w:hyperlink>
    </w:p>
    <w:p w14:paraId="4BE6A13C" w14:textId="0A3FFBD9" w:rsidR="00886618" w:rsidRPr="00E1393F" w:rsidRDefault="00447EFB" w:rsidP="006079A0">
      <w:pPr>
        <w:rPr>
          <w:rFonts w:ascii="Times New Roman" w:hAnsi="Times New Roman"/>
          <w:sz w:val="22"/>
          <w:szCs w:val="22"/>
        </w:rPr>
      </w:pPr>
      <w:hyperlink r:id="rId12" w:history="1">
        <w:r w:rsidR="00886618" w:rsidRPr="00E1393F">
          <w:rPr>
            <w:rStyle w:val="Hyperlink"/>
            <w:rFonts w:ascii="Times New Roman" w:hAnsi="Times New Roman"/>
            <w:sz w:val="22"/>
            <w:szCs w:val="22"/>
          </w:rPr>
          <w:t>https://apps.fcc.gov/edocs_public/attachmatch/DA-15-421A1.pdf</w:t>
        </w:r>
      </w:hyperlink>
    </w:p>
    <w:p w14:paraId="4DBC17C1" w14:textId="047F6EA2" w:rsidR="00886618" w:rsidRPr="00E1393F" w:rsidRDefault="00447EFB" w:rsidP="006079A0">
      <w:pPr>
        <w:rPr>
          <w:rFonts w:ascii="Times New Roman" w:hAnsi="Times New Roman"/>
          <w:sz w:val="22"/>
          <w:szCs w:val="22"/>
        </w:rPr>
      </w:pPr>
      <w:hyperlink r:id="rId13" w:history="1">
        <w:r w:rsidR="00886618" w:rsidRPr="00E1393F">
          <w:rPr>
            <w:rStyle w:val="Hyperlink"/>
            <w:rFonts w:ascii="Times New Roman" w:hAnsi="Times New Roman"/>
            <w:sz w:val="22"/>
            <w:szCs w:val="22"/>
          </w:rPr>
          <w:t>https://apps.fcc.gov/edocs_public/attachmatch/DA-15-308A1.pdf</w:t>
        </w:r>
      </w:hyperlink>
    </w:p>
    <w:p w14:paraId="67CCC066" w14:textId="77777777" w:rsidR="00886618" w:rsidRPr="00E1393F" w:rsidRDefault="00886618" w:rsidP="0018553F">
      <w:pPr>
        <w:rPr>
          <w:rFonts w:ascii="Times New Roman" w:hAnsi="Times New Roman"/>
          <w:sz w:val="22"/>
          <w:szCs w:val="22"/>
        </w:rPr>
      </w:pPr>
    </w:p>
    <w:p w14:paraId="0C871535" w14:textId="77777777" w:rsidR="0018553F" w:rsidRPr="0018553F" w:rsidRDefault="0018553F" w:rsidP="0018553F">
      <w:pPr>
        <w:ind w:right="240"/>
        <w:jc w:val="center"/>
        <w:rPr>
          <w:rFonts w:ascii="Times New Roman" w:hAnsi="Times New Roman"/>
          <w:sz w:val="22"/>
          <w:szCs w:val="22"/>
        </w:rPr>
      </w:pPr>
      <w:r w:rsidRPr="0018553F">
        <w:rPr>
          <w:rFonts w:ascii="Times New Roman" w:hAnsi="Times New Roman"/>
          <w:sz w:val="22"/>
          <w:szCs w:val="22"/>
        </w:rPr>
        <w:t>###</w:t>
      </w:r>
    </w:p>
    <w:p w14:paraId="35454A4D" w14:textId="77777777" w:rsidR="0018553F" w:rsidRPr="0018553F" w:rsidRDefault="0018553F" w:rsidP="0018553F">
      <w:pPr>
        <w:ind w:right="498"/>
        <w:jc w:val="center"/>
        <w:rPr>
          <w:rFonts w:ascii="Times New Roman" w:hAnsi="Times New Roman"/>
          <w:b/>
          <w:bCs/>
          <w:sz w:val="18"/>
          <w:szCs w:val="18"/>
        </w:rPr>
      </w:pPr>
      <w:r w:rsidRPr="0018553F">
        <w:rPr>
          <w:rFonts w:ascii="Times New Roman" w:hAnsi="Times New Roman"/>
          <w:b/>
          <w:bCs/>
          <w:sz w:val="22"/>
          <w:szCs w:val="22"/>
        </w:rPr>
        <w:br/>
      </w:r>
      <w:r w:rsidRPr="0018553F">
        <w:rPr>
          <w:rFonts w:ascii="Times New Roman" w:hAnsi="Times New Roman"/>
          <w:b/>
          <w:bCs/>
          <w:sz w:val="18"/>
          <w:szCs w:val="18"/>
        </w:rPr>
        <w:t>Office of Media Relations: (202) 418-0500</w:t>
      </w:r>
    </w:p>
    <w:p w14:paraId="3E4040B8" w14:textId="77777777" w:rsidR="0018553F" w:rsidRPr="0018553F" w:rsidRDefault="0018553F" w:rsidP="0018553F">
      <w:pPr>
        <w:ind w:right="498"/>
        <w:jc w:val="center"/>
        <w:rPr>
          <w:rFonts w:ascii="Times New Roman" w:hAnsi="Times New Roman"/>
          <w:b/>
          <w:bCs/>
          <w:sz w:val="18"/>
          <w:szCs w:val="18"/>
        </w:rPr>
      </w:pPr>
      <w:r w:rsidRPr="0018553F">
        <w:rPr>
          <w:rFonts w:ascii="Times New Roman" w:hAnsi="Times New Roman"/>
          <w:b/>
          <w:bCs/>
          <w:sz w:val="18"/>
          <w:szCs w:val="18"/>
        </w:rPr>
        <w:t>TTY: (888) 835-5322</w:t>
      </w:r>
    </w:p>
    <w:p w14:paraId="41FF9707" w14:textId="77777777" w:rsidR="0018553F" w:rsidRPr="0018553F" w:rsidRDefault="0018553F" w:rsidP="0018553F">
      <w:pPr>
        <w:ind w:right="498"/>
        <w:jc w:val="center"/>
        <w:rPr>
          <w:rFonts w:ascii="Times New Roman" w:hAnsi="Times New Roman"/>
          <w:b/>
          <w:bCs/>
          <w:sz w:val="18"/>
          <w:szCs w:val="18"/>
        </w:rPr>
      </w:pPr>
      <w:r w:rsidRPr="0018553F">
        <w:rPr>
          <w:rFonts w:ascii="Times New Roman" w:hAnsi="Times New Roman"/>
          <w:b/>
          <w:bCs/>
          <w:sz w:val="18"/>
          <w:szCs w:val="18"/>
        </w:rPr>
        <w:t>Twitter: @FCC</w:t>
      </w:r>
    </w:p>
    <w:p w14:paraId="0551CCA0" w14:textId="076CC4E2" w:rsidR="0018553F" w:rsidRPr="0018553F" w:rsidRDefault="00447EFB" w:rsidP="0018553F">
      <w:pPr>
        <w:ind w:right="498"/>
        <w:jc w:val="center"/>
        <w:rPr>
          <w:rFonts w:ascii="Times New Roman" w:hAnsi="Times New Roman"/>
          <w:b/>
          <w:bCs/>
          <w:sz w:val="18"/>
          <w:szCs w:val="18"/>
        </w:rPr>
      </w:pPr>
      <w:hyperlink r:id="rId14" w:history="1">
        <w:r w:rsidR="0018553F" w:rsidRPr="0018553F">
          <w:rPr>
            <w:rStyle w:val="Hyperlink"/>
            <w:rFonts w:ascii="Times New Roman" w:hAnsi="Times New Roman"/>
            <w:sz w:val="18"/>
            <w:szCs w:val="18"/>
          </w:rPr>
          <w:t>www.fcc.gov/office-media-relations</w:t>
        </w:r>
      </w:hyperlink>
    </w:p>
    <w:p w14:paraId="2E23CAE0" w14:textId="77777777" w:rsidR="0018553F" w:rsidRPr="0018553F" w:rsidRDefault="0018553F" w:rsidP="0018553F">
      <w:pPr>
        <w:ind w:right="498"/>
        <w:jc w:val="center"/>
        <w:rPr>
          <w:rFonts w:ascii="Times New Roman" w:hAnsi="Times New Roman"/>
          <w:b/>
          <w:bCs/>
          <w:sz w:val="18"/>
          <w:szCs w:val="18"/>
        </w:rPr>
      </w:pPr>
    </w:p>
    <w:p w14:paraId="2E2AC86C" w14:textId="77777777" w:rsidR="0018553F" w:rsidRPr="0018553F" w:rsidRDefault="0018553F" w:rsidP="0018553F">
      <w:pPr>
        <w:ind w:right="498"/>
        <w:jc w:val="center"/>
        <w:rPr>
          <w:rFonts w:ascii="Times New Roman" w:hAnsi="Times New Roman"/>
          <w:bCs/>
          <w:i/>
          <w:sz w:val="18"/>
          <w:szCs w:val="18"/>
        </w:rPr>
      </w:pPr>
      <w:r w:rsidRPr="0018553F">
        <w:rPr>
          <w:rFonts w:ascii="Times New Roman" w:hAnsi="Times New Roman"/>
          <w:bCs/>
          <w:i/>
          <w:sz w:val="18"/>
          <w:szCs w:val="18"/>
        </w:rPr>
        <w:t>This is an unofficial announcement of Commission action.  Release of the full text of a Commission order constitutes official action.  See MCI v. FCC, 515 F 2d 385 (D.C. Cir. 1974).</w:t>
      </w:r>
    </w:p>
    <w:p w14:paraId="3A5790EE" w14:textId="77777777" w:rsidR="00F02789" w:rsidRPr="00DA745B" w:rsidRDefault="00F02789" w:rsidP="0018553F">
      <w:pPr>
        <w:pStyle w:val="ParaNum"/>
        <w:numPr>
          <w:ilvl w:val="0"/>
          <w:numId w:val="0"/>
        </w:numPr>
        <w:jc w:val="center"/>
        <w:rPr>
          <w:szCs w:val="22"/>
        </w:rPr>
      </w:pPr>
    </w:p>
    <w:sectPr w:rsidR="00F02789" w:rsidRPr="00DA745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C88D9" w14:textId="77777777" w:rsidR="001F3821" w:rsidRDefault="001F3821">
      <w:r>
        <w:separator/>
      </w:r>
    </w:p>
  </w:endnote>
  <w:endnote w:type="continuationSeparator" w:id="0">
    <w:p w14:paraId="5E8F27D6" w14:textId="77777777" w:rsidR="001F3821" w:rsidRDefault="001F3821">
      <w:r>
        <w:continuationSeparator/>
      </w:r>
    </w:p>
  </w:endnote>
  <w:endnote w:type="continuationNotice" w:id="1">
    <w:p w14:paraId="2EBD6A53" w14:textId="77777777" w:rsidR="001F3821" w:rsidRDefault="001F3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70984" w14:textId="77777777" w:rsidR="009C667B" w:rsidRDefault="009C6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E512A" w14:textId="77777777" w:rsidR="009C667B" w:rsidRDefault="009C66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3C0F3" w14:textId="77777777" w:rsidR="009C667B" w:rsidRDefault="009C6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60A0B" w14:textId="77777777" w:rsidR="001F3821" w:rsidRDefault="001F3821">
      <w:r>
        <w:separator/>
      </w:r>
    </w:p>
  </w:footnote>
  <w:footnote w:type="continuationSeparator" w:id="0">
    <w:p w14:paraId="2A6423AA" w14:textId="77777777" w:rsidR="001F3821" w:rsidRDefault="001F3821">
      <w:r>
        <w:continuationSeparator/>
      </w:r>
    </w:p>
  </w:footnote>
  <w:footnote w:type="continuationNotice" w:id="1">
    <w:p w14:paraId="7AF82B57" w14:textId="77777777" w:rsidR="001F3821" w:rsidRDefault="001F38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96687" w14:textId="77777777" w:rsidR="009C667B" w:rsidRDefault="009C6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3ECDC" w14:textId="77777777" w:rsidR="009C667B" w:rsidRDefault="009C66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8EEBB" w14:textId="77777777" w:rsidR="009C667B" w:rsidRDefault="009C6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BE41D4"/>
    <w:lvl w:ilvl="0" w:tplc="D010B582">
      <w:numFmt w:val="none"/>
      <w:lvlText w:val=""/>
      <w:lvlJc w:val="left"/>
      <w:pPr>
        <w:tabs>
          <w:tab w:val="num" w:pos="360"/>
        </w:tabs>
      </w:pPr>
    </w:lvl>
    <w:lvl w:ilvl="1" w:tplc="F210DCF8">
      <w:numFmt w:val="decimal"/>
      <w:lvlText w:val=""/>
      <w:lvlJc w:val="left"/>
    </w:lvl>
    <w:lvl w:ilvl="2" w:tplc="B624F984">
      <w:numFmt w:val="decimal"/>
      <w:lvlText w:val=""/>
      <w:lvlJc w:val="left"/>
    </w:lvl>
    <w:lvl w:ilvl="3" w:tplc="E1C615FE">
      <w:numFmt w:val="decimal"/>
      <w:lvlText w:val=""/>
      <w:lvlJc w:val="left"/>
    </w:lvl>
    <w:lvl w:ilvl="4" w:tplc="216CB4EC">
      <w:numFmt w:val="decimal"/>
      <w:lvlText w:val=""/>
      <w:lvlJc w:val="left"/>
    </w:lvl>
    <w:lvl w:ilvl="5" w:tplc="7354DD84">
      <w:numFmt w:val="decimal"/>
      <w:lvlText w:val=""/>
      <w:lvlJc w:val="left"/>
    </w:lvl>
    <w:lvl w:ilvl="6" w:tplc="8B84DD90">
      <w:numFmt w:val="decimal"/>
      <w:lvlText w:val=""/>
      <w:lvlJc w:val="left"/>
    </w:lvl>
    <w:lvl w:ilvl="7" w:tplc="63982182">
      <w:numFmt w:val="decimal"/>
      <w:lvlText w:val=""/>
      <w:lvlJc w:val="left"/>
    </w:lvl>
    <w:lvl w:ilvl="8" w:tplc="C7CA3098">
      <w:numFmt w:val="decimal"/>
      <w:lvlText w:val=""/>
      <w:lvlJc w:val="left"/>
    </w:lvl>
  </w:abstractNum>
  <w:abstractNum w:abstractNumId="1">
    <w:nsid w:val="00000002"/>
    <w:multiLevelType w:val="multilevel"/>
    <w:tmpl w:val="894EE874"/>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
    <w:nsid w:val="00000003"/>
    <w:multiLevelType w:val="multilevel"/>
    <w:tmpl w:val="894EE875"/>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3">
    <w:nsid w:val="00000004"/>
    <w:multiLevelType w:val="multilevel"/>
    <w:tmpl w:val="894EE876"/>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4">
    <w:nsid w:val="00000005"/>
    <w:multiLevelType w:val="multilevel"/>
    <w:tmpl w:val="894EE877"/>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o"/>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o"/>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5">
    <w:nsid w:val="0B9F7D8B"/>
    <w:multiLevelType w:val="multilevel"/>
    <w:tmpl w:val="1F8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53B3B"/>
    <w:multiLevelType w:val="hybridMultilevel"/>
    <w:tmpl w:val="F7262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2B0657"/>
    <w:multiLevelType w:val="hybridMultilevel"/>
    <w:tmpl w:val="D1C4E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FB406D"/>
    <w:multiLevelType w:val="multilevel"/>
    <w:tmpl w:val="6FD6E89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0A06D1"/>
    <w:multiLevelType w:val="hybridMultilevel"/>
    <w:tmpl w:val="3C76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F60460"/>
    <w:multiLevelType w:val="hybridMultilevel"/>
    <w:tmpl w:val="09A08AA4"/>
    <w:lvl w:ilvl="0" w:tplc="46800BE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833D80"/>
    <w:multiLevelType w:val="hybridMultilevel"/>
    <w:tmpl w:val="0FE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7F19D1"/>
    <w:multiLevelType w:val="hybridMultilevel"/>
    <w:tmpl w:val="2632CA9E"/>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4">
    <w:nsid w:val="4BAD6C26"/>
    <w:multiLevelType w:val="hybridMultilevel"/>
    <w:tmpl w:val="ACC24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267E8F"/>
    <w:multiLevelType w:val="multilevel"/>
    <w:tmpl w:val="F0D4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3C6EF7"/>
    <w:multiLevelType w:val="hybridMultilevel"/>
    <w:tmpl w:val="A46C511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B7F5D8F"/>
    <w:multiLevelType w:val="hybridMultilevel"/>
    <w:tmpl w:val="8DAC9108"/>
    <w:lvl w:ilvl="0" w:tplc="46800B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A451C7"/>
    <w:multiLevelType w:val="hybridMultilevel"/>
    <w:tmpl w:val="159A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65000AC4"/>
    <w:multiLevelType w:val="hybridMultilevel"/>
    <w:tmpl w:val="6FD6E8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E371BB"/>
    <w:multiLevelType w:val="hybridMultilevel"/>
    <w:tmpl w:val="BE06A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31329B"/>
    <w:multiLevelType w:val="hybridMultilevel"/>
    <w:tmpl w:val="ADD68244"/>
    <w:lvl w:ilvl="0" w:tplc="095EBF34">
      <w:start w:val="1"/>
      <w:numFmt w:val="decimal"/>
      <w:lvlText w:val="%1."/>
      <w:lvlJc w:val="left"/>
      <w:pPr>
        <w:tabs>
          <w:tab w:val="num" w:pos="720"/>
        </w:tabs>
        <w:ind w:left="720" w:hanging="360"/>
      </w:pPr>
      <w:rPr>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2D7945"/>
    <w:multiLevelType w:val="hybridMultilevel"/>
    <w:tmpl w:val="1F602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7A3C6F"/>
    <w:multiLevelType w:val="hybridMultilevel"/>
    <w:tmpl w:val="7376F104"/>
    <w:lvl w:ilvl="0" w:tplc="04090001">
      <w:start w:val="1"/>
      <w:numFmt w:val="bullet"/>
      <w:lvlText w:val=""/>
      <w:lvlJc w:val="left"/>
      <w:pPr>
        <w:tabs>
          <w:tab w:val="num" w:pos="360"/>
        </w:tabs>
        <w:ind w:left="360" w:hanging="360"/>
      </w:pPr>
      <w:rPr>
        <w:rFonts w:ascii="Symbol" w:hAnsi="Symbol" w:hint="default"/>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3555953"/>
    <w:multiLevelType w:val="hybridMultilevel"/>
    <w:tmpl w:val="2E04B4F8"/>
    <w:lvl w:ilvl="0" w:tplc="46800B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F75DE"/>
    <w:multiLevelType w:val="hybridMultilevel"/>
    <w:tmpl w:val="19A06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13"/>
  </w:num>
  <w:num w:numId="4">
    <w:abstractNumId w:val="26"/>
  </w:num>
  <w:num w:numId="5">
    <w:abstractNumId w:val="22"/>
  </w:num>
  <w:num w:numId="6">
    <w:abstractNumId w:val="24"/>
  </w:num>
  <w:num w:numId="7">
    <w:abstractNumId w:val="16"/>
  </w:num>
  <w:num w:numId="8">
    <w:abstractNumId w:val="6"/>
  </w:num>
  <w:num w:numId="9">
    <w:abstractNumId w:val="5"/>
  </w:num>
  <w:num w:numId="10">
    <w:abstractNumId w:val="15"/>
  </w:num>
  <w:num w:numId="11">
    <w:abstractNumId w:val="10"/>
  </w:num>
  <w:num w:numId="12">
    <w:abstractNumId w:val="7"/>
  </w:num>
  <w:num w:numId="13">
    <w:abstractNumId w:val="20"/>
  </w:num>
  <w:num w:numId="14">
    <w:abstractNumId w:val="8"/>
  </w:num>
  <w:num w:numId="15">
    <w:abstractNumId w:val="21"/>
  </w:num>
  <w:num w:numId="16">
    <w:abstractNumId w:val="19"/>
  </w:num>
  <w:num w:numId="17">
    <w:abstractNumId w:val="23"/>
  </w:num>
  <w:num w:numId="18">
    <w:abstractNumId w:val="9"/>
  </w:num>
  <w:num w:numId="19">
    <w:abstractNumId w:val="1"/>
  </w:num>
  <w:num w:numId="20">
    <w:abstractNumId w:val="2"/>
  </w:num>
  <w:num w:numId="21">
    <w:abstractNumId w:val="3"/>
  </w:num>
  <w:num w:numId="22">
    <w:abstractNumId w:val="4"/>
  </w:num>
  <w:num w:numId="23">
    <w:abstractNumId w:val="17"/>
  </w:num>
  <w:num w:numId="24">
    <w:abstractNumId w:val="11"/>
  </w:num>
  <w:num w:numId="25">
    <w:abstractNumId w:val="25"/>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D8"/>
    <w:rsid w:val="000076ED"/>
    <w:rsid w:val="0001015F"/>
    <w:rsid w:val="00023E4F"/>
    <w:rsid w:val="00042754"/>
    <w:rsid w:val="00046674"/>
    <w:rsid w:val="000728C0"/>
    <w:rsid w:val="0008514A"/>
    <w:rsid w:val="00085A2E"/>
    <w:rsid w:val="00091546"/>
    <w:rsid w:val="000931C0"/>
    <w:rsid w:val="000971A0"/>
    <w:rsid w:val="000A2E1C"/>
    <w:rsid w:val="000A3BAC"/>
    <w:rsid w:val="000A4241"/>
    <w:rsid w:val="000B3416"/>
    <w:rsid w:val="000B7E6E"/>
    <w:rsid w:val="000D0CB7"/>
    <w:rsid w:val="000D17BD"/>
    <w:rsid w:val="00103F67"/>
    <w:rsid w:val="00120618"/>
    <w:rsid w:val="00121F7E"/>
    <w:rsid w:val="0012306E"/>
    <w:rsid w:val="0012435E"/>
    <w:rsid w:val="00124CC1"/>
    <w:rsid w:val="00130658"/>
    <w:rsid w:val="001654DA"/>
    <w:rsid w:val="001655FA"/>
    <w:rsid w:val="00180488"/>
    <w:rsid w:val="0018553F"/>
    <w:rsid w:val="00187E04"/>
    <w:rsid w:val="001954FE"/>
    <w:rsid w:val="001A1E0F"/>
    <w:rsid w:val="001A391D"/>
    <w:rsid w:val="001B21E6"/>
    <w:rsid w:val="001C61C9"/>
    <w:rsid w:val="001D2053"/>
    <w:rsid w:val="001D3E93"/>
    <w:rsid w:val="001E0951"/>
    <w:rsid w:val="001E18A0"/>
    <w:rsid w:val="001F123D"/>
    <w:rsid w:val="001F258A"/>
    <w:rsid w:val="001F3821"/>
    <w:rsid w:val="001F5364"/>
    <w:rsid w:val="00211D9E"/>
    <w:rsid w:val="00215159"/>
    <w:rsid w:val="00220679"/>
    <w:rsid w:val="0022766A"/>
    <w:rsid w:val="00243B98"/>
    <w:rsid w:val="00261D25"/>
    <w:rsid w:val="002769FF"/>
    <w:rsid w:val="00277EC5"/>
    <w:rsid w:val="002830F2"/>
    <w:rsid w:val="00287094"/>
    <w:rsid w:val="002B1DBB"/>
    <w:rsid w:val="002B679C"/>
    <w:rsid w:val="002B6E38"/>
    <w:rsid w:val="002C59BD"/>
    <w:rsid w:val="002E0A85"/>
    <w:rsid w:val="00316CFA"/>
    <w:rsid w:val="003201B4"/>
    <w:rsid w:val="00331751"/>
    <w:rsid w:val="00376940"/>
    <w:rsid w:val="00382A2C"/>
    <w:rsid w:val="00383D01"/>
    <w:rsid w:val="00391E99"/>
    <w:rsid w:val="003A1AC6"/>
    <w:rsid w:val="003A512A"/>
    <w:rsid w:val="003C262C"/>
    <w:rsid w:val="003D18D1"/>
    <w:rsid w:val="003D7BB1"/>
    <w:rsid w:val="003F7F1D"/>
    <w:rsid w:val="004029AA"/>
    <w:rsid w:val="0040589B"/>
    <w:rsid w:val="0042553F"/>
    <w:rsid w:val="00433611"/>
    <w:rsid w:val="00441ED8"/>
    <w:rsid w:val="00447EFB"/>
    <w:rsid w:val="00450C03"/>
    <w:rsid w:val="00451732"/>
    <w:rsid w:val="00462730"/>
    <w:rsid w:val="00477E57"/>
    <w:rsid w:val="00483C24"/>
    <w:rsid w:val="004B0A7D"/>
    <w:rsid w:val="004B74B9"/>
    <w:rsid w:val="004C1011"/>
    <w:rsid w:val="004C3071"/>
    <w:rsid w:val="004C61D1"/>
    <w:rsid w:val="004D2F49"/>
    <w:rsid w:val="004E3C42"/>
    <w:rsid w:val="00501BF5"/>
    <w:rsid w:val="0050614B"/>
    <w:rsid w:val="00510897"/>
    <w:rsid w:val="00524990"/>
    <w:rsid w:val="0055024A"/>
    <w:rsid w:val="0055086C"/>
    <w:rsid w:val="00570387"/>
    <w:rsid w:val="00571B8D"/>
    <w:rsid w:val="00574AE1"/>
    <w:rsid w:val="00583024"/>
    <w:rsid w:val="00587DCB"/>
    <w:rsid w:val="005A137D"/>
    <w:rsid w:val="005A6F50"/>
    <w:rsid w:val="005B277C"/>
    <w:rsid w:val="005B45D3"/>
    <w:rsid w:val="005C25F6"/>
    <w:rsid w:val="005C5110"/>
    <w:rsid w:val="005E0B54"/>
    <w:rsid w:val="005E1036"/>
    <w:rsid w:val="005E18BE"/>
    <w:rsid w:val="005E7C9A"/>
    <w:rsid w:val="00600C0E"/>
    <w:rsid w:val="006079A0"/>
    <w:rsid w:val="0061688B"/>
    <w:rsid w:val="0061699C"/>
    <w:rsid w:val="0061747E"/>
    <w:rsid w:val="0062211B"/>
    <w:rsid w:val="00624F98"/>
    <w:rsid w:val="00627831"/>
    <w:rsid w:val="00631173"/>
    <w:rsid w:val="00633566"/>
    <w:rsid w:val="00641091"/>
    <w:rsid w:val="006468AE"/>
    <w:rsid w:val="0064699F"/>
    <w:rsid w:val="00650C2F"/>
    <w:rsid w:val="006654FD"/>
    <w:rsid w:val="006762CE"/>
    <w:rsid w:val="00680923"/>
    <w:rsid w:val="006821DF"/>
    <w:rsid w:val="006823C9"/>
    <w:rsid w:val="00684E38"/>
    <w:rsid w:val="00695A33"/>
    <w:rsid w:val="006A7EC0"/>
    <w:rsid w:val="006B0E00"/>
    <w:rsid w:val="006B172A"/>
    <w:rsid w:val="006B69B5"/>
    <w:rsid w:val="006D6C46"/>
    <w:rsid w:val="006E0DAB"/>
    <w:rsid w:val="006E6D57"/>
    <w:rsid w:val="006E7EE3"/>
    <w:rsid w:val="00700781"/>
    <w:rsid w:val="00701E10"/>
    <w:rsid w:val="00702425"/>
    <w:rsid w:val="0072622C"/>
    <w:rsid w:val="00730C1B"/>
    <w:rsid w:val="00746FF0"/>
    <w:rsid w:val="00755316"/>
    <w:rsid w:val="0076572A"/>
    <w:rsid w:val="00771CBB"/>
    <w:rsid w:val="00791E0A"/>
    <w:rsid w:val="007A73EC"/>
    <w:rsid w:val="007B0E6D"/>
    <w:rsid w:val="007B2ED5"/>
    <w:rsid w:val="007B7DE0"/>
    <w:rsid w:val="007C599A"/>
    <w:rsid w:val="007D2993"/>
    <w:rsid w:val="007E677E"/>
    <w:rsid w:val="0080352D"/>
    <w:rsid w:val="00807A44"/>
    <w:rsid w:val="00832D39"/>
    <w:rsid w:val="008340DA"/>
    <w:rsid w:val="0085751D"/>
    <w:rsid w:val="00861A05"/>
    <w:rsid w:val="0086364D"/>
    <w:rsid w:val="00864608"/>
    <w:rsid w:val="008669B4"/>
    <w:rsid w:val="00875257"/>
    <w:rsid w:val="00882758"/>
    <w:rsid w:val="00886618"/>
    <w:rsid w:val="008A3124"/>
    <w:rsid w:val="008A64D3"/>
    <w:rsid w:val="008B405D"/>
    <w:rsid w:val="008B76C1"/>
    <w:rsid w:val="008D0989"/>
    <w:rsid w:val="00904D8C"/>
    <w:rsid w:val="00907169"/>
    <w:rsid w:val="0091573A"/>
    <w:rsid w:val="00932238"/>
    <w:rsid w:val="00962225"/>
    <w:rsid w:val="009700F7"/>
    <w:rsid w:val="00970B0C"/>
    <w:rsid w:val="00975AEA"/>
    <w:rsid w:val="00992EAE"/>
    <w:rsid w:val="009935F4"/>
    <w:rsid w:val="00993FED"/>
    <w:rsid w:val="00997A22"/>
    <w:rsid w:val="009A211E"/>
    <w:rsid w:val="009C667B"/>
    <w:rsid w:val="009D248A"/>
    <w:rsid w:val="009D2A66"/>
    <w:rsid w:val="009E5A7E"/>
    <w:rsid w:val="00A018B2"/>
    <w:rsid w:val="00A142EB"/>
    <w:rsid w:val="00A1627F"/>
    <w:rsid w:val="00A24893"/>
    <w:rsid w:val="00A26E21"/>
    <w:rsid w:val="00A27400"/>
    <w:rsid w:val="00A30239"/>
    <w:rsid w:val="00A32129"/>
    <w:rsid w:val="00A37871"/>
    <w:rsid w:val="00A637AD"/>
    <w:rsid w:val="00A73516"/>
    <w:rsid w:val="00A81991"/>
    <w:rsid w:val="00A8530F"/>
    <w:rsid w:val="00A8657B"/>
    <w:rsid w:val="00A91946"/>
    <w:rsid w:val="00A94632"/>
    <w:rsid w:val="00A94678"/>
    <w:rsid w:val="00AA6D7C"/>
    <w:rsid w:val="00AC0522"/>
    <w:rsid w:val="00AF3E6B"/>
    <w:rsid w:val="00AF7CEB"/>
    <w:rsid w:val="00B00233"/>
    <w:rsid w:val="00B117CC"/>
    <w:rsid w:val="00B145FE"/>
    <w:rsid w:val="00B27676"/>
    <w:rsid w:val="00B27BE3"/>
    <w:rsid w:val="00B30C1F"/>
    <w:rsid w:val="00B32D95"/>
    <w:rsid w:val="00B425E2"/>
    <w:rsid w:val="00B46378"/>
    <w:rsid w:val="00B52650"/>
    <w:rsid w:val="00B76568"/>
    <w:rsid w:val="00B82E91"/>
    <w:rsid w:val="00B830FF"/>
    <w:rsid w:val="00B83AE4"/>
    <w:rsid w:val="00BB5503"/>
    <w:rsid w:val="00BC5375"/>
    <w:rsid w:val="00BD654D"/>
    <w:rsid w:val="00BD79BA"/>
    <w:rsid w:val="00BE03DD"/>
    <w:rsid w:val="00C07659"/>
    <w:rsid w:val="00C152F3"/>
    <w:rsid w:val="00C23B99"/>
    <w:rsid w:val="00C32337"/>
    <w:rsid w:val="00C32620"/>
    <w:rsid w:val="00C32D0F"/>
    <w:rsid w:val="00C52E2F"/>
    <w:rsid w:val="00C60CF8"/>
    <w:rsid w:val="00C6468B"/>
    <w:rsid w:val="00C706C3"/>
    <w:rsid w:val="00C713EB"/>
    <w:rsid w:val="00C74176"/>
    <w:rsid w:val="00C74619"/>
    <w:rsid w:val="00C77F15"/>
    <w:rsid w:val="00C97B85"/>
    <w:rsid w:val="00CA21E9"/>
    <w:rsid w:val="00CB2525"/>
    <w:rsid w:val="00CC2807"/>
    <w:rsid w:val="00CC3A99"/>
    <w:rsid w:val="00CC7F6D"/>
    <w:rsid w:val="00CD38E5"/>
    <w:rsid w:val="00CD7C0B"/>
    <w:rsid w:val="00CF72AC"/>
    <w:rsid w:val="00D01C60"/>
    <w:rsid w:val="00D03B2C"/>
    <w:rsid w:val="00D05CDA"/>
    <w:rsid w:val="00D1704A"/>
    <w:rsid w:val="00D242EC"/>
    <w:rsid w:val="00D32D00"/>
    <w:rsid w:val="00D44570"/>
    <w:rsid w:val="00D567C1"/>
    <w:rsid w:val="00D57175"/>
    <w:rsid w:val="00D63B8A"/>
    <w:rsid w:val="00D87178"/>
    <w:rsid w:val="00DA2DC7"/>
    <w:rsid w:val="00DA745B"/>
    <w:rsid w:val="00DB6C4D"/>
    <w:rsid w:val="00DC1F6E"/>
    <w:rsid w:val="00DC4ACC"/>
    <w:rsid w:val="00E1393F"/>
    <w:rsid w:val="00E152C7"/>
    <w:rsid w:val="00E228BF"/>
    <w:rsid w:val="00E2790D"/>
    <w:rsid w:val="00E63270"/>
    <w:rsid w:val="00E86F1F"/>
    <w:rsid w:val="00E926B3"/>
    <w:rsid w:val="00E92B24"/>
    <w:rsid w:val="00E9577F"/>
    <w:rsid w:val="00EA213A"/>
    <w:rsid w:val="00EC0E79"/>
    <w:rsid w:val="00EC47D2"/>
    <w:rsid w:val="00EC6C47"/>
    <w:rsid w:val="00EF2E85"/>
    <w:rsid w:val="00EF34F3"/>
    <w:rsid w:val="00F02789"/>
    <w:rsid w:val="00F11DB3"/>
    <w:rsid w:val="00F17A55"/>
    <w:rsid w:val="00F24493"/>
    <w:rsid w:val="00F24F3A"/>
    <w:rsid w:val="00F5468A"/>
    <w:rsid w:val="00F62163"/>
    <w:rsid w:val="00F62C1F"/>
    <w:rsid w:val="00F664AF"/>
    <w:rsid w:val="00F7063F"/>
    <w:rsid w:val="00F76566"/>
    <w:rsid w:val="00F80FD2"/>
    <w:rsid w:val="00F84ED3"/>
    <w:rsid w:val="00F96BBD"/>
    <w:rsid w:val="00FB00DF"/>
    <w:rsid w:val="00FB497E"/>
    <w:rsid w:val="00FB55BE"/>
    <w:rsid w:val="00FD07BA"/>
    <w:rsid w:val="00FD296F"/>
    <w:rsid w:val="00FD566D"/>
    <w:rsid w:val="00FD7A81"/>
    <w:rsid w:val="00FE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CB4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Footnote Reference1,Style 7"/>
    <w:uiPriority w:val="99"/>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uiPriority w:val="99"/>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uiPriority w:val="99"/>
    <w:locked/>
    <w:rPr>
      <w:sz w:val="16"/>
      <w:szCs w:val="16"/>
    </w:rPr>
  </w:style>
  <w:style w:type="paragraph" w:styleId="CommentText">
    <w:name w:val="annotation text"/>
    <w:basedOn w:val="Normal"/>
    <w:link w:val="CommentTextChar"/>
    <w:uiPriority w:val="99"/>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f Char"/>
    <w:locked/>
    <w:rPr>
      <w:lang w:val="en-US" w:eastAsia="en-US" w:bidi="ar-SA"/>
    </w:rPr>
  </w:style>
  <w:style w:type="paragraph" w:styleId="Revision">
    <w:name w:val="Revision"/>
    <w:hidden/>
    <w:uiPriority w:val="99"/>
    <w:semiHidden/>
    <w:rPr>
      <w:rFonts w:ascii="Arial" w:hAnsi="Arial"/>
      <w:sz w:val="24"/>
    </w:rPr>
  </w:style>
  <w:style w:type="paragraph" w:customStyle="1" w:styleId="ParaNum">
    <w:name w:val="ParaNum"/>
    <w:basedOn w:val="Normal"/>
    <w:link w:val="ParaNumChar"/>
    <w:rsid w:val="00BD79BA"/>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locked/>
    <w:rsid w:val="00BD79BA"/>
    <w:rPr>
      <w:snapToGrid w:val="0"/>
      <w:kern w:val="28"/>
      <w:sz w:val="22"/>
    </w:rPr>
  </w:style>
  <w:style w:type="character" w:customStyle="1" w:styleId="CommentTextChar">
    <w:name w:val="Comment Text Char"/>
    <w:link w:val="CommentText"/>
    <w:uiPriority w:val="99"/>
    <w:locked/>
    <w:rsid w:val="00BD79BA"/>
    <w:rPr>
      <w:rFonts w:ascii="Arial" w:hAnsi="Arial"/>
    </w:rPr>
  </w:style>
  <w:style w:type="paragraph" w:styleId="ListParagraph">
    <w:name w:val="List Paragraph"/>
    <w:basedOn w:val="Normal"/>
    <w:qFormat/>
    <w:rsid w:val="001F5364"/>
    <w:pPr>
      <w:spacing w:after="200" w:line="276" w:lineRule="auto"/>
      <w:ind w:left="720"/>
      <w:contextualSpacing/>
    </w:pPr>
    <w:rPr>
      <w:rFonts w:ascii="Calibri" w:eastAsia="Calibri" w:hAnsi="Calibri"/>
      <w:sz w:val="22"/>
      <w:szCs w:val="22"/>
    </w:rPr>
  </w:style>
  <w:style w:type="paragraph" w:customStyle="1" w:styleId="BodyA">
    <w:name w:val="Body A"/>
    <w:rsid w:val="00F664AF"/>
    <w:pPr>
      <w:pBdr>
        <w:top w:val="none" w:sz="16" w:space="0" w:color="000000"/>
        <w:left w:val="none" w:sz="16" w:space="0" w:color="000000"/>
        <w:bottom w:val="none" w:sz="16" w:space="0" w:color="000000"/>
        <w:right w:val="none" w:sz="16" w:space="0" w:color="000000"/>
      </w:pBdr>
    </w:pPr>
    <w:rPr>
      <w:rFonts w:ascii="Arial" w:eastAsia="ヒラギノ角ゴ Pro W3" w:hAnsi="Arial"/>
      <w:color w:val="000000"/>
      <w:sz w:val="24"/>
      <w:u w:color="000000"/>
    </w:rPr>
  </w:style>
  <w:style w:type="character" w:customStyle="1" w:styleId="Hyperlink0">
    <w:name w:val="Hyperlink.0"/>
    <w:rsid w:val="00F664AF"/>
    <w:rPr>
      <w:color w:val="0000FE"/>
      <w:sz w:val="22"/>
      <w:u w:val="single" w:color="0000FF"/>
    </w:rPr>
  </w:style>
  <w:style w:type="character" w:customStyle="1" w:styleId="rrfootnoteCharCharChar">
    <w:name w:val="rrfootnote Char Char Char"/>
    <w:aliases w:val="Style 5 Char Char Char,Footnote Text Char Char Char Char Char Char"/>
    <w:locked/>
    <w:rsid w:val="00F84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Footnote Reference1,Style 7"/>
    <w:uiPriority w:val="99"/>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uiPriority w:val="99"/>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uiPriority w:val="99"/>
    <w:locked/>
    <w:rPr>
      <w:sz w:val="16"/>
      <w:szCs w:val="16"/>
    </w:rPr>
  </w:style>
  <w:style w:type="paragraph" w:styleId="CommentText">
    <w:name w:val="annotation text"/>
    <w:basedOn w:val="Normal"/>
    <w:link w:val="CommentTextChar"/>
    <w:uiPriority w:val="99"/>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f Char"/>
    <w:locked/>
    <w:rPr>
      <w:lang w:val="en-US" w:eastAsia="en-US" w:bidi="ar-SA"/>
    </w:rPr>
  </w:style>
  <w:style w:type="paragraph" w:styleId="Revision">
    <w:name w:val="Revision"/>
    <w:hidden/>
    <w:uiPriority w:val="99"/>
    <w:semiHidden/>
    <w:rPr>
      <w:rFonts w:ascii="Arial" w:hAnsi="Arial"/>
      <w:sz w:val="24"/>
    </w:rPr>
  </w:style>
  <w:style w:type="paragraph" w:customStyle="1" w:styleId="ParaNum">
    <w:name w:val="ParaNum"/>
    <w:basedOn w:val="Normal"/>
    <w:link w:val="ParaNumChar"/>
    <w:rsid w:val="00BD79BA"/>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locked/>
    <w:rsid w:val="00BD79BA"/>
    <w:rPr>
      <w:snapToGrid w:val="0"/>
      <w:kern w:val="28"/>
      <w:sz w:val="22"/>
    </w:rPr>
  </w:style>
  <w:style w:type="character" w:customStyle="1" w:styleId="CommentTextChar">
    <w:name w:val="Comment Text Char"/>
    <w:link w:val="CommentText"/>
    <w:uiPriority w:val="99"/>
    <w:locked/>
    <w:rsid w:val="00BD79BA"/>
    <w:rPr>
      <w:rFonts w:ascii="Arial" w:hAnsi="Arial"/>
    </w:rPr>
  </w:style>
  <w:style w:type="paragraph" w:styleId="ListParagraph">
    <w:name w:val="List Paragraph"/>
    <w:basedOn w:val="Normal"/>
    <w:qFormat/>
    <w:rsid w:val="001F5364"/>
    <w:pPr>
      <w:spacing w:after="200" w:line="276" w:lineRule="auto"/>
      <w:ind w:left="720"/>
      <w:contextualSpacing/>
    </w:pPr>
    <w:rPr>
      <w:rFonts w:ascii="Calibri" w:eastAsia="Calibri" w:hAnsi="Calibri"/>
      <w:sz w:val="22"/>
      <w:szCs w:val="22"/>
    </w:rPr>
  </w:style>
  <w:style w:type="paragraph" w:customStyle="1" w:styleId="BodyA">
    <w:name w:val="Body A"/>
    <w:rsid w:val="00F664AF"/>
    <w:pPr>
      <w:pBdr>
        <w:top w:val="none" w:sz="16" w:space="0" w:color="000000"/>
        <w:left w:val="none" w:sz="16" w:space="0" w:color="000000"/>
        <w:bottom w:val="none" w:sz="16" w:space="0" w:color="000000"/>
        <w:right w:val="none" w:sz="16" w:space="0" w:color="000000"/>
      </w:pBdr>
    </w:pPr>
    <w:rPr>
      <w:rFonts w:ascii="Arial" w:eastAsia="ヒラギノ角ゴ Pro W3" w:hAnsi="Arial"/>
      <w:color w:val="000000"/>
      <w:sz w:val="24"/>
      <w:u w:color="000000"/>
    </w:rPr>
  </w:style>
  <w:style w:type="character" w:customStyle="1" w:styleId="Hyperlink0">
    <w:name w:val="Hyperlink.0"/>
    <w:rsid w:val="00F664AF"/>
    <w:rPr>
      <w:color w:val="0000FE"/>
      <w:sz w:val="22"/>
      <w:u w:val="single" w:color="0000FF"/>
    </w:rPr>
  </w:style>
  <w:style w:type="character" w:customStyle="1" w:styleId="rrfootnoteCharCharChar">
    <w:name w:val="rrfootnote Char Char Char"/>
    <w:aliases w:val="Style 5 Char Char Char,Footnote Text Char Char Char Char Char Char"/>
    <w:locked/>
    <w:rsid w:val="00F8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721">
      <w:bodyDiv w:val="1"/>
      <w:marLeft w:val="0"/>
      <w:marRight w:val="0"/>
      <w:marTop w:val="0"/>
      <w:marBottom w:val="0"/>
      <w:divBdr>
        <w:top w:val="none" w:sz="0" w:space="0" w:color="auto"/>
        <w:left w:val="none" w:sz="0" w:space="0" w:color="auto"/>
        <w:bottom w:val="none" w:sz="0" w:space="0" w:color="auto"/>
        <w:right w:val="none" w:sz="0" w:space="0" w:color="auto"/>
      </w:divBdr>
    </w:div>
    <w:div w:id="190920351">
      <w:bodyDiv w:val="1"/>
      <w:marLeft w:val="0"/>
      <w:marRight w:val="0"/>
      <w:marTop w:val="0"/>
      <w:marBottom w:val="0"/>
      <w:divBdr>
        <w:top w:val="none" w:sz="0" w:space="0" w:color="auto"/>
        <w:left w:val="none" w:sz="0" w:space="0" w:color="auto"/>
        <w:bottom w:val="none" w:sz="0" w:space="0" w:color="auto"/>
        <w:right w:val="none" w:sz="0" w:space="0" w:color="auto"/>
      </w:divBdr>
    </w:div>
    <w:div w:id="238172165">
      <w:bodyDiv w:val="1"/>
      <w:marLeft w:val="0"/>
      <w:marRight w:val="0"/>
      <w:marTop w:val="0"/>
      <w:marBottom w:val="0"/>
      <w:divBdr>
        <w:top w:val="none" w:sz="0" w:space="0" w:color="auto"/>
        <w:left w:val="none" w:sz="0" w:space="0" w:color="auto"/>
        <w:bottom w:val="none" w:sz="0" w:space="0" w:color="auto"/>
        <w:right w:val="none" w:sz="0" w:space="0" w:color="auto"/>
      </w:divBdr>
    </w:div>
    <w:div w:id="312301274">
      <w:bodyDiv w:val="1"/>
      <w:marLeft w:val="0"/>
      <w:marRight w:val="0"/>
      <w:marTop w:val="0"/>
      <w:marBottom w:val="0"/>
      <w:divBdr>
        <w:top w:val="none" w:sz="0" w:space="0" w:color="auto"/>
        <w:left w:val="none" w:sz="0" w:space="0" w:color="auto"/>
        <w:bottom w:val="none" w:sz="0" w:space="0" w:color="auto"/>
        <w:right w:val="none" w:sz="0" w:space="0" w:color="auto"/>
      </w:divBdr>
    </w:div>
    <w:div w:id="441266424">
      <w:bodyDiv w:val="1"/>
      <w:marLeft w:val="0"/>
      <w:marRight w:val="0"/>
      <w:marTop w:val="0"/>
      <w:marBottom w:val="0"/>
      <w:divBdr>
        <w:top w:val="single" w:sz="24" w:space="0" w:color="76B72A"/>
        <w:left w:val="none" w:sz="0" w:space="0" w:color="auto"/>
        <w:bottom w:val="none" w:sz="0" w:space="0" w:color="auto"/>
        <w:right w:val="none" w:sz="0" w:space="0" w:color="auto"/>
      </w:divBdr>
      <w:divsChild>
        <w:div w:id="50856987">
          <w:marLeft w:val="0"/>
          <w:marRight w:val="0"/>
          <w:marTop w:val="100"/>
          <w:marBottom w:val="100"/>
          <w:divBdr>
            <w:top w:val="none" w:sz="0" w:space="0" w:color="auto"/>
            <w:left w:val="none" w:sz="0" w:space="0" w:color="auto"/>
            <w:bottom w:val="none" w:sz="0" w:space="0" w:color="auto"/>
            <w:right w:val="none" w:sz="0" w:space="0" w:color="auto"/>
          </w:divBdr>
          <w:divsChild>
            <w:div w:id="1575703618">
              <w:marLeft w:val="0"/>
              <w:marRight w:val="0"/>
              <w:marTop w:val="0"/>
              <w:marBottom w:val="0"/>
              <w:divBdr>
                <w:top w:val="none" w:sz="0" w:space="0" w:color="auto"/>
                <w:left w:val="none" w:sz="0" w:space="0" w:color="auto"/>
                <w:bottom w:val="none" w:sz="0" w:space="0" w:color="auto"/>
                <w:right w:val="none" w:sz="0" w:space="0" w:color="auto"/>
              </w:divBdr>
              <w:divsChild>
                <w:div w:id="337969204">
                  <w:marLeft w:val="0"/>
                  <w:marRight w:val="0"/>
                  <w:marTop w:val="0"/>
                  <w:marBottom w:val="0"/>
                  <w:divBdr>
                    <w:top w:val="none" w:sz="0" w:space="0" w:color="auto"/>
                    <w:left w:val="none" w:sz="0" w:space="0" w:color="auto"/>
                    <w:bottom w:val="none" w:sz="0" w:space="0" w:color="auto"/>
                    <w:right w:val="none" w:sz="0" w:space="0" w:color="auto"/>
                  </w:divBdr>
                  <w:divsChild>
                    <w:div w:id="1066730203">
                      <w:marLeft w:val="0"/>
                      <w:marRight w:val="0"/>
                      <w:marTop w:val="0"/>
                      <w:marBottom w:val="0"/>
                      <w:divBdr>
                        <w:top w:val="none" w:sz="0" w:space="0" w:color="auto"/>
                        <w:left w:val="none" w:sz="0" w:space="0" w:color="auto"/>
                        <w:bottom w:val="none" w:sz="0" w:space="0" w:color="auto"/>
                        <w:right w:val="none" w:sz="0" w:space="0" w:color="auto"/>
                      </w:divBdr>
                      <w:divsChild>
                        <w:div w:id="8688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94165">
      <w:bodyDiv w:val="1"/>
      <w:marLeft w:val="0"/>
      <w:marRight w:val="0"/>
      <w:marTop w:val="0"/>
      <w:marBottom w:val="0"/>
      <w:divBdr>
        <w:top w:val="none" w:sz="0" w:space="0" w:color="auto"/>
        <w:left w:val="none" w:sz="0" w:space="0" w:color="auto"/>
        <w:bottom w:val="none" w:sz="0" w:space="0" w:color="auto"/>
        <w:right w:val="none" w:sz="0" w:space="0" w:color="auto"/>
      </w:divBdr>
      <w:divsChild>
        <w:div w:id="1724600069">
          <w:marLeft w:val="0"/>
          <w:marRight w:val="0"/>
          <w:marTop w:val="0"/>
          <w:marBottom w:val="0"/>
          <w:divBdr>
            <w:top w:val="none" w:sz="0" w:space="0" w:color="auto"/>
            <w:left w:val="none" w:sz="0" w:space="0" w:color="auto"/>
            <w:bottom w:val="none" w:sz="0" w:space="0" w:color="auto"/>
            <w:right w:val="none" w:sz="0" w:space="0" w:color="auto"/>
          </w:divBdr>
          <w:divsChild>
            <w:div w:id="96758383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60644634">
                  <w:marLeft w:val="0"/>
                  <w:marRight w:val="0"/>
                  <w:marTop w:val="0"/>
                  <w:marBottom w:val="0"/>
                  <w:divBdr>
                    <w:top w:val="none" w:sz="0" w:space="0" w:color="auto"/>
                    <w:left w:val="none" w:sz="0" w:space="0" w:color="auto"/>
                    <w:bottom w:val="none" w:sz="0" w:space="0" w:color="auto"/>
                    <w:right w:val="none" w:sz="0" w:space="0" w:color="auto"/>
                  </w:divBdr>
                  <w:divsChild>
                    <w:div w:id="1281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346097">
      <w:bodyDiv w:val="1"/>
      <w:marLeft w:val="0"/>
      <w:marRight w:val="0"/>
      <w:marTop w:val="0"/>
      <w:marBottom w:val="0"/>
      <w:divBdr>
        <w:top w:val="none" w:sz="0" w:space="0" w:color="auto"/>
        <w:left w:val="none" w:sz="0" w:space="0" w:color="auto"/>
        <w:bottom w:val="none" w:sz="0" w:space="0" w:color="auto"/>
        <w:right w:val="none" w:sz="0" w:space="0" w:color="auto"/>
      </w:divBdr>
    </w:div>
    <w:div w:id="1249118614">
      <w:bodyDiv w:val="1"/>
      <w:marLeft w:val="0"/>
      <w:marRight w:val="0"/>
      <w:marTop w:val="0"/>
      <w:marBottom w:val="0"/>
      <w:divBdr>
        <w:top w:val="none" w:sz="0" w:space="0" w:color="auto"/>
        <w:left w:val="none" w:sz="0" w:space="0" w:color="auto"/>
        <w:bottom w:val="none" w:sz="0" w:space="0" w:color="auto"/>
        <w:right w:val="none" w:sz="0" w:space="0" w:color="auto"/>
      </w:divBdr>
    </w:div>
    <w:div w:id="1265573198">
      <w:bodyDiv w:val="1"/>
      <w:marLeft w:val="0"/>
      <w:marRight w:val="0"/>
      <w:marTop w:val="0"/>
      <w:marBottom w:val="0"/>
      <w:divBdr>
        <w:top w:val="none" w:sz="0" w:space="0" w:color="auto"/>
        <w:left w:val="none" w:sz="0" w:space="0" w:color="auto"/>
        <w:bottom w:val="none" w:sz="0" w:space="0" w:color="auto"/>
        <w:right w:val="none" w:sz="0" w:space="0" w:color="auto"/>
      </w:divBdr>
    </w:div>
    <w:div w:id="1607468649">
      <w:bodyDiv w:val="1"/>
      <w:marLeft w:val="0"/>
      <w:marRight w:val="0"/>
      <w:marTop w:val="0"/>
      <w:marBottom w:val="0"/>
      <w:divBdr>
        <w:top w:val="single" w:sz="48" w:space="0" w:color="76B72A"/>
        <w:left w:val="none" w:sz="0" w:space="0" w:color="auto"/>
        <w:bottom w:val="none" w:sz="0" w:space="0" w:color="auto"/>
        <w:right w:val="none" w:sz="0" w:space="0" w:color="auto"/>
      </w:divBdr>
      <w:divsChild>
        <w:div w:id="1635791438">
          <w:marLeft w:val="0"/>
          <w:marRight w:val="0"/>
          <w:marTop w:val="100"/>
          <w:marBottom w:val="100"/>
          <w:divBdr>
            <w:top w:val="none" w:sz="0" w:space="0" w:color="auto"/>
            <w:left w:val="none" w:sz="0" w:space="0" w:color="auto"/>
            <w:bottom w:val="none" w:sz="0" w:space="0" w:color="auto"/>
            <w:right w:val="none" w:sz="0" w:space="0" w:color="auto"/>
          </w:divBdr>
          <w:divsChild>
            <w:div w:id="4787690">
              <w:marLeft w:val="0"/>
              <w:marRight w:val="0"/>
              <w:marTop w:val="0"/>
              <w:marBottom w:val="0"/>
              <w:divBdr>
                <w:top w:val="none" w:sz="0" w:space="0" w:color="auto"/>
                <w:left w:val="none" w:sz="0" w:space="0" w:color="auto"/>
                <w:bottom w:val="none" w:sz="0" w:space="0" w:color="auto"/>
                <w:right w:val="none" w:sz="0" w:space="0" w:color="auto"/>
              </w:divBdr>
              <w:divsChild>
                <w:div w:id="1654719054">
                  <w:marLeft w:val="0"/>
                  <w:marRight w:val="0"/>
                  <w:marTop w:val="0"/>
                  <w:marBottom w:val="0"/>
                  <w:divBdr>
                    <w:top w:val="none" w:sz="0" w:space="0" w:color="auto"/>
                    <w:left w:val="none" w:sz="0" w:space="0" w:color="auto"/>
                    <w:bottom w:val="none" w:sz="0" w:space="0" w:color="auto"/>
                    <w:right w:val="none" w:sz="0" w:space="0" w:color="auto"/>
                  </w:divBdr>
                  <w:divsChild>
                    <w:div w:id="1816794806">
                      <w:marLeft w:val="0"/>
                      <w:marRight w:val="0"/>
                      <w:marTop w:val="0"/>
                      <w:marBottom w:val="0"/>
                      <w:divBdr>
                        <w:top w:val="none" w:sz="0" w:space="0" w:color="auto"/>
                        <w:left w:val="none" w:sz="0" w:space="0" w:color="auto"/>
                        <w:bottom w:val="none" w:sz="0" w:space="0" w:color="auto"/>
                        <w:right w:val="none" w:sz="0" w:space="0" w:color="auto"/>
                      </w:divBdr>
                      <w:divsChild>
                        <w:div w:id="11775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47881">
      <w:bodyDiv w:val="1"/>
      <w:marLeft w:val="0"/>
      <w:marRight w:val="0"/>
      <w:marTop w:val="0"/>
      <w:marBottom w:val="0"/>
      <w:divBdr>
        <w:top w:val="none" w:sz="0" w:space="0" w:color="auto"/>
        <w:left w:val="none" w:sz="0" w:space="0" w:color="auto"/>
        <w:bottom w:val="none" w:sz="0" w:space="0" w:color="auto"/>
        <w:right w:val="none" w:sz="0" w:space="0" w:color="auto"/>
      </w:divBdr>
    </w:div>
    <w:div w:id="1952667374">
      <w:bodyDiv w:val="1"/>
      <w:marLeft w:val="0"/>
      <w:marRight w:val="0"/>
      <w:marTop w:val="0"/>
      <w:marBottom w:val="0"/>
      <w:divBdr>
        <w:top w:val="none" w:sz="0" w:space="0" w:color="auto"/>
        <w:left w:val="none" w:sz="0" w:space="0" w:color="auto"/>
        <w:bottom w:val="none" w:sz="0" w:space="0" w:color="auto"/>
        <w:right w:val="none" w:sz="0" w:space="0" w:color="auto"/>
      </w:divBdr>
    </w:div>
    <w:div w:id="21150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s.fcc.gov/edocs_public/attachmatch/DA-15-308A1.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ps.fcc.gov/edocs_public/attachmatch/DA-15-421A1.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edocs_public/attachmatch/DA-15-406A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pps.fcc.gov/edocs_public/attachmatch/DA-15-808A1.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pps.fcc.gov/edocs_public/attachmatch/DA-16-735A1.pdf" TargetMode="External"/><Relationship Id="rId14" Type="http://schemas.openxmlformats.org/officeDocument/2006/relationships/hyperlink" Target="http://www.fcc.gov/office-media-rel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3808</Characters>
  <Application>Microsoft Office Word</Application>
  <DocSecurity>0</DocSecurity>
  <Lines>81</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4448</CharactersWithSpaces>
  <SharedDoc>false</SharedDoc>
  <HyperlinkBase> </HyperlinkBase>
  <HLinks>
    <vt:vector size="12" baseType="variant">
      <vt:variant>
        <vt:i4>3080265</vt:i4>
      </vt:variant>
      <vt:variant>
        <vt:i4>3</vt:i4>
      </vt:variant>
      <vt:variant>
        <vt:i4>0</vt:i4>
      </vt:variant>
      <vt:variant>
        <vt:i4>5</vt:i4>
      </vt:variant>
      <vt:variant>
        <vt:lpwstr>https://apps.fcc.gov/edocs_public/attachmatch/DOC-330012A1.pdf</vt:lpwstr>
      </vt:variant>
      <vt:variant>
        <vt:lpwstr/>
      </vt:variant>
      <vt:variant>
        <vt:i4>1900650</vt:i4>
      </vt:variant>
      <vt:variant>
        <vt:i4>0</vt:i4>
      </vt:variant>
      <vt:variant>
        <vt:i4>0</vt:i4>
      </vt:variant>
      <vt:variant>
        <vt:i4>5</vt:i4>
      </vt:variant>
      <vt:variant>
        <vt:lpwstr>https://apps.fcc.gov/edocs_public/attachmatch/DA-15-101A1.pdf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2009-12-09T17:44:00Z</cp:lastPrinted>
  <dcterms:created xsi:type="dcterms:W3CDTF">2016-07-06T15:12:00Z</dcterms:created>
  <dcterms:modified xsi:type="dcterms:W3CDTF">2016-07-06T15:12:00Z</dcterms:modified>
  <cp:category> </cp:category>
  <cp:contentStatus> </cp:contentStatus>
</cp:coreProperties>
</file>