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ETC Annual Reports and Certifications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2410F1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Rural Broadband Experiments</w:t>
            </w:r>
          </w:p>
          <w:p w:rsidR="004C2EE3" w:rsidRPr="007115F7" w:rsidRDefault="004C2EE3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14-58</w:t>
            </w:r>
          </w:p>
          <w:p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0DDC" w:rsidRDefault="002410F1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</w:t>
            </w:r>
            <w:r w:rsidR="00880DDC">
              <w:rPr>
                <w:spacing w:val="-2"/>
              </w:rPr>
              <w:t xml:space="preserve">C Docket No. </w:t>
            </w:r>
            <w:r>
              <w:rPr>
                <w:spacing w:val="-2"/>
              </w:rPr>
              <w:t>14-259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Default="004C2EE3" w:rsidP="0070224F"/>
    <w:p w:rsidR="00841AB1" w:rsidRDefault="00880DDC" w:rsidP="00F021FA">
      <w:pPr>
        <w:pStyle w:val="StyleBoldCentered"/>
      </w:pPr>
      <w:r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ab/>
      </w:r>
      <w:r w:rsidR="00880DDC"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0023D3">
        <w:rPr>
          <w:b/>
          <w:spacing w:val="-2"/>
        </w:rPr>
        <w:t>June 13,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880DDC">
        <w:rPr>
          <w:spacing w:val="-2"/>
        </w:rPr>
        <w:t>Chief, Wireline Competition Bureau</w:t>
      </w:r>
      <w:r>
        <w:rPr>
          <w:spacing w:val="-2"/>
        </w:rPr>
        <w:t>:</w:t>
      </w:r>
    </w:p>
    <w:p w:rsidR="00412FC5" w:rsidRDefault="00412FC5" w:rsidP="00412FC5"/>
    <w:p w:rsidR="00880DDC" w:rsidRDefault="00880DDC" w:rsidP="00880DDC">
      <w:pPr>
        <w:pStyle w:val="Paratitle"/>
        <w:ind w:firstLine="720"/>
      </w:pPr>
      <w:r>
        <w:t xml:space="preserve">On </w:t>
      </w:r>
      <w:r w:rsidR="002410F1">
        <w:t>May 26, 2016</w:t>
      </w:r>
      <w:r>
        <w:t>, the Commission released a Report and Order</w:t>
      </w:r>
      <w:r w:rsidR="002410F1">
        <w:t xml:space="preserve"> </w:t>
      </w:r>
      <w:r>
        <w:t>and Further Notice of Proposed Rulemaking (</w:t>
      </w:r>
      <w:r w:rsidR="002410F1" w:rsidRPr="002410F1">
        <w:rPr>
          <w:i/>
        </w:rPr>
        <w:t>Connect America</w:t>
      </w:r>
      <w:r w:rsidR="002410F1">
        <w:t xml:space="preserve"> </w:t>
      </w:r>
      <w:r w:rsidR="002410F1">
        <w:rPr>
          <w:i/>
        </w:rPr>
        <w:t>Phase II Auction</w:t>
      </w:r>
      <w:r>
        <w:rPr>
          <w:i/>
        </w:rPr>
        <w:t xml:space="preserve"> Order and FNPRM</w:t>
      </w:r>
      <w:r w:rsidR="002410F1">
        <w:t>), FCC 16-64</w:t>
      </w:r>
      <w:r>
        <w:t xml:space="preserve">, in the above captioned proceedings.  This Erratum amends the </w:t>
      </w:r>
      <w:r w:rsidR="002410F1" w:rsidRPr="002410F1">
        <w:rPr>
          <w:i/>
        </w:rPr>
        <w:t>Connect America</w:t>
      </w:r>
      <w:r w:rsidR="002410F1">
        <w:t xml:space="preserve"> </w:t>
      </w:r>
      <w:r w:rsidR="002410F1">
        <w:rPr>
          <w:i/>
        </w:rPr>
        <w:t>Phase II Auction Order and FNPRM</w:t>
      </w:r>
      <w:r w:rsidR="002410F1">
        <w:t xml:space="preserve">, </w:t>
      </w:r>
      <w:r>
        <w:t>as indicated below:</w:t>
      </w:r>
    </w:p>
    <w:p w:rsidR="00EE7C64" w:rsidRDefault="00EE7C64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 xml:space="preserve">In paragraph 5, in the second sentence, replace </w:t>
      </w:r>
      <w:r w:rsidR="00070BE4">
        <w:rPr>
          <w:szCs w:val="22"/>
        </w:rPr>
        <w:t xml:space="preserve">“an” with “a” and </w:t>
      </w:r>
      <w:r>
        <w:rPr>
          <w:szCs w:val="22"/>
        </w:rPr>
        <w:t>“</w:t>
      </w:r>
      <w:r w:rsidRPr="00EE7C64">
        <w:rPr>
          <w:i/>
          <w:szCs w:val="22"/>
        </w:rPr>
        <w:t>FNRPM</w:t>
      </w:r>
      <w:r>
        <w:rPr>
          <w:szCs w:val="22"/>
        </w:rPr>
        <w:t>” with “</w:t>
      </w:r>
      <w:r w:rsidRPr="00EE7C64">
        <w:rPr>
          <w:i/>
          <w:szCs w:val="22"/>
        </w:rPr>
        <w:t>FNPRM</w:t>
      </w:r>
      <w:r>
        <w:rPr>
          <w:szCs w:val="22"/>
        </w:rPr>
        <w:t>”.</w:t>
      </w:r>
    </w:p>
    <w:p w:rsidR="007072ED" w:rsidRDefault="007072ED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16, in the sixth sentence, add “a” between “if” and “Phase”.</w:t>
      </w:r>
    </w:p>
    <w:p w:rsidR="002410F1" w:rsidRDefault="002410F1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24, in the second sentence, delete “is”</w:t>
      </w:r>
      <w:r w:rsidR="0029173E">
        <w:rPr>
          <w:szCs w:val="22"/>
        </w:rPr>
        <w:t>.</w:t>
      </w:r>
    </w:p>
    <w:p w:rsidR="00922CE9" w:rsidRDefault="00A5744B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105, in th</w:t>
      </w:r>
      <w:r w:rsidR="001454B9">
        <w:rPr>
          <w:szCs w:val="22"/>
        </w:rPr>
        <w:t>e sixth sentence, replace “cost” with “costs</w:t>
      </w:r>
      <w:r>
        <w:rPr>
          <w:szCs w:val="22"/>
        </w:rPr>
        <w:t>”.</w:t>
      </w:r>
    </w:p>
    <w:p w:rsidR="001454B9" w:rsidRPr="001454B9" w:rsidRDefault="001454B9" w:rsidP="001454B9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120, in the third sentence, add “.” and an extra space after “here”.</w:t>
      </w:r>
    </w:p>
    <w:p w:rsidR="00CF3DAF" w:rsidRDefault="00CF3DAF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 xml:space="preserve">In paragraph 127, in the eighth sentence, add “of” between “particularly” and “small”. </w:t>
      </w:r>
    </w:p>
    <w:p w:rsidR="00CF3DAF" w:rsidRDefault="00CF3DAF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 xml:space="preserve">In paragraph 130, in the </w:t>
      </w:r>
      <w:r w:rsidR="00D15599">
        <w:rPr>
          <w:szCs w:val="22"/>
        </w:rPr>
        <w:t>ninth</w:t>
      </w:r>
      <w:r>
        <w:rPr>
          <w:szCs w:val="22"/>
        </w:rPr>
        <w:t xml:space="preserve"> sentence, delete “is” between “CFC’s” and “uniquely”. </w:t>
      </w:r>
    </w:p>
    <w:p w:rsidR="00CF3DAF" w:rsidRDefault="00CF3DAF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 xml:space="preserve">In footnote 280, in the </w:t>
      </w:r>
      <w:r w:rsidR="006658C6">
        <w:rPr>
          <w:szCs w:val="22"/>
        </w:rPr>
        <w:t>fifth sentence, add “to” between “recipients” and “obtain”.</w:t>
      </w:r>
    </w:p>
    <w:p w:rsidR="006658C6" w:rsidRDefault="006658C6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161, in the second sentence, replace “deployment” with “deploying”.</w:t>
      </w:r>
    </w:p>
    <w:p w:rsidR="00746D50" w:rsidRDefault="00746D50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201, in the first sentence, delete “for the rules”.</w:t>
      </w:r>
    </w:p>
    <w:p w:rsidR="007C429C" w:rsidRDefault="007C429C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208, in the fourth sentence, add “a” between “if” and “Phase”.</w:t>
      </w:r>
    </w:p>
    <w:p w:rsidR="00EE7C64" w:rsidRDefault="00EE7C64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214, in the seventh sentence, replace “,” with “.”</w:t>
      </w:r>
      <w:r w:rsidR="00070BE4">
        <w:rPr>
          <w:szCs w:val="22"/>
        </w:rPr>
        <w:t xml:space="preserve"> and add an extra space after</w:t>
      </w:r>
      <w:r w:rsidR="00A4639E">
        <w:rPr>
          <w:szCs w:val="22"/>
        </w:rPr>
        <w:t xml:space="preserve"> </w:t>
      </w:r>
      <w:r w:rsidR="00070BE4" w:rsidRPr="00070BE4">
        <w:rPr>
          <w:szCs w:val="22"/>
        </w:rPr>
        <w:t>“</w:t>
      </w:r>
      <w:r w:rsidR="00070BE4" w:rsidRPr="00070BE4">
        <w:rPr>
          <w:szCs w:val="22"/>
          <w:vertAlign w:val="superscript"/>
        </w:rPr>
        <w:t>408</w:t>
      </w:r>
      <w:r w:rsidR="00070BE4" w:rsidRPr="00A4639E">
        <w:rPr>
          <w:szCs w:val="22"/>
        </w:rPr>
        <w:t>”</w:t>
      </w:r>
      <w:r w:rsidR="00070BE4">
        <w:rPr>
          <w:szCs w:val="22"/>
        </w:rPr>
        <w:t>.</w:t>
      </w:r>
    </w:p>
    <w:p w:rsidR="00B234CB" w:rsidRDefault="00B4170C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230, after the last sentence, add “</w:t>
      </w:r>
      <w:r>
        <w:t xml:space="preserve">The FNPRM contains proposed new information collection requirements.  The Commission </w:t>
      </w:r>
      <w:r w:rsidRPr="007C0E6F">
        <w:t xml:space="preserve">as part of its continuing effort to reduce paperwork burdens, invites the general public and the </w:t>
      </w:r>
      <w:r>
        <w:t xml:space="preserve">OMB </w:t>
      </w:r>
      <w:r w:rsidRPr="007C0E6F">
        <w:t>to comment on the information collection requirements contained in this document, as required by the Paperwork Reduction Act of 1995, Public Law 104-13.</w:t>
      </w:r>
      <w:r w:rsidR="0096422D">
        <w:t xml:space="preserve"> </w:t>
      </w:r>
      <w:r w:rsidRPr="007C0E6F">
        <w:t xml:space="preserve"> In addition, pursuant to the Small Business Paperwork Relief Act of 2002, Public Law 107-198,</w:t>
      </w:r>
      <w:r>
        <w:rPr>
          <w:rStyle w:val="apple-converted-space"/>
          <w:color w:val="000033"/>
          <w:szCs w:val="22"/>
        </w:rPr>
        <w:t xml:space="preserve"> </w:t>
      </w:r>
      <w:r w:rsidRPr="00E149FE">
        <w:rPr>
          <w:i/>
          <w:iCs/>
        </w:rPr>
        <w:t>see</w:t>
      </w:r>
      <w:r>
        <w:rPr>
          <w:rStyle w:val="apple-converted-space"/>
          <w:color w:val="000033"/>
          <w:szCs w:val="22"/>
        </w:rPr>
        <w:t xml:space="preserve"> </w:t>
      </w:r>
      <w:r w:rsidRPr="007C0E6F">
        <w:t>44 U.S.C. 3506(c)(4), we seek specific comment on how we might further reduce the information collection burden for small business concerns with fewer than 25 employees.</w:t>
      </w:r>
      <w:r>
        <w:t>”</w:t>
      </w:r>
    </w:p>
    <w:p w:rsidR="00F052B6" w:rsidRDefault="00F052B6" w:rsidP="00FB0231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Section XI, in subheading “C”, replace “Act” with “Analysis”.</w:t>
      </w:r>
    </w:p>
    <w:p w:rsidR="00746D50" w:rsidRDefault="00F052B6" w:rsidP="000023D3">
      <w:pPr>
        <w:pStyle w:val="ParaNum"/>
        <w:widowControl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lastRenderedPageBreak/>
        <w:t>In Section XI, in subheading “D”, replace “Paperwork Reduction Act” with “Regulatory Flexibility”.</w:t>
      </w:r>
    </w:p>
    <w:p w:rsidR="00D27090" w:rsidRPr="003B48FE" w:rsidRDefault="00D27090" w:rsidP="003B48FE">
      <w:pPr>
        <w:spacing w:after="120"/>
      </w:pPr>
      <w:r>
        <w:t xml:space="preserve">This Erratum also amends </w:t>
      </w:r>
      <w:r w:rsidRPr="00FB0231">
        <w:rPr>
          <w:b/>
        </w:rPr>
        <w:t xml:space="preserve">APPENDIX </w:t>
      </w:r>
      <w:r>
        <w:rPr>
          <w:b/>
        </w:rPr>
        <w:t xml:space="preserve">A </w:t>
      </w:r>
      <w:r>
        <w:t xml:space="preserve">of the </w:t>
      </w:r>
      <w:r w:rsidRPr="002410F1">
        <w:rPr>
          <w:i/>
        </w:rPr>
        <w:t>Connect America</w:t>
      </w:r>
      <w:r>
        <w:t xml:space="preserve"> </w:t>
      </w:r>
      <w:r>
        <w:rPr>
          <w:i/>
        </w:rPr>
        <w:t>Phase II Auction Order and FNPRM</w:t>
      </w:r>
      <w:r>
        <w:t xml:space="preserve"> as indicated below:</w:t>
      </w:r>
    </w:p>
    <w:p w:rsidR="0051150D" w:rsidRDefault="00BB70E9" w:rsidP="008B5F21">
      <w:pPr>
        <w:pStyle w:val="ParaNum"/>
        <w:tabs>
          <w:tab w:val="num" w:pos="720"/>
        </w:tabs>
        <w:ind w:firstLine="360"/>
      </w:pPr>
      <w:r>
        <w:t>In paragraph (2) of Section 54.309(a), replace “(iv)” with “(v)”.</w:t>
      </w:r>
    </w:p>
    <w:p w:rsidR="004A6B68" w:rsidRDefault="004A6B68" w:rsidP="008B5F21">
      <w:pPr>
        <w:pStyle w:val="ParaNum"/>
        <w:tabs>
          <w:tab w:val="num" w:pos="720"/>
        </w:tabs>
        <w:ind w:firstLine="360"/>
      </w:pPr>
      <w:r>
        <w:t>In paragraph (v) of Section 54.315(c)(6), add “support” between “auction” and “after”.</w:t>
      </w:r>
    </w:p>
    <w:p w:rsidR="004A6B68" w:rsidRDefault="004A6B68" w:rsidP="008B5F21">
      <w:pPr>
        <w:pStyle w:val="ParaNum"/>
        <w:tabs>
          <w:tab w:val="num" w:pos="720"/>
        </w:tabs>
        <w:ind w:firstLine="360"/>
      </w:pPr>
      <w:r>
        <w:t xml:space="preserve">In paragraph (6) of Section 54.315(c), replace “(vii)” with “(vi)”. </w:t>
      </w:r>
    </w:p>
    <w:p w:rsidR="008D1D85" w:rsidRDefault="00BB507E" w:rsidP="008B5F21">
      <w:pPr>
        <w:pStyle w:val="ParaNum"/>
        <w:tabs>
          <w:tab w:val="num" w:pos="720"/>
        </w:tabs>
        <w:ind w:firstLine="360"/>
      </w:pPr>
      <w:r>
        <w:t>In paragraph (ii</w:t>
      </w:r>
      <w:r w:rsidR="008D1D85">
        <w:t>) of Section 54.315(c)</w:t>
      </w:r>
      <w:r>
        <w:t>(4)</w:t>
      </w:r>
      <w:r w:rsidR="008D1D85">
        <w:t>, delete “and” between “certificate,” and “shall”.</w:t>
      </w:r>
    </w:p>
    <w:p w:rsidR="00966B7B" w:rsidRPr="00356FE8" w:rsidRDefault="00966B7B" w:rsidP="00966B7B">
      <w:pPr>
        <w:pStyle w:val="ParaNum"/>
        <w:tabs>
          <w:tab w:val="clear" w:pos="1080"/>
          <w:tab w:val="num" w:pos="720"/>
        </w:tabs>
        <w:ind w:firstLine="360"/>
        <w:rPr>
          <w:szCs w:val="22"/>
        </w:rPr>
      </w:pPr>
      <w:r>
        <w:t>In paragraph (ii) of Section 54.316(c)(1), replace “February” with “March”.</w:t>
      </w:r>
    </w:p>
    <w:p w:rsidR="00356FE8" w:rsidRPr="000D05D6" w:rsidRDefault="00356FE8" w:rsidP="00966B7B">
      <w:pPr>
        <w:pStyle w:val="ParaNum"/>
        <w:tabs>
          <w:tab w:val="clear" w:pos="1080"/>
          <w:tab w:val="num" w:pos="720"/>
        </w:tabs>
        <w:ind w:firstLine="360"/>
        <w:rPr>
          <w:szCs w:val="22"/>
        </w:rPr>
      </w:pPr>
      <w:r>
        <w:t>In paragraph (ii) of Section 54.804(b)(7), replace</w:t>
      </w:r>
      <w:r w:rsidR="00343B68">
        <w:t xml:space="preserve"> “(a)(7)(i)” with “(b)(7)(i)”, replace</w:t>
      </w:r>
      <w:r>
        <w:t xml:space="preserve"> “(c)(2)” with “(d)(2)”</w:t>
      </w:r>
      <w:r w:rsidR="00343B68">
        <w:t>,</w:t>
      </w:r>
      <w:r>
        <w:t xml:space="preserve"> and</w:t>
      </w:r>
      <w:r w:rsidR="00343B68">
        <w:t xml:space="preserve"> replace</w:t>
      </w:r>
      <w:r>
        <w:t xml:space="preserve"> “(c)” with “(d)</w:t>
      </w:r>
      <w:r w:rsidR="000D05D6">
        <w:t>”</w:t>
      </w:r>
      <w:r>
        <w:t xml:space="preserve">. </w:t>
      </w:r>
    </w:p>
    <w:p w:rsidR="000D05D6" w:rsidRPr="00565D1E" w:rsidRDefault="000D05D6" w:rsidP="00966B7B">
      <w:pPr>
        <w:pStyle w:val="ParaNum"/>
        <w:tabs>
          <w:tab w:val="clear" w:pos="1080"/>
          <w:tab w:val="num" w:pos="720"/>
        </w:tabs>
        <w:ind w:firstLine="360"/>
        <w:rPr>
          <w:szCs w:val="22"/>
        </w:rPr>
      </w:pPr>
      <w:r>
        <w:t>In paragraph (3) of Section 54.804(c), replace “(c)” with “(d)”.</w:t>
      </w:r>
    </w:p>
    <w:p w:rsidR="00565D1E" w:rsidRPr="00565D1E" w:rsidRDefault="00565D1E" w:rsidP="00565D1E">
      <w:pPr>
        <w:pStyle w:val="ParaNum"/>
        <w:tabs>
          <w:tab w:val="clear" w:pos="1080"/>
          <w:tab w:val="num" w:pos="720"/>
        </w:tabs>
        <w:ind w:firstLine="360"/>
        <w:rPr>
          <w:szCs w:val="22"/>
        </w:rPr>
      </w:pPr>
      <w:r>
        <w:t>In paragraph (4) of Section 54.804(c), replace “(a)(7)(i)” with “(b)(7)(i)”.</w:t>
      </w:r>
    </w:p>
    <w:p w:rsidR="00565D1E" w:rsidRDefault="00565D1E" w:rsidP="00966B7B">
      <w:pPr>
        <w:pStyle w:val="ParaNum"/>
        <w:tabs>
          <w:tab w:val="clear" w:pos="1080"/>
          <w:tab w:val="num" w:pos="720"/>
        </w:tabs>
        <w:ind w:firstLine="360"/>
        <w:rPr>
          <w:szCs w:val="22"/>
        </w:rPr>
      </w:pPr>
      <w:r>
        <w:rPr>
          <w:szCs w:val="22"/>
        </w:rPr>
        <w:t>In paragraph (v) of Section 54.804(c)(6), replace both instances of “(c)” with “(d)”.</w:t>
      </w:r>
    </w:p>
    <w:p w:rsidR="00565D1E" w:rsidRPr="00565D1E" w:rsidRDefault="00565D1E" w:rsidP="00565D1E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 xml:space="preserve">In paragraph (6) of Section 54.804(c), replace “(vii)” with “(vi)”. </w:t>
      </w:r>
    </w:p>
    <w:p w:rsidR="008B5F21" w:rsidRDefault="008B5F21" w:rsidP="0051150D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 xml:space="preserve">In </w:t>
      </w:r>
      <w:r w:rsidR="00966B7B">
        <w:rPr>
          <w:szCs w:val="22"/>
        </w:rPr>
        <w:t xml:space="preserve">the fourth </w:t>
      </w:r>
      <w:r w:rsidR="003B7EBF">
        <w:rPr>
          <w:szCs w:val="22"/>
        </w:rPr>
        <w:t>sub-section</w:t>
      </w:r>
      <w:r w:rsidR="00966B7B">
        <w:rPr>
          <w:szCs w:val="22"/>
        </w:rPr>
        <w:t xml:space="preserve"> of Section 54.804</w:t>
      </w:r>
      <w:r>
        <w:rPr>
          <w:szCs w:val="22"/>
        </w:rPr>
        <w:t>, replace “(c)” with “(d)”</w:t>
      </w:r>
      <w:r w:rsidR="00A71FEB">
        <w:rPr>
          <w:szCs w:val="22"/>
        </w:rPr>
        <w:t>.</w:t>
      </w:r>
    </w:p>
    <w:p w:rsidR="00565D1E" w:rsidRPr="00565D1E" w:rsidRDefault="00565D1E" w:rsidP="00565D1E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(2) of Section 54.804(d), delete the second instance of “</w:t>
      </w:r>
      <w:r w:rsidRPr="00D122B6">
        <w:t>(2) The bank issuing the letter of credit shall be acceptable to the Commission.  A bank that is acceptable to the Commission is:</w:t>
      </w:r>
      <w:r>
        <w:t>”.</w:t>
      </w:r>
    </w:p>
    <w:p w:rsidR="00174AAC" w:rsidRDefault="00441E0F" w:rsidP="0051150D">
      <w:pPr>
        <w:pStyle w:val="ParaNum"/>
        <w:tabs>
          <w:tab w:val="num" w:pos="720"/>
        </w:tabs>
        <w:ind w:firstLine="360"/>
        <w:rPr>
          <w:szCs w:val="22"/>
        </w:rPr>
      </w:pPr>
      <w:r>
        <w:rPr>
          <w:szCs w:val="22"/>
        </w:rPr>
        <w:t>In paragraph (ii</w:t>
      </w:r>
      <w:r w:rsidR="00174AAC">
        <w:rPr>
          <w:szCs w:val="22"/>
        </w:rPr>
        <w:t>) of Section 54.804(d)</w:t>
      </w:r>
      <w:r>
        <w:rPr>
          <w:szCs w:val="22"/>
        </w:rPr>
        <w:t>(4)</w:t>
      </w:r>
      <w:r w:rsidR="00174AAC">
        <w:rPr>
          <w:szCs w:val="22"/>
        </w:rPr>
        <w:t xml:space="preserve">, delete “and” between “certificate,” and “shall”. </w:t>
      </w:r>
    </w:p>
    <w:p w:rsidR="00556186" w:rsidRPr="00966B7B" w:rsidRDefault="00556186" w:rsidP="00556186">
      <w:pPr>
        <w:pStyle w:val="ParaNum"/>
        <w:tabs>
          <w:tab w:val="num" w:pos="720"/>
        </w:tabs>
        <w:ind w:firstLine="360"/>
        <w:rPr>
          <w:szCs w:val="22"/>
        </w:rPr>
      </w:pPr>
      <w:r>
        <w:t>Replace the header of “§ 54.80</w:t>
      </w:r>
      <w:r w:rsidRPr="00556186">
        <w:t>5 Remote Areas Fund reporting obligations</w:t>
      </w:r>
      <w:r>
        <w:t>” with “§ 54.806</w:t>
      </w:r>
      <w:r w:rsidRPr="00556186">
        <w:t xml:space="preserve"> Remote Areas Fund reporting obligations</w:t>
      </w:r>
      <w:r>
        <w:t>”</w:t>
      </w:r>
      <w:r w:rsidR="00441E0F">
        <w:t>.</w:t>
      </w:r>
    </w:p>
    <w:p w:rsidR="00966B7B" w:rsidRPr="003B48FE" w:rsidRDefault="00D27090" w:rsidP="003B48FE">
      <w:pPr>
        <w:spacing w:after="120"/>
      </w:pPr>
      <w:r>
        <w:t xml:space="preserve">This Erratum also amends </w:t>
      </w:r>
      <w:r w:rsidRPr="00FB0231">
        <w:rPr>
          <w:b/>
        </w:rPr>
        <w:t xml:space="preserve">APPENDIX </w:t>
      </w:r>
      <w:r>
        <w:rPr>
          <w:b/>
        </w:rPr>
        <w:t xml:space="preserve">C </w:t>
      </w:r>
      <w:r>
        <w:t xml:space="preserve">of the </w:t>
      </w:r>
      <w:r w:rsidRPr="002410F1">
        <w:rPr>
          <w:i/>
        </w:rPr>
        <w:t>Connect America</w:t>
      </w:r>
      <w:r>
        <w:t xml:space="preserve"> </w:t>
      </w:r>
      <w:r>
        <w:rPr>
          <w:i/>
        </w:rPr>
        <w:t>Phase II Auction Order and FNPRM</w:t>
      </w:r>
      <w:r>
        <w:t xml:space="preserve"> as indicated below:</w:t>
      </w:r>
    </w:p>
    <w:p w:rsidR="00880DDC" w:rsidRPr="00794E72" w:rsidRDefault="00D27090" w:rsidP="00794E72">
      <w:pPr>
        <w:pStyle w:val="ParaNum"/>
        <w:tabs>
          <w:tab w:val="clear" w:pos="1080"/>
          <w:tab w:val="num" w:pos="720"/>
        </w:tabs>
        <w:ind w:firstLine="360"/>
        <w:rPr>
          <w:szCs w:val="22"/>
        </w:rPr>
      </w:pPr>
      <w:r>
        <w:rPr>
          <w:szCs w:val="22"/>
        </w:rPr>
        <w:t xml:space="preserve">In paragraph 66, in the seventh sentence, replace “from” between “letter” and “interest” with “of”. </w:t>
      </w:r>
      <w:r w:rsidR="00880DDC">
        <w:t xml:space="preserve"> </w:t>
      </w:r>
    </w:p>
    <w:p w:rsidR="00C93E3A" w:rsidRDefault="00C93E3A" w:rsidP="0029514C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</w:p>
    <w:p w:rsidR="00C93E3A" w:rsidRDefault="00C93E3A" w:rsidP="0029514C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Matthew S. DelNero</w:t>
      </w:r>
    </w:p>
    <w:p w:rsidR="00C93E3A" w:rsidRDefault="00C93E3A" w:rsidP="0029514C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Chief</w:t>
      </w:r>
    </w:p>
    <w:p w:rsidR="00C93E3A" w:rsidRDefault="00C93E3A" w:rsidP="0017296B"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p w:rsidR="002C00E8" w:rsidRPr="002C00E8" w:rsidRDefault="002C00E8" w:rsidP="00880DDC">
      <w:pPr>
        <w:pStyle w:val="Heading1"/>
        <w:numPr>
          <w:ilvl w:val="0"/>
          <w:numId w:val="0"/>
        </w:numPr>
        <w:ind w:left="720"/>
      </w:pPr>
    </w:p>
    <w:sectPr w:rsidR="002C00E8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D3" w:rsidRDefault="008D20D3">
      <w:pPr>
        <w:spacing w:line="20" w:lineRule="exact"/>
      </w:pPr>
    </w:p>
  </w:endnote>
  <w:endnote w:type="continuationSeparator" w:id="0">
    <w:p w:rsidR="008D20D3" w:rsidRDefault="008D20D3">
      <w:r>
        <w:t xml:space="preserve"> </w:t>
      </w:r>
    </w:p>
  </w:endnote>
  <w:endnote w:type="continuationNotice" w:id="1">
    <w:p w:rsidR="008D20D3" w:rsidRDefault="008D20D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92964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F2" w:rsidRDefault="009B4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D3" w:rsidRDefault="008D20D3">
      <w:r>
        <w:separator/>
      </w:r>
    </w:p>
  </w:footnote>
  <w:footnote w:type="continuationSeparator" w:id="0">
    <w:p w:rsidR="008D20D3" w:rsidRDefault="008D20D3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8D20D3" w:rsidRDefault="008D20D3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F2" w:rsidRDefault="009B4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 w:rsidRDefault="00BB114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BD0C32F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BB1143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4DC68E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90A41E9"/>
    <w:multiLevelType w:val="hybridMultilevel"/>
    <w:tmpl w:val="77A09CCC"/>
    <w:lvl w:ilvl="0" w:tplc="6C685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FF971B5"/>
    <w:multiLevelType w:val="hybridMultilevel"/>
    <w:tmpl w:val="EF8207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E12D48"/>
    <w:multiLevelType w:val="hybridMultilevel"/>
    <w:tmpl w:val="249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F40BF"/>
    <w:multiLevelType w:val="hybridMultilevel"/>
    <w:tmpl w:val="798A3D66"/>
    <w:lvl w:ilvl="0" w:tplc="A0DA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DC"/>
    <w:rsid w:val="000023D3"/>
    <w:rsid w:val="000140A0"/>
    <w:rsid w:val="00014FC0"/>
    <w:rsid w:val="0001721C"/>
    <w:rsid w:val="00032A36"/>
    <w:rsid w:val="00036039"/>
    <w:rsid w:val="00037F90"/>
    <w:rsid w:val="00066C20"/>
    <w:rsid w:val="00070BE4"/>
    <w:rsid w:val="000875BF"/>
    <w:rsid w:val="00096D8C"/>
    <w:rsid w:val="000C0B65"/>
    <w:rsid w:val="000D05D6"/>
    <w:rsid w:val="000E05FE"/>
    <w:rsid w:val="000E3D42"/>
    <w:rsid w:val="00122BD5"/>
    <w:rsid w:val="00133F79"/>
    <w:rsid w:val="001454B9"/>
    <w:rsid w:val="00170CAC"/>
    <w:rsid w:val="00174AAC"/>
    <w:rsid w:val="00194A66"/>
    <w:rsid w:val="001D6BCF"/>
    <w:rsid w:val="001E01CA"/>
    <w:rsid w:val="001F3A1D"/>
    <w:rsid w:val="00210141"/>
    <w:rsid w:val="002410F1"/>
    <w:rsid w:val="00275CF5"/>
    <w:rsid w:val="0028301F"/>
    <w:rsid w:val="00285017"/>
    <w:rsid w:val="0029173E"/>
    <w:rsid w:val="0029514C"/>
    <w:rsid w:val="002A2D2E"/>
    <w:rsid w:val="002C00E8"/>
    <w:rsid w:val="00335F33"/>
    <w:rsid w:val="00343749"/>
    <w:rsid w:val="00343B68"/>
    <w:rsid w:val="00356FE8"/>
    <w:rsid w:val="003660ED"/>
    <w:rsid w:val="00372700"/>
    <w:rsid w:val="003B0550"/>
    <w:rsid w:val="003B48FE"/>
    <w:rsid w:val="003B694F"/>
    <w:rsid w:val="003B7EBF"/>
    <w:rsid w:val="003F171C"/>
    <w:rsid w:val="00412FC5"/>
    <w:rsid w:val="00422276"/>
    <w:rsid w:val="004242F1"/>
    <w:rsid w:val="00432551"/>
    <w:rsid w:val="00441E0F"/>
    <w:rsid w:val="00445A00"/>
    <w:rsid w:val="00451B0F"/>
    <w:rsid w:val="0047375C"/>
    <w:rsid w:val="0048403B"/>
    <w:rsid w:val="004A6B68"/>
    <w:rsid w:val="004C2EE3"/>
    <w:rsid w:val="004E4A22"/>
    <w:rsid w:val="0051150D"/>
    <w:rsid w:val="00511968"/>
    <w:rsid w:val="0052552E"/>
    <w:rsid w:val="0055614C"/>
    <w:rsid w:val="00556186"/>
    <w:rsid w:val="005564F6"/>
    <w:rsid w:val="00565D1E"/>
    <w:rsid w:val="005E14C2"/>
    <w:rsid w:val="006004C2"/>
    <w:rsid w:val="00607BA5"/>
    <w:rsid w:val="0061180A"/>
    <w:rsid w:val="00626EB6"/>
    <w:rsid w:val="00655D03"/>
    <w:rsid w:val="006658C6"/>
    <w:rsid w:val="00683388"/>
    <w:rsid w:val="00683F84"/>
    <w:rsid w:val="0069225D"/>
    <w:rsid w:val="006A6A81"/>
    <w:rsid w:val="006F7393"/>
    <w:rsid w:val="0070224F"/>
    <w:rsid w:val="007072ED"/>
    <w:rsid w:val="007115F7"/>
    <w:rsid w:val="00717F07"/>
    <w:rsid w:val="00746D50"/>
    <w:rsid w:val="00785689"/>
    <w:rsid w:val="00794E72"/>
    <w:rsid w:val="0079754B"/>
    <w:rsid w:val="00797D51"/>
    <w:rsid w:val="007A1E6D"/>
    <w:rsid w:val="007B0EB2"/>
    <w:rsid w:val="007C429C"/>
    <w:rsid w:val="007F5584"/>
    <w:rsid w:val="00810B6F"/>
    <w:rsid w:val="008165BA"/>
    <w:rsid w:val="00822CE0"/>
    <w:rsid w:val="00841AB1"/>
    <w:rsid w:val="00880DDC"/>
    <w:rsid w:val="00892964"/>
    <w:rsid w:val="00896E42"/>
    <w:rsid w:val="008B5F21"/>
    <w:rsid w:val="008C68F1"/>
    <w:rsid w:val="008D1D85"/>
    <w:rsid w:val="008D20D3"/>
    <w:rsid w:val="00921803"/>
    <w:rsid w:val="00922CE9"/>
    <w:rsid w:val="00926503"/>
    <w:rsid w:val="0096422D"/>
    <w:rsid w:val="00966B7B"/>
    <w:rsid w:val="009726D8"/>
    <w:rsid w:val="009B41F2"/>
    <w:rsid w:val="009F76DB"/>
    <w:rsid w:val="00A32C3B"/>
    <w:rsid w:val="00A45601"/>
    <w:rsid w:val="00A45F4F"/>
    <w:rsid w:val="00A4639E"/>
    <w:rsid w:val="00A5744B"/>
    <w:rsid w:val="00A600A9"/>
    <w:rsid w:val="00A71FEB"/>
    <w:rsid w:val="00A8446B"/>
    <w:rsid w:val="00AA55B7"/>
    <w:rsid w:val="00AA5B9E"/>
    <w:rsid w:val="00AB2407"/>
    <w:rsid w:val="00AB3654"/>
    <w:rsid w:val="00AB53DF"/>
    <w:rsid w:val="00AE6758"/>
    <w:rsid w:val="00B07E5C"/>
    <w:rsid w:val="00B234CB"/>
    <w:rsid w:val="00B4170C"/>
    <w:rsid w:val="00B70509"/>
    <w:rsid w:val="00B811F7"/>
    <w:rsid w:val="00BA5DC6"/>
    <w:rsid w:val="00BA6196"/>
    <w:rsid w:val="00BB1143"/>
    <w:rsid w:val="00BB507E"/>
    <w:rsid w:val="00BB70E9"/>
    <w:rsid w:val="00BC6D8C"/>
    <w:rsid w:val="00C34006"/>
    <w:rsid w:val="00C426B1"/>
    <w:rsid w:val="00C63A23"/>
    <w:rsid w:val="00C66160"/>
    <w:rsid w:val="00C721AC"/>
    <w:rsid w:val="00C90D6A"/>
    <w:rsid w:val="00C93E3A"/>
    <w:rsid w:val="00CA247E"/>
    <w:rsid w:val="00CC72B6"/>
    <w:rsid w:val="00CF3DAF"/>
    <w:rsid w:val="00D0218D"/>
    <w:rsid w:val="00D15599"/>
    <w:rsid w:val="00D25FB5"/>
    <w:rsid w:val="00D27090"/>
    <w:rsid w:val="00D34D44"/>
    <w:rsid w:val="00D40798"/>
    <w:rsid w:val="00D44223"/>
    <w:rsid w:val="00D73142"/>
    <w:rsid w:val="00D73D19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A339C"/>
    <w:rsid w:val="00EE6488"/>
    <w:rsid w:val="00EE7C64"/>
    <w:rsid w:val="00F021FA"/>
    <w:rsid w:val="00F052B6"/>
    <w:rsid w:val="00F31DF5"/>
    <w:rsid w:val="00F62E97"/>
    <w:rsid w:val="00F64209"/>
    <w:rsid w:val="00F93BF5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1 Char,Heading 1 Char Char2"/>
    <w:basedOn w:val="Normal"/>
    <w:next w:val="ParaNum"/>
    <w:link w:val="Heading1Char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2 Char,UNDERRUBRIK 1-2 Char,Heading 2 Char1,Heading 2 Char Char1,Heading 2 Char Char Char Char,Heading 2 Char1 Char Char1 Char Char,Heading 2 Char Char3 Char Char Char Char,Heading 2 Char1 Char Char Char Char1 Char Char,Char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aliases w:val="3 Char,Titre 3 Char,1 Char,31 Char,Titre 31 Char,?? 3 Char,3,Titre 3,1,31,Titre 31,?? 3,Heading 3 Char1,Heading 3 Char Char,Heading 3 Char1 Char Char,Heading 3 Char Char Char Char,Heading 3 Char2 Char1 Char Char,Heading 3 Char Char1 Ch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2,Heading 4 Char1 Char,Heading 4 Char Char Char,Heading 4 Char Char1,Heading 4 Char1,Heading 4 Char Char,Heading 4 Char2 Char Char,Heading 4 Char1 Char1 Char Char,Heading 4 Char Char Char1 Char Char,Heading 4 Char Char1 Char Char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Topic,table,t,9,Heading 9.table,Titre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880DDC"/>
    <w:rPr>
      <w:snapToGrid w:val="0"/>
      <w:kern w:val="28"/>
      <w:sz w:val="22"/>
    </w:rPr>
  </w:style>
  <w:style w:type="character" w:customStyle="1" w:styleId="Heading1Char">
    <w:name w:val="Heading 1 Char"/>
    <w:aliases w:val="Heading 1 Char2 Char,Heading 1 Char1 Char Char,Heading 1 Char Char Char Char,Heading 1 Char Char1 Char1,Heading 1 Char1 Char1 Char,Heading 1 Char Char Char1 Char,Heading 1 Char1 Char Char Char Char,Heading 1 Char Char Char Char Char Char"/>
    <w:link w:val="Heading1"/>
    <w:locked/>
    <w:rsid w:val="00880DDC"/>
    <w:rPr>
      <w:rFonts w:ascii="Times New Roman Bold" w:hAnsi="Times New Roman Bold"/>
      <w:b/>
      <w:caps/>
      <w:snapToGrid w:val="0"/>
      <w:kern w:val="28"/>
      <w:sz w:val="22"/>
    </w:rPr>
  </w:style>
  <w:style w:type="character" w:styleId="CommentReference">
    <w:name w:val="annotation reference"/>
    <w:uiPriority w:val="99"/>
    <w:rsid w:val="00880DDC"/>
    <w:rPr>
      <w:rFonts w:cs="Times New Roman"/>
      <w:sz w:val="16"/>
      <w:szCs w:val="16"/>
    </w:rPr>
  </w:style>
  <w:style w:type="character" w:customStyle="1" w:styleId="apple-converted-space">
    <w:name w:val="apple-converted-space"/>
    <w:rsid w:val="00880DDC"/>
  </w:style>
  <w:style w:type="table" w:styleId="TableGrid">
    <w:name w:val="Table Grid"/>
    <w:basedOn w:val="TableNormal"/>
    <w:rsid w:val="0088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hovertext">
    <w:name w:val="co_hovertext"/>
    <w:rsid w:val="00880DDC"/>
  </w:style>
  <w:style w:type="paragraph" w:styleId="BalloonText">
    <w:name w:val="Balloon Text"/>
    <w:basedOn w:val="Normal"/>
    <w:link w:val="BalloonTextChar"/>
    <w:rsid w:val="0047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75C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1 Char,Heading 1 Char Char2"/>
    <w:basedOn w:val="Normal"/>
    <w:next w:val="ParaNum"/>
    <w:link w:val="Heading1Char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2 Char,UNDERRUBRIK 1-2 Char,Heading 2 Char1,Heading 2 Char Char1,Heading 2 Char Char Char Char,Heading 2 Char1 Char Char1 Char Char,Heading 2 Char Char3 Char Char Char Char,Heading 2 Char1 Char Char Char Char1 Char Char,Char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aliases w:val="3 Char,Titre 3 Char,1 Char,31 Char,Titre 31 Char,?? 3 Char,3,Titre 3,1,31,Titre 31,?? 3,Heading 3 Char1,Heading 3 Char Char,Heading 3 Char1 Char Char,Heading 3 Char Char Char Char,Heading 3 Char2 Char1 Char Char,Heading 3 Char Char1 Ch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2,Heading 4 Char1 Char,Heading 4 Char Char Char,Heading 4 Char Char1,Heading 4 Char1,Heading 4 Char Char,Heading 4 Char2 Char Char,Heading 4 Char1 Char1 Char Char,Heading 4 Char Char Char1 Char Char,Heading 4 Char Char1 Char Char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Topic,table,t,9,Heading 9.table,Titre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880DDC"/>
    <w:rPr>
      <w:snapToGrid w:val="0"/>
      <w:kern w:val="28"/>
      <w:sz w:val="22"/>
    </w:rPr>
  </w:style>
  <w:style w:type="character" w:customStyle="1" w:styleId="Heading1Char">
    <w:name w:val="Heading 1 Char"/>
    <w:aliases w:val="Heading 1 Char2 Char,Heading 1 Char1 Char Char,Heading 1 Char Char Char Char,Heading 1 Char Char1 Char1,Heading 1 Char1 Char1 Char,Heading 1 Char Char Char1 Char,Heading 1 Char1 Char Char Char Char,Heading 1 Char Char Char Char Char Char"/>
    <w:link w:val="Heading1"/>
    <w:locked/>
    <w:rsid w:val="00880DDC"/>
    <w:rPr>
      <w:rFonts w:ascii="Times New Roman Bold" w:hAnsi="Times New Roman Bold"/>
      <w:b/>
      <w:caps/>
      <w:snapToGrid w:val="0"/>
      <w:kern w:val="28"/>
      <w:sz w:val="22"/>
    </w:rPr>
  </w:style>
  <w:style w:type="character" w:styleId="CommentReference">
    <w:name w:val="annotation reference"/>
    <w:uiPriority w:val="99"/>
    <w:rsid w:val="00880DDC"/>
    <w:rPr>
      <w:rFonts w:cs="Times New Roman"/>
      <w:sz w:val="16"/>
      <w:szCs w:val="16"/>
    </w:rPr>
  </w:style>
  <w:style w:type="character" w:customStyle="1" w:styleId="apple-converted-space">
    <w:name w:val="apple-converted-space"/>
    <w:rsid w:val="00880DDC"/>
  </w:style>
  <w:style w:type="table" w:styleId="TableGrid">
    <w:name w:val="Table Grid"/>
    <w:basedOn w:val="TableNormal"/>
    <w:rsid w:val="0088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hovertext">
    <w:name w:val="co_hovertext"/>
    <w:rsid w:val="00880DDC"/>
  </w:style>
  <w:style w:type="paragraph" w:styleId="BalloonText">
    <w:name w:val="Balloon Text"/>
    <w:basedOn w:val="Normal"/>
    <w:link w:val="BalloonTextChar"/>
    <w:rsid w:val="0047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75C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665</Words>
  <Characters>3565</Characters>
  <Application>Microsoft Office Word</Application>
  <DocSecurity>0</DocSecurity>
  <Lines>94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4210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2016-05-04T16:24:00Z</cp:lastPrinted>
  <dcterms:created xsi:type="dcterms:W3CDTF">2016-06-13T19:03:00Z</dcterms:created>
  <dcterms:modified xsi:type="dcterms:W3CDTF">2016-06-13T19:03:00Z</dcterms:modified>
  <cp:category> </cp:category>
  <cp:contentStatus> </cp:contentStatus>
</cp:coreProperties>
</file>